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F6" w:rsidRDefault="001634F6">
      <w:pPr>
        <w:pStyle w:val="Title"/>
      </w:pPr>
      <w:r>
        <w:t>OMB Clearance Request</w:t>
      </w:r>
    </w:p>
    <w:p w:rsidR="00DA1CE0" w:rsidRDefault="00DA1CE0">
      <w:pPr>
        <w:pStyle w:val="Title"/>
      </w:pPr>
      <w:r>
        <w:t>Center for Mental Health Services and Cente</w:t>
      </w:r>
      <w:r w:rsidR="001634F6">
        <w:t>r for Substance Abuse Treatment</w:t>
      </w:r>
    </w:p>
    <w:p w:rsidR="00DA1CE0" w:rsidRDefault="00D716D6">
      <w:pPr>
        <w:pStyle w:val="Subtitle"/>
      </w:pPr>
      <w:r>
        <w:t>Co-Occurring Disorders Integration and Innovation</w:t>
      </w:r>
      <w:r w:rsidR="00DA1CE0">
        <w:t xml:space="preserve"> </w:t>
      </w:r>
      <w:r w:rsidR="002A2DD0">
        <w:t xml:space="preserve">(CODI) </w:t>
      </w:r>
      <w:r w:rsidR="00DA1CE0">
        <w:t>Data Collection Activities</w:t>
      </w:r>
    </w:p>
    <w:p w:rsidR="00DA1CE0" w:rsidRDefault="00DA1CE0">
      <w:pPr>
        <w:autoSpaceDE w:val="0"/>
        <w:autoSpaceDN w:val="0"/>
        <w:adjustRightInd w:val="0"/>
        <w:spacing w:after="0" w:line="240" w:lineRule="auto"/>
        <w:rPr>
          <w:rFonts w:ascii="Garamond" w:hAnsi="Garamond"/>
          <w:sz w:val="24"/>
        </w:rPr>
      </w:pPr>
    </w:p>
    <w:p w:rsidR="00DA1CE0" w:rsidRDefault="00A14042" w:rsidP="00C96D83">
      <w:pPr>
        <w:pStyle w:val="Heading1"/>
        <w:numPr>
          <w:ilvl w:val="0"/>
          <w:numId w:val="3"/>
        </w:numPr>
        <w:tabs>
          <w:tab w:val="clear" w:pos="720"/>
          <w:tab w:val="num" w:pos="360"/>
        </w:tabs>
        <w:ind w:left="0" w:firstLine="0"/>
      </w:pPr>
      <w:r>
        <w:t>Background</w:t>
      </w:r>
    </w:p>
    <w:p w:rsidR="00DA1CE0" w:rsidRDefault="00DA1CE0">
      <w:pPr>
        <w:pStyle w:val="Heading1"/>
        <w:autoSpaceDE/>
        <w:autoSpaceDN/>
        <w:adjustRightInd/>
        <w:spacing w:after="200"/>
        <w:ind w:left="360"/>
        <w:rPr>
          <w:b w:val="0"/>
          <w:bCs w:val="0"/>
        </w:rPr>
      </w:pPr>
      <w:r>
        <w:rPr>
          <w:b w:val="0"/>
          <w:bCs w:val="0"/>
        </w:rPr>
        <w:t xml:space="preserve">The Substance Abuse and Mental Health Services Administration (SAMHSA) was established under the Alcohol, Drug Abuse, and Mental Health Administration Reorganization Act (Public Law No. 102-321) as an operating division of the Department of Health and Human Services (HHS). SAMHSA’s mission is to provide national leadership in the prevention and treatment of addictive and mental disorders, through appropriate programs and services for individuals who suffer from mental health and/or substance abuse disorders. Consistent with its mission, two centers within SAMHSA, the Center for Mental Health Services (CMHS) and the Center for Substance Abuse Treatment (CSAT) collaboratively established </w:t>
      </w:r>
      <w:r w:rsidR="00D716D6">
        <w:rPr>
          <w:b w:val="0"/>
          <w:bCs w:val="0"/>
        </w:rPr>
        <w:t>Co-Occurring Disorders Integration and Innovation</w:t>
      </w:r>
      <w:r>
        <w:rPr>
          <w:b w:val="0"/>
          <w:bCs w:val="0"/>
        </w:rPr>
        <w:t xml:space="preserve"> (CODI) to address the needs of people who are challenged with both mental health disorders and substance abuse problems. </w:t>
      </w:r>
    </w:p>
    <w:p w:rsidR="00DA1CE0" w:rsidRDefault="00DA1CE0">
      <w:pPr>
        <w:pStyle w:val="NormalWeb"/>
        <w:ind w:left="360"/>
        <w:rPr>
          <w:rFonts w:ascii="Garamond" w:hAnsi="Garamond"/>
        </w:rPr>
      </w:pPr>
      <w:r>
        <w:rPr>
          <w:rFonts w:ascii="Garamond" w:hAnsi="Garamond"/>
        </w:rPr>
        <w:t xml:space="preserve">Both CMHS and CSAT work at the federal level to carry out their respective missions. Within SAMHSA, CMHS promotes the prevention and treatment of mental disorders by identifying national mental health goals and developing strategies to meet them. CMHS </w:t>
      </w:r>
      <w:proofErr w:type="gramStart"/>
      <w:r>
        <w:rPr>
          <w:rFonts w:ascii="Garamond" w:hAnsi="Garamond"/>
        </w:rPr>
        <w:t>works</w:t>
      </w:r>
      <w:proofErr w:type="gramEnd"/>
      <w:r>
        <w:rPr>
          <w:rFonts w:ascii="Garamond" w:hAnsi="Garamond"/>
        </w:rPr>
        <w:t xml:space="preserve"> to improve the quality of programs that serve both individuals suffering from these disorders and their families. CSAT provides national leadership in developing and administering programs focusing on the treatment of substance abuse. CSAT carries out its work with states, local communities, and health care providers by providing financial assistance to improve and expand programs for treating substance abuse. Both</w:t>
      </w:r>
      <w:r>
        <w:rPr>
          <w:rFonts w:ascii="Garamond" w:hAnsi="Garamond"/>
          <w:color w:val="FF0000"/>
        </w:rPr>
        <w:t xml:space="preserve"> </w:t>
      </w:r>
      <w:r>
        <w:rPr>
          <w:rFonts w:ascii="Garamond" w:hAnsi="Garamond"/>
        </w:rPr>
        <w:t xml:space="preserve">CMHS and CSAT administer and evaluate grants and programs that help states and local governments provide mental health care and addictive treatment services, respectively.  </w:t>
      </w:r>
    </w:p>
    <w:p w:rsidR="002A2DD0" w:rsidRDefault="00DA1CE0">
      <w:pPr>
        <w:pStyle w:val="NormalWeb"/>
        <w:ind w:left="360"/>
        <w:rPr>
          <w:rFonts w:ascii="Garamond" w:hAnsi="Garamond"/>
        </w:rPr>
      </w:pPr>
      <w:r>
        <w:rPr>
          <w:rFonts w:ascii="Garamond" w:hAnsi="Garamond"/>
        </w:rPr>
        <w:t xml:space="preserve">CMHS’ and CSAT’s collaborative efforts around CODI focus on a common goal, which is to facilitate the adoption of evidence-based practices (EBPs) in mental health and substance abuse treatment services as well as their integration into primary care settings.  Knowledge transfer and information dissemination activities are, central to the CODI and are aimed at service systems, providers and consumers. These activities are intended to promote improvements in practice, service delivery, and service outcomes for consumers. CODI uses three primary mechanisms to support its knowledge transfer and dissemination efforts, which include a central website, product development, and technical assistance activities.  Guided by the CODI Knowledge Transfer Approach (KTA) Plan, all CODI efforts are organized around six priority areas that focus on 1) Systems and Services Integration; 2) Screening and Assessment, 3) Workforce Development; 4) EBP Implementation and Clinical Training; 5) Financing; and 6) Collection and Use of Data.  </w:t>
      </w:r>
      <w:r>
        <w:rPr>
          <w:rFonts w:ascii="Garamond" w:hAnsi="Garamond"/>
        </w:rPr>
        <w:lastRenderedPageBreak/>
        <w:t>Collectively, these activities are intended to promote access to effective integrated services for persons with co-occurring disorders.</w:t>
      </w:r>
    </w:p>
    <w:p w:rsidR="00DA1CE0" w:rsidRDefault="00DA1CE0">
      <w:pPr>
        <w:pStyle w:val="Heading1"/>
        <w:numPr>
          <w:ilvl w:val="0"/>
          <w:numId w:val="3"/>
        </w:numPr>
        <w:tabs>
          <w:tab w:val="clear" w:pos="720"/>
          <w:tab w:val="num" w:pos="360"/>
        </w:tabs>
        <w:ind w:left="360"/>
        <w:rPr>
          <w:szCs w:val="22"/>
        </w:rPr>
      </w:pPr>
      <w:r>
        <w:rPr>
          <w:szCs w:val="22"/>
        </w:rPr>
        <w:t>Product/Activity to be Assessed</w:t>
      </w:r>
    </w:p>
    <w:p w:rsidR="00635BEE" w:rsidRDefault="00635BEE" w:rsidP="001E1284">
      <w:pPr>
        <w:autoSpaceDE w:val="0"/>
        <w:autoSpaceDN w:val="0"/>
        <w:adjustRightInd w:val="0"/>
        <w:spacing w:after="0" w:line="240" w:lineRule="auto"/>
        <w:ind w:left="360"/>
        <w:rPr>
          <w:rFonts w:ascii="Garamond" w:hAnsi="Garamond"/>
          <w:sz w:val="24"/>
        </w:rPr>
      </w:pPr>
      <w:r>
        <w:rPr>
          <w:rFonts w:ascii="Garamond" w:hAnsi="Garamond"/>
          <w:sz w:val="24"/>
        </w:rPr>
        <w:t xml:space="preserve">Through the administration of specific </w:t>
      </w:r>
      <w:r w:rsidR="002A2DD0">
        <w:rPr>
          <w:rFonts w:ascii="Garamond" w:hAnsi="Garamond"/>
          <w:sz w:val="24"/>
        </w:rPr>
        <w:t xml:space="preserve">satisfaction </w:t>
      </w:r>
      <w:r>
        <w:rPr>
          <w:rFonts w:ascii="Garamond" w:hAnsi="Garamond"/>
          <w:sz w:val="24"/>
        </w:rPr>
        <w:t xml:space="preserve">survey instruments CODI will collect the following information.  </w:t>
      </w:r>
    </w:p>
    <w:p w:rsidR="00635BEE" w:rsidRDefault="00DA1CE0" w:rsidP="00635BEE">
      <w:pPr>
        <w:numPr>
          <w:ilvl w:val="0"/>
          <w:numId w:val="5"/>
        </w:numPr>
        <w:autoSpaceDE w:val="0"/>
        <w:autoSpaceDN w:val="0"/>
        <w:adjustRightInd w:val="0"/>
        <w:spacing w:after="0" w:line="240" w:lineRule="auto"/>
        <w:rPr>
          <w:rFonts w:ascii="Garamond" w:hAnsi="Garamond"/>
          <w:sz w:val="24"/>
        </w:rPr>
      </w:pPr>
      <w:r>
        <w:rPr>
          <w:rFonts w:ascii="Garamond" w:hAnsi="Garamond"/>
          <w:sz w:val="24"/>
        </w:rPr>
        <w:t>All products developed under the CODI will undergo testing to ensure that CODI products meet the needs of its audiences</w:t>
      </w:r>
      <w:r w:rsidR="00635BEE">
        <w:rPr>
          <w:rFonts w:ascii="Garamond" w:hAnsi="Garamond"/>
          <w:sz w:val="24"/>
        </w:rPr>
        <w:t xml:space="preserve"> (</w:t>
      </w:r>
      <w:r w:rsidR="00635BEE" w:rsidRPr="00635BEE">
        <w:rPr>
          <w:rFonts w:ascii="Garamond" w:hAnsi="Garamond"/>
          <w:sz w:val="24"/>
        </w:rPr>
        <w:t xml:space="preserve">see </w:t>
      </w:r>
      <w:r w:rsidR="00635BEE" w:rsidRPr="00635BEE">
        <w:rPr>
          <w:rFonts w:ascii="Garamond" w:hAnsi="Garamond"/>
          <w:bCs/>
          <w:i/>
          <w:sz w:val="24"/>
        </w:rPr>
        <w:t>Formative Product Assessment Survey</w:t>
      </w:r>
      <w:r w:rsidR="00635BEE" w:rsidRPr="00635BEE">
        <w:rPr>
          <w:rFonts w:ascii="Garamond" w:hAnsi="Garamond"/>
          <w:bCs/>
          <w:sz w:val="24"/>
        </w:rPr>
        <w:t xml:space="preserve"> in Appendix A)</w:t>
      </w:r>
      <w:r w:rsidR="00635BEE">
        <w:rPr>
          <w:rFonts w:ascii="Garamond" w:hAnsi="Garamond"/>
          <w:bCs/>
          <w:sz w:val="24"/>
        </w:rPr>
        <w:t>;</w:t>
      </w:r>
      <w:r>
        <w:rPr>
          <w:rFonts w:ascii="Garamond" w:hAnsi="Garamond"/>
          <w:sz w:val="24"/>
        </w:rPr>
        <w:t xml:space="preserve"> </w:t>
      </w:r>
    </w:p>
    <w:p w:rsidR="00997007" w:rsidRDefault="00635BEE" w:rsidP="00997007">
      <w:pPr>
        <w:numPr>
          <w:ilvl w:val="0"/>
          <w:numId w:val="5"/>
        </w:numPr>
        <w:autoSpaceDE w:val="0"/>
        <w:autoSpaceDN w:val="0"/>
        <w:adjustRightInd w:val="0"/>
        <w:spacing w:after="0" w:line="240" w:lineRule="auto"/>
        <w:rPr>
          <w:rFonts w:ascii="Garamond" w:hAnsi="Garamond"/>
          <w:sz w:val="24"/>
        </w:rPr>
      </w:pPr>
      <w:r>
        <w:rPr>
          <w:rFonts w:ascii="Garamond" w:hAnsi="Garamond"/>
          <w:sz w:val="24"/>
        </w:rPr>
        <w:t xml:space="preserve">To </w:t>
      </w:r>
      <w:r w:rsidR="00DA1CE0">
        <w:rPr>
          <w:rFonts w:ascii="Garamond" w:hAnsi="Garamond"/>
          <w:sz w:val="24"/>
        </w:rPr>
        <w:t xml:space="preserve">assess </w:t>
      </w:r>
      <w:r>
        <w:rPr>
          <w:rFonts w:ascii="Garamond" w:hAnsi="Garamond"/>
          <w:sz w:val="24"/>
        </w:rPr>
        <w:t xml:space="preserve">whether target audiences are satisfied with CODI technical assistance, and find these CODI efforts to be </w:t>
      </w:r>
      <w:r w:rsidR="00DA1CE0">
        <w:rPr>
          <w:rFonts w:ascii="Garamond" w:hAnsi="Garamond"/>
          <w:sz w:val="24"/>
        </w:rPr>
        <w:t>appropriate</w:t>
      </w:r>
      <w:r>
        <w:rPr>
          <w:rFonts w:ascii="Garamond" w:hAnsi="Garamond"/>
          <w:sz w:val="24"/>
        </w:rPr>
        <w:t xml:space="preserve">, a </w:t>
      </w:r>
      <w:r w:rsidR="002A2DD0">
        <w:rPr>
          <w:rFonts w:ascii="Garamond" w:hAnsi="Garamond"/>
          <w:sz w:val="24"/>
        </w:rPr>
        <w:t xml:space="preserve">Survey of Satisfaction with CODI Events </w:t>
      </w:r>
      <w:r>
        <w:rPr>
          <w:rFonts w:ascii="Garamond" w:hAnsi="Garamond"/>
          <w:sz w:val="24"/>
        </w:rPr>
        <w:t xml:space="preserve">will be administered (see </w:t>
      </w:r>
      <w:r w:rsidRPr="00635BEE">
        <w:rPr>
          <w:rFonts w:ascii="Garamond" w:hAnsi="Garamond"/>
          <w:bCs/>
          <w:i/>
          <w:sz w:val="24"/>
        </w:rPr>
        <w:t>Survey of Satisfaction with CODI Events</w:t>
      </w:r>
      <w:r w:rsidRPr="00635BEE">
        <w:rPr>
          <w:rFonts w:ascii="Garamond" w:hAnsi="Garamond"/>
          <w:sz w:val="24"/>
        </w:rPr>
        <w:t xml:space="preserve"> </w:t>
      </w:r>
      <w:r>
        <w:rPr>
          <w:rFonts w:ascii="Garamond" w:hAnsi="Garamond"/>
          <w:bCs/>
          <w:sz w:val="24"/>
        </w:rPr>
        <w:t xml:space="preserve">in </w:t>
      </w:r>
      <w:r w:rsidRPr="00635BEE">
        <w:rPr>
          <w:rFonts w:ascii="Garamond" w:hAnsi="Garamond"/>
          <w:bCs/>
          <w:sz w:val="24"/>
        </w:rPr>
        <w:t>Appendix B)</w:t>
      </w:r>
      <w:r>
        <w:rPr>
          <w:rFonts w:ascii="Garamond" w:hAnsi="Garamond"/>
          <w:bCs/>
          <w:sz w:val="24"/>
        </w:rPr>
        <w:t xml:space="preserve">. </w:t>
      </w:r>
    </w:p>
    <w:p w:rsidR="00DA1CE0" w:rsidRPr="00997007" w:rsidRDefault="00635BEE" w:rsidP="00997007">
      <w:pPr>
        <w:numPr>
          <w:ilvl w:val="0"/>
          <w:numId w:val="5"/>
        </w:numPr>
        <w:autoSpaceDE w:val="0"/>
        <w:autoSpaceDN w:val="0"/>
        <w:adjustRightInd w:val="0"/>
        <w:spacing w:after="0" w:line="240" w:lineRule="auto"/>
        <w:rPr>
          <w:rFonts w:ascii="Garamond" w:hAnsi="Garamond"/>
          <w:sz w:val="24"/>
        </w:rPr>
      </w:pPr>
      <w:r w:rsidRPr="00997007">
        <w:rPr>
          <w:rFonts w:ascii="Garamond" w:hAnsi="Garamond"/>
          <w:bCs/>
          <w:sz w:val="24"/>
        </w:rPr>
        <w:t xml:space="preserve">To assess the </w:t>
      </w:r>
      <w:r w:rsidR="002A2DD0" w:rsidRPr="00997007">
        <w:rPr>
          <w:rFonts w:ascii="Garamond" w:hAnsi="Garamond"/>
          <w:bCs/>
          <w:sz w:val="24"/>
        </w:rPr>
        <w:t xml:space="preserve">satisfaction with </w:t>
      </w:r>
      <w:r w:rsidRPr="00997007">
        <w:rPr>
          <w:rFonts w:ascii="Garamond" w:hAnsi="Garamond"/>
          <w:bCs/>
          <w:sz w:val="24"/>
        </w:rPr>
        <w:t xml:space="preserve">CODI </w:t>
      </w:r>
      <w:r w:rsidR="00DA1CE0" w:rsidRPr="00997007">
        <w:rPr>
          <w:rFonts w:ascii="Garamond" w:hAnsi="Garamond"/>
          <w:sz w:val="24"/>
        </w:rPr>
        <w:t xml:space="preserve">technical assistance </w:t>
      </w:r>
      <w:r w:rsidRPr="00997007">
        <w:rPr>
          <w:rFonts w:ascii="Garamond" w:hAnsi="Garamond"/>
          <w:sz w:val="24"/>
        </w:rPr>
        <w:t>over time on members of the CODI Learning Community Networks</w:t>
      </w:r>
      <w:r w:rsidR="002A2DD0" w:rsidRPr="00997007">
        <w:rPr>
          <w:rFonts w:ascii="Garamond" w:hAnsi="Garamond"/>
          <w:sz w:val="24"/>
        </w:rPr>
        <w:t>,</w:t>
      </w:r>
      <w:r w:rsidRPr="00997007">
        <w:rPr>
          <w:rFonts w:ascii="Garamond" w:hAnsi="Garamond"/>
          <w:sz w:val="24"/>
        </w:rPr>
        <w:t xml:space="preserve"> </w:t>
      </w:r>
      <w:r w:rsidR="002A2DD0" w:rsidRPr="00997007">
        <w:rPr>
          <w:rFonts w:ascii="Garamond" w:hAnsi="Garamond"/>
          <w:sz w:val="24"/>
        </w:rPr>
        <w:t>the I</w:t>
      </w:r>
      <w:r w:rsidR="008B1464" w:rsidRPr="00997007">
        <w:rPr>
          <w:rFonts w:ascii="Garamond" w:hAnsi="Garamond"/>
          <w:sz w:val="24"/>
        </w:rPr>
        <w:t xml:space="preserve">mpact </w:t>
      </w:r>
      <w:r w:rsidR="002A2DD0" w:rsidRPr="00997007">
        <w:rPr>
          <w:rFonts w:ascii="Garamond" w:hAnsi="Garamond"/>
          <w:sz w:val="24"/>
        </w:rPr>
        <w:t>S</w:t>
      </w:r>
      <w:r w:rsidR="008B1464" w:rsidRPr="00997007">
        <w:rPr>
          <w:rFonts w:ascii="Garamond" w:hAnsi="Garamond"/>
          <w:sz w:val="24"/>
        </w:rPr>
        <w:t xml:space="preserve">urvey </w:t>
      </w:r>
      <w:r w:rsidR="002A2DD0" w:rsidRPr="00997007">
        <w:rPr>
          <w:rFonts w:ascii="Garamond" w:hAnsi="Garamond"/>
          <w:sz w:val="24"/>
        </w:rPr>
        <w:t>of CODI Learning Communities</w:t>
      </w:r>
      <w:r w:rsidR="00997007" w:rsidRPr="00997007">
        <w:rPr>
          <w:rFonts w:ascii="Garamond" w:hAnsi="Garamond"/>
          <w:sz w:val="24"/>
        </w:rPr>
        <w:t xml:space="preserve"> will be administered</w:t>
      </w:r>
      <w:r w:rsidR="002A2DD0" w:rsidRPr="00997007">
        <w:rPr>
          <w:rFonts w:ascii="Garamond" w:hAnsi="Garamond"/>
          <w:sz w:val="24"/>
        </w:rPr>
        <w:t xml:space="preserve"> </w:t>
      </w:r>
      <w:r w:rsidR="009A2830" w:rsidRPr="00997007">
        <w:rPr>
          <w:rFonts w:ascii="Garamond" w:hAnsi="Garamond"/>
          <w:sz w:val="24"/>
        </w:rPr>
        <w:t xml:space="preserve">(see </w:t>
      </w:r>
      <w:r w:rsidR="009A2830" w:rsidRPr="00997007">
        <w:rPr>
          <w:rFonts w:ascii="Garamond" w:hAnsi="Garamond"/>
          <w:bCs/>
          <w:i/>
          <w:sz w:val="24"/>
        </w:rPr>
        <w:t xml:space="preserve">Impact Survey of CODI Learning Communities </w:t>
      </w:r>
      <w:r w:rsidR="009A2830" w:rsidRPr="00997007">
        <w:rPr>
          <w:rFonts w:ascii="Garamond" w:hAnsi="Garamond"/>
          <w:bCs/>
          <w:sz w:val="24"/>
        </w:rPr>
        <w:t>in Appendix C)</w:t>
      </w:r>
      <w:r w:rsidR="00997007" w:rsidRPr="00997007">
        <w:rPr>
          <w:rFonts w:ascii="Garamond" w:hAnsi="Garamond"/>
          <w:bCs/>
          <w:sz w:val="24"/>
        </w:rPr>
        <w:t xml:space="preserve">.  </w:t>
      </w:r>
      <w:r w:rsidR="009A2830" w:rsidRPr="00997007">
        <w:rPr>
          <w:rFonts w:ascii="Garamond" w:hAnsi="Garamond"/>
          <w:b/>
          <w:bCs/>
          <w:sz w:val="24"/>
        </w:rPr>
        <w:t xml:space="preserve"> </w:t>
      </w:r>
    </w:p>
    <w:p w:rsidR="00997007" w:rsidRPr="00997007" w:rsidRDefault="00997007" w:rsidP="00997007">
      <w:pPr>
        <w:autoSpaceDE w:val="0"/>
        <w:autoSpaceDN w:val="0"/>
        <w:adjustRightInd w:val="0"/>
        <w:spacing w:after="0" w:line="240" w:lineRule="auto"/>
        <w:ind w:left="360"/>
        <w:rPr>
          <w:rFonts w:ascii="Garamond" w:hAnsi="Garamond"/>
          <w:sz w:val="24"/>
        </w:rPr>
      </w:pPr>
    </w:p>
    <w:p w:rsidR="00DA1CE0" w:rsidRDefault="00DA1CE0">
      <w:pPr>
        <w:pStyle w:val="Heading1"/>
        <w:tabs>
          <w:tab w:val="left" w:pos="360"/>
        </w:tabs>
        <w:rPr>
          <w:szCs w:val="22"/>
        </w:rPr>
      </w:pPr>
      <w:r>
        <w:rPr>
          <w:szCs w:val="22"/>
        </w:rPr>
        <w:t xml:space="preserve">C. </w:t>
      </w:r>
      <w:r>
        <w:rPr>
          <w:szCs w:val="22"/>
        </w:rPr>
        <w:tab/>
        <w:t>Statement of Objectives</w:t>
      </w:r>
    </w:p>
    <w:p w:rsidR="00DA1CE0" w:rsidRDefault="00DA1CE0">
      <w:pPr>
        <w:numPr>
          <w:ilvl w:val="0"/>
          <w:numId w:val="4"/>
        </w:numPr>
        <w:autoSpaceDE w:val="0"/>
        <w:autoSpaceDN w:val="0"/>
        <w:adjustRightInd w:val="0"/>
        <w:spacing w:after="0" w:line="240" w:lineRule="auto"/>
        <w:rPr>
          <w:rFonts w:ascii="Garamond" w:hAnsi="Garamond"/>
          <w:sz w:val="24"/>
          <w:szCs w:val="20"/>
        </w:rPr>
      </w:pPr>
      <w:r>
        <w:rPr>
          <w:rFonts w:ascii="Garamond" w:hAnsi="Garamond"/>
          <w:b/>
          <w:bCs/>
          <w:sz w:val="24"/>
          <w:szCs w:val="20"/>
        </w:rPr>
        <w:t>Product Development</w:t>
      </w:r>
      <w:r>
        <w:rPr>
          <w:rFonts w:ascii="Garamond" w:hAnsi="Garamond"/>
          <w:sz w:val="24"/>
          <w:szCs w:val="20"/>
        </w:rPr>
        <w:t xml:space="preserve"> – The objective of the product development data collection activities are intended to assess user perspectives </w:t>
      </w:r>
      <w:r w:rsidR="00997007">
        <w:rPr>
          <w:rFonts w:ascii="Garamond" w:hAnsi="Garamond"/>
          <w:sz w:val="24"/>
          <w:szCs w:val="20"/>
        </w:rPr>
        <w:t>and satisfaction with CODI products in order</w:t>
      </w:r>
      <w:r>
        <w:rPr>
          <w:rFonts w:ascii="Garamond" w:hAnsi="Garamond"/>
          <w:sz w:val="24"/>
          <w:szCs w:val="20"/>
        </w:rPr>
        <w:t xml:space="preserve"> to improve the</w:t>
      </w:r>
      <w:r w:rsidR="00997007">
        <w:rPr>
          <w:rFonts w:ascii="Garamond" w:hAnsi="Garamond"/>
          <w:sz w:val="24"/>
          <w:szCs w:val="20"/>
        </w:rPr>
        <w:t>ir</w:t>
      </w:r>
      <w:r>
        <w:rPr>
          <w:rFonts w:ascii="Garamond" w:hAnsi="Garamond"/>
          <w:sz w:val="24"/>
          <w:szCs w:val="20"/>
        </w:rPr>
        <w:t xml:space="preserve"> usability.  Administration of the </w:t>
      </w:r>
      <w:r>
        <w:rPr>
          <w:rFonts w:ascii="Garamond" w:hAnsi="Garamond"/>
          <w:b/>
          <w:bCs/>
          <w:i/>
          <w:iCs/>
          <w:sz w:val="24"/>
        </w:rPr>
        <w:t>Formative Product Assessment Survey</w:t>
      </w:r>
      <w:r w:rsidR="000817CB">
        <w:rPr>
          <w:rFonts w:ascii="Garamond" w:hAnsi="Garamond"/>
          <w:b/>
          <w:bCs/>
          <w:i/>
          <w:iCs/>
          <w:sz w:val="24"/>
        </w:rPr>
        <w:t xml:space="preserve"> </w:t>
      </w:r>
      <w:r>
        <w:rPr>
          <w:rFonts w:ascii="Garamond" w:hAnsi="Garamond"/>
          <w:sz w:val="24"/>
        </w:rPr>
        <w:t xml:space="preserve">will assist with this assessment.  These questions seek the opinions of users about a product’s content, layout, and readability, perceived usefulness. The survey will be administered either in print form in-person or as emailed request for survey response that will link to a web-administered version of the survey. Actual administration of the survey will be based on the type of product being evaluated.  For example, for print products, Intercept Testing may be used in which target audiences are recruited during conferences and workshops. This method requests randomly selected participants from event audiences to review products-in progress and respond to survey questions.   </w:t>
      </w:r>
    </w:p>
    <w:p w:rsidR="00DA1CE0" w:rsidRDefault="00DA1CE0">
      <w:pPr>
        <w:autoSpaceDE w:val="0"/>
        <w:autoSpaceDN w:val="0"/>
        <w:adjustRightInd w:val="0"/>
        <w:spacing w:after="0" w:line="240" w:lineRule="auto"/>
        <w:ind w:left="360"/>
        <w:rPr>
          <w:rFonts w:ascii="Garamond" w:hAnsi="Garamond"/>
          <w:sz w:val="24"/>
          <w:szCs w:val="20"/>
        </w:rPr>
      </w:pPr>
    </w:p>
    <w:p w:rsidR="00DA1CE0" w:rsidRDefault="00DA1CE0">
      <w:pPr>
        <w:numPr>
          <w:ilvl w:val="0"/>
          <w:numId w:val="4"/>
        </w:numPr>
        <w:autoSpaceDE w:val="0"/>
        <w:autoSpaceDN w:val="0"/>
        <w:adjustRightInd w:val="0"/>
        <w:spacing w:after="0" w:line="240" w:lineRule="auto"/>
        <w:rPr>
          <w:rFonts w:ascii="Garamond" w:hAnsi="Garamond"/>
          <w:sz w:val="24"/>
          <w:szCs w:val="20"/>
        </w:rPr>
      </w:pPr>
      <w:r>
        <w:rPr>
          <w:rFonts w:ascii="Garamond" w:hAnsi="Garamond"/>
          <w:b/>
          <w:bCs/>
          <w:sz w:val="24"/>
          <w:szCs w:val="20"/>
        </w:rPr>
        <w:t xml:space="preserve">CODI Events – </w:t>
      </w:r>
      <w:r>
        <w:rPr>
          <w:rFonts w:ascii="Garamond" w:hAnsi="Garamond"/>
          <w:sz w:val="24"/>
          <w:szCs w:val="20"/>
        </w:rPr>
        <w:t xml:space="preserve">CODI events include </w:t>
      </w:r>
      <w:r>
        <w:rPr>
          <w:rFonts w:ascii="Garamond" w:hAnsi="Garamond"/>
          <w:sz w:val="24"/>
        </w:rPr>
        <w:t xml:space="preserve">CODI-sponsored grantee meetings, remote technical assistance (webinars and online training), and in-person conference presentations or workshops.  The objective of data collection activities around CODI events is to assess participants’ satisfaction with the training content and its delivery during an event. The </w:t>
      </w:r>
      <w:r>
        <w:rPr>
          <w:rFonts w:ascii="Garamond" w:hAnsi="Garamond"/>
          <w:b/>
          <w:bCs/>
          <w:i/>
          <w:iCs/>
          <w:sz w:val="24"/>
        </w:rPr>
        <w:t xml:space="preserve">Survey of Satisfaction with CODI Events </w:t>
      </w:r>
      <w:r>
        <w:rPr>
          <w:rFonts w:ascii="Garamond" w:hAnsi="Garamond"/>
          <w:sz w:val="24"/>
        </w:rPr>
        <w:t>inquire</w:t>
      </w:r>
      <w:r w:rsidR="000817CB">
        <w:rPr>
          <w:rFonts w:ascii="Garamond" w:hAnsi="Garamond"/>
          <w:sz w:val="24"/>
        </w:rPr>
        <w:t>s</w:t>
      </w:r>
      <w:r>
        <w:rPr>
          <w:rFonts w:ascii="Garamond" w:hAnsi="Garamond"/>
          <w:sz w:val="24"/>
        </w:rPr>
        <w:t xml:space="preserve"> about the organization, presentation of information, products received as part of the event, quality of the products, plans to share the products, usefulness of the event, and participants’ interest in having other event topics covered in training events and products developed.</w:t>
      </w:r>
      <w:r w:rsidR="00997007">
        <w:rPr>
          <w:rFonts w:ascii="Garamond" w:hAnsi="Garamond"/>
          <w:sz w:val="24"/>
        </w:rPr>
        <w:t xml:space="preserve">  </w:t>
      </w:r>
      <w:r w:rsidR="000817CB">
        <w:rPr>
          <w:rFonts w:ascii="Garamond" w:hAnsi="Garamond"/>
          <w:sz w:val="24"/>
        </w:rPr>
        <w:t>P</w:t>
      </w:r>
      <w:r w:rsidR="00997007">
        <w:rPr>
          <w:rFonts w:ascii="Garamond" w:hAnsi="Garamond"/>
          <w:sz w:val="24"/>
        </w:rPr>
        <w:t xml:space="preserve">roduct related questions will be included for Events that include introduction to CODI products. </w:t>
      </w:r>
    </w:p>
    <w:p w:rsidR="00DA1CE0" w:rsidRDefault="00DA1CE0">
      <w:pPr>
        <w:autoSpaceDE w:val="0"/>
        <w:autoSpaceDN w:val="0"/>
        <w:adjustRightInd w:val="0"/>
        <w:spacing w:after="0" w:line="240" w:lineRule="auto"/>
        <w:rPr>
          <w:rFonts w:ascii="Garamond" w:hAnsi="Garamond"/>
          <w:sz w:val="24"/>
          <w:szCs w:val="20"/>
        </w:rPr>
      </w:pPr>
    </w:p>
    <w:p w:rsidR="00DA1CE0" w:rsidRDefault="00DA1CE0">
      <w:pPr>
        <w:numPr>
          <w:ilvl w:val="0"/>
          <w:numId w:val="4"/>
        </w:numPr>
        <w:autoSpaceDE w:val="0"/>
        <w:autoSpaceDN w:val="0"/>
        <w:adjustRightInd w:val="0"/>
        <w:spacing w:after="0" w:line="240" w:lineRule="auto"/>
        <w:rPr>
          <w:rFonts w:ascii="Garamond" w:hAnsi="Garamond"/>
          <w:sz w:val="24"/>
        </w:rPr>
      </w:pPr>
      <w:r>
        <w:rPr>
          <w:rFonts w:ascii="Garamond" w:hAnsi="Garamond"/>
          <w:b/>
          <w:bCs/>
          <w:sz w:val="24"/>
        </w:rPr>
        <w:t xml:space="preserve">Impact of CODI’s Learning Communities (CODI-LCs) </w:t>
      </w:r>
      <w:r>
        <w:rPr>
          <w:rFonts w:ascii="Garamond" w:hAnsi="Garamond"/>
          <w:sz w:val="24"/>
        </w:rPr>
        <w:t xml:space="preserve">-The objective of data collection activities around the CODI Learning Communities is to measure </w:t>
      </w:r>
      <w:r w:rsidR="00997007">
        <w:rPr>
          <w:rFonts w:ascii="Garamond" w:hAnsi="Garamond"/>
          <w:sz w:val="24"/>
        </w:rPr>
        <w:t xml:space="preserve">satisfaction and </w:t>
      </w:r>
      <w:r>
        <w:rPr>
          <w:rFonts w:ascii="Garamond" w:hAnsi="Garamond"/>
          <w:sz w:val="24"/>
        </w:rPr>
        <w:t xml:space="preserve">goal attainment by participants across the six CODI priority areas addressed in the learning community events. </w:t>
      </w:r>
      <w:r>
        <w:rPr>
          <w:rFonts w:ascii="Garamond" w:hAnsi="Garamond"/>
          <w:b/>
          <w:bCs/>
          <w:i/>
          <w:iCs/>
          <w:sz w:val="24"/>
        </w:rPr>
        <w:t>Impact Survey of CODI Learning Communities</w:t>
      </w:r>
      <w:r>
        <w:rPr>
          <w:rFonts w:ascii="Garamond" w:hAnsi="Garamond"/>
          <w:sz w:val="24"/>
        </w:rPr>
        <w:t xml:space="preserve"> will be administered to Learning Community members 6</w:t>
      </w:r>
      <w:r w:rsidR="00997007">
        <w:rPr>
          <w:rFonts w:ascii="Garamond" w:hAnsi="Garamond"/>
          <w:sz w:val="24"/>
        </w:rPr>
        <w:t xml:space="preserve"> </w:t>
      </w:r>
      <w:r w:rsidR="00873D34">
        <w:rPr>
          <w:rFonts w:ascii="Garamond" w:hAnsi="Garamond"/>
          <w:sz w:val="24"/>
        </w:rPr>
        <w:t>–</w:t>
      </w:r>
      <w:r w:rsidR="00997007">
        <w:rPr>
          <w:rFonts w:ascii="Garamond" w:hAnsi="Garamond"/>
          <w:sz w:val="24"/>
        </w:rPr>
        <w:t xml:space="preserve"> 9</w:t>
      </w:r>
      <w:r>
        <w:rPr>
          <w:rFonts w:ascii="Garamond" w:hAnsi="Garamond"/>
          <w:sz w:val="24"/>
        </w:rPr>
        <w:t xml:space="preserve"> months following their first CODI event.  During the 6 </w:t>
      </w:r>
      <w:r w:rsidR="00997007">
        <w:rPr>
          <w:rFonts w:ascii="Garamond" w:hAnsi="Garamond"/>
          <w:sz w:val="24"/>
        </w:rPr>
        <w:t xml:space="preserve">– 9 </w:t>
      </w:r>
      <w:r>
        <w:rPr>
          <w:rFonts w:ascii="Garamond" w:hAnsi="Garamond"/>
          <w:sz w:val="24"/>
        </w:rPr>
        <w:t>months between initiation into the Learning Community and the administration of the Impact Survey, it is expected that Learning Community members will have been offered the opportunity to participate in approximately one CODI event each month.</w:t>
      </w:r>
    </w:p>
    <w:p w:rsidR="00DA1CE0" w:rsidRDefault="00DA1CE0">
      <w:pPr>
        <w:autoSpaceDE w:val="0"/>
        <w:autoSpaceDN w:val="0"/>
        <w:adjustRightInd w:val="0"/>
        <w:spacing w:after="0" w:line="240" w:lineRule="auto"/>
        <w:ind w:left="720"/>
        <w:rPr>
          <w:rFonts w:ascii="Garamond" w:hAnsi="Garamond"/>
          <w:sz w:val="24"/>
        </w:rPr>
      </w:pPr>
    </w:p>
    <w:p w:rsidR="00DA1CE0" w:rsidRDefault="00DA1CE0">
      <w:pPr>
        <w:autoSpaceDE w:val="0"/>
        <w:autoSpaceDN w:val="0"/>
        <w:adjustRightInd w:val="0"/>
        <w:spacing w:after="0" w:line="240" w:lineRule="auto"/>
        <w:ind w:left="360"/>
        <w:rPr>
          <w:rFonts w:ascii="Garamond" w:hAnsi="Garamond"/>
          <w:sz w:val="24"/>
          <w:szCs w:val="20"/>
        </w:rPr>
      </w:pPr>
      <w:r>
        <w:rPr>
          <w:rFonts w:ascii="Garamond" w:hAnsi="Garamond"/>
          <w:b/>
          <w:bCs/>
          <w:sz w:val="24"/>
        </w:rPr>
        <w:t>Respondents and Timeline</w:t>
      </w:r>
      <w:r w:rsidR="009A2830">
        <w:rPr>
          <w:rFonts w:ascii="Garamond" w:hAnsi="Garamond"/>
          <w:sz w:val="24"/>
        </w:rPr>
        <w:t xml:space="preserve"> - Table 1</w:t>
      </w:r>
      <w:r>
        <w:rPr>
          <w:rFonts w:ascii="Garamond" w:hAnsi="Garamond"/>
          <w:sz w:val="24"/>
        </w:rPr>
        <w:t>, which follows, identifies the respondents and frequency for administering the survey instruments</w:t>
      </w:r>
      <w:r w:rsidR="00997007">
        <w:rPr>
          <w:rFonts w:ascii="Garamond" w:hAnsi="Garamond"/>
          <w:sz w:val="24"/>
        </w:rPr>
        <w:t xml:space="preserve"> per year</w:t>
      </w:r>
      <w:r>
        <w:t xml:space="preserve">.  </w:t>
      </w:r>
      <w:r>
        <w:rPr>
          <w:rFonts w:ascii="Garamond" w:hAnsi="Garamond"/>
          <w:sz w:val="24"/>
        </w:rPr>
        <w:t>Generally, d</w:t>
      </w:r>
      <w:r>
        <w:rPr>
          <w:rFonts w:ascii="Garamond" w:hAnsi="Garamond"/>
          <w:sz w:val="24"/>
          <w:szCs w:val="20"/>
        </w:rPr>
        <w:t xml:space="preserve">ata collection activities are ongoing throughout the duration of the CODI contract and are linked to specific events or activities.  </w:t>
      </w:r>
    </w:p>
    <w:p w:rsidR="00DA1CE0" w:rsidRDefault="00DA1CE0">
      <w:pPr>
        <w:autoSpaceDE w:val="0"/>
        <w:autoSpaceDN w:val="0"/>
        <w:adjustRightInd w:val="0"/>
        <w:spacing w:after="0" w:line="240" w:lineRule="auto"/>
      </w:pPr>
    </w:p>
    <w:tbl>
      <w:tblPr>
        <w:tblpPr w:leftFromText="180" w:rightFromText="180" w:vertAnchor="text" w:horzAnchor="margin" w:tblpX="108" w:tblpY="-1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1800"/>
        <w:gridCol w:w="1980"/>
        <w:gridCol w:w="4392"/>
      </w:tblGrid>
      <w:tr w:rsidR="00DA1CE0">
        <w:tc>
          <w:tcPr>
            <w:tcW w:w="9540" w:type="dxa"/>
            <w:gridSpan w:val="4"/>
            <w:shd w:val="clear" w:color="auto" w:fill="A0A0A0"/>
          </w:tcPr>
          <w:p w:rsidR="00DA1CE0" w:rsidRDefault="00DA1CE0">
            <w:pPr>
              <w:pStyle w:val="Heading3"/>
              <w:framePr w:hSpace="0" w:wrap="auto" w:vAnchor="margin" w:hAnchor="text" w:xAlign="left" w:yAlign="inline"/>
            </w:pPr>
            <w:r>
              <w:rPr>
                <w:b w:val="0"/>
                <w:bCs w:val="0"/>
              </w:rPr>
              <w:br w:type="page"/>
            </w:r>
            <w:proofErr w:type="gramStart"/>
            <w:r>
              <w:t>Table 1.</w:t>
            </w:r>
            <w:proofErr w:type="gramEnd"/>
            <w:r>
              <w:t xml:space="preserve">  Respondents and Method Survey Administration by Survey Instrument</w:t>
            </w:r>
          </w:p>
        </w:tc>
      </w:tr>
      <w:tr w:rsidR="00DA1CE0" w:rsidTr="000817CB">
        <w:tc>
          <w:tcPr>
            <w:tcW w:w="1368" w:type="dxa"/>
          </w:tcPr>
          <w:p w:rsidR="00DA1CE0" w:rsidRDefault="00DA1CE0">
            <w:pPr>
              <w:autoSpaceDE w:val="0"/>
              <w:autoSpaceDN w:val="0"/>
              <w:adjustRightInd w:val="0"/>
              <w:spacing w:after="0" w:line="240" w:lineRule="auto"/>
              <w:jc w:val="center"/>
              <w:rPr>
                <w:rFonts w:ascii="Garamond" w:hAnsi="Garamond"/>
                <w:b/>
                <w:bCs/>
                <w:sz w:val="24"/>
                <w:szCs w:val="20"/>
              </w:rPr>
            </w:pPr>
            <w:r>
              <w:br w:type="page"/>
            </w:r>
            <w:r>
              <w:rPr>
                <w:rFonts w:ascii="Garamond" w:hAnsi="Garamond"/>
                <w:b/>
                <w:bCs/>
                <w:sz w:val="24"/>
                <w:szCs w:val="20"/>
              </w:rPr>
              <w:t>Data Collection Instrument</w:t>
            </w:r>
          </w:p>
        </w:tc>
        <w:tc>
          <w:tcPr>
            <w:tcW w:w="1800"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Respondent(s)</w:t>
            </w:r>
          </w:p>
        </w:tc>
        <w:tc>
          <w:tcPr>
            <w:tcW w:w="1980"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Method of Survey Administration</w:t>
            </w:r>
          </w:p>
        </w:tc>
        <w:tc>
          <w:tcPr>
            <w:tcW w:w="4392"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Frequency</w:t>
            </w:r>
          </w:p>
        </w:tc>
      </w:tr>
      <w:tr w:rsidR="00DA1CE0" w:rsidTr="000817CB">
        <w:tc>
          <w:tcPr>
            <w:tcW w:w="136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Formative Product Assessment Survey</w:t>
            </w:r>
          </w:p>
        </w:tc>
        <w:tc>
          <w:tcPr>
            <w:tcW w:w="1800"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0"/>
              </w:rPr>
            </w:pPr>
            <w:r>
              <w:rPr>
                <w:rFonts w:ascii="Garamond" w:eastAsia="Calibri" w:hAnsi="Garamond"/>
                <w:sz w:val="22"/>
                <w:szCs w:val="20"/>
              </w:rPr>
              <w:t>CODI target audiences and sub-populations</w:t>
            </w:r>
          </w:p>
        </w:tc>
        <w:tc>
          <w:tcPr>
            <w:tcW w:w="1980" w:type="dxa"/>
          </w:tcPr>
          <w:p w:rsidR="00DA1CE0" w:rsidRDefault="00DA1CE0">
            <w:pPr>
              <w:autoSpaceDE w:val="0"/>
              <w:autoSpaceDN w:val="0"/>
              <w:adjustRightInd w:val="0"/>
              <w:spacing w:after="0" w:line="240" w:lineRule="auto"/>
              <w:rPr>
                <w:rFonts w:ascii="Garamond" w:hAnsi="Garamond"/>
                <w:b/>
                <w:bCs/>
                <w:szCs w:val="20"/>
              </w:rPr>
            </w:pPr>
            <w:r>
              <w:rPr>
                <w:rFonts w:ascii="Garamond" w:hAnsi="Garamond"/>
                <w:szCs w:val="20"/>
              </w:rPr>
              <w:t>Paper and Web-based Survey</w:t>
            </w:r>
          </w:p>
        </w:tc>
        <w:tc>
          <w:tcPr>
            <w:tcW w:w="4392"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Throughout the CODI contract as the product development process requires</w:t>
            </w:r>
          </w:p>
        </w:tc>
      </w:tr>
      <w:tr w:rsidR="00DA1CE0" w:rsidTr="000817CB">
        <w:tc>
          <w:tcPr>
            <w:tcW w:w="136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Survey of Satisfaction with CODI Events</w:t>
            </w:r>
          </w:p>
        </w:tc>
        <w:tc>
          <w:tcPr>
            <w:tcW w:w="1800"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Direct participants of CODI events</w:t>
            </w:r>
          </w:p>
        </w:tc>
        <w:tc>
          <w:tcPr>
            <w:tcW w:w="1980"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Paper and Web-based Survey</w:t>
            </w:r>
          </w:p>
        </w:tc>
        <w:tc>
          <w:tcPr>
            <w:tcW w:w="4392"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 xml:space="preserve">Once per CODI event; </w:t>
            </w:r>
            <w:r>
              <w:rPr>
                <w:rFonts w:ascii="Garamond" w:hAnsi="Garamond"/>
                <w:b/>
                <w:bCs/>
                <w:szCs w:val="20"/>
              </w:rPr>
              <w:t>Remote TA</w:t>
            </w:r>
            <w:r>
              <w:rPr>
                <w:rFonts w:ascii="Garamond" w:hAnsi="Garamond"/>
                <w:szCs w:val="20"/>
              </w:rPr>
              <w:t xml:space="preserve"> (webinars and online trainings), averaging </w:t>
            </w:r>
            <w:r w:rsidR="00873D34">
              <w:rPr>
                <w:rFonts w:ascii="Garamond" w:hAnsi="Garamond"/>
                <w:szCs w:val="20"/>
              </w:rPr>
              <w:t>15</w:t>
            </w:r>
            <w:r w:rsidR="00E36D5D">
              <w:rPr>
                <w:rFonts w:ascii="Garamond" w:hAnsi="Garamond"/>
                <w:szCs w:val="20"/>
              </w:rPr>
              <w:t>0</w:t>
            </w:r>
            <w:r>
              <w:rPr>
                <w:rFonts w:ascii="Garamond" w:hAnsi="Garamond"/>
                <w:szCs w:val="20"/>
              </w:rPr>
              <w:t xml:space="preserve"> per event, </w:t>
            </w:r>
            <w:r w:rsidR="00E36D5D">
              <w:rPr>
                <w:rFonts w:ascii="Garamond" w:hAnsi="Garamond"/>
                <w:szCs w:val="20"/>
              </w:rPr>
              <w:t>12</w:t>
            </w:r>
            <w:r>
              <w:rPr>
                <w:rFonts w:ascii="Garamond" w:hAnsi="Garamond"/>
                <w:szCs w:val="20"/>
              </w:rPr>
              <w:t xml:space="preserve"> times per year.  </w:t>
            </w:r>
            <w:r>
              <w:rPr>
                <w:rFonts w:ascii="Garamond" w:hAnsi="Garamond"/>
                <w:b/>
                <w:bCs/>
                <w:szCs w:val="20"/>
              </w:rPr>
              <w:t>CODI involvement in conference presentations, grantee meetings, and in person workshops</w:t>
            </w:r>
            <w:r>
              <w:rPr>
                <w:rFonts w:ascii="Garamond" w:hAnsi="Garamond"/>
                <w:szCs w:val="20"/>
              </w:rPr>
              <w:t xml:space="preserve">, 50 per event, 7 times per year. </w:t>
            </w:r>
            <w:r>
              <w:rPr>
                <w:rFonts w:ascii="Garamond" w:hAnsi="Garamond"/>
                <w:b/>
                <w:bCs/>
                <w:szCs w:val="20"/>
              </w:rPr>
              <w:t>COSIG Grantee Meetings</w:t>
            </w:r>
            <w:r>
              <w:rPr>
                <w:rFonts w:ascii="Garamond" w:hAnsi="Garamond"/>
                <w:szCs w:val="20"/>
              </w:rPr>
              <w:t>, 60 per event, 1 time per year.</w:t>
            </w:r>
          </w:p>
        </w:tc>
      </w:tr>
      <w:tr w:rsidR="00DA1CE0" w:rsidTr="000817CB">
        <w:tc>
          <w:tcPr>
            <w:tcW w:w="1368" w:type="dxa"/>
          </w:tcPr>
          <w:p w:rsidR="00DA1CE0" w:rsidRDefault="000817CB">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Impact Survey of CODI -L</w:t>
            </w:r>
            <w:r w:rsidR="00DA1CE0">
              <w:rPr>
                <w:rFonts w:ascii="Garamond" w:eastAsia="Calibri" w:hAnsi="Garamond"/>
                <w:sz w:val="22"/>
                <w:szCs w:val="22"/>
              </w:rPr>
              <w:t>Cs</w:t>
            </w:r>
          </w:p>
        </w:tc>
        <w:tc>
          <w:tcPr>
            <w:tcW w:w="1800" w:type="dxa"/>
          </w:tcPr>
          <w:p w:rsidR="00DA1CE0" w:rsidRDefault="00DA1CE0">
            <w:pPr>
              <w:pStyle w:val="Footer"/>
              <w:tabs>
                <w:tab w:val="clear" w:pos="4320"/>
                <w:tab w:val="clear" w:pos="8640"/>
              </w:tabs>
              <w:autoSpaceDE w:val="0"/>
              <w:autoSpaceDN w:val="0"/>
              <w:adjustRightInd w:val="0"/>
              <w:spacing w:after="0" w:line="240" w:lineRule="auto"/>
              <w:rPr>
                <w:rFonts w:ascii="Garamond" w:hAnsi="Garamond"/>
                <w:szCs w:val="20"/>
              </w:rPr>
            </w:pPr>
            <w:r>
              <w:rPr>
                <w:rFonts w:ascii="Garamond" w:hAnsi="Garamond"/>
                <w:szCs w:val="20"/>
              </w:rPr>
              <w:t>Direct participants in Learning Communities</w:t>
            </w:r>
          </w:p>
        </w:tc>
        <w:tc>
          <w:tcPr>
            <w:tcW w:w="1980"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Web-based Survey</w:t>
            </w:r>
          </w:p>
        </w:tc>
        <w:tc>
          <w:tcPr>
            <w:tcW w:w="4392"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Once at 6 months after beginning participation in the in Learning Communities</w:t>
            </w:r>
          </w:p>
        </w:tc>
      </w:tr>
    </w:tbl>
    <w:p w:rsidR="000817CB" w:rsidRDefault="000817CB" w:rsidP="00C96D83">
      <w:pPr>
        <w:autoSpaceDE w:val="0"/>
        <w:autoSpaceDN w:val="0"/>
        <w:adjustRightInd w:val="0"/>
        <w:spacing w:after="0" w:line="240" w:lineRule="auto"/>
        <w:ind w:left="360"/>
        <w:rPr>
          <w:rFonts w:ascii="Garamond" w:hAnsi="Garamond"/>
          <w:b/>
          <w:bCs/>
          <w:sz w:val="24"/>
        </w:rPr>
      </w:pPr>
    </w:p>
    <w:p w:rsidR="00DA1CE0" w:rsidRDefault="00DA1CE0" w:rsidP="00C96D83">
      <w:pPr>
        <w:autoSpaceDE w:val="0"/>
        <w:autoSpaceDN w:val="0"/>
        <w:adjustRightInd w:val="0"/>
        <w:spacing w:after="0" w:line="240" w:lineRule="auto"/>
        <w:ind w:left="360"/>
        <w:rPr>
          <w:rFonts w:ascii="Garamond" w:hAnsi="Garamond"/>
          <w:sz w:val="24"/>
        </w:rPr>
      </w:pPr>
      <w:r>
        <w:rPr>
          <w:rFonts w:ascii="Garamond" w:hAnsi="Garamond"/>
          <w:b/>
          <w:bCs/>
          <w:sz w:val="24"/>
        </w:rPr>
        <w:t xml:space="preserve">Sample Size and Rationale - </w:t>
      </w:r>
      <w:r w:rsidR="001634F6">
        <w:rPr>
          <w:rFonts w:ascii="Garamond" w:hAnsi="Garamond"/>
          <w:sz w:val="24"/>
        </w:rPr>
        <w:t>Table 2</w:t>
      </w:r>
      <w:r>
        <w:rPr>
          <w:rFonts w:ascii="Garamond" w:hAnsi="Garamond"/>
          <w:sz w:val="24"/>
        </w:rPr>
        <w:t xml:space="preserve"> below summarizes the sample size and rationale for sampling estimates for administering the surveys to the intended audiences.</w:t>
      </w:r>
    </w:p>
    <w:p w:rsidR="00DA1CE0" w:rsidRDefault="00DA1CE0">
      <w:pPr>
        <w:autoSpaceDE w:val="0"/>
        <w:autoSpaceDN w:val="0"/>
        <w:adjustRightInd w:val="0"/>
        <w:spacing w:after="0" w:line="240" w:lineRule="auto"/>
        <w:rPr>
          <w:rFonts w:ascii="Garamond" w:hAnsi="Garamond"/>
          <w:sz w:val="24"/>
        </w:rPr>
      </w:pPr>
    </w:p>
    <w:tbl>
      <w:tblPr>
        <w:tblpPr w:leftFromText="180" w:rightFromText="180" w:vertAnchor="text" w:horzAnchor="margin" w:tblpX="108" w:tblpY="17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4680"/>
        <w:gridCol w:w="2880"/>
      </w:tblGrid>
      <w:tr w:rsidR="00DA1CE0">
        <w:tc>
          <w:tcPr>
            <w:tcW w:w="9468" w:type="dxa"/>
            <w:gridSpan w:val="3"/>
            <w:shd w:val="clear" w:color="auto" w:fill="A0A0A0"/>
          </w:tcPr>
          <w:p w:rsidR="00DA1CE0" w:rsidRDefault="00DA1CE0">
            <w:pPr>
              <w:pStyle w:val="Heading2"/>
              <w:rPr>
                <w:szCs w:val="10"/>
              </w:rPr>
            </w:pPr>
          </w:p>
          <w:p w:rsidR="00DA1CE0" w:rsidRDefault="00DA1CE0">
            <w:pPr>
              <w:pStyle w:val="Heading2"/>
            </w:pPr>
            <w:proofErr w:type="gramStart"/>
            <w:r>
              <w:t>Table 2.</w:t>
            </w:r>
            <w:proofErr w:type="gramEnd"/>
            <w:r>
              <w:t xml:space="preserve">  Sample Size and Rationale for Sampling Estimates by Type of Survey </w:t>
            </w:r>
          </w:p>
        </w:tc>
      </w:tr>
      <w:tr w:rsidR="00DA1CE0">
        <w:tc>
          <w:tcPr>
            <w:tcW w:w="1908"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Data Collection Instrument</w:t>
            </w:r>
          </w:p>
        </w:tc>
        <w:tc>
          <w:tcPr>
            <w:tcW w:w="4680"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Sample Size</w:t>
            </w:r>
          </w:p>
        </w:tc>
        <w:tc>
          <w:tcPr>
            <w:tcW w:w="2880" w:type="dxa"/>
          </w:tcPr>
          <w:p w:rsidR="00DA1CE0" w:rsidRDefault="00DA1CE0">
            <w:pPr>
              <w:autoSpaceDE w:val="0"/>
              <w:autoSpaceDN w:val="0"/>
              <w:adjustRightInd w:val="0"/>
              <w:spacing w:after="0" w:line="240" w:lineRule="auto"/>
              <w:jc w:val="center"/>
              <w:rPr>
                <w:rFonts w:ascii="Garamond" w:hAnsi="Garamond"/>
                <w:b/>
                <w:bCs/>
                <w:sz w:val="24"/>
                <w:szCs w:val="20"/>
              </w:rPr>
            </w:pPr>
            <w:r>
              <w:rPr>
                <w:rFonts w:ascii="Garamond" w:hAnsi="Garamond"/>
                <w:b/>
                <w:bCs/>
                <w:sz w:val="24"/>
                <w:szCs w:val="20"/>
              </w:rPr>
              <w:t>Rationale for Sampling Estimates</w:t>
            </w:r>
          </w:p>
        </w:tc>
      </w:tr>
      <w:tr w:rsidR="00DA1CE0">
        <w:tc>
          <w:tcPr>
            <w:tcW w:w="190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Formative Product Assessment Survey</w:t>
            </w:r>
          </w:p>
        </w:tc>
        <w:tc>
          <w:tcPr>
            <w:tcW w:w="4680"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0"/>
              </w:rPr>
            </w:pPr>
            <w:r>
              <w:rPr>
                <w:rFonts w:ascii="Garamond" w:eastAsia="Calibri" w:hAnsi="Garamond"/>
                <w:sz w:val="22"/>
                <w:szCs w:val="20"/>
              </w:rPr>
              <w:t xml:space="preserve">Conference attendee intercepts and emails:  </w:t>
            </w:r>
            <w:r w:rsidR="00011885">
              <w:rPr>
                <w:rFonts w:ascii="Garamond" w:eastAsia="Calibri" w:hAnsi="Garamond"/>
                <w:sz w:val="22"/>
                <w:szCs w:val="20"/>
              </w:rPr>
              <w:t>600</w:t>
            </w:r>
            <w:r>
              <w:rPr>
                <w:rFonts w:ascii="Garamond" w:eastAsia="Calibri" w:hAnsi="Garamond"/>
                <w:sz w:val="22"/>
                <w:szCs w:val="20"/>
              </w:rPr>
              <w:t xml:space="preserve"> surveys total per year.  N will vary by product type</w:t>
            </w:r>
            <w:r w:rsidR="000817CB">
              <w:rPr>
                <w:rFonts w:ascii="Garamond" w:eastAsia="Calibri" w:hAnsi="Garamond"/>
                <w:sz w:val="22"/>
                <w:szCs w:val="20"/>
              </w:rPr>
              <w:t>.</w:t>
            </w:r>
          </w:p>
        </w:tc>
        <w:tc>
          <w:tcPr>
            <w:tcW w:w="2880" w:type="dxa"/>
          </w:tcPr>
          <w:p w:rsidR="00DA1CE0" w:rsidRDefault="00011885">
            <w:pPr>
              <w:autoSpaceDE w:val="0"/>
              <w:autoSpaceDN w:val="0"/>
              <w:adjustRightInd w:val="0"/>
              <w:spacing w:after="0" w:line="240" w:lineRule="auto"/>
              <w:rPr>
                <w:rFonts w:ascii="Garamond" w:hAnsi="Garamond"/>
                <w:szCs w:val="20"/>
              </w:rPr>
            </w:pPr>
            <w:r>
              <w:rPr>
                <w:rFonts w:ascii="Garamond" w:hAnsi="Garamond"/>
                <w:szCs w:val="20"/>
              </w:rPr>
              <w:t>6</w:t>
            </w:r>
            <w:r w:rsidR="00C46371">
              <w:rPr>
                <w:rFonts w:ascii="Garamond" w:hAnsi="Garamond"/>
                <w:szCs w:val="20"/>
              </w:rPr>
              <w:t xml:space="preserve">00 surveys </w:t>
            </w:r>
            <w:proofErr w:type="gramStart"/>
            <w:r w:rsidR="00C46371">
              <w:rPr>
                <w:rFonts w:ascii="Garamond" w:hAnsi="Garamond"/>
                <w:szCs w:val="20"/>
              </w:rPr>
              <w:t>represents</w:t>
            </w:r>
            <w:proofErr w:type="gramEnd"/>
            <w:r w:rsidR="00C46371">
              <w:rPr>
                <w:rFonts w:ascii="Garamond" w:hAnsi="Garamond"/>
                <w:szCs w:val="20"/>
              </w:rPr>
              <w:t xml:space="preserve"> an upper limit of audience contacts distributed among product assessments.  Audience data collection for formative research is not intended to be statistically projectable but is meant to identify potential problems with product quality.</w:t>
            </w:r>
          </w:p>
        </w:tc>
      </w:tr>
      <w:tr w:rsidR="00DA1CE0">
        <w:tc>
          <w:tcPr>
            <w:tcW w:w="190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Survey of Satisfaction with CODI Events</w:t>
            </w:r>
          </w:p>
        </w:tc>
        <w:tc>
          <w:tcPr>
            <w:tcW w:w="4680" w:type="dxa"/>
          </w:tcPr>
          <w:p w:rsidR="00DA1CE0" w:rsidRDefault="00DA1CE0">
            <w:pPr>
              <w:autoSpaceDE w:val="0"/>
              <w:autoSpaceDN w:val="0"/>
              <w:adjustRightInd w:val="0"/>
              <w:spacing w:after="0" w:line="240" w:lineRule="auto"/>
              <w:rPr>
                <w:rFonts w:ascii="Garamond" w:hAnsi="Garamond"/>
                <w:szCs w:val="20"/>
              </w:rPr>
            </w:pPr>
            <w:r>
              <w:rPr>
                <w:rFonts w:ascii="Garamond" w:hAnsi="Garamond"/>
                <w:szCs w:val="20"/>
              </w:rPr>
              <w:t xml:space="preserve">All participants; </w:t>
            </w:r>
          </w:p>
          <w:p w:rsidR="00DA1CE0" w:rsidRDefault="00DA1CE0">
            <w:pPr>
              <w:autoSpaceDE w:val="0"/>
              <w:autoSpaceDN w:val="0"/>
              <w:adjustRightInd w:val="0"/>
              <w:spacing w:after="0" w:line="240" w:lineRule="auto"/>
              <w:rPr>
                <w:rFonts w:ascii="Garamond" w:hAnsi="Garamond"/>
                <w:szCs w:val="20"/>
              </w:rPr>
            </w:pPr>
            <w:r>
              <w:rPr>
                <w:rFonts w:ascii="Garamond" w:hAnsi="Garamond"/>
                <w:b/>
                <w:bCs/>
                <w:szCs w:val="20"/>
              </w:rPr>
              <w:t>Remote TA</w:t>
            </w:r>
            <w:r>
              <w:rPr>
                <w:rFonts w:ascii="Garamond" w:hAnsi="Garamond"/>
                <w:szCs w:val="20"/>
              </w:rPr>
              <w:t xml:space="preserve"> (webinars and online trainings) averaging </w:t>
            </w:r>
            <w:r w:rsidR="00011885">
              <w:rPr>
                <w:rFonts w:ascii="Garamond" w:hAnsi="Garamond"/>
                <w:szCs w:val="20"/>
              </w:rPr>
              <w:t>150</w:t>
            </w:r>
            <w:r>
              <w:rPr>
                <w:rFonts w:ascii="Garamond" w:hAnsi="Garamond"/>
                <w:szCs w:val="20"/>
              </w:rPr>
              <w:t xml:space="preserve"> per event, </w:t>
            </w:r>
            <w:r w:rsidR="00011885">
              <w:rPr>
                <w:rFonts w:ascii="Garamond" w:hAnsi="Garamond"/>
                <w:szCs w:val="20"/>
              </w:rPr>
              <w:t>12</w:t>
            </w:r>
            <w:r>
              <w:rPr>
                <w:rFonts w:ascii="Garamond" w:hAnsi="Garamond"/>
                <w:szCs w:val="20"/>
              </w:rPr>
              <w:t xml:space="preserve"> times/year.</w:t>
            </w:r>
          </w:p>
          <w:p w:rsidR="00DA1CE0" w:rsidRDefault="00DA1CE0">
            <w:pPr>
              <w:autoSpaceDE w:val="0"/>
              <w:autoSpaceDN w:val="0"/>
              <w:adjustRightInd w:val="0"/>
              <w:spacing w:after="0" w:line="240" w:lineRule="auto"/>
              <w:rPr>
                <w:rFonts w:ascii="Garamond" w:hAnsi="Garamond"/>
                <w:szCs w:val="20"/>
              </w:rPr>
            </w:pPr>
            <w:r>
              <w:rPr>
                <w:rFonts w:ascii="Garamond" w:hAnsi="Garamond"/>
                <w:b/>
                <w:bCs/>
                <w:szCs w:val="20"/>
              </w:rPr>
              <w:t>CODI involvement in conference presentations, grantee meetings, and in person workshops,</w:t>
            </w:r>
            <w:r>
              <w:rPr>
                <w:rFonts w:ascii="Garamond" w:hAnsi="Garamond"/>
                <w:szCs w:val="20"/>
              </w:rPr>
              <w:t xml:space="preserve"> 50 /event, 7 times/ year.</w:t>
            </w:r>
          </w:p>
          <w:p w:rsidR="00DA1CE0" w:rsidRDefault="00DA1CE0">
            <w:pPr>
              <w:autoSpaceDE w:val="0"/>
              <w:autoSpaceDN w:val="0"/>
              <w:adjustRightInd w:val="0"/>
              <w:spacing w:after="0" w:line="240" w:lineRule="auto"/>
              <w:rPr>
                <w:rFonts w:ascii="Garamond" w:hAnsi="Garamond"/>
                <w:szCs w:val="20"/>
              </w:rPr>
            </w:pPr>
            <w:r>
              <w:rPr>
                <w:rFonts w:ascii="Garamond" w:hAnsi="Garamond"/>
                <w:b/>
                <w:bCs/>
                <w:szCs w:val="20"/>
              </w:rPr>
              <w:t>COSIG Grantee Meetings</w:t>
            </w:r>
            <w:r>
              <w:rPr>
                <w:rFonts w:ascii="Garamond" w:hAnsi="Garamond"/>
                <w:szCs w:val="20"/>
              </w:rPr>
              <w:t>, 60 /event, 1 time/year</w:t>
            </w:r>
            <w:r w:rsidR="000817CB">
              <w:rPr>
                <w:rFonts w:ascii="Garamond" w:hAnsi="Garamond"/>
                <w:szCs w:val="20"/>
              </w:rPr>
              <w:t>.</w:t>
            </w:r>
          </w:p>
        </w:tc>
        <w:tc>
          <w:tcPr>
            <w:tcW w:w="2880" w:type="dxa"/>
          </w:tcPr>
          <w:p w:rsidR="00DA1CE0" w:rsidRDefault="00C46371">
            <w:pPr>
              <w:autoSpaceDE w:val="0"/>
              <w:autoSpaceDN w:val="0"/>
              <w:adjustRightInd w:val="0"/>
              <w:spacing w:after="0" w:line="240" w:lineRule="auto"/>
              <w:rPr>
                <w:rFonts w:ascii="Garamond" w:hAnsi="Garamond"/>
                <w:szCs w:val="20"/>
              </w:rPr>
            </w:pPr>
            <w:r>
              <w:rPr>
                <w:rFonts w:ascii="Garamond" w:hAnsi="Garamond"/>
                <w:szCs w:val="20"/>
              </w:rPr>
              <w:t>No sampling; all participants are to be surveyed.</w:t>
            </w:r>
          </w:p>
        </w:tc>
      </w:tr>
      <w:tr w:rsidR="00DA1CE0">
        <w:tc>
          <w:tcPr>
            <w:tcW w:w="190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Impact Survey of CODI Learning Communities</w:t>
            </w:r>
          </w:p>
        </w:tc>
        <w:tc>
          <w:tcPr>
            <w:tcW w:w="4680" w:type="dxa"/>
          </w:tcPr>
          <w:p w:rsidR="00DA1CE0" w:rsidRDefault="00DA1CE0">
            <w:pPr>
              <w:pStyle w:val="Footer"/>
              <w:tabs>
                <w:tab w:val="clear" w:pos="4320"/>
                <w:tab w:val="clear" w:pos="8640"/>
              </w:tabs>
              <w:autoSpaceDE w:val="0"/>
              <w:autoSpaceDN w:val="0"/>
              <w:adjustRightInd w:val="0"/>
              <w:spacing w:after="0" w:line="240" w:lineRule="auto"/>
              <w:rPr>
                <w:rFonts w:ascii="Garamond" w:hAnsi="Garamond"/>
                <w:szCs w:val="20"/>
              </w:rPr>
            </w:pPr>
            <w:r>
              <w:rPr>
                <w:rFonts w:ascii="Garamond" w:hAnsi="Garamond"/>
                <w:szCs w:val="20"/>
              </w:rPr>
              <w:t>7 Learning Communities per year with 25 members each; survey of 1 person per community; up to 175 surveys annually.</w:t>
            </w:r>
          </w:p>
        </w:tc>
        <w:tc>
          <w:tcPr>
            <w:tcW w:w="2880" w:type="dxa"/>
          </w:tcPr>
          <w:p w:rsidR="00DA1CE0" w:rsidRDefault="00C46371">
            <w:pPr>
              <w:autoSpaceDE w:val="0"/>
              <w:autoSpaceDN w:val="0"/>
              <w:adjustRightInd w:val="0"/>
              <w:spacing w:after="0" w:line="240" w:lineRule="auto"/>
              <w:rPr>
                <w:rFonts w:ascii="Garamond" w:hAnsi="Garamond"/>
                <w:szCs w:val="20"/>
              </w:rPr>
            </w:pPr>
            <w:r>
              <w:rPr>
                <w:rFonts w:ascii="Garamond" w:hAnsi="Garamond"/>
                <w:szCs w:val="20"/>
              </w:rPr>
              <w:t>No sampling; each participating community is to be surveyed.</w:t>
            </w:r>
          </w:p>
        </w:tc>
      </w:tr>
    </w:tbl>
    <w:p w:rsidR="00DA1CE0" w:rsidRDefault="00DA1CE0">
      <w:pPr>
        <w:pStyle w:val="Heading1"/>
        <w:ind w:firstLine="360"/>
      </w:pPr>
    </w:p>
    <w:p w:rsidR="00DA1CE0" w:rsidRPr="00C46371" w:rsidRDefault="00DA1CE0">
      <w:pPr>
        <w:pStyle w:val="Heading1"/>
        <w:ind w:firstLine="360"/>
      </w:pPr>
      <w:r w:rsidRPr="00C46371">
        <w:t>Response Rate</w:t>
      </w:r>
    </w:p>
    <w:p w:rsidR="00DA1CE0" w:rsidRPr="00C46371" w:rsidRDefault="00DA1CE0">
      <w:pPr>
        <w:pStyle w:val="BodyTextIndent"/>
        <w:ind w:left="360"/>
        <w:rPr>
          <w:color w:val="auto"/>
        </w:rPr>
      </w:pPr>
      <w:r w:rsidRPr="00C46371">
        <w:rPr>
          <w:color w:val="auto"/>
        </w:rPr>
        <w:t xml:space="preserve">Based on past experience of collecting similar data using paper-based and web-based surveys, SAMHSA anticipates receiving responses from approximately </w:t>
      </w:r>
      <w:r w:rsidR="00C46371" w:rsidRPr="00C46371">
        <w:rPr>
          <w:color w:val="auto"/>
        </w:rPr>
        <w:t>85</w:t>
      </w:r>
      <w:r w:rsidRPr="00C46371">
        <w:rPr>
          <w:color w:val="auto"/>
        </w:rPr>
        <w:t xml:space="preserve">% of the participants. </w:t>
      </w:r>
    </w:p>
    <w:p w:rsidR="00C46371" w:rsidRPr="00C46371" w:rsidRDefault="00C46371">
      <w:pPr>
        <w:pStyle w:val="BodyTextIndent"/>
        <w:ind w:left="360"/>
        <w:rPr>
          <w:color w:val="auto"/>
        </w:rPr>
      </w:pPr>
    </w:p>
    <w:p w:rsidR="00DA1CE0" w:rsidRDefault="0057050D">
      <w:pPr>
        <w:pStyle w:val="Heading1"/>
        <w:ind w:firstLine="360"/>
      </w:pPr>
      <w:r>
        <w:t>Privacy Protection</w:t>
      </w:r>
    </w:p>
    <w:p w:rsidR="00DA1CE0" w:rsidRDefault="00DA1CE0">
      <w:pPr>
        <w:pStyle w:val="BodyText"/>
        <w:ind w:left="360"/>
      </w:pPr>
      <w:r>
        <w:t xml:space="preserve">The </w:t>
      </w:r>
      <w:r w:rsidR="001634F6">
        <w:t>privacy</w:t>
      </w:r>
      <w:r>
        <w:t xml:space="preserve"> of respondents will be protected </w:t>
      </w:r>
      <w:r w:rsidR="0057050D">
        <w:t xml:space="preserve">to the extent of the law </w:t>
      </w:r>
      <w:r>
        <w:t xml:space="preserve">in the reporting of the survey data. When respondents complete the online survey, their responses will be transmitted directly to </w:t>
      </w:r>
      <w:r w:rsidR="00C46371">
        <w:t xml:space="preserve">Cloudburst.  Upon processing by Cloudburst, the responses will be included in </w:t>
      </w:r>
      <w:r>
        <w:t xml:space="preserve">a data file stored in </w:t>
      </w:r>
      <w:r w:rsidRPr="00C46371">
        <w:t>a secured portal on the CODI website.</w:t>
      </w:r>
      <w:r>
        <w:t xml:space="preserve"> This portal is only accessible by CODI staff, and access to the area where the data file is stored is password protected. In addition to these precautions, respondents will be assured that results of this survey will only be presented in aggregate form so that individual responses cannot be identified. Similarly, respondents completing paper-based surveys will do so anonymously and reporting of data from all paper-based surveys will be aggregated prior to reporting.  </w:t>
      </w:r>
      <w:r>
        <w:lastRenderedPageBreak/>
        <w:t xml:space="preserve">Paper surveys will be </w:t>
      </w:r>
      <w:r w:rsidR="00C46371">
        <w:t xml:space="preserve">collected by Cloudburst, scanned into an archive, and data from the paper copies will be entered into a database application </w:t>
      </w:r>
      <w:r w:rsidR="001634F6">
        <w:t xml:space="preserve">by Cloudburst </w:t>
      </w:r>
      <w:r w:rsidR="00C46371">
        <w:t>for reporting of basic descriptive statistics.  Paper copies will be retained in a secure file in Cloudburst’s Landover, MD offices.</w:t>
      </w:r>
    </w:p>
    <w:p w:rsidR="00DA1CE0" w:rsidRDefault="00DA1CE0">
      <w:pPr>
        <w:autoSpaceDE w:val="0"/>
        <w:autoSpaceDN w:val="0"/>
        <w:adjustRightInd w:val="0"/>
        <w:spacing w:after="0" w:line="240" w:lineRule="auto"/>
        <w:rPr>
          <w:rFonts w:ascii="Garamond" w:hAnsi="Garamond"/>
          <w:sz w:val="24"/>
          <w:szCs w:val="20"/>
        </w:rPr>
      </w:pPr>
    </w:p>
    <w:p w:rsidR="00DA1CE0" w:rsidRDefault="00C96D83" w:rsidP="00C96D83">
      <w:pPr>
        <w:pStyle w:val="Heading1"/>
        <w:tabs>
          <w:tab w:val="left" w:pos="360"/>
        </w:tabs>
        <w:rPr>
          <w:szCs w:val="22"/>
        </w:rPr>
      </w:pPr>
      <w:r>
        <w:rPr>
          <w:szCs w:val="22"/>
        </w:rPr>
        <w:t>D.</w:t>
      </w:r>
      <w:r>
        <w:rPr>
          <w:szCs w:val="22"/>
        </w:rPr>
        <w:tab/>
      </w:r>
      <w:r w:rsidR="00DA1CE0">
        <w:rPr>
          <w:szCs w:val="22"/>
        </w:rPr>
        <w:t>Annual Response Burden Estimate</w:t>
      </w:r>
    </w:p>
    <w:p w:rsidR="00DA1CE0" w:rsidRDefault="00DA1CE0">
      <w:pPr>
        <w:autoSpaceDE w:val="0"/>
        <w:autoSpaceDN w:val="0"/>
        <w:adjustRightInd w:val="0"/>
        <w:spacing w:after="0" w:line="240" w:lineRule="auto"/>
        <w:ind w:left="360"/>
        <w:rPr>
          <w:rFonts w:ascii="Garamond" w:hAnsi="Garamond"/>
          <w:sz w:val="24"/>
        </w:rPr>
      </w:pPr>
      <w:r>
        <w:rPr>
          <w:rFonts w:ascii="Garamond" w:hAnsi="Garamond"/>
          <w:sz w:val="24"/>
        </w:rPr>
        <w:t>This data collection effort will not involve start-up or operational/maintenance costs to respondents. The maximum number of responses has been estimated for each potential contact with the respondents. (1) The average burden per response was estimated from a pilot test of the survey. On a</w:t>
      </w:r>
      <w:r w:rsidR="00C9576E">
        <w:rPr>
          <w:rFonts w:ascii="Garamond" w:hAnsi="Garamond"/>
          <w:sz w:val="24"/>
        </w:rPr>
        <w:t>verage, it took approximately 5 minutes (.08</w:t>
      </w:r>
      <w:r>
        <w:rPr>
          <w:rFonts w:ascii="Garamond" w:hAnsi="Garamond"/>
          <w:sz w:val="24"/>
        </w:rPr>
        <w:t xml:space="preserve"> hour) to complete the </w:t>
      </w:r>
      <w:r w:rsidR="001634F6">
        <w:rPr>
          <w:rFonts w:ascii="Garamond" w:hAnsi="Garamond"/>
          <w:sz w:val="24"/>
        </w:rPr>
        <w:t xml:space="preserve">product </w:t>
      </w:r>
      <w:r>
        <w:rPr>
          <w:rFonts w:ascii="Garamond" w:hAnsi="Garamond"/>
          <w:sz w:val="24"/>
        </w:rPr>
        <w:t>survey</w:t>
      </w:r>
      <w:r w:rsidR="001634F6">
        <w:rPr>
          <w:rFonts w:ascii="Garamond" w:hAnsi="Garamond"/>
          <w:sz w:val="24"/>
        </w:rPr>
        <w:t>, 4 minutes (.07 hour</w:t>
      </w:r>
      <w:proofErr w:type="gramStart"/>
      <w:r w:rsidR="001634F6">
        <w:rPr>
          <w:rFonts w:ascii="Garamond" w:hAnsi="Garamond"/>
          <w:sz w:val="24"/>
        </w:rPr>
        <w:t>)  to</w:t>
      </w:r>
      <w:proofErr w:type="gramEnd"/>
      <w:r w:rsidR="001634F6">
        <w:rPr>
          <w:rFonts w:ascii="Garamond" w:hAnsi="Garamond"/>
          <w:sz w:val="24"/>
        </w:rPr>
        <w:t xml:space="preserve"> complete an event survey, </w:t>
      </w:r>
      <w:r w:rsidR="00997007">
        <w:rPr>
          <w:rFonts w:ascii="Garamond" w:hAnsi="Garamond"/>
          <w:sz w:val="24"/>
        </w:rPr>
        <w:t xml:space="preserve">and </w:t>
      </w:r>
      <w:r w:rsidR="001634F6">
        <w:rPr>
          <w:rFonts w:ascii="Garamond" w:hAnsi="Garamond"/>
          <w:sz w:val="24"/>
        </w:rPr>
        <w:t>15 minutes for an impact survey</w:t>
      </w:r>
      <w:r w:rsidR="00997007">
        <w:rPr>
          <w:rFonts w:ascii="Garamond" w:hAnsi="Garamond"/>
          <w:sz w:val="24"/>
        </w:rPr>
        <w:t>.</w:t>
      </w:r>
      <w:r>
        <w:rPr>
          <w:rFonts w:ascii="Garamond" w:hAnsi="Garamond"/>
          <w:sz w:val="24"/>
        </w:rPr>
        <w:t xml:space="preserve">  (2) The hourly wage estimate for survey participants was drawn from a figure provided in a sample Independent Government Cost Estimate by the SAMHSA Division of Contracts Management on the SAMHSA intranet.</w:t>
      </w:r>
    </w:p>
    <w:p w:rsidR="00DA1CE0" w:rsidRDefault="00DA1CE0">
      <w:pPr>
        <w:autoSpaceDE w:val="0"/>
        <w:autoSpaceDN w:val="0"/>
        <w:adjustRightInd w:val="0"/>
        <w:spacing w:after="0" w:line="240" w:lineRule="auto"/>
        <w:ind w:left="360"/>
        <w:rPr>
          <w:rFonts w:ascii="Garamond" w:hAnsi="Garamond"/>
          <w:sz w:val="24"/>
        </w:rPr>
      </w:pPr>
    </w:p>
    <w:tbl>
      <w:tblPr>
        <w:tblW w:w="97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160"/>
        <w:gridCol w:w="1496"/>
        <w:gridCol w:w="1980"/>
        <w:gridCol w:w="1800"/>
      </w:tblGrid>
      <w:tr w:rsidR="00DA1CE0">
        <w:tc>
          <w:tcPr>
            <w:tcW w:w="9704" w:type="dxa"/>
            <w:gridSpan w:val="5"/>
            <w:shd w:val="clear" w:color="auto" w:fill="A0A0A0"/>
          </w:tcPr>
          <w:p w:rsidR="00DA1CE0" w:rsidRDefault="00DA1CE0">
            <w:pPr>
              <w:pStyle w:val="Heading2"/>
              <w:autoSpaceDE/>
              <w:autoSpaceDN/>
              <w:adjustRightInd/>
              <w:spacing w:after="200" w:line="360" w:lineRule="auto"/>
              <w:rPr>
                <w:bCs w:val="0"/>
              </w:rPr>
            </w:pPr>
            <w:r>
              <w:rPr>
                <w:bCs w:val="0"/>
              </w:rPr>
              <w:t>Table 3: Estimated annualized burden hours for respondents</w:t>
            </w:r>
          </w:p>
        </w:tc>
      </w:tr>
      <w:tr w:rsidR="00DA1CE0" w:rsidTr="00011885">
        <w:trPr>
          <w:trHeight w:val="1178"/>
        </w:trPr>
        <w:tc>
          <w:tcPr>
            <w:tcW w:w="2268" w:type="dxa"/>
            <w:vAlign w:val="center"/>
          </w:tcPr>
          <w:p w:rsidR="00DA1CE0" w:rsidRDefault="0057050D">
            <w:pPr>
              <w:spacing w:after="0" w:line="240" w:lineRule="auto"/>
              <w:jc w:val="center"/>
              <w:rPr>
                <w:rFonts w:ascii="Garamond" w:hAnsi="Garamond"/>
              </w:rPr>
            </w:pPr>
            <w:r>
              <w:rPr>
                <w:rFonts w:ascii="Garamond" w:hAnsi="Garamond"/>
              </w:rPr>
              <w:t>Instrument</w:t>
            </w:r>
          </w:p>
        </w:tc>
        <w:tc>
          <w:tcPr>
            <w:tcW w:w="2160" w:type="dxa"/>
            <w:vAlign w:val="center"/>
          </w:tcPr>
          <w:p w:rsidR="00DA1CE0" w:rsidRDefault="00DA1CE0">
            <w:pPr>
              <w:spacing w:after="0" w:line="240" w:lineRule="auto"/>
              <w:jc w:val="center"/>
              <w:rPr>
                <w:rFonts w:ascii="Garamond" w:hAnsi="Garamond"/>
              </w:rPr>
            </w:pPr>
            <w:r>
              <w:rPr>
                <w:rFonts w:ascii="Garamond" w:hAnsi="Garamond"/>
              </w:rPr>
              <w:t>Number of Respondents</w:t>
            </w:r>
          </w:p>
        </w:tc>
        <w:tc>
          <w:tcPr>
            <w:tcW w:w="1496" w:type="dxa"/>
            <w:vAlign w:val="center"/>
          </w:tcPr>
          <w:p w:rsidR="00DA1CE0" w:rsidRDefault="00DA1CE0">
            <w:pPr>
              <w:spacing w:after="0" w:line="240" w:lineRule="auto"/>
              <w:jc w:val="center"/>
              <w:rPr>
                <w:rFonts w:ascii="Garamond" w:hAnsi="Garamond"/>
              </w:rPr>
            </w:pPr>
            <w:r>
              <w:rPr>
                <w:rFonts w:ascii="Garamond" w:hAnsi="Garamond"/>
              </w:rPr>
              <w:t>Average Number of Responses per Respondent</w:t>
            </w:r>
          </w:p>
        </w:tc>
        <w:tc>
          <w:tcPr>
            <w:tcW w:w="1980" w:type="dxa"/>
            <w:vAlign w:val="center"/>
          </w:tcPr>
          <w:p w:rsidR="00DA1CE0" w:rsidRDefault="00DA1CE0">
            <w:pPr>
              <w:spacing w:after="0" w:line="240" w:lineRule="auto"/>
              <w:jc w:val="center"/>
              <w:rPr>
                <w:rFonts w:ascii="Garamond" w:hAnsi="Garamond"/>
              </w:rPr>
            </w:pPr>
            <w:r>
              <w:rPr>
                <w:rFonts w:ascii="Garamond" w:hAnsi="Garamond"/>
              </w:rPr>
              <w:t xml:space="preserve">Average Burden per Response (hrs) </w:t>
            </w:r>
          </w:p>
        </w:tc>
        <w:tc>
          <w:tcPr>
            <w:tcW w:w="1800" w:type="dxa"/>
            <w:vAlign w:val="center"/>
          </w:tcPr>
          <w:p w:rsidR="00DA1CE0" w:rsidRDefault="00DA1CE0">
            <w:pPr>
              <w:spacing w:after="0" w:line="240" w:lineRule="auto"/>
              <w:jc w:val="center"/>
              <w:rPr>
                <w:rFonts w:ascii="Garamond" w:hAnsi="Garamond"/>
              </w:rPr>
            </w:pPr>
            <w:r>
              <w:rPr>
                <w:rFonts w:ascii="Garamond" w:hAnsi="Garamond"/>
              </w:rPr>
              <w:t>Estimated Total Average Respondent Burden Hours</w:t>
            </w:r>
          </w:p>
        </w:tc>
      </w:tr>
      <w:tr w:rsidR="00DA1CE0" w:rsidTr="00011885">
        <w:tc>
          <w:tcPr>
            <w:tcW w:w="226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Formative Product Assessment Survey</w:t>
            </w:r>
          </w:p>
        </w:tc>
        <w:tc>
          <w:tcPr>
            <w:tcW w:w="2160" w:type="dxa"/>
          </w:tcPr>
          <w:p w:rsidR="00DA1CE0" w:rsidRDefault="00011885" w:rsidP="00011885">
            <w:pPr>
              <w:pStyle w:val="NormalWeb"/>
              <w:autoSpaceDE w:val="0"/>
              <w:autoSpaceDN w:val="0"/>
              <w:adjustRightInd w:val="0"/>
              <w:spacing w:before="0" w:beforeAutospacing="0" w:after="0" w:afterAutospacing="0"/>
              <w:jc w:val="center"/>
              <w:rPr>
                <w:rFonts w:ascii="Garamond" w:eastAsia="Calibri" w:hAnsi="Garamond"/>
                <w:sz w:val="22"/>
                <w:szCs w:val="20"/>
              </w:rPr>
            </w:pPr>
            <w:r>
              <w:rPr>
                <w:rFonts w:ascii="Garamond" w:eastAsia="Calibri" w:hAnsi="Garamond"/>
                <w:sz w:val="22"/>
                <w:szCs w:val="20"/>
              </w:rPr>
              <w:t>600</w:t>
            </w:r>
          </w:p>
        </w:tc>
        <w:tc>
          <w:tcPr>
            <w:tcW w:w="1496" w:type="dxa"/>
          </w:tcPr>
          <w:p w:rsidR="00DA1CE0" w:rsidRDefault="00DA1CE0">
            <w:pPr>
              <w:autoSpaceDE w:val="0"/>
              <w:autoSpaceDN w:val="0"/>
              <w:adjustRightInd w:val="0"/>
              <w:spacing w:after="0" w:line="240" w:lineRule="auto"/>
              <w:jc w:val="center"/>
              <w:rPr>
                <w:rFonts w:ascii="Garamond" w:hAnsi="Garamond"/>
                <w:sz w:val="24"/>
              </w:rPr>
            </w:pPr>
            <w:r>
              <w:rPr>
                <w:rFonts w:ascii="Garamond" w:hAnsi="Garamond"/>
                <w:sz w:val="24"/>
              </w:rPr>
              <w:t>1</w:t>
            </w:r>
          </w:p>
        </w:tc>
        <w:tc>
          <w:tcPr>
            <w:tcW w:w="1980" w:type="dxa"/>
          </w:tcPr>
          <w:p w:rsidR="00DA1CE0" w:rsidRDefault="00C9576E">
            <w:pPr>
              <w:autoSpaceDE w:val="0"/>
              <w:autoSpaceDN w:val="0"/>
              <w:adjustRightInd w:val="0"/>
              <w:spacing w:after="0" w:line="240" w:lineRule="auto"/>
              <w:jc w:val="center"/>
              <w:rPr>
                <w:rFonts w:ascii="Garamond" w:hAnsi="Garamond"/>
                <w:sz w:val="24"/>
              </w:rPr>
            </w:pPr>
            <w:r>
              <w:rPr>
                <w:rFonts w:ascii="Garamond" w:hAnsi="Garamond"/>
                <w:sz w:val="24"/>
              </w:rPr>
              <w:t>.08</w:t>
            </w:r>
          </w:p>
          <w:p w:rsidR="00DA1CE0" w:rsidRDefault="00DA1CE0">
            <w:pPr>
              <w:autoSpaceDE w:val="0"/>
              <w:autoSpaceDN w:val="0"/>
              <w:adjustRightInd w:val="0"/>
              <w:spacing w:after="0" w:line="240" w:lineRule="auto"/>
              <w:jc w:val="center"/>
              <w:rPr>
                <w:rFonts w:ascii="Garamond" w:hAnsi="Garamond"/>
                <w:sz w:val="24"/>
              </w:rPr>
            </w:pPr>
          </w:p>
        </w:tc>
        <w:tc>
          <w:tcPr>
            <w:tcW w:w="1800" w:type="dxa"/>
          </w:tcPr>
          <w:p w:rsidR="00DA1CE0" w:rsidRDefault="00011885" w:rsidP="00C9576E">
            <w:pPr>
              <w:autoSpaceDE w:val="0"/>
              <w:autoSpaceDN w:val="0"/>
              <w:adjustRightInd w:val="0"/>
              <w:spacing w:after="0" w:line="240" w:lineRule="auto"/>
              <w:jc w:val="center"/>
              <w:rPr>
                <w:rFonts w:ascii="Garamond" w:hAnsi="Garamond"/>
                <w:b/>
                <w:bCs/>
              </w:rPr>
            </w:pPr>
            <w:r>
              <w:rPr>
                <w:rFonts w:ascii="Garamond" w:hAnsi="Garamond"/>
                <w:b/>
                <w:bCs/>
              </w:rPr>
              <w:t>50.0</w:t>
            </w:r>
          </w:p>
          <w:p w:rsidR="00DA1CE0" w:rsidRDefault="00DA1CE0">
            <w:pPr>
              <w:autoSpaceDE w:val="0"/>
              <w:autoSpaceDN w:val="0"/>
              <w:adjustRightInd w:val="0"/>
              <w:spacing w:after="0" w:line="240" w:lineRule="auto"/>
              <w:jc w:val="center"/>
              <w:rPr>
                <w:rFonts w:ascii="Garamond" w:hAnsi="Garamond"/>
              </w:rPr>
            </w:pPr>
          </w:p>
          <w:p w:rsidR="00DA1CE0" w:rsidRDefault="00DA1CE0">
            <w:pPr>
              <w:autoSpaceDE w:val="0"/>
              <w:autoSpaceDN w:val="0"/>
              <w:adjustRightInd w:val="0"/>
              <w:spacing w:after="0" w:line="240" w:lineRule="auto"/>
              <w:rPr>
                <w:rFonts w:ascii="Garamond" w:hAnsi="Garamond"/>
              </w:rPr>
            </w:pPr>
          </w:p>
        </w:tc>
      </w:tr>
      <w:tr w:rsidR="00DA1CE0" w:rsidTr="00011885">
        <w:tc>
          <w:tcPr>
            <w:tcW w:w="226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Survey of Satisfaction with CODI Events</w:t>
            </w:r>
          </w:p>
        </w:tc>
        <w:tc>
          <w:tcPr>
            <w:tcW w:w="2160" w:type="dxa"/>
          </w:tcPr>
          <w:p w:rsidR="00DA1CE0" w:rsidRDefault="00011885" w:rsidP="00011885">
            <w:pPr>
              <w:autoSpaceDE w:val="0"/>
              <w:autoSpaceDN w:val="0"/>
              <w:adjustRightInd w:val="0"/>
              <w:spacing w:after="0" w:line="240" w:lineRule="auto"/>
              <w:jc w:val="center"/>
              <w:rPr>
                <w:rFonts w:ascii="Garamond" w:hAnsi="Garamond"/>
                <w:szCs w:val="20"/>
              </w:rPr>
            </w:pPr>
            <w:r>
              <w:rPr>
                <w:rFonts w:ascii="Garamond" w:hAnsi="Garamond"/>
                <w:szCs w:val="20"/>
              </w:rPr>
              <w:t>2210</w:t>
            </w:r>
          </w:p>
        </w:tc>
        <w:tc>
          <w:tcPr>
            <w:tcW w:w="1496" w:type="dxa"/>
          </w:tcPr>
          <w:p w:rsidR="00DA1CE0" w:rsidRDefault="00DA1CE0" w:rsidP="00011885">
            <w:pPr>
              <w:autoSpaceDE w:val="0"/>
              <w:autoSpaceDN w:val="0"/>
              <w:adjustRightInd w:val="0"/>
              <w:spacing w:after="0" w:line="240" w:lineRule="auto"/>
              <w:jc w:val="center"/>
              <w:rPr>
                <w:rFonts w:ascii="Garamond" w:hAnsi="Garamond"/>
                <w:sz w:val="24"/>
              </w:rPr>
            </w:pPr>
            <w:r>
              <w:rPr>
                <w:rFonts w:ascii="Garamond" w:hAnsi="Garamond"/>
                <w:sz w:val="24"/>
              </w:rPr>
              <w:t>1</w:t>
            </w:r>
          </w:p>
        </w:tc>
        <w:tc>
          <w:tcPr>
            <w:tcW w:w="1980" w:type="dxa"/>
          </w:tcPr>
          <w:p w:rsidR="00DA1CE0" w:rsidRDefault="00C9576E">
            <w:pPr>
              <w:autoSpaceDE w:val="0"/>
              <w:autoSpaceDN w:val="0"/>
              <w:adjustRightInd w:val="0"/>
              <w:spacing w:after="0" w:line="240" w:lineRule="auto"/>
              <w:jc w:val="center"/>
              <w:rPr>
                <w:rFonts w:ascii="Garamond" w:hAnsi="Garamond"/>
                <w:sz w:val="24"/>
              </w:rPr>
            </w:pPr>
            <w:r>
              <w:rPr>
                <w:rFonts w:ascii="Garamond" w:hAnsi="Garamond"/>
                <w:sz w:val="24"/>
              </w:rPr>
              <w:t>.07</w:t>
            </w:r>
          </w:p>
        </w:tc>
        <w:tc>
          <w:tcPr>
            <w:tcW w:w="1800" w:type="dxa"/>
          </w:tcPr>
          <w:p w:rsidR="00DA1CE0" w:rsidRDefault="00011885">
            <w:pPr>
              <w:autoSpaceDE w:val="0"/>
              <w:autoSpaceDN w:val="0"/>
              <w:adjustRightInd w:val="0"/>
              <w:spacing w:after="0" w:line="240" w:lineRule="auto"/>
              <w:jc w:val="center"/>
              <w:rPr>
                <w:rFonts w:ascii="Garamond" w:hAnsi="Garamond"/>
              </w:rPr>
            </w:pPr>
            <w:r>
              <w:rPr>
                <w:rFonts w:ascii="Garamond" w:hAnsi="Garamond"/>
                <w:b/>
                <w:bCs/>
              </w:rPr>
              <w:t>14</w:t>
            </w:r>
            <w:r w:rsidR="00C9576E">
              <w:rPr>
                <w:rFonts w:ascii="Garamond" w:hAnsi="Garamond"/>
                <w:b/>
                <w:bCs/>
              </w:rPr>
              <w:t>7.3</w:t>
            </w:r>
          </w:p>
        </w:tc>
      </w:tr>
      <w:tr w:rsidR="00DA1CE0" w:rsidTr="00011885">
        <w:tc>
          <w:tcPr>
            <w:tcW w:w="2268" w:type="dxa"/>
          </w:tcPr>
          <w:p w:rsidR="00DA1CE0" w:rsidRDefault="00DA1CE0">
            <w:pPr>
              <w:pStyle w:val="NormalWeb"/>
              <w:autoSpaceDE w:val="0"/>
              <w:autoSpaceDN w:val="0"/>
              <w:adjustRightInd w:val="0"/>
              <w:spacing w:before="0" w:beforeAutospacing="0" w:after="0" w:afterAutospacing="0"/>
              <w:rPr>
                <w:rFonts w:ascii="Garamond" w:eastAsia="Calibri" w:hAnsi="Garamond"/>
                <w:sz w:val="22"/>
                <w:szCs w:val="22"/>
              </w:rPr>
            </w:pPr>
            <w:r>
              <w:rPr>
                <w:rFonts w:ascii="Garamond" w:eastAsia="Calibri" w:hAnsi="Garamond"/>
                <w:sz w:val="22"/>
                <w:szCs w:val="22"/>
              </w:rPr>
              <w:t>Impact Survey of CODI Learning Communities</w:t>
            </w:r>
          </w:p>
        </w:tc>
        <w:tc>
          <w:tcPr>
            <w:tcW w:w="2160" w:type="dxa"/>
          </w:tcPr>
          <w:p w:rsidR="00DA1CE0" w:rsidRDefault="00011885" w:rsidP="00011885">
            <w:pPr>
              <w:pStyle w:val="Footer"/>
              <w:tabs>
                <w:tab w:val="clear" w:pos="4320"/>
                <w:tab w:val="clear" w:pos="8640"/>
              </w:tabs>
              <w:autoSpaceDE w:val="0"/>
              <w:autoSpaceDN w:val="0"/>
              <w:adjustRightInd w:val="0"/>
              <w:spacing w:after="0" w:line="240" w:lineRule="auto"/>
              <w:jc w:val="center"/>
              <w:rPr>
                <w:rFonts w:ascii="Garamond" w:hAnsi="Garamond"/>
                <w:szCs w:val="20"/>
              </w:rPr>
            </w:pPr>
            <w:r>
              <w:rPr>
                <w:rFonts w:ascii="Garamond" w:hAnsi="Garamond"/>
                <w:szCs w:val="20"/>
              </w:rPr>
              <w:t>175</w:t>
            </w:r>
          </w:p>
          <w:p w:rsidR="00DA1CE0" w:rsidRDefault="00DA1CE0" w:rsidP="00011885">
            <w:pPr>
              <w:pStyle w:val="Footer"/>
              <w:tabs>
                <w:tab w:val="clear" w:pos="4320"/>
                <w:tab w:val="clear" w:pos="8640"/>
              </w:tabs>
              <w:autoSpaceDE w:val="0"/>
              <w:autoSpaceDN w:val="0"/>
              <w:adjustRightInd w:val="0"/>
              <w:spacing w:after="0" w:line="240" w:lineRule="auto"/>
              <w:jc w:val="center"/>
              <w:rPr>
                <w:rFonts w:ascii="Garamond" w:hAnsi="Garamond"/>
                <w:szCs w:val="20"/>
              </w:rPr>
            </w:pPr>
          </w:p>
        </w:tc>
        <w:tc>
          <w:tcPr>
            <w:tcW w:w="1496" w:type="dxa"/>
          </w:tcPr>
          <w:p w:rsidR="00DA1CE0" w:rsidRDefault="00DA1CE0">
            <w:pPr>
              <w:autoSpaceDE w:val="0"/>
              <w:autoSpaceDN w:val="0"/>
              <w:adjustRightInd w:val="0"/>
              <w:spacing w:after="0" w:line="240" w:lineRule="auto"/>
              <w:jc w:val="center"/>
              <w:rPr>
                <w:rFonts w:ascii="Garamond" w:hAnsi="Garamond"/>
              </w:rPr>
            </w:pPr>
            <w:r w:rsidRPr="009A2830">
              <w:rPr>
                <w:rFonts w:ascii="Garamond" w:hAnsi="Garamond"/>
              </w:rPr>
              <w:t>1</w:t>
            </w:r>
          </w:p>
          <w:p w:rsidR="00DA1CE0" w:rsidRDefault="00DA1CE0" w:rsidP="00011885">
            <w:pPr>
              <w:autoSpaceDE w:val="0"/>
              <w:autoSpaceDN w:val="0"/>
              <w:adjustRightInd w:val="0"/>
              <w:spacing w:after="0" w:line="240" w:lineRule="auto"/>
              <w:rPr>
                <w:rFonts w:ascii="Garamond" w:hAnsi="Garamond"/>
              </w:rPr>
            </w:pPr>
          </w:p>
        </w:tc>
        <w:tc>
          <w:tcPr>
            <w:tcW w:w="1980" w:type="dxa"/>
          </w:tcPr>
          <w:p w:rsidR="00DA1CE0" w:rsidRDefault="00C9576E">
            <w:pPr>
              <w:autoSpaceDE w:val="0"/>
              <w:autoSpaceDN w:val="0"/>
              <w:adjustRightInd w:val="0"/>
              <w:spacing w:after="0" w:line="240" w:lineRule="auto"/>
              <w:jc w:val="center"/>
              <w:rPr>
                <w:rFonts w:ascii="Garamond" w:hAnsi="Garamond"/>
              </w:rPr>
            </w:pPr>
            <w:r>
              <w:rPr>
                <w:rFonts w:ascii="Garamond" w:hAnsi="Garamond"/>
              </w:rPr>
              <w:t>.25</w:t>
            </w:r>
          </w:p>
          <w:p w:rsidR="00DA1CE0" w:rsidRDefault="00DA1CE0">
            <w:pPr>
              <w:autoSpaceDE w:val="0"/>
              <w:autoSpaceDN w:val="0"/>
              <w:adjustRightInd w:val="0"/>
              <w:spacing w:after="0" w:line="240" w:lineRule="auto"/>
              <w:jc w:val="center"/>
              <w:rPr>
                <w:rFonts w:ascii="Garamond" w:hAnsi="Garamond"/>
              </w:rPr>
            </w:pPr>
          </w:p>
          <w:p w:rsidR="00DA1CE0" w:rsidRDefault="00DA1CE0" w:rsidP="00011885">
            <w:pPr>
              <w:autoSpaceDE w:val="0"/>
              <w:autoSpaceDN w:val="0"/>
              <w:adjustRightInd w:val="0"/>
              <w:spacing w:after="0" w:line="240" w:lineRule="auto"/>
              <w:rPr>
                <w:rFonts w:ascii="Garamond" w:hAnsi="Garamond"/>
              </w:rPr>
            </w:pPr>
          </w:p>
        </w:tc>
        <w:tc>
          <w:tcPr>
            <w:tcW w:w="1800" w:type="dxa"/>
          </w:tcPr>
          <w:p w:rsidR="00DA1CE0" w:rsidRDefault="000817CB">
            <w:pPr>
              <w:autoSpaceDE w:val="0"/>
              <w:autoSpaceDN w:val="0"/>
              <w:adjustRightInd w:val="0"/>
              <w:spacing w:after="0" w:line="240" w:lineRule="auto"/>
              <w:jc w:val="center"/>
              <w:rPr>
                <w:rFonts w:ascii="Garamond" w:hAnsi="Garamond"/>
                <w:b/>
                <w:bCs/>
              </w:rPr>
            </w:pPr>
            <w:r>
              <w:rPr>
                <w:rFonts w:ascii="Garamond" w:hAnsi="Garamond"/>
                <w:b/>
                <w:bCs/>
              </w:rPr>
              <w:t>43</w:t>
            </w:r>
            <w:r w:rsidR="00C9576E">
              <w:rPr>
                <w:rFonts w:ascii="Garamond" w:hAnsi="Garamond"/>
                <w:b/>
                <w:bCs/>
              </w:rPr>
              <w:t>.</w:t>
            </w:r>
            <w:r>
              <w:rPr>
                <w:rFonts w:ascii="Garamond" w:hAnsi="Garamond"/>
                <w:b/>
                <w:bCs/>
              </w:rPr>
              <w:t>8</w:t>
            </w:r>
          </w:p>
        </w:tc>
      </w:tr>
      <w:tr w:rsidR="00DA1CE0" w:rsidTr="00011885">
        <w:tc>
          <w:tcPr>
            <w:tcW w:w="2268" w:type="dxa"/>
          </w:tcPr>
          <w:p w:rsidR="00DA1CE0" w:rsidRDefault="00DA1CE0">
            <w:pPr>
              <w:pStyle w:val="NormalWeb"/>
              <w:autoSpaceDE w:val="0"/>
              <w:autoSpaceDN w:val="0"/>
              <w:adjustRightInd w:val="0"/>
              <w:spacing w:before="0" w:beforeAutospacing="0" w:after="0" w:afterAutospacing="0"/>
              <w:rPr>
                <w:rFonts w:ascii="Garamond" w:eastAsia="Calibri" w:hAnsi="Garamond"/>
                <w:b/>
                <w:bCs/>
                <w:sz w:val="22"/>
                <w:szCs w:val="22"/>
              </w:rPr>
            </w:pPr>
            <w:r>
              <w:rPr>
                <w:rFonts w:ascii="Garamond" w:eastAsia="Calibri" w:hAnsi="Garamond"/>
                <w:b/>
                <w:bCs/>
                <w:sz w:val="22"/>
                <w:szCs w:val="22"/>
              </w:rPr>
              <w:t>Total</w:t>
            </w:r>
          </w:p>
        </w:tc>
        <w:tc>
          <w:tcPr>
            <w:tcW w:w="2160" w:type="dxa"/>
          </w:tcPr>
          <w:p w:rsidR="00DA1CE0" w:rsidRDefault="00011885" w:rsidP="000817CB">
            <w:pPr>
              <w:pStyle w:val="Footer"/>
              <w:tabs>
                <w:tab w:val="clear" w:pos="4320"/>
                <w:tab w:val="clear" w:pos="8640"/>
              </w:tabs>
              <w:autoSpaceDE w:val="0"/>
              <w:autoSpaceDN w:val="0"/>
              <w:adjustRightInd w:val="0"/>
              <w:spacing w:after="0" w:line="240" w:lineRule="auto"/>
              <w:jc w:val="center"/>
              <w:rPr>
                <w:rFonts w:ascii="Garamond" w:hAnsi="Garamond"/>
                <w:b/>
                <w:bCs/>
                <w:szCs w:val="20"/>
                <w:highlight w:val="yellow"/>
              </w:rPr>
            </w:pPr>
            <w:r>
              <w:rPr>
                <w:rFonts w:ascii="Garamond" w:hAnsi="Garamond"/>
                <w:b/>
                <w:bCs/>
                <w:szCs w:val="20"/>
              </w:rPr>
              <w:t>2,9</w:t>
            </w:r>
            <w:r w:rsidR="000817CB">
              <w:rPr>
                <w:rFonts w:ascii="Garamond" w:hAnsi="Garamond"/>
                <w:b/>
                <w:bCs/>
                <w:szCs w:val="20"/>
              </w:rPr>
              <w:t>85</w:t>
            </w:r>
          </w:p>
        </w:tc>
        <w:tc>
          <w:tcPr>
            <w:tcW w:w="1496" w:type="dxa"/>
          </w:tcPr>
          <w:p w:rsidR="00DA1CE0" w:rsidRDefault="00DA1CE0" w:rsidP="000817CB">
            <w:pPr>
              <w:autoSpaceDE w:val="0"/>
              <w:autoSpaceDN w:val="0"/>
              <w:adjustRightInd w:val="0"/>
              <w:spacing w:after="0" w:line="240" w:lineRule="auto"/>
              <w:jc w:val="center"/>
              <w:rPr>
                <w:rFonts w:ascii="Garamond" w:hAnsi="Garamond"/>
                <w:b/>
                <w:bCs/>
              </w:rPr>
            </w:pPr>
          </w:p>
        </w:tc>
        <w:tc>
          <w:tcPr>
            <w:tcW w:w="1980" w:type="dxa"/>
          </w:tcPr>
          <w:p w:rsidR="00DA1CE0" w:rsidRDefault="00DA1CE0" w:rsidP="000817CB">
            <w:pPr>
              <w:autoSpaceDE w:val="0"/>
              <w:autoSpaceDN w:val="0"/>
              <w:adjustRightInd w:val="0"/>
              <w:spacing w:after="0" w:line="240" w:lineRule="auto"/>
              <w:jc w:val="center"/>
              <w:rPr>
                <w:rFonts w:ascii="Garamond" w:hAnsi="Garamond"/>
                <w:b/>
                <w:bCs/>
              </w:rPr>
            </w:pPr>
          </w:p>
        </w:tc>
        <w:tc>
          <w:tcPr>
            <w:tcW w:w="1800" w:type="dxa"/>
          </w:tcPr>
          <w:p w:rsidR="00DA1CE0" w:rsidRDefault="00011885" w:rsidP="000817CB">
            <w:pPr>
              <w:autoSpaceDE w:val="0"/>
              <w:autoSpaceDN w:val="0"/>
              <w:adjustRightInd w:val="0"/>
              <w:spacing w:after="0" w:line="240" w:lineRule="auto"/>
              <w:jc w:val="center"/>
              <w:rPr>
                <w:rFonts w:ascii="Garamond" w:hAnsi="Garamond"/>
                <w:b/>
                <w:bCs/>
              </w:rPr>
            </w:pPr>
            <w:r>
              <w:rPr>
                <w:rFonts w:ascii="Garamond" w:hAnsi="Garamond"/>
                <w:b/>
                <w:bCs/>
              </w:rPr>
              <w:t>241.1</w:t>
            </w:r>
          </w:p>
        </w:tc>
      </w:tr>
    </w:tbl>
    <w:p w:rsidR="00011885" w:rsidRDefault="00011885">
      <w:pPr>
        <w:spacing w:after="0" w:line="240" w:lineRule="auto"/>
        <w:rPr>
          <w:rFonts w:ascii="Garamond" w:hAnsi="Garamond"/>
          <w:color w:val="000000"/>
          <w:sz w:val="24"/>
        </w:rPr>
      </w:pPr>
    </w:p>
    <w:p w:rsidR="00DA1CE0" w:rsidRDefault="00DA1CE0">
      <w:pPr>
        <w:spacing w:after="0" w:line="240" w:lineRule="auto"/>
        <w:rPr>
          <w:rFonts w:ascii="Garamond" w:hAnsi="Garamond"/>
          <w:sz w:val="24"/>
        </w:rPr>
      </w:pPr>
      <w:r>
        <w:rPr>
          <w:rFonts w:ascii="Garamond" w:hAnsi="Garamond"/>
          <w:color w:val="000000"/>
          <w:sz w:val="24"/>
        </w:rPr>
        <w:t xml:space="preserve">Table 4 shows the estimated annualized cost burden for the respondents.  The Bureau of Labor Statistics reported that the average hourly wage for </w:t>
      </w:r>
      <w:bookmarkStart w:id="0" w:name="b29-0000"/>
      <w:r>
        <w:rPr>
          <w:rFonts w:ascii="Garamond" w:hAnsi="Garamond"/>
          <w:color w:val="000000"/>
          <w:sz w:val="24"/>
        </w:rPr>
        <w:t>"</w:t>
      </w:r>
      <w:bookmarkEnd w:id="0"/>
      <w:r>
        <w:rPr>
          <w:rFonts w:ascii="Garamond" w:hAnsi="Garamond"/>
          <w:bCs/>
          <w:color w:val="000000"/>
          <w:sz w:val="24"/>
        </w:rPr>
        <w:t>mental health and substance abuse social workers</w:t>
      </w:r>
      <w:r>
        <w:rPr>
          <w:rFonts w:ascii="Garamond" w:hAnsi="Garamond"/>
          <w:color w:val="000000"/>
          <w:sz w:val="24"/>
        </w:rPr>
        <w:t xml:space="preserve"> in the United States was $19.88 in May 2009.  An estimate of $20 per hour allows for inflation and represents a conservative estimate of the wages of the respondents. Therefore, the total estimated cost burden for respondents is </w:t>
      </w:r>
      <w:r>
        <w:rPr>
          <w:rFonts w:ascii="Garamond" w:hAnsi="Garamond"/>
        </w:rPr>
        <w:t>$</w:t>
      </w:r>
      <w:r w:rsidR="00011885">
        <w:rPr>
          <w:rFonts w:ascii="Garamond" w:hAnsi="Garamond"/>
        </w:rPr>
        <w:t>4,822</w:t>
      </w:r>
      <w:r>
        <w:rPr>
          <w:rFonts w:ascii="Garamond" w:hAnsi="Garamond"/>
          <w:sz w:val="24"/>
        </w:rPr>
        <w:t xml:space="preserve">, based on the total estimated </w:t>
      </w:r>
      <w:r w:rsidR="000817CB">
        <w:rPr>
          <w:rFonts w:ascii="Garamond" w:hAnsi="Garamond"/>
          <w:sz w:val="24"/>
        </w:rPr>
        <w:t xml:space="preserve">annualized burden hours of </w:t>
      </w:r>
      <w:r w:rsidR="00011885">
        <w:rPr>
          <w:rFonts w:ascii="Garamond" w:hAnsi="Garamond"/>
          <w:sz w:val="24"/>
        </w:rPr>
        <w:t>241.1</w:t>
      </w:r>
      <w:r>
        <w:rPr>
          <w:rFonts w:ascii="Garamond" w:hAnsi="Garamond"/>
          <w:sz w:val="24"/>
        </w:rPr>
        <w:t xml:space="preserve"> hours.  </w:t>
      </w:r>
    </w:p>
    <w:p w:rsidR="00DA1CE0" w:rsidRDefault="00DA1CE0">
      <w:pPr>
        <w:spacing w:after="0" w:line="240" w:lineRule="auto"/>
        <w:rPr>
          <w:rFonts w:ascii="Garamond" w:hAnsi="Garamond"/>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4"/>
        <w:gridCol w:w="2186"/>
        <w:gridCol w:w="2700"/>
      </w:tblGrid>
      <w:tr w:rsidR="00DA1CE0">
        <w:tc>
          <w:tcPr>
            <w:tcW w:w="7920" w:type="dxa"/>
            <w:gridSpan w:val="3"/>
            <w:shd w:val="clear" w:color="auto" w:fill="A0A0A0"/>
          </w:tcPr>
          <w:p w:rsidR="00DA1CE0" w:rsidRDefault="00DA1CE0">
            <w:pPr>
              <w:pStyle w:val="Heading5"/>
            </w:pPr>
            <w:r>
              <w:rPr>
                <w:rStyle w:val="Strong"/>
              </w:rPr>
              <w:lastRenderedPageBreak/>
              <w:t>Table 4: Estimated annualized cost burden for respondents</w:t>
            </w:r>
          </w:p>
        </w:tc>
      </w:tr>
      <w:tr w:rsidR="00DA1CE0">
        <w:tblPrEx>
          <w:tblLook w:val="01E0"/>
        </w:tblPrEx>
        <w:tc>
          <w:tcPr>
            <w:tcW w:w="3034" w:type="dxa"/>
            <w:vAlign w:val="center"/>
          </w:tcPr>
          <w:p w:rsidR="00DA1CE0" w:rsidRDefault="00DA1CE0">
            <w:pPr>
              <w:spacing w:after="0" w:line="240" w:lineRule="auto"/>
              <w:jc w:val="center"/>
              <w:rPr>
                <w:rFonts w:ascii="Garamond" w:hAnsi="Garamond"/>
              </w:rPr>
            </w:pPr>
            <w:r>
              <w:rPr>
                <w:rFonts w:ascii="Garamond" w:hAnsi="Garamond"/>
              </w:rPr>
              <w:t>Estimated Total Average</w:t>
            </w:r>
          </w:p>
          <w:p w:rsidR="00DA1CE0" w:rsidRDefault="00DA1CE0">
            <w:pPr>
              <w:spacing w:after="0" w:line="240" w:lineRule="auto"/>
              <w:jc w:val="center"/>
              <w:rPr>
                <w:rFonts w:ascii="Garamond" w:hAnsi="Garamond"/>
              </w:rPr>
            </w:pPr>
            <w:r>
              <w:rPr>
                <w:rFonts w:ascii="Garamond" w:hAnsi="Garamond"/>
              </w:rPr>
              <w:t>Respondent Burden Hours</w:t>
            </w:r>
          </w:p>
        </w:tc>
        <w:tc>
          <w:tcPr>
            <w:tcW w:w="2186" w:type="dxa"/>
          </w:tcPr>
          <w:p w:rsidR="00DA1CE0" w:rsidRDefault="00DA1CE0">
            <w:pPr>
              <w:jc w:val="center"/>
              <w:rPr>
                <w:rFonts w:ascii="Garamond" w:hAnsi="Garamond"/>
              </w:rPr>
            </w:pPr>
            <w:r>
              <w:rPr>
                <w:rFonts w:ascii="Garamond" w:hAnsi="Garamond"/>
              </w:rPr>
              <w:t>Hourly Wage Cost*</w:t>
            </w:r>
          </w:p>
        </w:tc>
        <w:tc>
          <w:tcPr>
            <w:tcW w:w="2700" w:type="dxa"/>
          </w:tcPr>
          <w:p w:rsidR="00DA1CE0" w:rsidRDefault="00DA1CE0">
            <w:pPr>
              <w:jc w:val="center"/>
              <w:rPr>
                <w:rFonts w:ascii="Garamond" w:hAnsi="Garamond"/>
              </w:rPr>
            </w:pPr>
            <w:r>
              <w:rPr>
                <w:rFonts w:ascii="Garamond" w:hAnsi="Garamond"/>
              </w:rPr>
              <w:t>Total Hour Cost ($)</w:t>
            </w:r>
          </w:p>
        </w:tc>
      </w:tr>
      <w:tr w:rsidR="00011885" w:rsidTr="00D05DF6">
        <w:tblPrEx>
          <w:tblLook w:val="01E0"/>
        </w:tblPrEx>
        <w:tc>
          <w:tcPr>
            <w:tcW w:w="3034" w:type="dxa"/>
            <w:vAlign w:val="bottom"/>
          </w:tcPr>
          <w:p w:rsidR="00011885" w:rsidRDefault="00011885">
            <w:pPr>
              <w:jc w:val="center"/>
              <w:rPr>
                <w:rFonts w:ascii="Garamond" w:hAnsi="Garamond" w:cs="Arial"/>
              </w:rPr>
            </w:pPr>
            <w:r>
              <w:rPr>
                <w:rFonts w:ascii="Garamond" w:hAnsi="Garamond" w:cs="Arial"/>
              </w:rPr>
              <w:t>50.0</w:t>
            </w:r>
          </w:p>
        </w:tc>
        <w:tc>
          <w:tcPr>
            <w:tcW w:w="2186" w:type="dxa"/>
          </w:tcPr>
          <w:p w:rsidR="00011885" w:rsidRDefault="00011885">
            <w:pPr>
              <w:jc w:val="center"/>
              <w:rPr>
                <w:rFonts w:ascii="Garamond" w:hAnsi="Garamond"/>
              </w:rPr>
            </w:pPr>
            <w:r>
              <w:rPr>
                <w:rFonts w:ascii="Garamond" w:hAnsi="Garamond" w:cs="Arial"/>
              </w:rPr>
              <w:t xml:space="preserve">$20 </w:t>
            </w:r>
          </w:p>
        </w:tc>
        <w:tc>
          <w:tcPr>
            <w:tcW w:w="2700" w:type="dxa"/>
          </w:tcPr>
          <w:p w:rsidR="00011885" w:rsidRDefault="00011885">
            <w:pPr>
              <w:jc w:val="center"/>
              <w:rPr>
                <w:rFonts w:ascii="Garamond" w:hAnsi="Garamond" w:cs="Arial"/>
              </w:rPr>
            </w:pPr>
            <w:r>
              <w:rPr>
                <w:rFonts w:ascii="Garamond" w:hAnsi="Garamond" w:cs="Arial"/>
              </w:rPr>
              <w:t xml:space="preserve">$1,000 </w:t>
            </w:r>
          </w:p>
        </w:tc>
      </w:tr>
      <w:tr w:rsidR="00011885" w:rsidTr="00D05DF6">
        <w:tblPrEx>
          <w:tblLook w:val="01E0"/>
        </w:tblPrEx>
        <w:tc>
          <w:tcPr>
            <w:tcW w:w="3034" w:type="dxa"/>
            <w:vAlign w:val="bottom"/>
          </w:tcPr>
          <w:p w:rsidR="00011885" w:rsidRDefault="00011885">
            <w:pPr>
              <w:jc w:val="center"/>
              <w:rPr>
                <w:rFonts w:ascii="Garamond" w:hAnsi="Garamond" w:cs="Arial"/>
              </w:rPr>
            </w:pPr>
            <w:r>
              <w:rPr>
                <w:rFonts w:ascii="Garamond" w:hAnsi="Garamond" w:cs="Arial"/>
              </w:rPr>
              <w:t>147.3</w:t>
            </w:r>
          </w:p>
        </w:tc>
        <w:tc>
          <w:tcPr>
            <w:tcW w:w="2186" w:type="dxa"/>
          </w:tcPr>
          <w:p w:rsidR="00011885" w:rsidRDefault="00011885">
            <w:pPr>
              <w:jc w:val="center"/>
              <w:rPr>
                <w:rFonts w:ascii="Garamond" w:hAnsi="Garamond"/>
              </w:rPr>
            </w:pPr>
            <w:r>
              <w:rPr>
                <w:rFonts w:ascii="Garamond" w:hAnsi="Garamond" w:cs="Arial"/>
              </w:rPr>
              <w:t xml:space="preserve">$20 </w:t>
            </w:r>
          </w:p>
        </w:tc>
        <w:tc>
          <w:tcPr>
            <w:tcW w:w="2700" w:type="dxa"/>
          </w:tcPr>
          <w:p w:rsidR="00011885" w:rsidRDefault="00011885">
            <w:pPr>
              <w:jc w:val="center"/>
              <w:rPr>
                <w:rFonts w:ascii="Garamond" w:hAnsi="Garamond" w:cs="Arial"/>
              </w:rPr>
            </w:pPr>
            <w:r>
              <w:rPr>
                <w:rFonts w:ascii="Garamond" w:hAnsi="Garamond" w:cs="Arial"/>
              </w:rPr>
              <w:t xml:space="preserve">$2,947 </w:t>
            </w:r>
          </w:p>
        </w:tc>
      </w:tr>
      <w:tr w:rsidR="00011885" w:rsidTr="001E1284">
        <w:tblPrEx>
          <w:tblLook w:val="01E0"/>
        </w:tblPrEx>
        <w:tc>
          <w:tcPr>
            <w:tcW w:w="3034" w:type="dxa"/>
            <w:tcBorders>
              <w:bottom w:val="double" w:sz="4" w:space="0" w:color="auto"/>
            </w:tcBorders>
            <w:vAlign w:val="bottom"/>
          </w:tcPr>
          <w:p w:rsidR="00011885" w:rsidRDefault="00011885">
            <w:pPr>
              <w:jc w:val="center"/>
              <w:rPr>
                <w:rFonts w:ascii="Garamond" w:hAnsi="Garamond" w:cs="Arial"/>
              </w:rPr>
            </w:pPr>
            <w:r>
              <w:rPr>
                <w:rFonts w:ascii="Garamond" w:hAnsi="Garamond" w:cs="Arial"/>
              </w:rPr>
              <w:t>43.8</w:t>
            </w:r>
          </w:p>
        </w:tc>
        <w:tc>
          <w:tcPr>
            <w:tcW w:w="2186" w:type="dxa"/>
            <w:tcBorders>
              <w:bottom w:val="double" w:sz="4" w:space="0" w:color="auto"/>
            </w:tcBorders>
          </w:tcPr>
          <w:p w:rsidR="00011885" w:rsidRDefault="00011885">
            <w:pPr>
              <w:jc w:val="center"/>
              <w:rPr>
                <w:rFonts w:ascii="Garamond" w:hAnsi="Garamond"/>
              </w:rPr>
            </w:pPr>
            <w:r>
              <w:rPr>
                <w:rFonts w:ascii="Garamond" w:hAnsi="Garamond" w:cs="Arial"/>
              </w:rPr>
              <w:t xml:space="preserve">$20 </w:t>
            </w:r>
          </w:p>
        </w:tc>
        <w:tc>
          <w:tcPr>
            <w:tcW w:w="2700" w:type="dxa"/>
            <w:tcBorders>
              <w:bottom w:val="double" w:sz="4" w:space="0" w:color="auto"/>
            </w:tcBorders>
          </w:tcPr>
          <w:p w:rsidR="00011885" w:rsidRDefault="00011885">
            <w:pPr>
              <w:jc w:val="center"/>
              <w:rPr>
                <w:rFonts w:ascii="Garamond" w:hAnsi="Garamond" w:cs="Arial"/>
              </w:rPr>
            </w:pPr>
            <w:r>
              <w:rPr>
                <w:rFonts w:ascii="Garamond" w:hAnsi="Garamond" w:cs="Arial"/>
              </w:rPr>
              <w:t xml:space="preserve">$875 </w:t>
            </w:r>
          </w:p>
        </w:tc>
      </w:tr>
      <w:tr w:rsidR="00011885" w:rsidTr="001E1284">
        <w:tblPrEx>
          <w:tblLook w:val="01E0"/>
        </w:tblPrEx>
        <w:tc>
          <w:tcPr>
            <w:tcW w:w="3034" w:type="dxa"/>
            <w:tcBorders>
              <w:top w:val="double" w:sz="4" w:space="0" w:color="auto"/>
            </w:tcBorders>
            <w:vAlign w:val="bottom"/>
          </w:tcPr>
          <w:p w:rsidR="00011885" w:rsidRPr="001E1284" w:rsidRDefault="00011885">
            <w:pPr>
              <w:jc w:val="center"/>
              <w:rPr>
                <w:rFonts w:ascii="Garamond" w:hAnsi="Garamond" w:cs="Arial"/>
                <w:b/>
              </w:rPr>
            </w:pPr>
            <w:r>
              <w:rPr>
                <w:rFonts w:ascii="Garamond" w:hAnsi="Garamond" w:cs="Arial"/>
              </w:rPr>
              <w:t>241.1</w:t>
            </w:r>
          </w:p>
        </w:tc>
        <w:tc>
          <w:tcPr>
            <w:tcW w:w="2186" w:type="dxa"/>
            <w:tcBorders>
              <w:top w:val="double" w:sz="4" w:space="0" w:color="auto"/>
            </w:tcBorders>
          </w:tcPr>
          <w:p w:rsidR="00011885" w:rsidRPr="001E1284" w:rsidRDefault="00011885">
            <w:pPr>
              <w:jc w:val="center"/>
              <w:rPr>
                <w:rFonts w:ascii="Garamond" w:hAnsi="Garamond"/>
                <w:b/>
              </w:rPr>
            </w:pPr>
            <w:r>
              <w:rPr>
                <w:rFonts w:ascii="Garamond" w:hAnsi="Garamond" w:cs="Arial"/>
              </w:rPr>
              <w:t xml:space="preserve">$20 </w:t>
            </w:r>
          </w:p>
        </w:tc>
        <w:tc>
          <w:tcPr>
            <w:tcW w:w="2700" w:type="dxa"/>
            <w:tcBorders>
              <w:top w:val="double" w:sz="4" w:space="0" w:color="auto"/>
            </w:tcBorders>
          </w:tcPr>
          <w:p w:rsidR="00011885" w:rsidRPr="001E1284" w:rsidRDefault="00011885">
            <w:pPr>
              <w:jc w:val="center"/>
              <w:rPr>
                <w:rFonts w:ascii="Garamond" w:hAnsi="Garamond" w:cs="Arial"/>
                <w:b/>
              </w:rPr>
            </w:pPr>
            <w:r>
              <w:rPr>
                <w:rFonts w:ascii="Garamond" w:hAnsi="Garamond" w:cs="Arial"/>
              </w:rPr>
              <w:t xml:space="preserve">$4,822 </w:t>
            </w:r>
          </w:p>
        </w:tc>
      </w:tr>
    </w:tbl>
    <w:p w:rsidR="00DA1CE0" w:rsidRDefault="00DA1CE0">
      <w:pPr>
        <w:pStyle w:val="Heading1"/>
        <w:ind w:left="720"/>
        <w:rPr>
          <w:rFonts w:cs="Tahoma"/>
          <w:b w:val="0"/>
          <w:bCs w:val="0"/>
        </w:rPr>
      </w:pPr>
      <w:r>
        <w:rPr>
          <w:b w:val="0"/>
          <w:bCs w:val="0"/>
          <w:color w:val="000000"/>
          <w:szCs w:val="18"/>
        </w:rPr>
        <w:t>*Based upon the average wages, “</w:t>
      </w:r>
      <w:r>
        <w:rPr>
          <w:rFonts w:cs="Tahoma"/>
          <w:b w:val="0"/>
          <w:bCs w:val="0"/>
        </w:rPr>
        <w:t>Occupational Employment and Wages, May 2009</w:t>
      </w:r>
    </w:p>
    <w:p w:rsidR="00DA1CE0" w:rsidRDefault="00DA1CE0">
      <w:pPr>
        <w:spacing w:after="0" w:line="240" w:lineRule="auto"/>
        <w:ind w:left="720"/>
        <w:rPr>
          <w:rFonts w:ascii="Garamond" w:hAnsi="Garamond"/>
          <w:color w:val="000000"/>
          <w:sz w:val="24"/>
          <w:szCs w:val="18"/>
        </w:rPr>
      </w:pPr>
      <w:r>
        <w:rPr>
          <w:rFonts w:ascii="Garamond" w:hAnsi="Garamond" w:cs="Tahoma"/>
          <w:sz w:val="24"/>
        </w:rPr>
        <w:t>21-1023 Mental Health and Substance Abuse Social Workers</w:t>
      </w:r>
      <w:r>
        <w:rPr>
          <w:rFonts w:ascii="Garamond" w:hAnsi="Garamond"/>
          <w:color w:val="000000"/>
          <w:sz w:val="24"/>
          <w:szCs w:val="18"/>
        </w:rPr>
        <w:t xml:space="preserve"> in the United States, May 2009,” U.S. Department of Labor, Bureau of Labor Statistics. </w:t>
      </w:r>
    </w:p>
    <w:p w:rsidR="00DA1CE0" w:rsidRDefault="00DA1CE0">
      <w:pPr>
        <w:spacing w:after="0" w:line="240" w:lineRule="auto"/>
        <w:ind w:left="720"/>
        <w:rPr>
          <w:rFonts w:ascii="Garamond" w:hAnsi="Garamond"/>
          <w:sz w:val="24"/>
          <w:szCs w:val="18"/>
        </w:rPr>
      </w:pPr>
    </w:p>
    <w:p w:rsidR="00DA1CE0" w:rsidRDefault="00C96D83" w:rsidP="00C96D83">
      <w:pPr>
        <w:pStyle w:val="Heading1"/>
        <w:tabs>
          <w:tab w:val="left" w:pos="360"/>
        </w:tabs>
        <w:rPr>
          <w:szCs w:val="22"/>
        </w:rPr>
      </w:pPr>
      <w:r>
        <w:rPr>
          <w:szCs w:val="22"/>
        </w:rPr>
        <w:t>E.</w:t>
      </w:r>
      <w:r>
        <w:rPr>
          <w:szCs w:val="22"/>
        </w:rPr>
        <w:tab/>
      </w:r>
      <w:r w:rsidR="00DA1CE0">
        <w:rPr>
          <w:szCs w:val="22"/>
        </w:rPr>
        <w:t>Methods Used to Develop and Test the Survey Questions</w:t>
      </w:r>
    </w:p>
    <w:p w:rsidR="00DA1CE0" w:rsidRDefault="00DA1CE0">
      <w:pPr>
        <w:autoSpaceDE w:val="0"/>
        <w:autoSpaceDN w:val="0"/>
        <w:adjustRightInd w:val="0"/>
        <w:spacing w:after="0" w:line="240" w:lineRule="auto"/>
        <w:ind w:left="360"/>
        <w:rPr>
          <w:rFonts w:ascii="Garamond" w:hAnsi="Garamond"/>
          <w:sz w:val="24"/>
          <w:szCs w:val="20"/>
        </w:rPr>
      </w:pPr>
      <w:r>
        <w:rPr>
          <w:rFonts w:ascii="Garamond" w:hAnsi="Garamond"/>
          <w:sz w:val="24"/>
          <w:szCs w:val="20"/>
        </w:rPr>
        <w:t xml:space="preserve">Research staff at Westat and Cloudburst Consulting Group in collaboration with CMHS and CSAT Government Task Order Officers developed the proposed customer satisfaction surveys. </w:t>
      </w:r>
      <w:r>
        <w:t xml:space="preserve"> </w:t>
      </w:r>
      <w:r w:rsidRPr="009A2830">
        <w:rPr>
          <w:rFonts w:ascii="Garamond" w:hAnsi="Garamond"/>
          <w:color w:val="000000"/>
          <w:sz w:val="24"/>
          <w:szCs w:val="20"/>
        </w:rPr>
        <w:t xml:space="preserve">The surveys were </w:t>
      </w:r>
      <w:r w:rsidR="00C9576E">
        <w:rPr>
          <w:rFonts w:ascii="Garamond" w:hAnsi="Garamond"/>
          <w:color w:val="000000"/>
          <w:sz w:val="24"/>
          <w:szCs w:val="20"/>
        </w:rPr>
        <w:t xml:space="preserve">timed in an online environment among the evaluation workgroup and were </w:t>
      </w:r>
      <w:r w:rsidR="007E0C66" w:rsidRPr="009A2830">
        <w:rPr>
          <w:rFonts w:ascii="Garamond" w:hAnsi="Garamond"/>
          <w:color w:val="000000"/>
          <w:sz w:val="24"/>
          <w:szCs w:val="20"/>
        </w:rPr>
        <w:t>also pre</w:t>
      </w:r>
      <w:r w:rsidRPr="009A2830">
        <w:rPr>
          <w:rFonts w:ascii="Garamond" w:hAnsi="Garamond"/>
          <w:color w:val="000000"/>
          <w:sz w:val="24"/>
          <w:szCs w:val="20"/>
        </w:rPr>
        <w:t xml:space="preserve">tested with </w:t>
      </w:r>
      <w:r w:rsidR="007E0C66" w:rsidRPr="009A2830">
        <w:rPr>
          <w:rFonts w:ascii="Garamond" w:hAnsi="Garamond"/>
          <w:color w:val="000000"/>
          <w:sz w:val="24"/>
          <w:szCs w:val="20"/>
        </w:rPr>
        <w:t xml:space="preserve">a small group of attendees at an event </w:t>
      </w:r>
      <w:r w:rsidRPr="009A2830">
        <w:rPr>
          <w:rFonts w:ascii="Garamond" w:hAnsi="Garamond"/>
          <w:color w:val="000000"/>
          <w:sz w:val="24"/>
          <w:szCs w:val="20"/>
        </w:rPr>
        <w:t>and r</w:t>
      </w:r>
      <w:r w:rsidR="007E0C66" w:rsidRPr="009A2830">
        <w:rPr>
          <w:rFonts w:ascii="Garamond" w:hAnsi="Garamond"/>
          <w:color w:val="000000"/>
          <w:sz w:val="24"/>
          <w:szCs w:val="20"/>
        </w:rPr>
        <w:t>evised based on their feedback</w:t>
      </w:r>
      <w:r w:rsidRPr="009A2830">
        <w:rPr>
          <w:rFonts w:ascii="Garamond" w:hAnsi="Garamond"/>
          <w:color w:val="000000"/>
          <w:sz w:val="24"/>
          <w:szCs w:val="20"/>
        </w:rPr>
        <w:t>.  The</w:t>
      </w:r>
      <w:r>
        <w:rPr>
          <w:rFonts w:ascii="Garamond" w:hAnsi="Garamond"/>
          <w:sz w:val="24"/>
          <w:szCs w:val="20"/>
        </w:rPr>
        <w:t xml:space="preserve"> average amount of time report</w:t>
      </w:r>
      <w:r w:rsidR="00C9576E">
        <w:rPr>
          <w:rFonts w:ascii="Garamond" w:hAnsi="Garamond"/>
          <w:sz w:val="24"/>
          <w:szCs w:val="20"/>
        </w:rPr>
        <w:t>ed to complete a survey was 4</w:t>
      </w:r>
      <w:r>
        <w:rPr>
          <w:rFonts w:ascii="Garamond" w:hAnsi="Garamond"/>
          <w:sz w:val="24"/>
          <w:szCs w:val="20"/>
        </w:rPr>
        <w:t xml:space="preserve"> minutes. Westat and Cloudburst Consulting Group, the organizations responsible for conducting the survey, have extensive experience in survey design and have used similar types of questions in the past (both in paper-based surveys and web-based surveys).</w:t>
      </w:r>
    </w:p>
    <w:p w:rsidR="00102B7D" w:rsidRDefault="00102B7D" w:rsidP="00102B7D">
      <w:pPr>
        <w:pStyle w:val="Heading1"/>
        <w:tabs>
          <w:tab w:val="left" w:pos="360"/>
        </w:tabs>
      </w:pPr>
    </w:p>
    <w:p w:rsidR="00102B7D" w:rsidRDefault="00102B7D" w:rsidP="00102B7D">
      <w:pPr>
        <w:pStyle w:val="Heading1"/>
        <w:tabs>
          <w:tab w:val="left" w:pos="360"/>
        </w:tabs>
        <w:rPr>
          <w:szCs w:val="22"/>
        </w:rPr>
      </w:pPr>
      <w:r>
        <w:rPr>
          <w:szCs w:val="22"/>
        </w:rPr>
        <w:t>F.</w:t>
      </w:r>
      <w:r>
        <w:rPr>
          <w:szCs w:val="22"/>
        </w:rPr>
        <w:tab/>
        <w:t>Use of Information Derived from the Proposed Collection</w:t>
      </w:r>
    </w:p>
    <w:p w:rsidR="00102B7D" w:rsidRDefault="00102B7D" w:rsidP="00102B7D">
      <w:pPr>
        <w:autoSpaceDE w:val="0"/>
        <w:autoSpaceDN w:val="0"/>
        <w:adjustRightInd w:val="0"/>
        <w:spacing w:after="0" w:line="240" w:lineRule="auto"/>
        <w:ind w:left="360"/>
        <w:rPr>
          <w:rFonts w:ascii="Garamond" w:hAnsi="Garamond"/>
          <w:sz w:val="24"/>
          <w:szCs w:val="20"/>
        </w:rPr>
      </w:pPr>
      <w:r>
        <w:rPr>
          <w:rFonts w:ascii="Garamond" w:hAnsi="Garamond"/>
          <w:sz w:val="24"/>
          <w:szCs w:val="20"/>
        </w:rPr>
        <w:t>The information collected by these instruments is entirely for the purposes of assessing the quality of the technical assistance and other knowledge transfer activities p</w:t>
      </w:r>
      <w:r w:rsidR="0051581C">
        <w:rPr>
          <w:rFonts w:ascii="Garamond" w:hAnsi="Garamond"/>
          <w:sz w:val="24"/>
          <w:szCs w:val="20"/>
        </w:rPr>
        <w:t>rovided under this Task Order, as part of a continual improvement process for the contractor.  For example, the inst</w:t>
      </w:r>
      <w:r w:rsidR="00F11BEB">
        <w:rPr>
          <w:rFonts w:ascii="Garamond" w:hAnsi="Garamond"/>
          <w:sz w:val="24"/>
          <w:szCs w:val="20"/>
        </w:rPr>
        <w:t>ruments will assess participant</w:t>
      </w:r>
      <w:r w:rsidR="0051581C">
        <w:rPr>
          <w:rFonts w:ascii="Garamond" w:hAnsi="Garamond"/>
          <w:sz w:val="24"/>
          <w:szCs w:val="20"/>
        </w:rPr>
        <w:t>s</w:t>
      </w:r>
      <w:r w:rsidR="00F11BEB">
        <w:rPr>
          <w:rFonts w:ascii="Garamond" w:hAnsi="Garamond"/>
          <w:sz w:val="24"/>
          <w:szCs w:val="20"/>
        </w:rPr>
        <w:t>’</w:t>
      </w:r>
      <w:r w:rsidR="0051581C">
        <w:rPr>
          <w:rFonts w:ascii="Garamond" w:hAnsi="Garamond"/>
          <w:sz w:val="24"/>
          <w:szCs w:val="20"/>
        </w:rPr>
        <w:t xml:space="preserve"> satisfaction with the products shared as part of training events, or their perceptions of the quality of presentations or speakers at webinars.  </w:t>
      </w:r>
      <w:r>
        <w:rPr>
          <w:rFonts w:ascii="Garamond" w:hAnsi="Garamond"/>
          <w:sz w:val="24"/>
          <w:szCs w:val="20"/>
        </w:rPr>
        <w:t xml:space="preserve">The information collected is for </w:t>
      </w:r>
      <w:r w:rsidRPr="00102B7D">
        <w:rPr>
          <w:rFonts w:ascii="Garamond" w:hAnsi="Garamond"/>
          <w:sz w:val="24"/>
          <w:szCs w:val="20"/>
        </w:rPr>
        <w:t>qualitative purposes only</w:t>
      </w:r>
      <w:r>
        <w:rPr>
          <w:rFonts w:ascii="Garamond" w:hAnsi="Garamond"/>
          <w:sz w:val="24"/>
          <w:szCs w:val="20"/>
        </w:rPr>
        <w:t xml:space="preserve">; no statistical analysis of results will be </w:t>
      </w:r>
      <w:r w:rsidR="0051581C">
        <w:rPr>
          <w:rFonts w:ascii="Garamond" w:hAnsi="Garamond"/>
          <w:sz w:val="24"/>
          <w:szCs w:val="20"/>
        </w:rPr>
        <w:t>produced beyond descriptive statistics (averages, frequencies, counts)</w:t>
      </w:r>
      <w:r w:rsidR="00EB40AC">
        <w:rPr>
          <w:rFonts w:ascii="Garamond" w:hAnsi="Garamond"/>
          <w:sz w:val="24"/>
          <w:szCs w:val="20"/>
        </w:rPr>
        <w:t xml:space="preserve"> for those individuals surveyed</w:t>
      </w:r>
      <w:r w:rsidR="0051581C">
        <w:rPr>
          <w:rFonts w:ascii="Garamond" w:hAnsi="Garamond"/>
          <w:sz w:val="24"/>
          <w:szCs w:val="20"/>
        </w:rPr>
        <w:t>;</w:t>
      </w:r>
      <w:r w:rsidRPr="00102B7D">
        <w:rPr>
          <w:rFonts w:ascii="Garamond" w:hAnsi="Garamond"/>
          <w:sz w:val="24"/>
          <w:szCs w:val="20"/>
        </w:rPr>
        <w:t xml:space="preserve"> </w:t>
      </w:r>
      <w:r w:rsidR="00C24D11" w:rsidRPr="00C24D11">
        <w:rPr>
          <w:rFonts w:ascii="Garamond" w:hAnsi="Garamond"/>
          <w:sz w:val="24"/>
          <w:szCs w:val="20"/>
        </w:rPr>
        <w:t>generalizatio</w:t>
      </w:r>
      <w:r w:rsidR="00C24D11">
        <w:rPr>
          <w:rFonts w:ascii="Garamond" w:hAnsi="Garamond"/>
          <w:sz w:val="24"/>
          <w:szCs w:val="20"/>
        </w:rPr>
        <w:t xml:space="preserve">ns or inferences </w:t>
      </w:r>
      <w:r w:rsidR="00EB40AC">
        <w:rPr>
          <w:rFonts w:ascii="Garamond" w:hAnsi="Garamond"/>
          <w:sz w:val="24"/>
          <w:szCs w:val="20"/>
        </w:rPr>
        <w:t xml:space="preserve">will </w:t>
      </w:r>
      <w:r w:rsidR="00EB40AC" w:rsidRPr="00EB40AC">
        <w:rPr>
          <w:rFonts w:ascii="Garamond" w:hAnsi="Garamond"/>
          <w:sz w:val="24"/>
          <w:szCs w:val="20"/>
          <w:u w:val="single"/>
        </w:rPr>
        <w:t>not</w:t>
      </w:r>
      <w:r w:rsidR="00EB40AC">
        <w:rPr>
          <w:rFonts w:ascii="Garamond" w:hAnsi="Garamond"/>
          <w:sz w:val="24"/>
          <w:szCs w:val="20"/>
        </w:rPr>
        <w:t xml:space="preserve"> be</w:t>
      </w:r>
      <w:r w:rsidR="00C24D11">
        <w:rPr>
          <w:rFonts w:ascii="Garamond" w:hAnsi="Garamond"/>
          <w:sz w:val="24"/>
          <w:szCs w:val="20"/>
        </w:rPr>
        <w:t xml:space="preserve"> permitted</w:t>
      </w:r>
      <w:r w:rsidR="00EB40AC">
        <w:rPr>
          <w:rFonts w:ascii="Garamond" w:hAnsi="Garamond"/>
          <w:sz w:val="24"/>
          <w:szCs w:val="20"/>
        </w:rPr>
        <w:t xml:space="preserve"> for other populations (e.g. all grantees or the public at large)</w:t>
      </w:r>
      <w:r w:rsidR="00C24D11">
        <w:rPr>
          <w:rFonts w:ascii="Garamond" w:hAnsi="Garamond"/>
          <w:sz w:val="24"/>
          <w:szCs w:val="20"/>
        </w:rPr>
        <w:t xml:space="preserve">; </w:t>
      </w:r>
      <w:r w:rsidR="0051581C">
        <w:rPr>
          <w:rFonts w:ascii="Garamond" w:hAnsi="Garamond"/>
          <w:sz w:val="24"/>
          <w:szCs w:val="20"/>
        </w:rPr>
        <w:t>any analysis</w:t>
      </w:r>
      <w:r w:rsidRPr="00102B7D">
        <w:rPr>
          <w:rFonts w:ascii="Garamond" w:hAnsi="Garamond"/>
          <w:sz w:val="24"/>
          <w:szCs w:val="20"/>
        </w:rPr>
        <w:t xml:space="preserve"> is for internal use only and will not be shared outside of SAMHSA/HHS, and will not be used for GPRA reporting or for making policy decisions.</w:t>
      </w:r>
    </w:p>
    <w:p w:rsidR="00102B7D" w:rsidRDefault="00102B7D">
      <w:pPr>
        <w:autoSpaceDE w:val="0"/>
        <w:autoSpaceDN w:val="0"/>
        <w:adjustRightInd w:val="0"/>
        <w:spacing w:after="0" w:line="240" w:lineRule="auto"/>
        <w:rPr>
          <w:rFonts w:ascii="Garamond" w:hAnsi="Garamond"/>
          <w:sz w:val="24"/>
          <w:szCs w:val="20"/>
        </w:rPr>
      </w:pPr>
    </w:p>
    <w:p w:rsidR="00102B7D" w:rsidRDefault="00102B7D">
      <w:pPr>
        <w:autoSpaceDE w:val="0"/>
        <w:autoSpaceDN w:val="0"/>
        <w:adjustRightInd w:val="0"/>
        <w:spacing w:after="0" w:line="240" w:lineRule="auto"/>
        <w:rPr>
          <w:rFonts w:ascii="Garamond" w:hAnsi="Garamond"/>
          <w:sz w:val="24"/>
          <w:szCs w:val="20"/>
        </w:rPr>
      </w:pPr>
      <w:r>
        <w:rPr>
          <w:rFonts w:ascii="Garamond" w:hAnsi="Garamond"/>
          <w:sz w:val="24"/>
          <w:szCs w:val="20"/>
        </w:rPr>
        <w:br w:type="page"/>
      </w:r>
    </w:p>
    <w:p w:rsidR="00DA1CE0" w:rsidRDefault="00102B7D" w:rsidP="00C96D83">
      <w:pPr>
        <w:pStyle w:val="Heading1"/>
        <w:tabs>
          <w:tab w:val="left" w:pos="360"/>
        </w:tabs>
        <w:rPr>
          <w:szCs w:val="22"/>
        </w:rPr>
      </w:pPr>
      <w:r>
        <w:rPr>
          <w:szCs w:val="22"/>
        </w:rPr>
        <w:t>G</w:t>
      </w:r>
      <w:r w:rsidR="00C96D83">
        <w:rPr>
          <w:szCs w:val="22"/>
        </w:rPr>
        <w:t>.</w:t>
      </w:r>
      <w:r w:rsidR="00C96D83">
        <w:rPr>
          <w:szCs w:val="22"/>
        </w:rPr>
        <w:tab/>
      </w:r>
      <w:r w:rsidR="00DA1CE0">
        <w:rPr>
          <w:szCs w:val="22"/>
        </w:rPr>
        <w:t>Federal Task Order Officers</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Onaje Salim, MA, LPC</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Public Health Advisor</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SAMHSA</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Center for Substance Abuse Treatment</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Co-Occurring and Homeless Activities Branch</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1 Choke Cherry Road, Room 5-1056</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Rockville, MD  20857</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Phone: 240-276-2895</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Fax: 240-276-2800</w:t>
      </w:r>
    </w:p>
    <w:p w:rsidR="00997007" w:rsidRPr="00997007" w:rsidRDefault="00997007" w:rsidP="00997007">
      <w:pPr>
        <w:spacing w:after="0" w:line="240" w:lineRule="auto"/>
        <w:rPr>
          <w:rFonts w:ascii="Garamond" w:hAnsi="Garamond"/>
          <w:sz w:val="24"/>
          <w:szCs w:val="24"/>
        </w:rPr>
      </w:pPr>
      <w:r w:rsidRPr="00997007">
        <w:rPr>
          <w:rFonts w:ascii="Garamond" w:hAnsi="Garamond"/>
          <w:sz w:val="24"/>
          <w:szCs w:val="24"/>
        </w:rPr>
        <w:t xml:space="preserve">Email: </w:t>
      </w:r>
      <w:hyperlink r:id="rId7" w:history="1">
        <w:r w:rsidRPr="00997007">
          <w:rPr>
            <w:rStyle w:val="Hyperlink"/>
            <w:rFonts w:ascii="Garamond" w:hAnsi="Garamond" w:cs="Arial"/>
            <w:sz w:val="24"/>
            <w:szCs w:val="24"/>
          </w:rPr>
          <w:t>onaje.salim@samhsa.hhs.gov</w:t>
        </w:r>
      </w:hyperlink>
      <w:r w:rsidRPr="00997007">
        <w:rPr>
          <w:rFonts w:ascii="Garamond" w:hAnsi="Garamond"/>
          <w:sz w:val="24"/>
          <w:szCs w:val="24"/>
        </w:rPr>
        <w:t xml:space="preserve"> </w:t>
      </w:r>
    </w:p>
    <w:p w:rsidR="00997007" w:rsidRDefault="00997007" w:rsidP="00863D8C">
      <w:pPr>
        <w:autoSpaceDE w:val="0"/>
        <w:autoSpaceDN w:val="0"/>
        <w:adjustRightInd w:val="0"/>
        <w:spacing w:after="0" w:line="240" w:lineRule="auto"/>
        <w:ind w:left="360" w:hanging="360"/>
        <w:rPr>
          <w:rFonts w:ascii="Garamond" w:hAnsi="Garamond"/>
          <w:sz w:val="24"/>
        </w:rPr>
      </w:pPr>
    </w:p>
    <w:p w:rsidR="00DA1CE0" w:rsidRPr="008D2F6B" w:rsidRDefault="00863D8C" w:rsidP="00863D8C">
      <w:pPr>
        <w:autoSpaceDE w:val="0"/>
        <w:autoSpaceDN w:val="0"/>
        <w:adjustRightInd w:val="0"/>
        <w:spacing w:after="0" w:line="240" w:lineRule="auto"/>
        <w:ind w:left="360" w:hanging="360"/>
        <w:rPr>
          <w:rFonts w:ascii="Garamond" w:hAnsi="Garamond"/>
          <w:sz w:val="24"/>
        </w:rPr>
      </w:pPr>
      <w:r>
        <w:rPr>
          <w:rFonts w:ascii="Garamond" w:hAnsi="Garamond"/>
          <w:sz w:val="24"/>
        </w:rPr>
        <w:t>D</w:t>
      </w:r>
      <w:r w:rsidR="00DA1CE0" w:rsidRPr="008D2F6B">
        <w:rPr>
          <w:rFonts w:ascii="Garamond" w:hAnsi="Garamond"/>
          <w:sz w:val="24"/>
        </w:rPr>
        <w:t>r. Charlene LeFauve</w:t>
      </w:r>
    </w:p>
    <w:p w:rsidR="00DA1CE0" w:rsidRPr="008D2F6B" w:rsidRDefault="00863D8C" w:rsidP="00863D8C">
      <w:pPr>
        <w:autoSpaceDE w:val="0"/>
        <w:autoSpaceDN w:val="0"/>
        <w:adjustRightInd w:val="0"/>
        <w:spacing w:after="0" w:line="240" w:lineRule="auto"/>
        <w:ind w:left="360" w:hanging="360"/>
        <w:rPr>
          <w:rFonts w:ascii="Garamond" w:hAnsi="Garamond"/>
          <w:sz w:val="24"/>
        </w:rPr>
      </w:pPr>
      <w:r>
        <w:rPr>
          <w:rFonts w:ascii="Garamond" w:hAnsi="Garamond"/>
          <w:sz w:val="24"/>
        </w:rPr>
        <w:t xml:space="preserve">CODI </w:t>
      </w:r>
      <w:r w:rsidR="00DA1CE0" w:rsidRPr="008D2F6B">
        <w:rPr>
          <w:rFonts w:ascii="Garamond" w:hAnsi="Garamond"/>
          <w:sz w:val="24"/>
        </w:rPr>
        <w:t>Task Order Officer</w:t>
      </w:r>
    </w:p>
    <w:p w:rsidR="00863D8C" w:rsidRDefault="00863D8C" w:rsidP="00863D8C">
      <w:pPr>
        <w:autoSpaceDE w:val="0"/>
        <w:autoSpaceDN w:val="0"/>
        <w:adjustRightInd w:val="0"/>
        <w:spacing w:after="0" w:line="240" w:lineRule="auto"/>
        <w:ind w:left="360" w:hanging="360"/>
        <w:rPr>
          <w:rFonts w:ascii="Garamond" w:hAnsi="Garamond"/>
          <w:sz w:val="24"/>
        </w:rPr>
      </w:pPr>
      <w:r>
        <w:rPr>
          <w:rFonts w:ascii="Garamond" w:hAnsi="Garamond"/>
          <w:sz w:val="24"/>
        </w:rPr>
        <w:t>Center for Substance Abuse Treatment</w:t>
      </w:r>
    </w:p>
    <w:p w:rsidR="00863D8C" w:rsidRDefault="00DA1CE0" w:rsidP="00863D8C">
      <w:pPr>
        <w:autoSpaceDE w:val="0"/>
        <w:autoSpaceDN w:val="0"/>
        <w:adjustRightInd w:val="0"/>
        <w:spacing w:after="0" w:line="240" w:lineRule="auto"/>
        <w:ind w:left="360" w:hanging="360"/>
        <w:rPr>
          <w:rFonts w:ascii="Garamond" w:hAnsi="Garamond"/>
          <w:sz w:val="24"/>
        </w:rPr>
      </w:pPr>
      <w:r w:rsidRPr="008D2F6B">
        <w:rPr>
          <w:rFonts w:ascii="Garamond" w:hAnsi="Garamond"/>
          <w:sz w:val="24"/>
        </w:rPr>
        <w:t>S</w:t>
      </w:r>
      <w:r w:rsidR="00863D8C">
        <w:rPr>
          <w:rFonts w:ascii="Garamond" w:hAnsi="Garamond"/>
          <w:sz w:val="24"/>
        </w:rPr>
        <w:t>ubstance Abuse and Mental Health Services Administration</w:t>
      </w:r>
    </w:p>
    <w:p w:rsidR="00DA1CE0" w:rsidRPr="008D2F6B" w:rsidRDefault="00DA1CE0" w:rsidP="00863D8C">
      <w:pPr>
        <w:autoSpaceDE w:val="0"/>
        <w:autoSpaceDN w:val="0"/>
        <w:adjustRightInd w:val="0"/>
        <w:spacing w:after="0" w:line="240" w:lineRule="auto"/>
        <w:rPr>
          <w:rFonts w:ascii="Garamond" w:hAnsi="Garamond"/>
          <w:sz w:val="24"/>
        </w:rPr>
      </w:pPr>
      <w:r w:rsidRPr="008D2F6B">
        <w:rPr>
          <w:rFonts w:ascii="Garamond" w:hAnsi="Garamond"/>
          <w:sz w:val="24"/>
        </w:rPr>
        <w:t>Choke Cherry Road</w:t>
      </w:r>
    </w:p>
    <w:p w:rsidR="00DA1CE0" w:rsidRPr="008D2F6B" w:rsidRDefault="00DA1CE0" w:rsidP="00863D8C">
      <w:pPr>
        <w:autoSpaceDE w:val="0"/>
        <w:autoSpaceDN w:val="0"/>
        <w:adjustRightInd w:val="0"/>
        <w:spacing w:after="0" w:line="240" w:lineRule="auto"/>
        <w:ind w:left="360" w:hanging="360"/>
        <w:rPr>
          <w:rFonts w:ascii="Garamond" w:hAnsi="Garamond"/>
          <w:sz w:val="24"/>
        </w:rPr>
      </w:pPr>
      <w:r w:rsidRPr="008D2F6B">
        <w:rPr>
          <w:rFonts w:ascii="Garamond" w:hAnsi="Garamond"/>
          <w:sz w:val="24"/>
        </w:rPr>
        <w:t>Rockville, MD 20857</w:t>
      </w:r>
    </w:p>
    <w:p w:rsidR="001634F6" w:rsidRPr="00C96D83" w:rsidRDefault="001634F6" w:rsidP="001634F6">
      <w:pPr>
        <w:pStyle w:val="Heading1"/>
        <w:rPr>
          <w:b w:val="0"/>
          <w:bCs w:val="0"/>
          <w:szCs w:val="22"/>
        </w:rPr>
      </w:pPr>
      <w:r w:rsidRPr="00C96D83">
        <w:rPr>
          <w:b w:val="0"/>
          <w:bCs w:val="0"/>
          <w:szCs w:val="22"/>
        </w:rPr>
        <w:t xml:space="preserve">Phone: 240-276-2787 </w:t>
      </w:r>
    </w:p>
    <w:p w:rsidR="001634F6" w:rsidRPr="00C96D83" w:rsidRDefault="001634F6" w:rsidP="001634F6">
      <w:pPr>
        <w:pStyle w:val="Heading1"/>
        <w:rPr>
          <w:b w:val="0"/>
          <w:bCs w:val="0"/>
          <w:szCs w:val="22"/>
        </w:rPr>
      </w:pPr>
      <w:r w:rsidRPr="00C96D83">
        <w:rPr>
          <w:b w:val="0"/>
          <w:bCs w:val="0"/>
          <w:szCs w:val="22"/>
        </w:rPr>
        <w:t xml:space="preserve">Cellular: 301-367-9580 </w:t>
      </w:r>
    </w:p>
    <w:p w:rsidR="001634F6" w:rsidRPr="00C96D83" w:rsidRDefault="001634F6" w:rsidP="001634F6">
      <w:pPr>
        <w:pStyle w:val="Heading1"/>
        <w:rPr>
          <w:b w:val="0"/>
          <w:bCs w:val="0"/>
          <w:szCs w:val="22"/>
        </w:rPr>
      </w:pPr>
      <w:r w:rsidRPr="00C96D83">
        <w:rPr>
          <w:b w:val="0"/>
          <w:bCs w:val="0"/>
          <w:szCs w:val="22"/>
        </w:rPr>
        <w:t xml:space="preserve">Fax: 240-276-2800 </w:t>
      </w:r>
    </w:p>
    <w:p w:rsidR="00863D8C" w:rsidRPr="00C96D83" w:rsidRDefault="001634F6" w:rsidP="001634F6">
      <w:pPr>
        <w:pStyle w:val="Heading1"/>
        <w:rPr>
          <w:b w:val="0"/>
          <w:bCs w:val="0"/>
          <w:szCs w:val="22"/>
        </w:rPr>
      </w:pPr>
      <w:r w:rsidRPr="00C96D83">
        <w:rPr>
          <w:b w:val="0"/>
          <w:bCs w:val="0"/>
          <w:szCs w:val="22"/>
        </w:rPr>
        <w:t xml:space="preserve">Email: </w:t>
      </w:r>
      <w:hyperlink r:id="rId8" w:history="1">
        <w:r w:rsidRPr="0099696A">
          <w:rPr>
            <w:rStyle w:val="Hyperlink"/>
            <w:b w:val="0"/>
            <w:color w:val="0070C0"/>
          </w:rPr>
          <w:t>charlene.lefauve@samhsa.hhs.gov</w:t>
        </w:r>
      </w:hyperlink>
    </w:p>
    <w:p w:rsidR="001634F6" w:rsidRPr="001634F6" w:rsidRDefault="001634F6" w:rsidP="001E1284">
      <w:pPr>
        <w:spacing w:after="0" w:line="240" w:lineRule="auto"/>
      </w:pPr>
    </w:p>
    <w:p w:rsidR="00997007" w:rsidRPr="00997007" w:rsidRDefault="00997007" w:rsidP="00997007">
      <w:pPr>
        <w:pStyle w:val="Heading1"/>
        <w:rPr>
          <w:b w:val="0"/>
          <w:szCs w:val="24"/>
        </w:rPr>
      </w:pPr>
      <w:r w:rsidRPr="00997007">
        <w:rPr>
          <w:b w:val="0"/>
          <w:szCs w:val="24"/>
        </w:rPr>
        <w:t>Deborah Stone, Ph.D.</w:t>
      </w:r>
    </w:p>
    <w:p w:rsidR="00997007" w:rsidRPr="00997007" w:rsidRDefault="00997007" w:rsidP="00997007">
      <w:pPr>
        <w:pStyle w:val="Heading1"/>
        <w:rPr>
          <w:b w:val="0"/>
          <w:szCs w:val="24"/>
        </w:rPr>
      </w:pPr>
      <w:r w:rsidRPr="00997007">
        <w:rPr>
          <w:b w:val="0"/>
          <w:szCs w:val="24"/>
        </w:rPr>
        <w:t>SAMHSA/Center for Mental Health Services</w:t>
      </w:r>
    </w:p>
    <w:p w:rsidR="00997007" w:rsidRPr="00997007" w:rsidRDefault="00997007" w:rsidP="00997007">
      <w:pPr>
        <w:pStyle w:val="Heading1"/>
        <w:rPr>
          <w:b w:val="0"/>
          <w:szCs w:val="24"/>
        </w:rPr>
      </w:pPr>
      <w:r w:rsidRPr="00997007">
        <w:rPr>
          <w:b w:val="0"/>
          <w:szCs w:val="24"/>
        </w:rPr>
        <w:t>DSSI/Homeless Programs Branch</w:t>
      </w:r>
    </w:p>
    <w:p w:rsidR="00997007" w:rsidRPr="00997007" w:rsidRDefault="00997007" w:rsidP="00997007">
      <w:pPr>
        <w:pStyle w:val="Heading1"/>
        <w:rPr>
          <w:b w:val="0"/>
          <w:szCs w:val="24"/>
        </w:rPr>
      </w:pPr>
      <w:r w:rsidRPr="00997007">
        <w:rPr>
          <w:b w:val="0"/>
          <w:szCs w:val="24"/>
        </w:rPr>
        <w:t>1 Choke Cherry Road, Room 6-1031</w:t>
      </w:r>
    </w:p>
    <w:p w:rsidR="00997007" w:rsidRPr="00997007" w:rsidRDefault="00997007" w:rsidP="00997007">
      <w:pPr>
        <w:pStyle w:val="Heading1"/>
        <w:rPr>
          <w:b w:val="0"/>
          <w:szCs w:val="24"/>
        </w:rPr>
      </w:pPr>
      <w:r w:rsidRPr="00997007">
        <w:rPr>
          <w:b w:val="0"/>
          <w:szCs w:val="24"/>
        </w:rPr>
        <w:t>Rockville, MD 20850</w:t>
      </w:r>
    </w:p>
    <w:p w:rsidR="00997007" w:rsidRPr="00997007" w:rsidRDefault="00997007" w:rsidP="00997007">
      <w:pPr>
        <w:pStyle w:val="Heading1"/>
        <w:rPr>
          <w:b w:val="0"/>
          <w:szCs w:val="24"/>
        </w:rPr>
      </w:pPr>
      <w:r w:rsidRPr="00997007">
        <w:rPr>
          <w:b w:val="0"/>
          <w:szCs w:val="24"/>
        </w:rPr>
        <w:t>240-276-2411</w:t>
      </w:r>
    </w:p>
    <w:p w:rsidR="00997007" w:rsidRPr="00997007" w:rsidRDefault="00997007" w:rsidP="00997007">
      <w:pPr>
        <w:pStyle w:val="Heading1"/>
        <w:rPr>
          <w:b w:val="0"/>
          <w:szCs w:val="24"/>
        </w:rPr>
      </w:pPr>
      <w:r w:rsidRPr="00997007">
        <w:rPr>
          <w:b w:val="0"/>
          <w:szCs w:val="24"/>
        </w:rPr>
        <w:t>FAX: 240-276-1930</w:t>
      </w:r>
    </w:p>
    <w:p w:rsidR="00DA1CE0" w:rsidRDefault="0099696A" w:rsidP="00997007">
      <w:pPr>
        <w:pStyle w:val="Heading1"/>
        <w:rPr>
          <w:b w:val="0"/>
          <w:szCs w:val="24"/>
        </w:rPr>
      </w:pPr>
      <w:r>
        <w:rPr>
          <w:b w:val="0"/>
          <w:szCs w:val="24"/>
        </w:rPr>
        <w:t xml:space="preserve">E-mail: </w:t>
      </w:r>
      <w:hyperlink r:id="rId9" w:history="1">
        <w:r w:rsidRPr="00CC7D24">
          <w:rPr>
            <w:rStyle w:val="Hyperlink"/>
            <w:b w:val="0"/>
            <w:szCs w:val="24"/>
          </w:rPr>
          <w:t>deborah.stone@samhsa.hhs.gov</w:t>
        </w:r>
      </w:hyperlink>
    </w:p>
    <w:p w:rsidR="0099696A" w:rsidRPr="0099696A" w:rsidRDefault="0099696A" w:rsidP="0099696A"/>
    <w:sectPr w:rsidR="0099696A" w:rsidRPr="0099696A" w:rsidSect="00CF3E62">
      <w:headerReference w:type="default" r:id="rId10"/>
      <w:footerReference w:type="even" r:id="rId11"/>
      <w:footerReference w:type="default" r:id="rId12"/>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E0C" w:rsidRDefault="00FF1E0C">
      <w:r>
        <w:separator/>
      </w:r>
    </w:p>
  </w:endnote>
  <w:endnote w:type="continuationSeparator" w:id="0">
    <w:p w:rsidR="00FF1E0C" w:rsidRDefault="00FF1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1" w:rsidRDefault="002F1B18">
    <w:pPr>
      <w:pStyle w:val="Footer"/>
      <w:framePr w:wrap="around" w:vAnchor="text" w:hAnchor="margin" w:xAlign="right" w:y="1"/>
      <w:rPr>
        <w:rStyle w:val="PageNumber"/>
      </w:rPr>
    </w:pPr>
    <w:r>
      <w:rPr>
        <w:rStyle w:val="PageNumber"/>
      </w:rPr>
      <w:fldChar w:fldCharType="begin"/>
    </w:r>
    <w:r w:rsidR="002F7691">
      <w:rPr>
        <w:rStyle w:val="PageNumber"/>
      </w:rPr>
      <w:instrText xml:space="preserve">PAGE  </w:instrText>
    </w:r>
    <w:r>
      <w:rPr>
        <w:rStyle w:val="PageNumber"/>
      </w:rPr>
      <w:fldChar w:fldCharType="end"/>
    </w:r>
  </w:p>
  <w:p w:rsidR="002F7691" w:rsidRDefault="002F76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1" w:rsidRDefault="002F1B18">
    <w:pPr>
      <w:pStyle w:val="Footer"/>
      <w:framePr w:wrap="around" w:vAnchor="text" w:hAnchor="margin" w:xAlign="right" w:y="1"/>
      <w:rPr>
        <w:rStyle w:val="PageNumber"/>
      </w:rPr>
    </w:pPr>
    <w:r>
      <w:rPr>
        <w:rStyle w:val="PageNumber"/>
      </w:rPr>
      <w:fldChar w:fldCharType="begin"/>
    </w:r>
    <w:r w:rsidR="002F7691">
      <w:rPr>
        <w:rStyle w:val="PageNumber"/>
      </w:rPr>
      <w:instrText xml:space="preserve">PAGE  </w:instrText>
    </w:r>
    <w:r>
      <w:rPr>
        <w:rStyle w:val="PageNumber"/>
      </w:rPr>
      <w:fldChar w:fldCharType="separate"/>
    </w:r>
    <w:r w:rsidR="00F11BEB">
      <w:rPr>
        <w:rStyle w:val="PageNumber"/>
        <w:noProof/>
      </w:rPr>
      <w:t>6</w:t>
    </w:r>
    <w:r>
      <w:rPr>
        <w:rStyle w:val="PageNumber"/>
      </w:rPr>
      <w:fldChar w:fldCharType="end"/>
    </w:r>
  </w:p>
  <w:p w:rsidR="002F7691" w:rsidRDefault="002F769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E0C" w:rsidRDefault="00FF1E0C">
      <w:r>
        <w:separator/>
      </w:r>
    </w:p>
  </w:footnote>
  <w:footnote w:type="continuationSeparator" w:id="0">
    <w:p w:rsidR="00FF1E0C" w:rsidRDefault="00FF1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1" w:rsidRDefault="002F1B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8.25pt;height:49.5pt;visibility:visible">
          <v:imagedata r:id="rId1" o:title="CODI_Logo_Print"/>
        </v:shape>
      </w:pict>
    </w:r>
  </w:p>
  <w:p w:rsidR="002F7691" w:rsidRDefault="002F76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A560E"/>
    <w:multiLevelType w:val="hybridMultilevel"/>
    <w:tmpl w:val="BFCC9292"/>
    <w:lvl w:ilvl="0" w:tplc="5D38BF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C26983"/>
    <w:multiLevelType w:val="hybridMultilevel"/>
    <w:tmpl w:val="B562FF92"/>
    <w:lvl w:ilvl="0" w:tplc="47E0F13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B564B4"/>
    <w:multiLevelType w:val="hybridMultilevel"/>
    <w:tmpl w:val="D894578E"/>
    <w:lvl w:ilvl="0" w:tplc="21CCD1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AF64EF"/>
    <w:multiLevelType w:val="multilevel"/>
    <w:tmpl w:val="733E9642"/>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C095F4D"/>
    <w:multiLevelType w:val="multilevel"/>
    <w:tmpl w:val="733E9642"/>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25D17B8"/>
    <w:multiLevelType w:val="hybridMultilevel"/>
    <w:tmpl w:val="F2543F1A"/>
    <w:lvl w:ilvl="0" w:tplc="EB92F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0F5412"/>
    <w:multiLevelType w:val="hybridMultilevel"/>
    <w:tmpl w:val="4F9A6124"/>
    <w:lvl w:ilvl="0" w:tplc="3B688E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0C66"/>
    <w:rsid w:val="00011885"/>
    <w:rsid w:val="000817CB"/>
    <w:rsid w:val="00102B7D"/>
    <w:rsid w:val="00122C5E"/>
    <w:rsid w:val="001634F6"/>
    <w:rsid w:val="001E1284"/>
    <w:rsid w:val="00280653"/>
    <w:rsid w:val="002A2DD0"/>
    <w:rsid w:val="002B30D9"/>
    <w:rsid w:val="002F1B18"/>
    <w:rsid w:val="002F7691"/>
    <w:rsid w:val="00353926"/>
    <w:rsid w:val="003A0081"/>
    <w:rsid w:val="004D2D5C"/>
    <w:rsid w:val="0051581C"/>
    <w:rsid w:val="0057050D"/>
    <w:rsid w:val="00635BEE"/>
    <w:rsid w:val="006A725A"/>
    <w:rsid w:val="00754802"/>
    <w:rsid w:val="007E0C66"/>
    <w:rsid w:val="00863D8C"/>
    <w:rsid w:val="00873D34"/>
    <w:rsid w:val="008B1464"/>
    <w:rsid w:val="008C58D4"/>
    <w:rsid w:val="008D2F6B"/>
    <w:rsid w:val="00900C49"/>
    <w:rsid w:val="00911F5D"/>
    <w:rsid w:val="00914056"/>
    <w:rsid w:val="00955666"/>
    <w:rsid w:val="0099696A"/>
    <w:rsid w:val="00997007"/>
    <w:rsid w:val="009A2830"/>
    <w:rsid w:val="00A14042"/>
    <w:rsid w:val="00A23419"/>
    <w:rsid w:val="00A70E3A"/>
    <w:rsid w:val="00BB7537"/>
    <w:rsid w:val="00C13316"/>
    <w:rsid w:val="00C24D11"/>
    <w:rsid w:val="00C30B3E"/>
    <w:rsid w:val="00C46371"/>
    <w:rsid w:val="00C46B81"/>
    <w:rsid w:val="00C9576E"/>
    <w:rsid w:val="00C96D83"/>
    <w:rsid w:val="00CF3E62"/>
    <w:rsid w:val="00D05DF6"/>
    <w:rsid w:val="00D716D6"/>
    <w:rsid w:val="00DA1CE0"/>
    <w:rsid w:val="00E26341"/>
    <w:rsid w:val="00E36D5D"/>
    <w:rsid w:val="00E87A6D"/>
    <w:rsid w:val="00EB40AC"/>
    <w:rsid w:val="00F11BEB"/>
    <w:rsid w:val="00FF1E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E62"/>
    <w:pPr>
      <w:spacing w:after="200" w:line="276" w:lineRule="auto"/>
    </w:pPr>
    <w:rPr>
      <w:sz w:val="22"/>
      <w:szCs w:val="22"/>
    </w:rPr>
  </w:style>
  <w:style w:type="paragraph" w:styleId="Heading1">
    <w:name w:val="heading 1"/>
    <w:basedOn w:val="Normal"/>
    <w:next w:val="Normal"/>
    <w:qFormat/>
    <w:rsid w:val="00CF3E62"/>
    <w:pPr>
      <w:keepNext/>
      <w:autoSpaceDE w:val="0"/>
      <w:autoSpaceDN w:val="0"/>
      <w:adjustRightInd w:val="0"/>
      <w:spacing w:after="0" w:line="240" w:lineRule="auto"/>
      <w:outlineLvl w:val="0"/>
    </w:pPr>
    <w:rPr>
      <w:rFonts w:ascii="Garamond" w:hAnsi="Garamond"/>
      <w:b/>
      <w:bCs/>
      <w:sz w:val="24"/>
      <w:szCs w:val="20"/>
    </w:rPr>
  </w:style>
  <w:style w:type="paragraph" w:styleId="Heading2">
    <w:name w:val="heading 2"/>
    <w:basedOn w:val="Normal"/>
    <w:next w:val="Normal"/>
    <w:qFormat/>
    <w:rsid w:val="00CF3E62"/>
    <w:pPr>
      <w:keepNext/>
      <w:autoSpaceDE w:val="0"/>
      <w:autoSpaceDN w:val="0"/>
      <w:adjustRightInd w:val="0"/>
      <w:spacing w:after="0" w:line="240" w:lineRule="auto"/>
      <w:jc w:val="center"/>
      <w:outlineLvl w:val="1"/>
    </w:pPr>
    <w:rPr>
      <w:rFonts w:ascii="Garamond" w:hAnsi="Garamond"/>
      <w:b/>
      <w:bCs/>
      <w:sz w:val="24"/>
    </w:rPr>
  </w:style>
  <w:style w:type="paragraph" w:styleId="Heading3">
    <w:name w:val="heading 3"/>
    <w:basedOn w:val="Normal"/>
    <w:next w:val="Normal"/>
    <w:qFormat/>
    <w:rsid w:val="00CF3E62"/>
    <w:pPr>
      <w:keepNext/>
      <w:framePr w:hSpace="180" w:wrap="around" w:vAnchor="text" w:hAnchor="margin" w:x="108" w:y="-13"/>
      <w:jc w:val="center"/>
      <w:outlineLvl w:val="2"/>
    </w:pPr>
    <w:rPr>
      <w:rFonts w:ascii="Garamond" w:hAnsi="Garamond"/>
      <w:b/>
      <w:bCs/>
      <w:sz w:val="24"/>
      <w:szCs w:val="10"/>
    </w:rPr>
  </w:style>
  <w:style w:type="paragraph" w:styleId="Heading4">
    <w:name w:val="heading 4"/>
    <w:basedOn w:val="Normal"/>
    <w:qFormat/>
    <w:rsid w:val="00CF3E62"/>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qFormat/>
    <w:rsid w:val="00CF3E62"/>
    <w:pPr>
      <w:keepNext/>
      <w:jc w:val="center"/>
      <w:outlineLvl w:val="4"/>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3E62"/>
    <w:pPr>
      <w:autoSpaceDE w:val="0"/>
      <w:autoSpaceDN w:val="0"/>
      <w:adjustRightInd w:val="0"/>
      <w:spacing w:after="0" w:line="240" w:lineRule="auto"/>
    </w:pPr>
    <w:rPr>
      <w:rFonts w:ascii="Garamond" w:hAnsi="Garamond"/>
      <w:sz w:val="24"/>
      <w:szCs w:val="20"/>
    </w:rPr>
  </w:style>
  <w:style w:type="paragraph" w:styleId="Title">
    <w:name w:val="Title"/>
    <w:basedOn w:val="Normal"/>
    <w:qFormat/>
    <w:rsid w:val="00CF3E62"/>
    <w:pPr>
      <w:autoSpaceDE w:val="0"/>
      <w:autoSpaceDN w:val="0"/>
      <w:adjustRightInd w:val="0"/>
      <w:spacing w:after="0" w:line="240" w:lineRule="auto"/>
      <w:jc w:val="center"/>
    </w:pPr>
    <w:rPr>
      <w:rFonts w:ascii="Garamond" w:hAnsi="Garamond"/>
      <w:b/>
      <w:bCs/>
      <w:sz w:val="24"/>
    </w:rPr>
  </w:style>
  <w:style w:type="paragraph" w:styleId="Subtitle">
    <w:name w:val="Subtitle"/>
    <w:basedOn w:val="Normal"/>
    <w:qFormat/>
    <w:rsid w:val="00CF3E62"/>
    <w:pPr>
      <w:autoSpaceDE w:val="0"/>
      <w:autoSpaceDN w:val="0"/>
      <w:adjustRightInd w:val="0"/>
      <w:spacing w:after="0" w:line="240" w:lineRule="auto"/>
      <w:jc w:val="center"/>
    </w:pPr>
    <w:rPr>
      <w:rFonts w:ascii="Garamond" w:hAnsi="Garamond"/>
      <w:b/>
      <w:bCs/>
      <w:sz w:val="24"/>
    </w:rPr>
  </w:style>
  <w:style w:type="paragraph" w:styleId="BodyTextIndent">
    <w:name w:val="Body Text Indent"/>
    <w:basedOn w:val="Normal"/>
    <w:rsid w:val="00CF3E62"/>
    <w:pPr>
      <w:autoSpaceDE w:val="0"/>
      <w:autoSpaceDN w:val="0"/>
      <w:adjustRightInd w:val="0"/>
      <w:spacing w:after="0" w:line="240" w:lineRule="auto"/>
      <w:ind w:left="720"/>
    </w:pPr>
    <w:rPr>
      <w:rFonts w:ascii="Garamond" w:hAnsi="Garamond"/>
      <w:color w:val="FF0000"/>
      <w:sz w:val="24"/>
      <w:szCs w:val="20"/>
    </w:rPr>
  </w:style>
  <w:style w:type="paragraph" w:styleId="BodyTextIndent2">
    <w:name w:val="Body Text Indent 2"/>
    <w:basedOn w:val="Normal"/>
    <w:rsid w:val="00CF3E62"/>
    <w:pPr>
      <w:autoSpaceDE w:val="0"/>
      <w:autoSpaceDN w:val="0"/>
      <w:adjustRightInd w:val="0"/>
      <w:spacing w:after="0" w:line="240" w:lineRule="auto"/>
      <w:ind w:left="720"/>
    </w:pPr>
    <w:rPr>
      <w:rFonts w:ascii="Garamond" w:hAnsi="Garamond"/>
      <w:sz w:val="24"/>
    </w:rPr>
  </w:style>
  <w:style w:type="paragraph" w:styleId="BodyTextIndent3">
    <w:name w:val="Body Text Indent 3"/>
    <w:basedOn w:val="Normal"/>
    <w:rsid w:val="00CF3E62"/>
    <w:pPr>
      <w:ind w:left="1080"/>
    </w:pPr>
    <w:rPr>
      <w:rFonts w:ascii="Garamond" w:hAnsi="Garamond"/>
      <w:sz w:val="24"/>
    </w:rPr>
  </w:style>
  <w:style w:type="paragraph" w:styleId="NormalWeb">
    <w:name w:val="Normal (Web)"/>
    <w:basedOn w:val="Normal"/>
    <w:rsid w:val="00CF3E6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rsid w:val="00CF3E62"/>
    <w:rPr>
      <w:color w:val="0000FF"/>
      <w:u w:val="single"/>
    </w:rPr>
  </w:style>
  <w:style w:type="paragraph" w:styleId="Footer">
    <w:name w:val="footer"/>
    <w:basedOn w:val="Normal"/>
    <w:rsid w:val="00CF3E62"/>
    <w:pPr>
      <w:tabs>
        <w:tab w:val="center" w:pos="4320"/>
        <w:tab w:val="right" w:pos="8640"/>
      </w:tabs>
    </w:pPr>
  </w:style>
  <w:style w:type="character" w:styleId="PageNumber">
    <w:name w:val="page number"/>
    <w:basedOn w:val="DefaultParagraphFont"/>
    <w:rsid w:val="00CF3E62"/>
  </w:style>
  <w:style w:type="character" w:styleId="Strong">
    <w:name w:val="Strong"/>
    <w:basedOn w:val="DefaultParagraphFont"/>
    <w:qFormat/>
    <w:rsid w:val="00CF3E62"/>
    <w:rPr>
      <w:b/>
      <w:bCs/>
    </w:rPr>
  </w:style>
  <w:style w:type="paragraph" w:styleId="BodyText2">
    <w:name w:val="Body Text 2"/>
    <w:basedOn w:val="Normal"/>
    <w:rsid w:val="00CF3E62"/>
    <w:pPr>
      <w:jc w:val="center"/>
    </w:pPr>
    <w:rPr>
      <w:rFonts w:ascii="Garamond" w:hAnsi="Garamond"/>
      <w:sz w:val="24"/>
    </w:rPr>
  </w:style>
  <w:style w:type="character" w:styleId="FollowedHyperlink">
    <w:name w:val="FollowedHyperlink"/>
    <w:basedOn w:val="DefaultParagraphFont"/>
    <w:rsid w:val="00CF3E62"/>
    <w:rPr>
      <w:color w:val="800080"/>
      <w:u w:val="single"/>
    </w:rPr>
  </w:style>
  <w:style w:type="character" w:styleId="CommentReference">
    <w:name w:val="annotation reference"/>
    <w:basedOn w:val="DefaultParagraphFont"/>
    <w:semiHidden/>
    <w:rsid w:val="00C46371"/>
    <w:rPr>
      <w:sz w:val="16"/>
      <w:szCs w:val="16"/>
    </w:rPr>
  </w:style>
  <w:style w:type="paragraph" w:styleId="CommentText">
    <w:name w:val="annotation text"/>
    <w:basedOn w:val="Normal"/>
    <w:semiHidden/>
    <w:rsid w:val="00C46371"/>
    <w:rPr>
      <w:sz w:val="20"/>
      <w:szCs w:val="20"/>
    </w:rPr>
  </w:style>
  <w:style w:type="paragraph" w:styleId="CommentSubject">
    <w:name w:val="annotation subject"/>
    <w:basedOn w:val="CommentText"/>
    <w:next w:val="CommentText"/>
    <w:semiHidden/>
    <w:rsid w:val="00C46371"/>
    <w:rPr>
      <w:b/>
      <w:bCs/>
    </w:rPr>
  </w:style>
  <w:style w:type="paragraph" w:styleId="BalloonText">
    <w:name w:val="Balloon Text"/>
    <w:basedOn w:val="Normal"/>
    <w:semiHidden/>
    <w:rsid w:val="00C46371"/>
    <w:rPr>
      <w:rFonts w:ascii="Tahoma" w:hAnsi="Tahoma" w:cs="Tahoma"/>
      <w:sz w:val="16"/>
      <w:szCs w:val="16"/>
    </w:rPr>
  </w:style>
  <w:style w:type="paragraph" w:styleId="Header">
    <w:name w:val="header"/>
    <w:basedOn w:val="Normal"/>
    <w:link w:val="HeaderChar"/>
    <w:uiPriority w:val="99"/>
    <w:rsid w:val="00C30B3E"/>
    <w:pPr>
      <w:tabs>
        <w:tab w:val="center" w:pos="4680"/>
        <w:tab w:val="right" w:pos="9360"/>
      </w:tabs>
    </w:pPr>
  </w:style>
  <w:style w:type="character" w:customStyle="1" w:styleId="HeaderChar">
    <w:name w:val="Header Char"/>
    <w:basedOn w:val="DefaultParagraphFont"/>
    <w:link w:val="Header"/>
    <w:uiPriority w:val="99"/>
    <w:rsid w:val="00C30B3E"/>
    <w:rPr>
      <w:sz w:val="22"/>
      <w:szCs w:val="22"/>
    </w:rPr>
  </w:style>
</w:styles>
</file>

<file path=word/webSettings.xml><?xml version="1.0" encoding="utf-8"?>
<w:webSettings xmlns:r="http://schemas.openxmlformats.org/officeDocument/2006/relationships" xmlns:w="http://schemas.openxmlformats.org/wordprocessingml/2006/main">
  <w:divs>
    <w:div w:id="1556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ene.lefauve@samhs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aje.salim@samhsa.hh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borah.stone@samhsa.hh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 Customer Satisfaction Survey Clearance Request</vt:lpstr>
    </vt:vector>
  </TitlesOfParts>
  <Company>Westat</Company>
  <LinksUpToDate>false</LinksUpToDate>
  <CharactersWithSpaces>14870</CharactersWithSpaces>
  <SharedDoc>false</SharedDoc>
  <HLinks>
    <vt:vector size="18" baseType="variant">
      <vt:variant>
        <vt:i4>7143489</vt:i4>
      </vt:variant>
      <vt:variant>
        <vt:i4>6</vt:i4>
      </vt:variant>
      <vt:variant>
        <vt:i4>0</vt:i4>
      </vt:variant>
      <vt:variant>
        <vt:i4>5</vt:i4>
      </vt:variant>
      <vt:variant>
        <vt:lpwstr>mailto:deborah.stone@samhsa.hhs.gov</vt:lpwstr>
      </vt:variant>
      <vt:variant>
        <vt:lpwstr/>
      </vt:variant>
      <vt:variant>
        <vt:i4>1835040</vt:i4>
      </vt:variant>
      <vt:variant>
        <vt:i4>3</vt:i4>
      </vt:variant>
      <vt:variant>
        <vt:i4>0</vt:i4>
      </vt:variant>
      <vt:variant>
        <vt:i4>5</vt:i4>
      </vt:variant>
      <vt:variant>
        <vt:lpwstr>mailto:charlene.lefauve@samhsa.hhs.gov</vt:lpwstr>
      </vt:variant>
      <vt:variant>
        <vt:lpwstr/>
      </vt:variant>
      <vt:variant>
        <vt:i4>1114172</vt:i4>
      </vt:variant>
      <vt:variant>
        <vt:i4>0</vt:i4>
      </vt:variant>
      <vt:variant>
        <vt:i4>0</vt:i4>
      </vt:variant>
      <vt:variant>
        <vt:i4>5</vt:i4>
      </vt:variant>
      <vt:variant>
        <vt:lpwstr>mailto:onaje.salim@samhsa.hhs.gov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Customer Satisfaction Survey Clearance Request</dc:title>
  <dc:subject/>
  <dc:creator>Brenda Leath</dc:creator>
  <cp:keywords/>
  <cp:lastModifiedBy>Steven Sullivan</cp:lastModifiedBy>
  <cp:revision>2</cp:revision>
  <dcterms:created xsi:type="dcterms:W3CDTF">2010-11-03T14:19:00Z</dcterms:created>
  <dcterms:modified xsi:type="dcterms:W3CDTF">2010-11-03T14:19:00Z</dcterms:modified>
</cp:coreProperties>
</file>