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75F" w:rsidRDefault="0076075F" w:rsidP="007E1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76075F" w:rsidRDefault="0076075F" w:rsidP="007E1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76075F" w:rsidRDefault="0076075F" w:rsidP="007E1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76075F" w:rsidRDefault="0076075F" w:rsidP="007E1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76075F" w:rsidRDefault="0076075F" w:rsidP="007E1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76075F" w:rsidRDefault="0076075F" w:rsidP="007E1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76075F" w:rsidRDefault="0076075F" w:rsidP="007E1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76075F" w:rsidRDefault="0076075F" w:rsidP="007E1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76075F" w:rsidRDefault="0076075F" w:rsidP="007E1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76075F" w:rsidRDefault="0076075F" w:rsidP="007E1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76075F" w:rsidRDefault="0076075F" w:rsidP="007E1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76075F" w:rsidRDefault="0076075F" w:rsidP="007E1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76075F" w:rsidRDefault="0076075F" w:rsidP="007E1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76075F" w:rsidRDefault="0076075F" w:rsidP="007E1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76075F" w:rsidRPr="009A58EC" w:rsidRDefault="0076075F" w:rsidP="007E1A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r w:rsidRPr="009A58EC">
        <w:rPr>
          <w:b/>
          <w:sz w:val="32"/>
        </w:rPr>
        <w:t>OMB Submission</w:t>
      </w:r>
    </w:p>
    <w:p w:rsidR="0076075F" w:rsidRPr="009A58EC" w:rsidRDefault="0076075F" w:rsidP="007E1A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rPr>
      </w:pPr>
      <w:r w:rsidRPr="009A58EC">
        <w:rPr>
          <w:b/>
          <w:sz w:val="36"/>
        </w:rPr>
        <w:t>2009 National Survey on Drug Use and Health</w:t>
      </w:r>
    </w:p>
    <w:p w:rsidR="0076075F" w:rsidRPr="009A58EC" w:rsidRDefault="0076075F" w:rsidP="008B0D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rPr>
      </w:pPr>
      <w:r w:rsidRPr="009A58EC">
        <w:rPr>
          <w:b/>
          <w:sz w:val="36"/>
        </w:rPr>
        <w:t>Cognitive Interviews for Youth Mental Health Services Utilization Questions</w:t>
      </w:r>
    </w:p>
    <w:p w:rsidR="0076075F" w:rsidRPr="009A58EC" w:rsidRDefault="00760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rPr>
      </w:pPr>
      <w:r w:rsidRPr="009A58EC">
        <w:rPr>
          <w:b/>
          <w:sz w:val="36"/>
        </w:rPr>
        <w:br w:type="page"/>
        <w:t xml:space="preserve">2009 National Survey on Drug Use and Health: </w:t>
      </w:r>
    </w:p>
    <w:p w:rsidR="0076075F" w:rsidRPr="009A58EC" w:rsidRDefault="0076075F" w:rsidP="008B0D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rPr>
      </w:pPr>
      <w:r w:rsidRPr="009A58EC">
        <w:rPr>
          <w:b/>
          <w:sz w:val="36"/>
        </w:rPr>
        <w:t>Cognitive Interviews for Youth Mental Health Services Utilization Questions</w:t>
      </w:r>
    </w:p>
    <w:p w:rsidR="0076075F" w:rsidRPr="009A58EC" w:rsidRDefault="0076075F" w:rsidP="006000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76075F" w:rsidRPr="009A58EC" w:rsidRDefault="00760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9A58EC">
        <w:rPr>
          <w:b/>
          <w:sz w:val="36"/>
          <w:u w:val="single"/>
        </w:rPr>
        <w:t>SUPPORTING STATEMENT</w:t>
      </w:r>
    </w:p>
    <w:p w:rsidR="0076075F" w:rsidRPr="009A58EC" w:rsidRDefault="0076075F" w:rsidP="006000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6075F" w:rsidRPr="009A58EC" w:rsidRDefault="00760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6075F" w:rsidRPr="009A58EC" w:rsidRDefault="0076075F" w:rsidP="006000FC">
      <w:pPr>
        <w:pStyle w:val="BodyText"/>
        <w:spacing w:after="0"/>
        <w:ind w:left="630" w:hanging="630"/>
        <w:rPr>
          <w:b/>
          <w:u w:val="single"/>
        </w:rPr>
      </w:pPr>
      <w:r w:rsidRPr="009A58EC">
        <w:rPr>
          <w:b/>
        </w:rPr>
        <w:t>1.</w:t>
      </w:r>
      <w:r w:rsidRPr="009A58EC">
        <w:rPr>
          <w:b/>
        </w:rPr>
        <w:tab/>
      </w:r>
      <w:r w:rsidRPr="009A58EC">
        <w:rPr>
          <w:b/>
          <w:u w:val="single"/>
        </w:rPr>
        <w:t>Purpose and Use of Information</w:t>
      </w:r>
    </w:p>
    <w:p w:rsidR="0076075F" w:rsidRPr="009A58EC" w:rsidRDefault="0076075F" w:rsidP="006000FC">
      <w:pPr>
        <w:pStyle w:val="BodyText"/>
        <w:spacing w:after="0"/>
        <w:ind w:left="630" w:hanging="630"/>
        <w:rPr>
          <w:b/>
        </w:rPr>
      </w:pPr>
      <w:r w:rsidRPr="009A58EC">
        <w:rPr>
          <w:b/>
        </w:rPr>
        <w:tab/>
      </w:r>
    </w:p>
    <w:p w:rsidR="0076075F" w:rsidRPr="009A58EC" w:rsidRDefault="0076075F" w:rsidP="006000FC">
      <w:pPr>
        <w:pStyle w:val="BodyText"/>
        <w:spacing w:after="0"/>
        <w:ind w:left="630" w:hanging="630"/>
      </w:pPr>
      <w:r w:rsidRPr="009A58EC">
        <w:rPr>
          <w:b/>
        </w:rPr>
        <w:tab/>
      </w:r>
      <w:r w:rsidRPr="009A58EC">
        <w:t xml:space="preserve">The National Survey on Drug Use and Health (NSDUH), sponsored by the Substance Abuse and Mental Health Services Administration (SAMHSA), is a national survey of the </w:t>
      </w:r>
      <w:smartTag w:uri="urn:schemas-microsoft-com:office:smarttags" w:element="country-region">
        <w:smartTag w:uri="urn:schemas-microsoft-com:office:smarttags" w:element="place">
          <w:r w:rsidRPr="009A58EC">
            <w:t>U.S.</w:t>
          </w:r>
        </w:smartTag>
      </w:smartTag>
      <w:r w:rsidRPr="009A58EC">
        <w:t xml:space="preserve"> civilian non-institutionalized population aged 12 and older. The conduct of the NSDUH is paramount in meeting a critical objective of SAMHSA’s mission, i.e., to maintain current data on the prevalence of substance use in the </w:t>
      </w:r>
      <w:smartTag w:uri="urn:schemas-microsoft-com:office:smarttags" w:element="country-region">
        <w:smartTag w:uri="urn:schemas-microsoft-com:office:smarttags" w:element="place">
          <w:r w:rsidRPr="009A58EC">
            <w:t>United States</w:t>
          </w:r>
        </w:smartTag>
      </w:smartTag>
      <w:r w:rsidRPr="009A58EC">
        <w:t>.</w:t>
      </w:r>
    </w:p>
    <w:p w:rsidR="0076075F" w:rsidRPr="009A58EC" w:rsidRDefault="0076075F" w:rsidP="006000FC">
      <w:pPr>
        <w:pStyle w:val="BodyText"/>
        <w:spacing w:after="0"/>
        <w:ind w:left="630" w:hanging="630"/>
      </w:pPr>
    </w:p>
    <w:p w:rsidR="0076075F" w:rsidRPr="009A58EC" w:rsidRDefault="0076075F" w:rsidP="006000FC">
      <w:pPr>
        <w:pStyle w:val="BodyText"/>
        <w:spacing w:after="0"/>
        <w:ind w:left="630" w:hanging="630"/>
      </w:pPr>
      <w:r w:rsidRPr="009A58EC">
        <w:tab/>
        <w:t>This package is submitted under the NSDUH Methodological Field Tests generic OMB clearance (OMB No. 0930-0290).</w:t>
      </w:r>
    </w:p>
    <w:p w:rsidR="0076075F" w:rsidRPr="009A58EC" w:rsidRDefault="0076075F" w:rsidP="006000FC">
      <w:pPr>
        <w:pStyle w:val="BodyText"/>
        <w:spacing w:after="0"/>
        <w:ind w:left="630" w:hanging="630"/>
      </w:pPr>
    </w:p>
    <w:p w:rsidR="0076075F" w:rsidRPr="009A58EC" w:rsidRDefault="0076075F" w:rsidP="009A58EC">
      <w:pPr>
        <w:ind w:left="630"/>
        <w:rPr>
          <w:strike/>
        </w:rPr>
      </w:pPr>
      <w:r w:rsidRPr="009A58EC">
        <w:t xml:space="preserve">On February 16, 2008, SAMHSA requested that RTI International assist in the development of alternatives for presenting NSDUH adolescent mental health treatment data and in the potential modification of the NSDUH questionnaire to better capture the receipt of mental health services by adolescents.  The NSDUH youth mental health services module currently includes 10 service categories from the Services Assessment for Children and Adolescents (SACA).  Currently, NSDUH defines adolescent mental health treatment/counseling for emotional or behavioral problems as receipt of services from any of the 10 service categories.  Questions are asked of all youth aged 12 to 17.  SAMHSA is currently updating this approach by organizing the 10 service categories under the sectors of care often reported in child mental health services literature (i.e., specialty mental health; education; general medical; juvenile justice) to more specifically depict the types of providers and service delivery sites for youth mental health services.   </w:t>
      </w:r>
    </w:p>
    <w:p w:rsidR="0076075F" w:rsidRPr="009A58EC" w:rsidRDefault="0076075F" w:rsidP="00A52D68">
      <w:pPr>
        <w:ind w:left="630"/>
      </w:pPr>
    </w:p>
    <w:p w:rsidR="0076075F" w:rsidRPr="009A58EC" w:rsidRDefault="0076075F" w:rsidP="00176DBE">
      <w:pPr>
        <w:ind w:firstLine="630"/>
      </w:pPr>
      <w:r w:rsidRPr="009A58EC">
        <w:t xml:space="preserve">To this end, earlier this year, SAMHSA requested that 3 specific tasks be completed:  </w:t>
      </w:r>
    </w:p>
    <w:p w:rsidR="0076075F" w:rsidRPr="009A58EC" w:rsidRDefault="0076075F" w:rsidP="00A52D68"/>
    <w:p w:rsidR="0076075F" w:rsidRPr="009A58EC" w:rsidRDefault="0076075F" w:rsidP="00A52D68">
      <w:pPr>
        <w:ind w:left="720"/>
      </w:pPr>
      <w:r w:rsidRPr="009A58EC">
        <w:t xml:space="preserve">Task 1. Develop and recommend new ways to categorize youth mental health service use data as they are currently collected in the NSDUH; </w:t>
      </w:r>
    </w:p>
    <w:p w:rsidR="0076075F" w:rsidRPr="009A58EC" w:rsidRDefault="0076075F" w:rsidP="00A52D68">
      <w:pPr>
        <w:ind w:left="720"/>
      </w:pPr>
    </w:p>
    <w:p w:rsidR="0076075F" w:rsidRPr="009A58EC" w:rsidRDefault="0076075F" w:rsidP="00A52D68">
      <w:pPr>
        <w:ind w:left="720"/>
      </w:pPr>
      <w:r w:rsidRPr="009A58EC">
        <w:t xml:space="preserve">Task 2. Produce a short report based on 2005-2006 NSDUH data; and </w:t>
      </w:r>
    </w:p>
    <w:p w:rsidR="0076075F" w:rsidRPr="009A58EC" w:rsidRDefault="0076075F" w:rsidP="00A52D68">
      <w:pPr>
        <w:ind w:left="720"/>
      </w:pPr>
    </w:p>
    <w:p w:rsidR="0076075F" w:rsidRPr="009A58EC" w:rsidRDefault="0076075F" w:rsidP="00A52D68">
      <w:pPr>
        <w:ind w:left="720"/>
      </w:pPr>
      <w:r w:rsidRPr="009A58EC">
        <w:t xml:space="preserve">Task 3. Investigate options for improving the 2009 NSDUH Youth Mental Health Services module.  </w:t>
      </w:r>
    </w:p>
    <w:p w:rsidR="0076075F" w:rsidRPr="009A58EC" w:rsidRDefault="0076075F" w:rsidP="00A52D68">
      <w:pPr>
        <w:ind w:left="630"/>
      </w:pPr>
    </w:p>
    <w:p w:rsidR="0076075F" w:rsidRPr="009A58EC" w:rsidRDefault="0076075F" w:rsidP="004A08B2">
      <w:pPr>
        <w:ind w:left="630"/>
      </w:pPr>
      <w:r w:rsidRPr="009A58EC">
        <w:t>All three tasks were completed in March and April of 2008, and a memo outlining recommendations for changes to the NSDUH Youth Mental Health module was submitted to SAMHSA in April of 2008 (See Attachment I).  Part of this memo outlines changes that are recommended to be made for the 2009 questionnaire, including new questions on where youth receive mental health treatment.</w:t>
      </w:r>
    </w:p>
    <w:p w:rsidR="0076075F" w:rsidRPr="009A58EC" w:rsidRDefault="0076075F" w:rsidP="00771C85">
      <w:pPr>
        <w:spacing w:after="60"/>
        <w:ind w:left="630"/>
      </w:pPr>
    </w:p>
    <w:p w:rsidR="0076075F" w:rsidRPr="009A58EC" w:rsidRDefault="0076075F" w:rsidP="006F236B">
      <w:pPr>
        <w:ind w:left="630"/>
      </w:pPr>
      <w:r w:rsidRPr="009A58EC">
        <w:t xml:space="preserve">Prior to implementation in the 2009 NSDUH instrument, qualitative cognitive interview data from 32 participants will be examined and reported on to evaluate how well potential NSDUH adolescent respondents understand the concept and language of the proposed new and revised questions on mental health services and whether they find them difficult or sensitive to answer. </w:t>
      </w:r>
    </w:p>
    <w:p w:rsidR="0076075F" w:rsidRPr="009A58EC" w:rsidRDefault="0076075F" w:rsidP="006000FC">
      <w:pPr>
        <w:pStyle w:val="BodyText"/>
        <w:spacing w:after="0"/>
        <w:ind w:left="630" w:hanging="630"/>
      </w:pPr>
      <w:r w:rsidRPr="009A58EC">
        <w:t xml:space="preserve"> </w:t>
      </w:r>
      <w:r w:rsidRPr="009A58EC">
        <w:tab/>
      </w:r>
      <w:r w:rsidRPr="009A58EC">
        <w:rPr>
          <w:strike/>
        </w:rPr>
        <w:t xml:space="preserve"> </w:t>
      </w:r>
    </w:p>
    <w:p w:rsidR="0076075F" w:rsidRPr="009A58EC" w:rsidRDefault="0076075F" w:rsidP="00785F35">
      <w:pPr>
        <w:pStyle w:val="Heading1"/>
        <w:tabs>
          <w:tab w:val="clear" w:pos="720"/>
          <w:tab w:val="left" w:pos="630"/>
          <w:tab w:val="left" w:pos="900"/>
        </w:tabs>
        <w:spacing w:before="0" w:after="0"/>
        <w:rPr>
          <w:u w:val="single"/>
        </w:rPr>
      </w:pPr>
      <w:r w:rsidRPr="009A58EC">
        <w:t>2.</w:t>
      </w:r>
      <w:r w:rsidRPr="009A58EC">
        <w:tab/>
      </w:r>
      <w:r w:rsidRPr="009A58EC">
        <w:rPr>
          <w:u w:val="single"/>
        </w:rPr>
        <w:t>Use of Information Technology</w:t>
      </w:r>
    </w:p>
    <w:p w:rsidR="0076075F" w:rsidRPr="009A58EC" w:rsidRDefault="0076075F" w:rsidP="00785F35">
      <w:r w:rsidRPr="009A58EC">
        <w:tab/>
      </w:r>
    </w:p>
    <w:p w:rsidR="0076075F" w:rsidRPr="009A58EC" w:rsidRDefault="0076075F" w:rsidP="00CE6E22">
      <w:pPr>
        <w:tabs>
          <w:tab w:val="left" w:pos="720"/>
        </w:tabs>
        <w:ind w:left="720" w:hanging="720"/>
      </w:pPr>
      <w:r w:rsidRPr="009A58EC">
        <w:tab/>
        <w:t>Data will be collected in a face-to-face interview setting. Information will be collected electronically via audio computer-assisted self-interview (ACASI) for the majority of the interview. The sessions will be audio recorded so the interviewer can reference the recordings when refining his/her notes. The first part of the session will involve the respondents answering the current Youth Mental Health Services Utilization module questions on their own via ACASI.  The latter part of the session will involve showing participants questions that are being added to the 2009 NSDUH Instrument.  Respondents will be asked to read and answer these questions aloud and discuss them with the interviewer.</w:t>
      </w:r>
    </w:p>
    <w:p w:rsidR="0076075F" w:rsidRPr="009A58EC" w:rsidRDefault="0076075F" w:rsidP="00B512EF">
      <w:pPr>
        <w:tabs>
          <w:tab w:val="left" w:pos="720"/>
        </w:tabs>
        <w:ind w:left="720" w:hanging="720"/>
      </w:pPr>
      <w:r w:rsidRPr="009A58EC">
        <w:tab/>
      </w:r>
    </w:p>
    <w:p w:rsidR="0076075F" w:rsidRPr="009A58EC" w:rsidRDefault="0076075F" w:rsidP="00F93A0A">
      <w:pPr>
        <w:pStyle w:val="Heading1"/>
        <w:numPr>
          <w:ilvl w:val="0"/>
          <w:numId w:val="19"/>
        </w:numPr>
        <w:spacing w:before="0" w:after="0"/>
        <w:ind w:hanging="1080"/>
        <w:rPr>
          <w:u w:val="single"/>
        </w:rPr>
      </w:pPr>
      <w:r w:rsidRPr="009A58EC">
        <w:rPr>
          <w:u w:val="single"/>
        </w:rPr>
        <w:t>Efforts to Identify Duplication</w:t>
      </w:r>
    </w:p>
    <w:p w:rsidR="0076075F" w:rsidRPr="009A58EC" w:rsidRDefault="0076075F" w:rsidP="00F93A0A"/>
    <w:p w:rsidR="0076075F" w:rsidRPr="009A58EC" w:rsidRDefault="0076075F" w:rsidP="00B512EF">
      <w:pPr>
        <w:ind w:left="720" w:hanging="720"/>
      </w:pPr>
      <w:r w:rsidRPr="009A58EC">
        <w:tab/>
        <w:t>The OAS, SAMHSA, is in contact with all major Federal health survey managers and is aware of no other efforts to assess how potential adolescent respondents may react to changes made to the NSDUH instrument. To date, no duplication of effort has been identified.</w:t>
      </w:r>
    </w:p>
    <w:p w:rsidR="0076075F" w:rsidRPr="009A58EC" w:rsidRDefault="0076075F" w:rsidP="00F93A0A">
      <w:pPr>
        <w:ind w:left="720" w:hanging="720"/>
      </w:pPr>
    </w:p>
    <w:p w:rsidR="0076075F" w:rsidRPr="009A58EC" w:rsidRDefault="0076075F" w:rsidP="006000FC">
      <w:pPr>
        <w:pStyle w:val="BodyText"/>
        <w:spacing w:after="0"/>
        <w:ind w:left="0"/>
        <w:rPr>
          <w:b/>
          <w:bCs/>
          <w:u w:val="single"/>
        </w:rPr>
      </w:pPr>
      <w:r w:rsidRPr="009A58EC">
        <w:rPr>
          <w:b/>
        </w:rPr>
        <w:t>4.</w:t>
      </w:r>
      <w:r w:rsidRPr="009A58EC">
        <w:tab/>
      </w:r>
      <w:r w:rsidRPr="009A58EC">
        <w:rPr>
          <w:b/>
          <w:bCs/>
          <w:u w:val="single"/>
        </w:rPr>
        <w:t>Consequences if Information Collected Less Frequently</w:t>
      </w:r>
    </w:p>
    <w:p w:rsidR="0076075F" w:rsidRPr="009A58EC" w:rsidRDefault="0076075F" w:rsidP="006000FC">
      <w:pPr>
        <w:pStyle w:val="BodyText"/>
        <w:spacing w:after="0"/>
        <w:ind w:left="0"/>
        <w:rPr>
          <w:bCs/>
        </w:rPr>
      </w:pPr>
      <w:r w:rsidRPr="009A58EC">
        <w:rPr>
          <w:bCs/>
        </w:rPr>
        <w:tab/>
      </w:r>
    </w:p>
    <w:p w:rsidR="0076075F" w:rsidRPr="009A58EC" w:rsidRDefault="0076075F" w:rsidP="005B6041">
      <w:pPr>
        <w:pStyle w:val="BodyText"/>
        <w:spacing w:after="0"/>
        <w:ind w:left="630"/>
        <w:rPr>
          <w:bCs/>
        </w:rPr>
      </w:pPr>
      <w:r w:rsidRPr="009A58EC">
        <w:rPr>
          <w:bCs/>
        </w:rPr>
        <w:t>The timetable for finalizing the study participant materials for the 2009 NSDUH dictates the project be completed by August 31, 2008.  This project will not be repeated.</w:t>
      </w:r>
    </w:p>
    <w:p w:rsidR="0076075F" w:rsidRPr="009A58EC" w:rsidRDefault="0076075F" w:rsidP="006000FC">
      <w:pPr>
        <w:widowControl/>
      </w:pPr>
    </w:p>
    <w:p w:rsidR="0076075F" w:rsidRPr="009A58EC" w:rsidRDefault="0076075F" w:rsidP="006000FC">
      <w:pPr>
        <w:pStyle w:val="Heading1"/>
        <w:spacing w:before="0" w:after="0"/>
        <w:rPr>
          <w:u w:val="single"/>
        </w:rPr>
      </w:pPr>
      <w:r w:rsidRPr="009A58EC">
        <w:t>5.</w:t>
      </w:r>
      <w:r w:rsidRPr="009A58EC">
        <w:tab/>
      </w:r>
      <w:r w:rsidRPr="009A58EC">
        <w:rPr>
          <w:u w:val="single"/>
        </w:rPr>
        <w:t>Consultation Outside the Agency</w:t>
      </w:r>
    </w:p>
    <w:p w:rsidR="0076075F" w:rsidRPr="009A58EC" w:rsidRDefault="0076075F" w:rsidP="003560B4">
      <w:pPr>
        <w:widowControl/>
        <w:kinsoku w:val="0"/>
        <w:overflowPunct w:val="0"/>
        <w:ind w:left="720"/>
      </w:pPr>
      <w:r w:rsidRPr="009A58EC">
        <w:tab/>
      </w:r>
    </w:p>
    <w:p w:rsidR="0076075F" w:rsidRDefault="0076075F" w:rsidP="00F532EC">
      <w:pPr>
        <w:ind w:left="630"/>
        <w:rPr>
          <w:rFonts w:ascii="Times New Roman" w:hAnsi="Times New Roman"/>
          <w:lang/>
        </w:rPr>
      </w:pPr>
      <w:r w:rsidRPr="00F532EC">
        <w:rPr>
          <w:rFonts w:ascii="Times New Roman" w:hAnsi="Times New Roman"/>
        </w:rPr>
        <w:t xml:space="preserve">A number of consultants conducted a review of these procedures.  Heather Ringeisen, Senior Research Psychologist, RTI International, (919) 541-6931 coordinated the review.  The review also included Kimberly Eaton Hoagwood, Ph.D.,Professor of Clinical Psychology in Psychiatry, </w:t>
      </w:r>
      <w:smartTag w:uri="urn:schemas-microsoft-com:office:smarttags" w:element="PlaceName">
        <w:r w:rsidRPr="00F532EC">
          <w:rPr>
            <w:rFonts w:ascii="Times New Roman" w:hAnsi="Times New Roman"/>
          </w:rPr>
          <w:t>Columbia</w:t>
        </w:r>
      </w:smartTag>
      <w:r w:rsidRPr="00F532EC">
        <w:rPr>
          <w:rFonts w:ascii="Times New Roman" w:hAnsi="Times New Roman"/>
        </w:rPr>
        <w:t xml:space="preserve"> </w:t>
      </w:r>
      <w:smartTag w:uri="urn:schemas-microsoft-com:office:smarttags" w:element="PlaceType">
        <w:r w:rsidRPr="00F532EC">
          <w:rPr>
            <w:rFonts w:ascii="Times New Roman" w:hAnsi="Times New Roman"/>
          </w:rPr>
          <w:t>University</w:t>
        </w:r>
      </w:smartTag>
      <w:r w:rsidRPr="00F532EC">
        <w:rPr>
          <w:rFonts w:ascii="Times New Roman" w:hAnsi="Times New Roman"/>
        </w:rPr>
        <w:t xml:space="preserve"> and New York State Office of Mental Health, (212) 543-5311 and Sarah M. Horwitz, Ph.D., </w:t>
      </w:r>
      <w:r w:rsidRPr="00F532EC">
        <w:rPr>
          <w:rFonts w:ascii="Times New Roman" w:hAnsi="Times New Roman"/>
          <w:lang/>
        </w:rPr>
        <w:t xml:space="preserve">Professor of Pediatrics, </w:t>
      </w:r>
      <w:smartTag w:uri="urn:schemas-microsoft-com:office:smarttags" w:element="place">
        <w:smartTag w:uri="urn:schemas-microsoft-com:office:smarttags" w:element="PlaceName">
          <w:r w:rsidRPr="00F532EC">
            <w:rPr>
              <w:rFonts w:ascii="Times New Roman" w:hAnsi="Times New Roman"/>
              <w:lang/>
            </w:rPr>
            <w:t>Stanford</w:t>
          </w:r>
        </w:smartTag>
        <w:r w:rsidRPr="00F532EC">
          <w:rPr>
            <w:rFonts w:ascii="Times New Roman" w:hAnsi="Times New Roman"/>
            <w:lang/>
          </w:rPr>
          <w:t xml:space="preserve"> </w:t>
        </w:r>
        <w:smartTag w:uri="urn:schemas-microsoft-com:office:smarttags" w:element="PlaceType">
          <w:r w:rsidRPr="00F532EC">
            <w:rPr>
              <w:rFonts w:ascii="Times New Roman" w:hAnsi="Times New Roman"/>
              <w:lang/>
            </w:rPr>
            <w:t>University</w:t>
          </w:r>
        </w:smartTag>
      </w:smartTag>
      <w:r w:rsidRPr="00F532EC">
        <w:rPr>
          <w:rFonts w:ascii="Times New Roman" w:hAnsi="Times New Roman"/>
          <w:lang/>
        </w:rPr>
        <w:t xml:space="preserve">, </w:t>
      </w:r>
    </w:p>
    <w:p w:rsidR="0076075F" w:rsidRPr="00F532EC" w:rsidRDefault="0076075F" w:rsidP="00F532EC">
      <w:pPr>
        <w:ind w:left="630"/>
        <w:rPr>
          <w:rFonts w:ascii="Times New Roman" w:hAnsi="Times New Roman"/>
        </w:rPr>
      </w:pPr>
      <w:r w:rsidRPr="00F532EC">
        <w:rPr>
          <w:rFonts w:ascii="Times New Roman" w:hAnsi="Times New Roman"/>
          <w:lang/>
        </w:rPr>
        <w:t xml:space="preserve">(650) 724-5924.  </w:t>
      </w:r>
    </w:p>
    <w:p w:rsidR="0076075F" w:rsidRPr="00F532EC" w:rsidRDefault="0076075F" w:rsidP="00F532EC">
      <w:pPr>
        <w:ind w:left="720"/>
        <w:rPr>
          <w:rFonts w:ascii="Times New Roman" w:hAnsi="Times New Roman"/>
        </w:rPr>
      </w:pPr>
    </w:p>
    <w:p w:rsidR="0076075F" w:rsidRPr="009A58EC" w:rsidRDefault="0076075F" w:rsidP="00F532EC">
      <w:r w:rsidRPr="009A58EC">
        <w:tab/>
        <w:t>There are no unresolved issues resulting from these consultations.</w:t>
      </w:r>
    </w:p>
    <w:p w:rsidR="0076075F" w:rsidRPr="009A58EC" w:rsidRDefault="0076075F" w:rsidP="001842EC">
      <w:pPr>
        <w:widowControl/>
        <w:ind w:left="720"/>
      </w:pPr>
    </w:p>
    <w:p w:rsidR="0076075F" w:rsidRPr="009A58EC" w:rsidRDefault="0076075F" w:rsidP="006000FC">
      <w:pPr>
        <w:pStyle w:val="Heading1"/>
        <w:spacing w:before="0" w:after="0"/>
        <w:rPr>
          <w:u w:val="single"/>
        </w:rPr>
      </w:pPr>
      <w:r w:rsidRPr="009A58EC">
        <w:t>6.</w:t>
      </w:r>
      <w:r w:rsidRPr="009A58EC">
        <w:tab/>
      </w:r>
      <w:r w:rsidRPr="009A58EC">
        <w:rPr>
          <w:u w:val="single"/>
        </w:rPr>
        <w:t>Payment to Respondents</w:t>
      </w:r>
    </w:p>
    <w:p w:rsidR="0076075F" w:rsidRPr="009A58EC" w:rsidRDefault="0076075F" w:rsidP="00540E27">
      <w:r w:rsidRPr="009A58EC">
        <w:tab/>
      </w:r>
    </w:p>
    <w:p w:rsidR="0076075F" w:rsidRPr="009A58EC" w:rsidRDefault="0076075F" w:rsidP="001B68D3">
      <w:pPr>
        <w:ind w:left="720" w:hanging="720"/>
      </w:pPr>
      <w:r w:rsidRPr="009A58EC">
        <w:tab/>
        <w:t>Participants will be paid $40 in the form of a VISA gift card made out to “RTI Respondent” for a forty-five minute session. This amount should be enough to compensate for the respondent’s time and any travel expenses incurred (Willis, 2005).</w:t>
      </w:r>
    </w:p>
    <w:p w:rsidR="0076075F" w:rsidRPr="009A58EC" w:rsidRDefault="0076075F" w:rsidP="00540E27">
      <w:pPr>
        <w:ind w:left="720" w:hanging="720"/>
      </w:pPr>
    </w:p>
    <w:p w:rsidR="0076075F" w:rsidRPr="009A58EC" w:rsidRDefault="0076075F" w:rsidP="005B6041">
      <w:pPr>
        <w:ind w:left="720" w:hanging="720"/>
      </w:pPr>
      <w:r w:rsidRPr="009A58EC">
        <w:tab/>
        <w:t>The payment for the interview is mentioned in the following materials:  Recruitment Flyer [</w:t>
      </w:r>
      <w:r w:rsidRPr="009A58EC">
        <w:rPr>
          <w:b/>
          <w:bCs/>
        </w:rPr>
        <w:t>Attachment A</w:t>
      </w:r>
      <w:r w:rsidRPr="009A58EC">
        <w:t>], Recruitment Script [</w:t>
      </w:r>
      <w:r w:rsidRPr="009A58EC">
        <w:rPr>
          <w:b/>
          <w:bCs/>
        </w:rPr>
        <w:t>Attachment B</w:t>
      </w:r>
      <w:r w:rsidRPr="009A58EC">
        <w:t>], Parental Informed Consent Form [</w:t>
      </w:r>
      <w:r w:rsidRPr="009A58EC">
        <w:rPr>
          <w:b/>
          <w:bCs/>
        </w:rPr>
        <w:t>Attachment C</w:t>
      </w:r>
      <w:r w:rsidRPr="009A58EC">
        <w:t>], Participant Informed Assent Form [</w:t>
      </w:r>
      <w:r w:rsidRPr="009A58EC">
        <w:rPr>
          <w:b/>
          <w:bCs/>
        </w:rPr>
        <w:t>Attachment D</w:t>
      </w:r>
      <w:r w:rsidRPr="009A58EC">
        <w:t>], Protocol for Cognitive Interviews [</w:t>
      </w:r>
      <w:r w:rsidRPr="009A58EC">
        <w:rPr>
          <w:b/>
          <w:bCs/>
        </w:rPr>
        <w:t>Attachment E</w:t>
      </w:r>
      <w:r w:rsidRPr="009A58EC">
        <w:t>], and Receipt for Participation [</w:t>
      </w:r>
      <w:r w:rsidRPr="009A58EC">
        <w:rPr>
          <w:b/>
          <w:bCs/>
        </w:rPr>
        <w:t>Attachment F</w:t>
      </w:r>
      <w:r w:rsidRPr="009A58EC">
        <w:t>].</w:t>
      </w:r>
    </w:p>
    <w:p w:rsidR="0076075F" w:rsidRPr="009A58EC" w:rsidRDefault="0076075F" w:rsidP="00540E27">
      <w:pPr>
        <w:ind w:left="720" w:hanging="720"/>
      </w:pPr>
    </w:p>
    <w:p w:rsidR="0076075F" w:rsidRPr="009A58EC" w:rsidRDefault="0076075F" w:rsidP="006000FC">
      <w:pPr>
        <w:pStyle w:val="Heading1"/>
        <w:spacing w:before="0" w:after="0"/>
        <w:rPr>
          <w:u w:val="single"/>
        </w:rPr>
      </w:pPr>
      <w:r w:rsidRPr="009A58EC">
        <w:t>7.</w:t>
      </w:r>
      <w:r w:rsidRPr="009A58EC">
        <w:tab/>
      </w:r>
      <w:r w:rsidRPr="009A58EC">
        <w:rPr>
          <w:u w:val="single"/>
        </w:rPr>
        <w:t>Methods to Maintain Confidentiality</w:t>
      </w:r>
    </w:p>
    <w:p w:rsidR="0076075F" w:rsidRPr="009A58EC" w:rsidRDefault="0076075F" w:rsidP="00607F2D"/>
    <w:p w:rsidR="0076075F" w:rsidRPr="009A58EC" w:rsidRDefault="0076075F" w:rsidP="00607F2D">
      <w:pPr>
        <w:ind w:left="720" w:hanging="720"/>
      </w:pPr>
      <w:r w:rsidRPr="009A58EC">
        <w:tab/>
        <w:t>Concern for the confidentiality and protection of respondents’ rights has always played a central part in the implementation of the NSDUH and will continue to be given emphasis.</w:t>
      </w:r>
    </w:p>
    <w:p w:rsidR="0076075F" w:rsidRPr="009A58EC" w:rsidRDefault="0076075F" w:rsidP="00607F2D">
      <w:pPr>
        <w:ind w:left="720" w:hanging="720"/>
      </w:pPr>
    </w:p>
    <w:p w:rsidR="0076075F" w:rsidRPr="009A58EC" w:rsidRDefault="0076075F" w:rsidP="005842B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szCs w:val="22"/>
        </w:rPr>
      </w:pPr>
      <w:r w:rsidRPr="009A58EC">
        <w:rPr>
          <w:rFonts w:cs="Arial"/>
          <w:szCs w:val="22"/>
        </w:rPr>
        <w:t xml:space="preserve">The </w:t>
      </w:r>
      <w:r w:rsidRPr="009A58EC">
        <w:rPr>
          <w:rFonts w:cs="Arial"/>
          <w:bCs/>
          <w:szCs w:val="22"/>
        </w:rPr>
        <w:t>Cognitive Interviews for Youth Mental Health Services Utilization Questions</w:t>
      </w:r>
      <w:r w:rsidRPr="009A58EC">
        <w:rPr>
          <w:rFonts w:cs="Arial"/>
          <w:b/>
          <w:szCs w:val="22"/>
        </w:rPr>
        <w:t xml:space="preserve"> </w:t>
      </w:r>
      <w:r w:rsidRPr="009A58EC">
        <w:rPr>
          <w:rFonts w:cs="Arial"/>
          <w:szCs w:val="22"/>
        </w:rPr>
        <w:t>will incorporate several procedures to ensure that adolescents’ rights will be protected and to reduce the risk of distress due to disclosure about mental health or behavioral treatment/counseling. The recruitment flyer [</w:t>
      </w:r>
      <w:r w:rsidRPr="009A58EC">
        <w:rPr>
          <w:rFonts w:cs="Arial"/>
          <w:b/>
          <w:szCs w:val="22"/>
        </w:rPr>
        <w:t>Attachment A</w:t>
      </w:r>
      <w:r w:rsidRPr="009A58EC">
        <w:rPr>
          <w:rFonts w:cs="Arial"/>
          <w:szCs w:val="22"/>
        </w:rPr>
        <w:t>] will advertise to the participants that “Confidentiality is guaranteed.” Also, the recruitment script [</w:t>
      </w:r>
      <w:r w:rsidRPr="009A58EC">
        <w:rPr>
          <w:rFonts w:cs="Arial"/>
          <w:b/>
          <w:szCs w:val="22"/>
        </w:rPr>
        <w:t>Attachment B</w:t>
      </w:r>
      <w:r w:rsidRPr="009A58EC">
        <w:rPr>
          <w:rFonts w:cs="Arial"/>
          <w:szCs w:val="22"/>
        </w:rPr>
        <w:t>], parental informed consent form [</w:t>
      </w:r>
      <w:r w:rsidRPr="009A58EC">
        <w:rPr>
          <w:rFonts w:cs="Arial"/>
          <w:b/>
          <w:szCs w:val="22"/>
        </w:rPr>
        <w:t>Attachment C</w:t>
      </w:r>
      <w:r w:rsidRPr="009A58EC">
        <w:rPr>
          <w:rFonts w:cs="Arial"/>
          <w:szCs w:val="22"/>
        </w:rPr>
        <w:t>], and the participant informed assent form [</w:t>
      </w:r>
      <w:r w:rsidRPr="009A58EC">
        <w:rPr>
          <w:rFonts w:cs="Arial"/>
          <w:b/>
          <w:szCs w:val="22"/>
        </w:rPr>
        <w:t>Attachment D</w:t>
      </w:r>
      <w:r w:rsidRPr="009A58EC">
        <w:rPr>
          <w:rFonts w:cs="Arial"/>
          <w:szCs w:val="22"/>
        </w:rPr>
        <w:t xml:space="preserve">] all indicate that the interview will be conducted in private to ensure nobody else overhears their answers; all of their answers will be kept private and confidential; information given by the participants will not be shared with any persons outside the project staff; their name will never be connected with the answers they provide; and that federal law (CIPSEA) requires that their answers be kept confidential and used only for statistical purposes. In these same study materials, participants are informed that their responses are voluntary and are assured that there will be no penalties if they decide not to respond, either to the information collection as a whole or to any particular question.  The only people who will have access to any of the responses given by the participants are researchers at RTI and SAMHSA who have signed NSDUH confidentiality pledges </w:t>
      </w:r>
      <w:r w:rsidRPr="009A58EC">
        <w:rPr>
          <w:rFonts w:cs="Arial"/>
          <w:b/>
          <w:szCs w:val="22"/>
        </w:rPr>
        <w:t>[Attachment G]</w:t>
      </w:r>
      <w:r w:rsidRPr="009A58EC">
        <w:rPr>
          <w:rFonts w:cs="Arial"/>
          <w:szCs w:val="22"/>
        </w:rPr>
        <w:t>.  These pledges explicitly outline the CIPSEA federal law requirements mentioned in the consent/assent.  The only exception to this promise of confidentiality is if the adolescent respondent discloses during the interview that they intend to harm themselves or someone else.  For those instances, we have included a distressed respondent protocol for this study [</w:t>
      </w:r>
      <w:r w:rsidRPr="009A58EC">
        <w:rPr>
          <w:rFonts w:cs="Arial"/>
          <w:b/>
          <w:bCs/>
          <w:szCs w:val="22"/>
        </w:rPr>
        <w:t>Attachment H</w:t>
      </w:r>
      <w:r w:rsidRPr="009A58EC">
        <w:rPr>
          <w:rFonts w:cs="Arial"/>
          <w:szCs w:val="22"/>
        </w:rPr>
        <w:t>] that may involve releasing respondent contact information to either the national Lifeline hotline or a local 911 dispatcher.</w:t>
      </w:r>
    </w:p>
    <w:p w:rsidR="0076075F" w:rsidRPr="009A58EC" w:rsidRDefault="0076075F" w:rsidP="00657D1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76075F" w:rsidRPr="009A58EC" w:rsidRDefault="0076075F" w:rsidP="00657D1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b/>
          <w:szCs w:val="22"/>
        </w:rPr>
      </w:pPr>
      <w:r w:rsidRPr="009A58EC">
        <w:rPr>
          <w:rFonts w:cs="Arial"/>
          <w:szCs w:val="22"/>
        </w:rPr>
        <w:t>Although parents may accompany their child to the interview, they will not be allowed in the interview setting itself, so they will not overhear the adolescent participant’s answers.</w:t>
      </w:r>
    </w:p>
    <w:p w:rsidR="0076075F" w:rsidRPr="009A58EC" w:rsidRDefault="0076075F" w:rsidP="00657D16">
      <w:pPr>
        <w:ind w:left="720" w:hanging="720"/>
        <w:rPr>
          <w:rFonts w:cs="Arial"/>
          <w:szCs w:val="22"/>
        </w:rPr>
      </w:pPr>
    </w:p>
    <w:p w:rsidR="0076075F" w:rsidRPr="009A58EC" w:rsidRDefault="0076075F" w:rsidP="00657D16">
      <w:pPr>
        <w:ind w:left="720"/>
        <w:rPr>
          <w:rFonts w:cs="Arial"/>
          <w:szCs w:val="22"/>
        </w:rPr>
      </w:pPr>
      <w:r w:rsidRPr="009A58EC">
        <w:rPr>
          <w:rFonts w:cs="Arial"/>
          <w:szCs w:val="22"/>
        </w:rPr>
        <w:t>During the recruitment process, potential participants are told that we would like to audio record the interactions between them and the interviewer during the cognitive interview so we can make sure we have all of the information from them on how our new questions work. They are told that the recordings will be heard only by members of the research team and that having their interview recorded is voluntary so they can decline (see the recruitment script, [</w:t>
      </w:r>
      <w:r w:rsidRPr="009A58EC">
        <w:rPr>
          <w:rFonts w:cs="Arial"/>
          <w:b/>
          <w:szCs w:val="22"/>
        </w:rPr>
        <w:t>Attachment B</w:t>
      </w:r>
      <w:r w:rsidRPr="009A58EC">
        <w:rPr>
          <w:rFonts w:cs="Arial"/>
          <w:szCs w:val="22"/>
        </w:rPr>
        <w:t>]). Additional information on the recordings is provided in the Parental Informed Consent Form [</w:t>
      </w:r>
      <w:r w:rsidRPr="009A58EC">
        <w:rPr>
          <w:rFonts w:cs="Arial"/>
          <w:b/>
          <w:szCs w:val="22"/>
        </w:rPr>
        <w:t>Attachment C</w:t>
      </w:r>
      <w:r w:rsidRPr="009A58EC">
        <w:rPr>
          <w:rFonts w:cs="Arial"/>
          <w:szCs w:val="22"/>
        </w:rPr>
        <w:t>] and the Participant Informed Assent Form [</w:t>
      </w:r>
      <w:r w:rsidRPr="009A58EC">
        <w:rPr>
          <w:rFonts w:cs="Arial"/>
          <w:b/>
          <w:szCs w:val="22"/>
        </w:rPr>
        <w:t>Attachment D</w:t>
      </w:r>
      <w:r w:rsidRPr="009A58EC">
        <w:rPr>
          <w:rFonts w:cs="Arial"/>
          <w:szCs w:val="22"/>
        </w:rPr>
        <w:t>]. These documents inform the participants that the recording will remain on the project laptop at all times, which will be protected by a password, to protect their privacy. This information will not be transferred off of the laptop, and the password will expire within 4 weeks after the last cognitive interview is completed.  At that point, all recordings will be destroyed.</w:t>
      </w:r>
    </w:p>
    <w:p w:rsidR="0076075F" w:rsidRPr="009A58EC" w:rsidRDefault="0076075F" w:rsidP="00607F2D">
      <w:pPr>
        <w:ind w:left="720" w:hanging="720"/>
        <w:rPr>
          <w:rFonts w:ascii="Times New Roman" w:hAnsi="Times New Roman"/>
        </w:rPr>
      </w:pPr>
    </w:p>
    <w:p w:rsidR="0076075F" w:rsidRPr="009A58EC" w:rsidRDefault="0076075F" w:rsidP="00607F2D">
      <w:pPr>
        <w:ind w:left="720" w:hanging="720"/>
      </w:pPr>
      <w:r w:rsidRPr="009A58EC">
        <w:tab/>
        <w:t xml:space="preserve">All internal communication regarding an adolescent participant will only include the first name of the participant and time of interview. An example of internal communication would be when the recruiter notifies the interviewer of a scheduled appointment with a participant. Any other materials (including the recruitment screeners, “will call” list, and informed consent forms) connecting the first name of the participant with his/her last name, telephone number, etc. will be locked in a cabinet (if in hardcopy form) or password protected (if in electronic form). This password will be set to expire within 4 weeks after the last cognitive interview is completed and both the electronic files and hardcopies will be destroyed at that time. </w:t>
      </w:r>
    </w:p>
    <w:p w:rsidR="0076075F" w:rsidRPr="009A58EC" w:rsidRDefault="0076075F" w:rsidP="00607F2D">
      <w:pPr>
        <w:ind w:left="720" w:hanging="720"/>
      </w:pPr>
    </w:p>
    <w:p w:rsidR="0076075F" w:rsidRPr="009A58EC" w:rsidRDefault="0076075F" w:rsidP="00657D16">
      <w:pPr>
        <w:ind w:left="720" w:hanging="720"/>
      </w:pPr>
      <w:r w:rsidRPr="009A58EC">
        <w:tab/>
        <w:t xml:space="preserve">Although some personal information will be collected during the recruitment process and the cognitive interviews, data will not be retrieved by personal identifiers, and thus the Privacy Act does not apply to these activities. More specifically, during the recruitment process, we will collect the age, phone number, city of residence, and school attended of potential participants who are aged 12 to 17.  The telephone numbers collected will be used to either remind the participants about their upcoming appointments or to recruit additional participants who were placed on a “will call” list in the event that spaces opened up for them to be interviewed. For potential participants aged 12 to 17, the telephone number will also be used to verify with Directory Assistance that their parents are who they say they are. During the cognitive interviews, we will collect the age and gender of all participants only to inform the CAI program which questions to display and to tailor wording.  No links to individuals will be preserved in the cognitive interview report. </w:t>
      </w:r>
    </w:p>
    <w:p w:rsidR="0076075F" w:rsidRPr="009A58EC" w:rsidRDefault="0076075F" w:rsidP="00640567">
      <w:pPr>
        <w:pStyle w:val="Level1"/>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9A58EC">
        <w:tab/>
      </w:r>
    </w:p>
    <w:p w:rsidR="0076075F" w:rsidRPr="009A58EC" w:rsidRDefault="0076075F" w:rsidP="006000FC">
      <w:pPr>
        <w:pStyle w:val="Heading1"/>
        <w:spacing w:before="0" w:after="0"/>
        <w:rPr>
          <w:u w:val="single"/>
        </w:rPr>
      </w:pPr>
      <w:r w:rsidRPr="009A58EC">
        <w:t>8.</w:t>
      </w:r>
      <w:r w:rsidRPr="009A58EC">
        <w:tab/>
      </w:r>
      <w:r w:rsidRPr="009A58EC">
        <w:rPr>
          <w:u w:val="single"/>
        </w:rPr>
        <w:t>Questions of a Sensitive Nature</w:t>
      </w:r>
    </w:p>
    <w:p w:rsidR="0076075F" w:rsidRPr="009A58EC" w:rsidRDefault="0076075F" w:rsidP="00E804BC"/>
    <w:p w:rsidR="0076075F" w:rsidRPr="009A58EC" w:rsidRDefault="0076075F" w:rsidP="00D71B5D">
      <w:pPr>
        <w:ind w:left="720" w:hanging="720"/>
      </w:pPr>
      <w:r w:rsidRPr="009A58EC">
        <w:tab/>
        <w:t xml:space="preserve">The questions tested for the 2009 NSDUH deal with youth mental health treatment options.  During the cognitive interview, the participants are instructed on how to employ ‘think-aloud’ techniques when answering the questions that have been added to the instrument.  The interviewer will use a standard set of interviewing protocols to best understand how the participants understand each question and how features of the question impact responses.   </w:t>
      </w:r>
    </w:p>
    <w:p w:rsidR="0076075F" w:rsidRPr="009A58EC" w:rsidRDefault="0076075F" w:rsidP="00842B61">
      <w:pPr>
        <w:ind w:left="720" w:hanging="720"/>
      </w:pPr>
    </w:p>
    <w:p w:rsidR="0076075F" w:rsidRPr="009A58EC" w:rsidRDefault="0076075F" w:rsidP="006B1D32">
      <w:pPr>
        <w:ind w:left="720"/>
        <w:rPr>
          <w:rFonts w:cs="Arial"/>
          <w:szCs w:val="22"/>
        </w:rPr>
      </w:pPr>
      <w:r w:rsidRPr="009A58EC">
        <w:t xml:space="preserve">As noted in Section 7 potential participants and the actual participants will be assured at all stages of the recruiting and interviewing process that the information they provide is voluntary and will be handled in a confidential manner. These efforts will be made to help participants feel more comfortable with the interview situation and more at ease with the interviewer.  </w:t>
      </w:r>
      <w:r w:rsidRPr="009A58EC">
        <w:rPr>
          <w:rFonts w:cs="Arial"/>
          <w:szCs w:val="22"/>
        </w:rPr>
        <w:t xml:space="preserve">Additionally, since we are dealing with mental health issues, we have included a distressed respondent protocol that will be enacted if the respondent becomes very agitated or very upset during the interview, or inadvertently discloses that he/she has had thoughts or plans of harming himself/herself or someone else in the past two weeks.  All distressed respondent protocol procedures are detailed in </w:t>
      </w:r>
      <w:r w:rsidRPr="009A58EC">
        <w:rPr>
          <w:rFonts w:cs="Arial"/>
          <w:b/>
          <w:bCs/>
          <w:szCs w:val="22"/>
        </w:rPr>
        <w:t>Attachment H</w:t>
      </w:r>
      <w:r w:rsidRPr="009A58EC">
        <w:rPr>
          <w:rFonts w:cs="Arial"/>
          <w:szCs w:val="22"/>
        </w:rPr>
        <w:t xml:space="preserve">.  For respondents who ask for additional information on mental health or other treatment options, we will provide them with the </w:t>
      </w:r>
      <w:r w:rsidRPr="009A58EC">
        <w:rPr>
          <w:rFonts w:cs="Tahoma"/>
          <w:szCs w:val="22"/>
        </w:rPr>
        <w:t xml:space="preserve">national Lifeline hotline that we provide respondents in the main NSDUH survey. The Lifeline is a 24-hour hotline that a person can call to discuss mental health issues with a counselor and may provide referrals for affordable clinical services in their area. We will also provide instructions for what to do if he/she becomes distressed in the future (i.e. call 911 or go to a local emergency room).  </w:t>
      </w:r>
    </w:p>
    <w:p w:rsidR="0076075F" w:rsidRPr="009A58EC" w:rsidRDefault="0076075F" w:rsidP="00842B61">
      <w:pPr>
        <w:ind w:left="720" w:hanging="720"/>
      </w:pPr>
    </w:p>
    <w:p w:rsidR="0076075F" w:rsidRPr="009A58EC" w:rsidRDefault="0076075F" w:rsidP="00A521A4">
      <w:pPr>
        <w:ind w:left="720" w:hanging="720"/>
      </w:pPr>
      <w:r w:rsidRPr="009A58EC">
        <w:tab/>
        <w:t>Raw data from the screening questionnaires, ACASI questionnaire, paper cognitive interviewing protocols, and audio recordings that include sensitive information will be stored in locked cabinets (if in hardcopy form) or password protected (if in electronic form) during the recruiting and interview process. None of this information will be retained once data collection is over; nor will the information be extracted, aggregated, or become part of a system of records containing permanent identifiers that can be used for retrieval.</w:t>
      </w:r>
    </w:p>
    <w:p w:rsidR="0076075F" w:rsidRPr="009A58EC" w:rsidRDefault="0076075F" w:rsidP="00E804BC"/>
    <w:p w:rsidR="0076075F" w:rsidRPr="009A58EC" w:rsidRDefault="0076075F" w:rsidP="006000FC">
      <w:pPr>
        <w:pStyle w:val="Heading1"/>
        <w:spacing w:before="0" w:after="0"/>
        <w:rPr>
          <w:u w:val="single"/>
        </w:rPr>
      </w:pPr>
      <w:r w:rsidRPr="009A58EC">
        <w:t>9.</w:t>
      </w:r>
      <w:r w:rsidRPr="009A58EC">
        <w:tab/>
      </w:r>
      <w:r w:rsidRPr="009A58EC">
        <w:rPr>
          <w:u w:val="single"/>
        </w:rPr>
        <w:t>Estimates of Annualized Hour Burden</w:t>
      </w:r>
    </w:p>
    <w:p w:rsidR="0076075F" w:rsidRPr="009A58EC" w:rsidRDefault="0076075F" w:rsidP="007C5090"/>
    <w:p w:rsidR="0076075F" w:rsidRPr="009A58EC" w:rsidRDefault="0076075F" w:rsidP="00AB6F5A">
      <w:pPr>
        <w:ind w:left="720" w:hanging="720"/>
      </w:pPr>
      <w:r w:rsidRPr="009A58EC">
        <w:tab/>
        <w:t xml:space="preserve">Thirty-two participants will be interviewed in this study. It is expected that approximately 50 screenings with potential participants will be completed to obtain the 32 study participants. </w:t>
      </w:r>
    </w:p>
    <w:p w:rsidR="0076075F" w:rsidRPr="009A58EC" w:rsidRDefault="0076075F" w:rsidP="006821E1">
      <w:pPr>
        <w:ind w:left="720" w:hanging="720"/>
      </w:pPr>
    </w:p>
    <w:p w:rsidR="0076075F" w:rsidRPr="009A58EC" w:rsidRDefault="0076075F" w:rsidP="004A08B2">
      <w:pPr>
        <w:ind w:left="720" w:hanging="720"/>
      </w:pPr>
      <w:r w:rsidRPr="009A58EC">
        <w:tab/>
        <w:t>Administration of the screening questionnaire during the recruitment process will take an average of 5 minutes per participant. It is estimated that the average amount of time required to conduct each cognitive interview will be approximately 45 minutes.</w:t>
      </w:r>
    </w:p>
    <w:p w:rsidR="0076075F" w:rsidRPr="009A58EC" w:rsidRDefault="0076075F" w:rsidP="006821E1">
      <w:pPr>
        <w:ind w:left="720" w:hanging="720"/>
      </w:pPr>
    </w:p>
    <w:p w:rsidR="0076075F" w:rsidRPr="009A58EC" w:rsidRDefault="0076075F" w:rsidP="00D71B5D">
      <w:pPr>
        <w:ind w:left="720" w:hanging="720"/>
      </w:pPr>
      <w:r w:rsidRPr="009A58EC">
        <w:tab/>
        <w:t>Both the recruitment and cognitive interviewing phases of this study will span for approximately three weeks over the months of June and July 2008. The recruitment phase will begin as soon as OMB clearance is received, and interviews will begin directly after that.</w:t>
      </w:r>
    </w:p>
    <w:p w:rsidR="0076075F" w:rsidRPr="009A58EC" w:rsidRDefault="0076075F" w:rsidP="006821E1">
      <w:pPr>
        <w:ind w:left="720" w:hanging="720"/>
      </w:pPr>
    </w:p>
    <w:p w:rsidR="0076075F" w:rsidRPr="009A58EC" w:rsidRDefault="0076075F" w:rsidP="00D71B5D">
      <w:pPr>
        <w:ind w:left="720" w:hanging="720"/>
      </w:pPr>
      <w:r w:rsidRPr="009A58EC">
        <w:tab/>
        <w:t>The respondent burden for this study is shown in the following table. The hourly wage of $14.61 was calculated based on weighted data from the 2007 NSDUH respondents’ personal annual income.</w:t>
      </w:r>
    </w:p>
    <w:p w:rsidR="0076075F" w:rsidRPr="009A58EC" w:rsidRDefault="0076075F" w:rsidP="00BB2139">
      <w:pPr>
        <w:widowControl/>
        <w:autoSpaceDE/>
        <w:autoSpaceDN/>
        <w:adjustRightInd/>
        <w:spacing w:before="100" w:beforeAutospacing="1" w:afterAutospacing="1"/>
        <w:ind w:left="720"/>
        <w:rPr>
          <w:rFonts w:ascii="Times New Roman" w:hAnsi="Times New Roman"/>
          <w:i/>
          <w:iCs/>
        </w:rPr>
      </w:pPr>
      <w:r w:rsidRPr="009A58EC">
        <w:rPr>
          <w:rFonts w:ascii="Times New Roman" w:hAnsi="Times New Roman"/>
          <w:i/>
          <w:iCs/>
        </w:rPr>
        <w:br w:type="page"/>
      </w:r>
    </w:p>
    <w:p w:rsidR="0076075F" w:rsidRPr="009A58EC" w:rsidRDefault="0076075F" w:rsidP="00D71B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36"/>
          <w:u w:val="single"/>
        </w:rPr>
      </w:pPr>
      <w:r w:rsidRPr="009A58EC">
        <w:rPr>
          <w:u w:val="single"/>
        </w:rPr>
        <w:t xml:space="preserve">Estimated Burden for </w:t>
      </w:r>
      <w:r w:rsidRPr="009A58EC">
        <w:rPr>
          <w:bCs/>
          <w:u w:val="single"/>
        </w:rPr>
        <w:t>2009 Cognitive Interviews for YMHSU Questions</w:t>
      </w:r>
    </w:p>
    <w:p w:rsidR="0076075F" w:rsidRPr="009A58EC" w:rsidRDefault="0076075F" w:rsidP="003275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rPr>
      </w:pPr>
    </w:p>
    <w:p w:rsidR="0076075F" w:rsidRPr="009A58EC" w:rsidRDefault="0076075F" w:rsidP="003275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bl>
      <w:tblPr>
        <w:tblW w:w="9416" w:type="dxa"/>
        <w:tblInd w:w="828" w:type="dxa"/>
        <w:tblLayout w:type="fixed"/>
        <w:tblLook w:val="0000"/>
      </w:tblPr>
      <w:tblGrid>
        <w:gridCol w:w="1620"/>
        <w:gridCol w:w="1440"/>
        <w:gridCol w:w="1530"/>
        <w:gridCol w:w="1170"/>
        <w:gridCol w:w="1136"/>
        <w:gridCol w:w="1114"/>
        <w:gridCol w:w="1406"/>
      </w:tblGrid>
      <w:tr w:rsidR="0076075F" w:rsidRPr="009A58EC">
        <w:trPr>
          <w:cantSplit/>
          <w:trHeight w:val="960"/>
          <w:tblHeader/>
        </w:trPr>
        <w:tc>
          <w:tcPr>
            <w:tcW w:w="1620" w:type="dxa"/>
            <w:tcBorders>
              <w:top w:val="single" w:sz="8" w:space="0" w:color="000000"/>
              <w:left w:val="single" w:sz="8" w:space="0" w:color="000000"/>
              <w:bottom w:val="double" w:sz="4" w:space="0" w:color="auto"/>
              <w:right w:val="nil"/>
            </w:tcBorders>
            <w:vAlign w:val="bottom"/>
          </w:tcPr>
          <w:p w:rsidR="0076075F" w:rsidRPr="009A58EC" w:rsidRDefault="0076075F">
            <w:pPr>
              <w:widowControl/>
              <w:autoSpaceDE/>
              <w:autoSpaceDN/>
              <w:adjustRightInd/>
              <w:jc w:val="center"/>
              <w:rPr>
                <w:b/>
                <w:sz w:val="20"/>
                <w:szCs w:val="20"/>
              </w:rPr>
            </w:pPr>
            <w:r w:rsidRPr="009A58EC">
              <w:rPr>
                <w:b/>
                <w:sz w:val="20"/>
                <w:szCs w:val="20"/>
              </w:rPr>
              <w:t>Activity</w:t>
            </w:r>
          </w:p>
        </w:tc>
        <w:tc>
          <w:tcPr>
            <w:tcW w:w="1440" w:type="dxa"/>
            <w:tcBorders>
              <w:top w:val="single" w:sz="8" w:space="0" w:color="000000"/>
              <w:left w:val="single" w:sz="8" w:space="0" w:color="000000"/>
              <w:bottom w:val="double" w:sz="4" w:space="0" w:color="auto"/>
              <w:right w:val="nil"/>
            </w:tcBorders>
            <w:vAlign w:val="bottom"/>
          </w:tcPr>
          <w:p w:rsidR="0076075F" w:rsidRPr="009A58EC" w:rsidRDefault="0076075F">
            <w:pPr>
              <w:widowControl/>
              <w:autoSpaceDE/>
              <w:autoSpaceDN/>
              <w:adjustRightInd/>
              <w:jc w:val="center"/>
              <w:rPr>
                <w:b/>
                <w:sz w:val="20"/>
                <w:szCs w:val="20"/>
              </w:rPr>
            </w:pPr>
            <w:r w:rsidRPr="009A58EC">
              <w:rPr>
                <w:b/>
                <w:sz w:val="20"/>
                <w:szCs w:val="20"/>
              </w:rPr>
              <w:t>Number of Respondents</w:t>
            </w:r>
          </w:p>
        </w:tc>
        <w:tc>
          <w:tcPr>
            <w:tcW w:w="1530" w:type="dxa"/>
            <w:tcBorders>
              <w:top w:val="single" w:sz="8" w:space="0" w:color="000000"/>
              <w:left w:val="single" w:sz="8" w:space="0" w:color="000000"/>
              <w:bottom w:val="double" w:sz="4" w:space="0" w:color="auto"/>
              <w:right w:val="nil"/>
            </w:tcBorders>
            <w:vAlign w:val="bottom"/>
          </w:tcPr>
          <w:p w:rsidR="0076075F" w:rsidRPr="009A58EC" w:rsidRDefault="0076075F">
            <w:pPr>
              <w:widowControl/>
              <w:autoSpaceDE/>
              <w:autoSpaceDN/>
              <w:adjustRightInd/>
              <w:jc w:val="center"/>
              <w:rPr>
                <w:b/>
                <w:sz w:val="20"/>
                <w:szCs w:val="20"/>
              </w:rPr>
            </w:pPr>
            <w:r w:rsidRPr="009A58EC">
              <w:rPr>
                <w:b/>
                <w:sz w:val="20"/>
                <w:szCs w:val="20"/>
              </w:rPr>
              <w:t>Responses per Respondent</w:t>
            </w:r>
          </w:p>
        </w:tc>
        <w:tc>
          <w:tcPr>
            <w:tcW w:w="1170" w:type="dxa"/>
            <w:tcBorders>
              <w:top w:val="single" w:sz="8" w:space="0" w:color="000000"/>
              <w:left w:val="single" w:sz="8" w:space="0" w:color="000000"/>
              <w:bottom w:val="double" w:sz="4" w:space="0" w:color="auto"/>
              <w:right w:val="nil"/>
            </w:tcBorders>
            <w:vAlign w:val="bottom"/>
          </w:tcPr>
          <w:p w:rsidR="0076075F" w:rsidRPr="009A58EC" w:rsidRDefault="0076075F">
            <w:pPr>
              <w:widowControl/>
              <w:autoSpaceDE/>
              <w:autoSpaceDN/>
              <w:adjustRightInd/>
              <w:jc w:val="center"/>
              <w:rPr>
                <w:b/>
                <w:sz w:val="20"/>
                <w:szCs w:val="20"/>
              </w:rPr>
            </w:pPr>
            <w:r w:rsidRPr="009A58EC">
              <w:rPr>
                <w:b/>
                <w:sz w:val="20"/>
                <w:szCs w:val="20"/>
              </w:rPr>
              <w:t>Average Burden per Response</w:t>
            </w:r>
          </w:p>
        </w:tc>
        <w:tc>
          <w:tcPr>
            <w:tcW w:w="1136" w:type="dxa"/>
            <w:tcBorders>
              <w:top w:val="single" w:sz="8" w:space="0" w:color="000000"/>
              <w:left w:val="single" w:sz="8" w:space="0" w:color="000000"/>
              <w:bottom w:val="double" w:sz="4" w:space="0" w:color="auto"/>
              <w:right w:val="single" w:sz="8" w:space="0" w:color="000000"/>
            </w:tcBorders>
            <w:vAlign w:val="bottom"/>
          </w:tcPr>
          <w:p w:rsidR="0076075F" w:rsidRPr="009A58EC" w:rsidRDefault="0076075F">
            <w:pPr>
              <w:widowControl/>
              <w:autoSpaceDE/>
              <w:autoSpaceDN/>
              <w:adjustRightInd/>
              <w:jc w:val="center"/>
              <w:rPr>
                <w:b/>
                <w:sz w:val="20"/>
                <w:szCs w:val="20"/>
              </w:rPr>
            </w:pPr>
            <w:r w:rsidRPr="009A58EC">
              <w:rPr>
                <w:b/>
                <w:sz w:val="20"/>
                <w:szCs w:val="20"/>
              </w:rPr>
              <w:t>Total Burden (Hrs.)</w:t>
            </w:r>
          </w:p>
        </w:tc>
        <w:tc>
          <w:tcPr>
            <w:tcW w:w="1114" w:type="dxa"/>
            <w:tcBorders>
              <w:top w:val="single" w:sz="8" w:space="0" w:color="000000"/>
              <w:left w:val="nil"/>
              <w:bottom w:val="double" w:sz="4" w:space="0" w:color="auto"/>
              <w:right w:val="single" w:sz="8" w:space="0" w:color="000000"/>
            </w:tcBorders>
            <w:vAlign w:val="bottom"/>
          </w:tcPr>
          <w:p w:rsidR="0076075F" w:rsidRPr="009A58EC" w:rsidRDefault="0076075F">
            <w:pPr>
              <w:widowControl/>
              <w:autoSpaceDE/>
              <w:autoSpaceDN/>
              <w:adjustRightInd/>
              <w:jc w:val="center"/>
              <w:rPr>
                <w:b/>
                <w:sz w:val="20"/>
                <w:szCs w:val="20"/>
              </w:rPr>
            </w:pPr>
            <w:r w:rsidRPr="009A58EC">
              <w:rPr>
                <w:b/>
                <w:sz w:val="20"/>
                <w:szCs w:val="20"/>
              </w:rPr>
              <w:t>Hourly Wage Rate</w:t>
            </w:r>
          </w:p>
        </w:tc>
        <w:tc>
          <w:tcPr>
            <w:tcW w:w="1406" w:type="dxa"/>
            <w:tcBorders>
              <w:top w:val="single" w:sz="8" w:space="0" w:color="000000"/>
              <w:left w:val="nil"/>
              <w:bottom w:val="double" w:sz="4" w:space="0" w:color="auto"/>
              <w:right w:val="single" w:sz="8" w:space="0" w:color="000000"/>
            </w:tcBorders>
            <w:vAlign w:val="bottom"/>
          </w:tcPr>
          <w:p w:rsidR="0076075F" w:rsidRPr="009A58EC" w:rsidRDefault="0076075F">
            <w:pPr>
              <w:widowControl/>
              <w:autoSpaceDE/>
              <w:autoSpaceDN/>
              <w:adjustRightInd/>
              <w:jc w:val="center"/>
              <w:rPr>
                <w:b/>
                <w:sz w:val="20"/>
                <w:szCs w:val="20"/>
              </w:rPr>
            </w:pPr>
            <w:r w:rsidRPr="009A58EC">
              <w:rPr>
                <w:b/>
                <w:sz w:val="20"/>
                <w:szCs w:val="20"/>
              </w:rPr>
              <w:t>Total Hour Cost</w:t>
            </w:r>
          </w:p>
        </w:tc>
      </w:tr>
      <w:tr w:rsidR="0076075F" w:rsidRPr="009A58EC">
        <w:trPr>
          <w:cantSplit/>
          <w:trHeight w:val="330"/>
        </w:trPr>
        <w:tc>
          <w:tcPr>
            <w:tcW w:w="1620" w:type="dxa"/>
            <w:tcBorders>
              <w:top w:val="double" w:sz="4" w:space="0" w:color="auto"/>
              <w:left w:val="single" w:sz="8" w:space="0" w:color="000000"/>
              <w:bottom w:val="single" w:sz="8" w:space="0" w:color="000000"/>
              <w:right w:val="nil"/>
            </w:tcBorders>
            <w:vAlign w:val="bottom"/>
          </w:tcPr>
          <w:p w:rsidR="0076075F" w:rsidRPr="009A58EC" w:rsidRDefault="0076075F">
            <w:pPr>
              <w:widowControl/>
              <w:autoSpaceDE/>
              <w:autoSpaceDN/>
              <w:adjustRightInd/>
              <w:rPr>
                <w:sz w:val="20"/>
                <w:szCs w:val="20"/>
              </w:rPr>
            </w:pPr>
            <w:r w:rsidRPr="009A58EC">
              <w:rPr>
                <w:sz w:val="20"/>
                <w:szCs w:val="20"/>
              </w:rPr>
              <w:t>Screening</w:t>
            </w:r>
          </w:p>
        </w:tc>
        <w:tc>
          <w:tcPr>
            <w:tcW w:w="1440" w:type="dxa"/>
            <w:tcBorders>
              <w:top w:val="double" w:sz="4" w:space="0" w:color="auto"/>
              <w:left w:val="single" w:sz="8" w:space="0" w:color="000000"/>
              <w:bottom w:val="single" w:sz="8" w:space="0" w:color="000000"/>
              <w:right w:val="nil"/>
            </w:tcBorders>
            <w:vAlign w:val="bottom"/>
          </w:tcPr>
          <w:p w:rsidR="0076075F" w:rsidRPr="009A58EC" w:rsidRDefault="0076075F">
            <w:pPr>
              <w:widowControl/>
              <w:autoSpaceDE/>
              <w:autoSpaceDN/>
              <w:adjustRightInd/>
              <w:jc w:val="right"/>
              <w:rPr>
                <w:sz w:val="20"/>
                <w:szCs w:val="20"/>
              </w:rPr>
            </w:pPr>
            <w:r w:rsidRPr="009A58EC">
              <w:rPr>
                <w:sz w:val="20"/>
                <w:szCs w:val="20"/>
              </w:rPr>
              <w:t>50</w:t>
            </w:r>
          </w:p>
        </w:tc>
        <w:tc>
          <w:tcPr>
            <w:tcW w:w="1530" w:type="dxa"/>
            <w:tcBorders>
              <w:top w:val="double" w:sz="4" w:space="0" w:color="auto"/>
              <w:left w:val="single" w:sz="8" w:space="0" w:color="000000"/>
              <w:bottom w:val="single" w:sz="8" w:space="0" w:color="000000"/>
              <w:right w:val="nil"/>
            </w:tcBorders>
            <w:vAlign w:val="bottom"/>
          </w:tcPr>
          <w:p w:rsidR="0076075F" w:rsidRPr="009A58EC" w:rsidRDefault="0076075F">
            <w:pPr>
              <w:widowControl/>
              <w:autoSpaceDE/>
              <w:autoSpaceDN/>
              <w:adjustRightInd/>
              <w:jc w:val="right"/>
              <w:rPr>
                <w:sz w:val="20"/>
                <w:szCs w:val="20"/>
              </w:rPr>
            </w:pPr>
            <w:r w:rsidRPr="009A58EC">
              <w:rPr>
                <w:sz w:val="20"/>
                <w:szCs w:val="20"/>
              </w:rPr>
              <w:t>1</w:t>
            </w:r>
          </w:p>
        </w:tc>
        <w:tc>
          <w:tcPr>
            <w:tcW w:w="1170" w:type="dxa"/>
            <w:tcBorders>
              <w:top w:val="double" w:sz="4" w:space="0" w:color="auto"/>
              <w:left w:val="single" w:sz="8" w:space="0" w:color="000000"/>
              <w:bottom w:val="single" w:sz="8" w:space="0" w:color="000000"/>
              <w:right w:val="nil"/>
            </w:tcBorders>
            <w:vAlign w:val="bottom"/>
          </w:tcPr>
          <w:p w:rsidR="0076075F" w:rsidRPr="009A58EC" w:rsidRDefault="0076075F">
            <w:pPr>
              <w:widowControl/>
              <w:autoSpaceDE/>
              <w:autoSpaceDN/>
              <w:adjustRightInd/>
              <w:jc w:val="right"/>
              <w:rPr>
                <w:sz w:val="20"/>
                <w:szCs w:val="20"/>
              </w:rPr>
            </w:pPr>
            <w:r w:rsidRPr="009A58EC">
              <w:rPr>
                <w:sz w:val="20"/>
                <w:szCs w:val="20"/>
              </w:rPr>
              <w:t>0.083 hr.</w:t>
            </w:r>
          </w:p>
        </w:tc>
        <w:tc>
          <w:tcPr>
            <w:tcW w:w="1136" w:type="dxa"/>
            <w:tcBorders>
              <w:top w:val="double" w:sz="4" w:space="0" w:color="auto"/>
              <w:left w:val="single" w:sz="8" w:space="0" w:color="000000"/>
              <w:bottom w:val="single" w:sz="8" w:space="0" w:color="000000"/>
              <w:right w:val="single" w:sz="8" w:space="0" w:color="000000"/>
            </w:tcBorders>
            <w:vAlign w:val="bottom"/>
          </w:tcPr>
          <w:p w:rsidR="0076075F" w:rsidRPr="009A58EC" w:rsidRDefault="0076075F">
            <w:pPr>
              <w:widowControl/>
              <w:autoSpaceDE/>
              <w:autoSpaceDN/>
              <w:adjustRightInd/>
              <w:jc w:val="right"/>
              <w:rPr>
                <w:sz w:val="20"/>
                <w:szCs w:val="20"/>
              </w:rPr>
            </w:pPr>
            <w:r w:rsidRPr="009A58EC">
              <w:rPr>
                <w:sz w:val="20"/>
                <w:szCs w:val="20"/>
              </w:rPr>
              <w:t>4.61</w:t>
            </w:r>
          </w:p>
        </w:tc>
        <w:tc>
          <w:tcPr>
            <w:tcW w:w="1114" w:type="dxa"/>
            <w:tcBorders>
              <w:top w:val="double" w:sz="4" w:space="0" w:color="auto"/>
              <w:left w:val="nil"/>
              <w:bottom w:val="single" w:sz="8" w:space="0" w:color="000000"/>
              <w:right w:val="single" w:sz="8" w:space="0" w:color="000000"/>
            </w:tcBorders>
            <w:vAlign w:val="bottom"/>
          </w:tcPr>
          <w:p w:rsidR="0076075F" w:rsidRPr="009A58EC" w:rsidRDefault="0076075F">
            <w:pPr>
              <w:widowControl/>
              <w:autoSpaceDE/>
              <w:autoSpaceDN/>
              <w:adjustRightInd/>
              <w:jc w:val="right"/>
              <w:rPr>
                <w:sz w:val="20"/>
                <w:szCs w:val="20"/>
              </w:rPr>
            </w:pPr>
            <w:r w:rsidRPr="009A58EC">
              <w:rPr>
                <w:sz w:val="20"/>
                <w:szCs w:val="20"/>
              </w:rPr>
              <w:t xml:space="preserve">$14.61 </w:t>
            </w:r>
          </w:p>
        </w:tc>
        <w:tc>
          <w:tcPr>
            <w:tcW w:w="1406" w:type="dxa"/>
            <w:tcBorders>
              <w:top w:val="double" w:sz="4" w:space="0" w:color="auto"/>
              <w:left w:val="nil"/>
              <w:bottom w:val="single" w:sz="8" w:space="0" w:color="000000"/>
              <w:right w:val="single" w:sz="8" w:space="0" w:color="000000"/>
            </w:tcBorders>
            <w:vAlign w:val="bottom"/>
          </w:tcPr>
          <w:p w:rsidR="0076075F" w:rsidRPr="009A58EC" w:rsidRDefault="0076075F">
            <w:pPr>
              <w:widowControl/>
              <w:autoSpaceDE/>
              <w:autoSpaceDN/>
              <w:adjustRightInd/>
              <w:jc w:val="right"/>
              <w:rPr>
                <w:sz w:val="20"/>
                <w:szCs w:val="20"/>
              </w:rPr>
            </w:pPr>
            <w:r w:rsidRPr="009A58EC">
              <w:rPr>
                <w:sz w:val="20"/>
                <w:szCs w:val="20"/>
              </w:rPr>
              <w:t xml:space="preserve">$  67.35 </w:t>
            </w:r>
          </w:p>
        </w:tc>
      </w:tr>
      <w:tr w:rsidR="0076075F" w:rsidRPr="009A58EC">
        <w:trPr>
          <w:cantSplit/>
          <w:trHeight w:val="330"/>
        </w:trPr>
        <w:tc>
          <w:tcPr>
            <w:tcW w:w="1620" w:type="dxa"/>
            <w:tcBorders>
              <w:top w:val="nil"/>
              <w:left w:val="single" w:sz="8" w:space="0" w:color="000000"/>
              <w:bottom w:val="single" w:sz="8" w:space="0" w:color="000000"/>
              <w:right w:val="nil"/>
            </w:tcBorders>
            <w:vAlign w:val="bottom"/>
          </w:tcPr>
          <w:p w:rsidR="0076075F" w:rsidRPr="009A58EC" w:rsidRDefault="0076075F">
            <w:pPr>
              <w:widowControl/>
              <w:autoSpaceDE/>
              <w:autoSpaceDN/>
              <w:adjustRightInd/>
              <w:rPr>
                <w:sz w:val="20"/>
                <w:szCs w:val="20"/>
              </w:rPr>
            </w:pPr>
            <w:r w:rsidRPr="009A58EC">
              <w:rPr>
                <w:sz w:val="20"/>
                <w:szCs w:val="20"/>
              </w:rPr>
              <w:t>Cognitive Interviews</w:t>
            </w:r>
          </w:p>
        </w:tc>
        <w:tc>
          <w:tcPr>
            <w:tcW w:w="1440" w:type="dxa"/>
            <w:tcBorders>
              <w:top w:val="nil"/>
              <w:left w:val="single" w:sz="8" w:space="0" w:color="000000"/>
              <w:bottom w:val="single" w:sz="8" w:space="0" w:color="000000"/>
              <w:right w:val="nil"/>
            </w:tcBorders>
            <w:vAlign w:val="bottom"/>
          </w:tcPr>
          <w:p w:rsidR="0076075F" w:rsidRPr="009A58EC" w:rsidRDefault="0076075F">
            <w:pPr>
              <w:widowControl/>
              <w:autoSpaceDE/>
              <w:autoSpaceDN/>
              <w:adjustRightInd/>
              <w:jc w:val="right"/>
              <w:rPr>
                <w:sz w:val="20"/>
                <w:szCs w:val="20"/>
              </w:rPr>
            </w:pPr>
            <w:r w:rsidRPr="009A58EC">
              <w:rPr>
                <w:sz w:val="20"/>
                <w:szCs w:val="20"/>
              </w:rPr>
              <w:t>32</w:t>
            </w:r>
          </w:p>
        </w:tc>
        <w:tc>
          <w:tcPr>
            <w:tcW w:w="1530" w:type="dxa"/>
            <w:tcBorders>
              <w:top w:val="nil"/>
              <w:left w:val="single" w:sz="8" w:space="0" w:color="000000"/>
              <w:bottom w:val="single" w:sz="8" w:space="0" w:color="000000"/>
              <w:right w:val="nil"/>
            </w:tcBorders>
            <w:vAlign w:val="bottom"/>
          </w:tcPr>
          <w:p w:rsidR="0076075F" w:rsidRPr="009A58EC" w:rsidRDefault="0076075F">
            <w:pPr>
              <w:widowControl/>
              <w:autoSpaceDE/>
              <w:autoSpaceDN/>
              <w:adjustRightInd/>
              <w:jc w:val="right"/>
              <w:rPr>
                <w:sz w:val="20"/>
                <w:szCs w:val="20"/>
              </w:rPr>
            </w:pPr>
            <w:r w:rsidRPr="009A58EC">
              <w:rPr>
                <w:sz w:val="20"/>
                <w:szCs w:val="20"/>
              </w:rPr>
              <w:t>1</w:t>
            </w:r>
          </w:p>
        </w:tc>
        <w:tc>
          <w:tcPr>
            <w:tcW w:w="1170" w:type="dxa"/>
            <w:tcBorders>
              <w:top w:val="nil"/>
              <w:left w:val="single" w:sz="8" w:space="0" w:color="000000"/>
              <w:bottom w:val="single" w:sz="8" w:space="0" w:color="000000"/>
              <w:right w:val="nil"/>
            </w:tcBorders>
            <w:vAlign w:val="bottom"/>
          </w:tcPr>
          <w:p w:rsidR="0076075F" w:rsidRPr="009A58EC" w:rsidRDefault="0076075F">
            <w:pPr>
              <w:widowControl/>
              <w:autoSpaceDE/>
              <w:autoSpaceDN/>
              <w:adjustRightInd/>
              <w:jc w:val="right"/>
              <w:rPr>
                <w:sz w:val="20"/>
                <w:szCs w:val="20"/>
              </w:rPr>
            </w:pPr>
            <w:r w:rsidRPr="009A58EC">
              <w:rPr>
                <w:sz w:val="20"/>
                <w:szCs w:val="20"/>
              </w:rPr>
              <w:t>.75 hr.</w:t>
            </w:r>
          </w:p>
        </w:tc>
        <w:tc>
          <w:tcPr>
            <w:tcW w:w="1136" w:type="dxa"/>
            <w:tcBorders>
              <w:top w:val="nil"/>
              <w:left w:val="single" w:sz="8" w:space="0" w:color="000000"/>
              <w:bottom w:val="single" w:sz="8" w:space="0" w:color="000000"/>
              <w:right w:val="single" w:sz="8" w:space="0" w:color="000000"/>
            </w:tcBorders>
            <w:vAlign w:val="bottom"/>
          </w:tcPr>
          <w:p w:rsidR="0076075F" w:rsidRPr="009A58EC" w:rsidRDefault="0076075F">
            <w:pPr>
              <w:widowControl/>
              <w:autoSpaceDE/>
              <w:autoSpaceDN/>
              <w:adjustRightInd/>
              <w:jc w:val="right"/>
              <w:rPr>
                <w:sz w:val="20"/>
                <w:szCs w:val="20"/>
              </w:rPr>
            </w:pPr>
            <w:r w:rsidRPr="009A58EC">
              <w:rPr>
                <w:sz w:val="20"/>
                <w:szCs w:val="20"/>
              </w:rPr>
              <w:t>24</w:t>
            </w:r>
          </w:p>
        </w:tc>
        <w:tc>
          <w:tcPr>
            <w:tcW w:w="1114" w:type="dxa"/>
            <w:tcBorders>
              <w:top w:val="nil"/>
              <w:left w:val="nil"/>
              <w:bottom w:val="single" w:sz="8" w:space="0" w:color="000000"/>
              <w:right w:val="single" w:sz="8" w:space="0" w:color="000000"/>
            </w:tcBorders>
            <w:vAlign w:val="bottom"/>
          </w:tcPr>
          <w:p w:rsidR="0076075F" w:rsidRPr="009A58EC" w:rsidRDefault="0076075F">
            <w:pPr>
              <w:widowControl/>
              <w:autoSpaceDE/>
              <w:autoSpaceDN/>
              <w:adjustRightInd/>
              <w:jc w:val="right"/>
              <w:rPr>
                <w:sz w:val="20"/>
                <w:szCs w:val="20"/>
              </w:rPr>
            </w:pPr>
            <w:r w:rsidRPr="009A58EC">
              <w:rPr>
                <w:sz w:val="20"/>
                <w:szCs w:val="20"/>
              </w:rPr>
              <w:t xml:space="preserve">$14.61 </w:t>
            </w:r>
          </w:p>
        </w:tc>
        <w:tc>
          <w:tcPr>
            <w:tcW w:w="1406" w:type="dxa"/>
            <w:tcBorders>
              <w:top w:val="nil"/>
              <w:left w:val="nil"/>
              <w:bottom w:val="single" w:sz="8" w:space="0" w:color="000000"/>
              <w:right w:val="single" w:sz="8" w:space="0" w:color="000000"/>
            </w:tcBorders>
            <w:vAlign w:val="bottom"/>
          </w:tcPr>
          <w:p w:rsidR="0076075F" w:rsidRPr="009A58EC" w:rsidRDefault="0076075F">
            <w:pPr>
              <w:widowControl/>
              <w:autoSpaceDE/>
              <w:autoSpaceDN/>
              <w:adjustRightInd/>
              <w:jc w:val="right"/>
              <w:rPr>
                <w:sz w:val="20"/>
                <w:szCs w:val="20"/>
              </w:rPr>
            </w:pPr>
            <w:r w:rsidRPr="009A58EC">
              <w:rPr>
                <w:sz w:val="20"/>
                <w:szCs w:val="20"/>
              </w:rPr>
              <w:t xml:space="preserve">$350.64 </w:t>
            </w:r>
          </w:p>
        </w:tc>
      </w:tr>
      <w:tr w:rsidR="0076075F" w:rsidRPr="009A58EC">
        <w:trPr>
          <w:cantSplit/>
          <w:trHeight w:val="330"/>
        </w:trPr>
        <w:tc>
          <w:tcPr>
            <w:tcW w:w="1620" w:type="dxa"/>
            <w:tcBorders>
              <w:top w:val="nil"/>
              <w:left w:val="single" w:sz="8" w:space="0" w:color="000000"/>
              <w:bottom w:val="single" w:sz="8" w:space="0" w:color="000000"/>
              <w:right w:val="nil"/>
            </w:tcBorders>
            <w:vAlign w:val="bottom"/>
          </w:tcPr>
          <w:p w:rsidR="0076075F" w:rsidRPr="009A58EC" w:rsidRDefault="0076075F">
            <w:pPr>
              <w:widowControl/>
              <w:autoSpaceDE/>
              <w:autoSpaceDN/>
              <w:adjustRightInd/>
              <w:rPr>
                <w:sz w:val="20"/>
                <w:szCs w:val="20"/>
              </w:rPr>
            </w:pPr>
            <w:r w:rsidRPr="009A58EC">
              <w:rPr>
                <w:sz w:val="20"/>
                <w:szCs w:val="20"/>
              </w:rPr>
              <w:t>TOTAL</w:t>
            </w:r>
          </w:p>
        </w:tc>
        <w:tc>
          <w:tcPr>
            <w:tcW w:w="1440" w:type="dxa"/>
            <w:tcBorders>
              <w:top w:val="nil"/>
              <w:left w:val="single" w:sz="8" w:space="0" w:color="000000"/>
              <w:bottom w:val="single" w:sz="8" w:space="0" w:color="000000"/>
              <w:right w:val="nil"/>
            </w:tcBorders>
            <w:vAlign w:val="bottom"/>
          </w:tcPr>
          <w:p w:rsidR="0076075F" w:rsidRPr="009A58EC" w:rsidRDefault="0076075F">
            <w:pPr>
              <w:widowControl/>
              <w:autoSpaceDE/>
              <w:autoSpaceDN/>
              <w:adjustRightInd/>
              <w:jc w:val="right"/>
              <w:rPr>
                <w:sz w:val="20"/>
                <w:szCs w:val="20"/>
              </w:rPr>
            </w:pPr>
            <w:r w:rsidRPr="009A58EC">
              <w:rPr>
                <w:sz w:val="20"/>
                <w:szCs w:val="20"/>
              </w:rPr>
              <w:t>82</w:t>
            </w:r>
          </w:p>
        </w:tc>
        <w:tc>
          <w:tcPr>
            <w:tcW w:w="1530" w:type="dxa"/>
            <w:tcBorders>
              <w:top w:val="nil"/>
              <w:left w:val="single" w:sz="8" w:space="0" w:color="000000"/>
              <w:bottom w:val="single" w:sz="8" w:space="0" w:color="000000"/>
              <w:right w:val="nil"/>
            </w:tcBorders>
            <w:vAlign w:val="bottom"/>
          </w:tcPr>
          <w:p w:rsidR="0076075F" w:rsidRPr="009A58EC" w:rsidRDefault="0076075F">
            <w:pPr>
              <w:widowControl/>
              <w:autoSpaceDE/>
              <w:autoSpaceDN/>
              <w:adjustRightInd/>
              <w:jc w:val="right"/>
              <w:rPr>
                <w:sz w:val="20"/>
                <w:szCs w:val="20"/>
              </w:rPr>
            </w:pPr>
            <w:r w:rsidRPr="009A58EC">
              <w:rPr>
                <w:sz w:val="20"/>
                <w:szCs w:val="20"/>
              </w:rPr>
              <w:t xml:space="preserve">– </w:t>
            </w:r>
          </w:p>
        </w:tc>
        <w:tc>
          <w:tcPr>
            <w:tcW w:w="1170" w:type="dxa"/>
            <w:tcBorders>
              <w:top w:val="nil"/>
              <w:left w:val="single" w:sz="8" w:space="0" w:color="000000"/>
              <w:bottom w:val="single" w:sz="8" w:space="0" w:color="000000"/>
              <w:right w:val="nil"/>
            </w:tcBorders>
            <w:vAlign w:val="bottom"/>
          </w:tcPr>
          <w:p w:rsidR="0076075F" w:rsidRPr="009A58EC" w:rsidRDefault="0076075F">
            <w:pPr>
              <w:widowControl/>
              <w:autoSpaceDE/>
              <w:autoSpaceDN/>
              <w:adjustRightInd/>
              <w:jc w:val="right"/>
              <w:rPr>
                <w:sz w:val="20"/>
                <w:szCs w:val="20"/>
              </w:rPr>
            </w:pPr>
            <w:r w:rsidRPr="009A58EC">
              <w:rPr>
                <w:sz w:val="20"/>
                <w:szCs w:val="20"/>
              </w:rPr>
              <w:t xml:space="preserve">– </w:t>
            </w:r>
          </w:p>
        </w:tc>
        <w:tc>
          <w:tcPr>
            <w:tcW w:w="1136" w:type="dxa"/>
            <w:tcBorders>
              <w:top w:val="nil"/>
              <w:left w:val="single" w:sz="8" w:space="0" w:color="000000"/>
              <w:bottom w:val="single" w:sz="8" w:space="0" w:color="000000"/>
              <w:right w:val="nil"/>
            </w:tcBorders>
            <w:vAlign w:val="bottom"/>
          </w:tcPr>
          <w:p w:rsidR="0076075F" w:rsidRPr="009A58EC" w:rsidRDefault="0076075F">
            <w:pPr>
              <w:widowControl/>
              <w:autoSpaceDE/>
              <w:autoSpaceDN/>
              <w:adjustRightInd/>
              <w:jc w:val="right"/>
              <w:rPr>
                <w:sz w:val="20"/>
                <w:szCs w:val="20"/>
              </w:rPr>
            </w:pPr>
            <w:r w:rsidRPr="009A58EC">
              <w:rPr>
                <w:sz w:val="20"/>
                <w:szCs w:val="20"/>
              </w:rPr>
              <w:t>28.61</w:t>
            </w:r>
          </w:p>
        </w:tc>
        <w:tc>
          <w:tcPr>
            <w:tcW w:w="1114" w:type="dxa"/>
            <w:tcBorders>
              <w:top w:val="nil"/>
              <w:left w:val="single" w:sz="8" w:space="0" w:color="000000"/>
              <w:bottom w:val="single" w:sz="8" w:space="0" w:color="000000"/>
              <w:right w:val="single" w:sz="8" w:space="0" w:color="000000"/>
            </w:tcBorders>
            <w:vAlign w:val="bottom"/>
          </w:tcPr>
          <w:p w:rsidR="0076075F" w:rsidRPr="009A58EC" w:rsidRDefault="0076075F">
            <w:pPr>
              <w:widowControl/>
              <w:autoSpaceDE/>
              <w:autoSpaceDN/>
              <w:adjustRightInd/>
              <w:jc w:val="right"/>
              <w:rPr>
                <w:sz w:val="20"/>
                <w:szCs w:val="20"/>
              </w:rPr>
            </w:pPr>
            <w:r w:rsidRPr="009A58EC">
              <w:rPr>
                <w:sz w:val="20"/>
                <w:szCs w:val="20"/>
              </w:rPr>
              <w:t xml:space="preserve">– </w:t>
            </w:r>
          </w:p>
        </w:tc>
        <w:tc>
          <w:tcPr>
            <w:tcW w:w="1406" w:type="dxa"/>
            <w:tcBorders>
              <w:top w:val="nil"/>
              <w:left w:val="nil"/>
              <w:bottom w:val="single" w:sz="8" w:space="0" w:color="000000"/>
              <w:right w:val="single" w:sz="8" w:space="0" w:color="000000"/>
            </w:tcBorders>
            <w:vAlign w:val="bottom"/>
          </w:tcPr>
          <w:p w:rsidR="0076075F" w:rsidRPr="009A58EC" w:rsidRDefault="0076075F">
            <w:pPr>
              <w:widowControl/>
              <w:autoSpaceDE/>
              <w:autoSpaceDN/>
              <w:adjustRightInd/>
              <w:jc w:val="right"/>
              <w:rPr>
                <w:sz w:val="20"/>
                <w:szCs w:val="20"/>
              </w:rPr>
            </w:pPr>
            <w:r w:rsidRPr="009A58EC">
              <w:rPr>
                <w:sz w:val="20"/>
                <w:szCs w:val="20"/>
              </w:rPr>
              <w:t>$417.99</w:t>
            </w:r>
          </w:p>
        </w:tc>
      </w:tr>
    </w:tbl>
    <w:p w:rsidR="0076075F" w:rsidRPr="009A58EC" w:rsidRDefault="007607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A58EC">
        <w:t xml:space="preserve"> </w:t>
      </w:r>
    </w:p>
    <w:p w:rsidR="0076075F" w:rsidRPr="009A58EC" w:rsidRDefault="0076075F" w:rsidP="006000FC">
      <w:pPr>
        <w:pStyle w:val="Heading1"/>
        <w:spacing w:before="0" w:after="0"/>
        <w:rPr>
          <w:u w:val="single"/>
        </w:rPr>
      </w:pPr>
      <w:r w:rsidRPr="009A58EC">
        <w:t>10.</w:t>
      </w:r>
      <w:r w:rsidRPr="009A58EC">
        <w:tab/>
      </w:r>
      <w:r w:rsidRPr="009A58EC">
        <w:rPr>
          <w:u w:val="single"/>
        </w:rPr>
        <w:t>Estimates of Annualized Cost to the Government</w:t>
      </w:r>
    </w:p>
    <w:p w:rsidR="0076075F" w:rsidRPr="009A58EC" w:rsidRDefault="0076075F" w:rsidP="00984D39"/>
    <w:p w:rsidR="0076075F" w:rsidRPr="009A58EC" w:rsidRDefault="0076075F" w:rsidP="00FB0E6E">
      <w:pPr>
        <w:ind w:left="720" w:hanging="720"/>
      </w:pPr>
      <w:r w:rsidRPr="009A58EC">
        <w:tab/>
        <w:t xml:space="preserve">Total costs associated with the </w:t>
      </w:r>
      <w:r w:rsidRPr="009A58EC">
        <w:rPr>
          <w:bCs/>
        </w:rPr>
        <w:t>2009 Cognitive Interviews for Youth Mental Health Services Utilization Questions</w:t>
      </w:r>
      <w:r w:rsidRPr="009A58EC" w:rsidDel="00327566">
        <w:t xml:space="preserve"> </w:t>
      </w:r>
      <w:r w:rsidRPr="009A58EC">
        <w:t>are estimated to be $50,600 over a 4-month performance period. Of the total costs, $47,000 is for study design, preparation of materials for laboratory testing, recruiting, conducting the cognitive interviews, analysis and report/publication writing, and approximately $3,600 represents SAMHSA costs to manage/administrate the survey.</w:t>
      </w:r>
    </w:p>
    <w:p w:rsidR="0076075F" w:rsidRPr="009A58EC" w:rsidRDefault="0076075F" w:rsidP="00984D39">
      <w:pPr>
        <w:ind w:left="720" w:hanging="720"/>
      </w:pPr>
    </w:p>
    <w:p w:rsidR="0076075F" w:rsidRPr="009A58EC" w:rsidRDefault="0076075F" w:rsidP="002F6C88">
      <w:pPr>
        <w:pStyle w:val="Heading1"/>
        <w:numPr>
          <w:ilvl w:val="0"/>
          <w:numId w:val="20"/>
        </w:numPr>
        <w:spacing w:before="0" w:after="0"/>
        <w:ind w:hanging="1080"/>
        <w:rPr>
          <w:u w:val="single"/>
        </w:rPr>
      </w:pPr>
      <w:r w:rsidRPr="009A58EC">
        <w:rPr>
          <w:u w:val="single"/>
        </w:rPr>
        <w:t>Time Schedule, Publication and Analysis Plans</w:t>
      </w:r>
    </w:p>
    <w:p w:rsidR="0076075F" w:rsidRPr="009A58EC" w:rsidRDefault="0076075F" w:rsidP="000125D1"/>
    <w:p w:rsidR="0076075F" w:rsidRPr="009A58EC" w:rsidRDefault="0076075F" w:rsidP="00FB0E6E">
      <w:pPr>
        <w:ind w:left="720" w:hanging="720"/>
      </w:pPr>
      <w:r w:rsidRPr="009A58EC">
        <w:tab/>
        <w:t xml:space="preserve">The </w:t>
      </w:r>
      <w:r w:rsidRPr="009A58EC">
        <w:rPr>
          <w:bCs/>
        </w:rPr>
        <w:t>2009 Cognitive Interviews for Youth Mental Health Services Utilization Questions</w:t>
      </w:r>
      <w:r w:rsidRPr="009A58EC" w:rsidDel="00327566">
        <w:t xml:space="preserve"> </w:t>
      </w:r>
      <w:r w:rsidRPr="009A58EC">
        <w:t>results will be used to gauge the impact of wording changes and question additions required for the 2009 NSDUH survey.  The sample size and design do not allow for statistical inference to be conducted, and therefore, the analyses will be observational and anecdotal. Debriefings with the cognitive interviewers will be conducted to learn from their experiences about respondents’ reactions and responses to the additional questions in the 2009 NSDUH instrument.</w:t>
      </w:r>
    </w:p>
    <w:p w:rsidR="0076075F" w:rsidRPr="009A58EC" w:rsidRDefault="0076075F" w:rsidP="00FB0E6E">
      <w:pPr>
        <w:ind w:left="720" w:hanging="720"/>
      </w:pPr>
      <w:r w:rsidRPr="009A58EC">
        <w:t xml:space="preserve">  </w:t>
      </w:r>
    </w:p>
    <w:p w:rsidR="0076075F" w:rsidRPr="009A58EC" w:rsidRDefault="0076075F" w:rsidP="007B0C33">
      <w:pPr>
        <w:ind w:left="720" w:hanging="720"/>
      </w:pPr>
      <w:r w:rsidRPr="009A58EC">
        <w:tab/>
        <w:t xml:space="preserve">When the study has been completed, the SAMHSA and RTI liaisons will discuss opportunities for presenting results of the study to the external research community at a professional conference and/or via external publication. </w:t>
      </w:r>
    </w:p>
    <w:p w:rsidR="0076075F" w:rsidRPr="009A58EC" w:rsidRDefault="0076075F" w:rsidP="007B0C33">
      <w:pPr>
        <w:ind w:left="720" w:hanging="720"/>
      </w:pPr>
    </w:p>
    <w:p w:rsidR="0076075F" w:rsidRPr="009A58EC" w:rsidRDefault="0076075F" w:rsidP="00FB0E6E">
      <w:pPr>
        <w:ind w:left="720" w:hanging="720"/>
      </w:pPr>
      <w:r w:rsidRPr="009A58EC">
        <w:t xml:space="preserve"> </w:t>
      </w:r>
      <w:r w:rsidRPr="009A58EC">
        <w:tab/>
        <w:t xml:space="preserve">The time schedule for the </w:t>
      </w:r>
      <w:r w:rsidRPr="009A58EC">
        <w:rPr>
          <w:bCs/>
        </w:rPr>
        <w:t>2009 Cognitive Interviews for Youth Mental Health Services Utilization Questions</w:t>
      </w:r>
      <w:r w:rsidRPr="009A58EC" w:rsidDel="00327566">
        <w:t xml:space="preserve"> </w:t>
      </w:r>
      <w:r w:rsidRPr="009A58EC">
        <w:t>is included below.</w:t>
      </w:r>
    </w:p>
    <w:p w:rsidR="0076075F" w:rsidRPr="009A58EC" w:rsidRDefault="0076075F" w:rsidP="00DF6B17"/>
    <w:p w:rsidR="0076075F" w:rsidRPr="009A58EC" w:rsidRDefault="0076075F" w:rsidP="00FB0E6E">
      <w:pPr>
        <w:pStyle w:val="BodyText"/>
        <w:spacing w:after="0"/>
        <w:jc w:val="center"/>
        <w:rPr>
          <w:bCs/>
          <w:u w:val="single"/>
        </w:rPr>
      </w:pPr>
      <w:r w:rsidRPr="009A58EC">
        <w:rPr>
          <w:bCs/>
          <w:u w:val="single"/>
        </w:rPr>
        <w:t xml:space="preserve">2009 Cognitive Interviews for Youth Mental Health </w:t>
      </w:r>
    </w:p>
    <w:p w:rsidR="0076075F" w:rsidRPr="009A58EC" w:rsidRDefault="0076075F" w:rsidP="00FB0E6E">
      <w:pPr>
        <w:pStyle w:val="BodyText"/>
        <w:spacing w:after="0"/>
        <w:jc w:val="center"/>
        <w:rPr>
          <w:u w:val="single"/>
        </w:rPr>
      </w:pPr>
      <w:r w:rsidRPr="009A58EC">
        <w:rPr>
          <w:bCs/>
          <w:u w:val="single"/>
        </w:rPr>
        <w:t>Services Utilization Questions</w:t>
      </w:r>
      <w:r w:rsidRPr="009A58EC" w:rsidDel="00327566">
        <w:rPr>
          <w:u w:val="single"/>
        </w:rPr>
        <w:t xml:space="preserve"> </w:t>
      </w:r>
      <w:r w:rsidRPr="009A58EC">
        <w:rPr>
          <w:u w:val="single"/>
        </w:rPr>
        <w:t>Schedule</w:t>
      </w:r>
    </w:p>
    <w:p w:rsidR="0076075F" w:rsidRPr="009A58EC" w:rsidRDefault="0076075F" w:rsidP="00C87CEE">
      <w:pPr>
        <w:pStyle w:val="BodyText"/>
        <w:spacing w:after="0"/>
        <w:rPr>
          <w:rFonts w:ascii="Times New Roman" w:hAnsi="Times New Roman"/>
          <w:bCs/>
        </w:rPr>
      </w:pPr>
    </w:p>
    <w:tbl>
      <w:tblPr>
        <w:tblStyle w:val="TableGrid"/>
        <w:tblW w:w="8820" w:type="dxa"/>
        <w:jc w:val="center"/>
        <w:tblInd w:w="828" w:type="dxa"/>
        <w:tblLook w:val="01E0"/>
      </w:tblPr>
      <w:tblGrid>
        <w:gridCol w:w="6570"/>
        <w:gridCol w:w="2250"/>
      </w:tblGrid>
      <w:tr w:rsidR="0076075F" w:rsidRPr="009A58EC">
        <w:trPr>
          <w:jc w:val="center"/>
        </w:trPr>
        <w:tc>
          <w:tcPr>
            <w:tcW w:w="6570" w:type="dxa"/>
            <w:tcBorders>
              <w:bottom w:val="double" w:sz="4" w:space="0" w:color="auto"/>
            </w:tcBorders>
            <w:shd w:val="clear" w:color="auto" w:fill="E0E0E0"/>
          </w:tcPr>
          <w:p w:rsidR="0076075F" w:rsidRPr="009A58EC" w:rsidRDefault="0076075F" w:rsidP="00B97D6D">
            <w:pPr>
              <w:rPr>
                <w:b/>
                <w:sz w:val="22"/>
                <w:szCs w:val="22"/>
              </w:rPr>
            </w:pPr>
            <w:r w:rsidRPr="009A58EC">
              <w:rPr>
                <w:b/>
                <w:sz w:val="22"/>
                <w:szCs w:val="22"/>
              </w:rPr>
              <w:t>Subtask</w:t>
            </w:r>
          </w:p>
        </w:tc>
        <w:tc>
          <w:tcPr>
            <w:tcW w:w="2250" w:type="dxa"/>
            <w:tcBorders>
              <w:bottom w:val="double" w:sz="4" w:space="0" w:color="auto"/>
            </w:tcBorders>
            <w:shd w:val="clear" w:color="auto" w:fill="E0E0E0"/>
          </w:tcPr>
          <w:p w:rsidR="0076075F" w:rsidRPr="009A58EC" w:rsidRDefault="0076075F" w:rsidP="00B97D6D">
            <w:pPr>
              <w:rPr>
                <w:b/>
                <w:sz w:val="22"/>
                <w:szCs w:val="22"/>
              </w:rPr>
            </w:pPr>
            <w:r w:rsidRPr="009A58EC">
              <w:rPr>
                <w:b/>
                <w:sz w:val="22"/>
                <w:szCs w:val="22"/>
              </w:rPr>
              <w:t>Due Date</w:t>
            </w:r>
          </w:p>
        </w:tc>
      </w:tr>
      <w:tr w:rsidR="0076075F" w:rsidRPr="009A58EC">
        <w:trPr>
          <w:jc w:val="center"/>
        </w:trPr>
        <w:tc>
          <w:tcPr>
            <w:tcW w:w="6570" w:type="dxa"/>
            <w:tcBorders>
              <w:top w:val="double" w:sz="4" w:space="0" w:color="auto"/>
            </w:tcBorders>
          </w:tcPr>
          <w:p w:rsidR="0076075F" w:rsidRPr="009A58EC" w:rsidRDefault="0076075F" w:rsidP="00B97D6D">
            <w:pPr>
              <w:rPr>
                <w:sz w:val="22"/>
                <w:szCs w:val="22"/>
              </w:rPr>
            </w:pPr>
            <w:r w:rsidRPr="009A58EC">
              <w:rPr>
                <w:sz w:val="22"/>
                <w:szCs w:val="22"/>
              </w:rPr>
              <w:t>RTI sends cognitive interview materials (including recruitment ads and scripts and the interviewing protocol) to SAMHSA for review</w:t>
            </w:r>
          </w:p>
        </w:tc>
        <w:tc>
          <w:tcPr>
            <w:tcW w:w="2250" w:type="dxa"/>
            <w:tcBorders>
              <w:top w:val="double" w:sz="4" w:space="0" w:color="auto"/>
            </w:tcBorders>
          </w:tcPr>
          <w:p w:rsidR="0076075F" w:rsidRPr="009A58EC" w:rsidRDefault="0076075F" w:rsidP="00B97D6D">
            <w:pPr>
              <w:rPr>
                <w:sz w:val="22"/>
                <w:szCs w:val="22"/>
              </w:rPr>
            </w:pPr>
            <w:r w:rsidRPr="009A58EC">
              <w:rPr>
                <w:sz w:val="22"/>
                <w:szCs w:val="22"/>
              </w:rPr>
              <w:t>May 19, 2008</w:t>
            </w:r>
          </w:p>
        </w:tc>
      </w:tr>
      <w:tr w:rsidR="0076075F" w:rsidRPr="009A58EC">
        <w:trPr>
          <w:jc w:val="center"/>
        </w:trPr>
        <w:tc>
          <w:tcPr>
            <w:tcW w:w="6570" w:type="dxa"/>
          </w:tcPr>
          <w:p w:rsidR="0076075F" w:rsidRPr="009A58EC" w:rsidRDefault="0076075F" w:rsidP="00B97D6D">
            <w:pPr>
              <w:rPr>
                <w:sz w:val="22"/>
                <w:szCs w:val="22"/>
              </w:rPr>
            </w:pPr>
            <w:r w:rsidRPr="009A58EC">
              <w:rPr>
                <w:sz w:val="22"/>
                <w:szCs w:val="22"/>
              </w:rPr>
              <w:t>SAMHSA provides comments to RTI on cognitive interview materials</w:t>
            </w:r>
          </w:p>
        </w:tc>
        <w:tc>
          <w:tcPr>
            <w:tcW w:w="2250" w:type="dxa"/>
          </w:tcPr>
          <w:p w:rsidR="0076075F" w:rsidRPr="009A58EC" w:rsidRDefault="0076075F" w:rsidP="00B97D6D">
            <w:pPr>
              <w:rPr>
                <w:sz w:val="22"/>
                <w:szCs w:val="22"/>
              </w:rPr>
            </w:pPr>
            <w:r w:rsidRPr="009A58EC">
              <w:rPr>
                <w:sz w:val="22"/>
                <w:szCs w:val="22"/>
              </w:rPr>
              <w:t>May 20, 2008</w:t>
            </w:r>
          </w:p>
        </w:tc>
      </w:tr>
      <w:tr w:rsidR="0076075F" w:rsidRPr="009A58EC">
        <w:trPr>
          <w:jc w:val="center"/>
        </w:trPr>
        <w:tc>
          <w:tcPr>
            <w:tcW w:w="6570" w:type="dxa"/>
          </w:tcPr>
          <w:p w:rsidR="0076075F" w:rsidRPr="009A58EC" w:rsidRDefault="0076075F" w:rsidP="00B97D6D">
            <w:pPr>
              <w:rPr>
                <w:sz w:val="22"/>
                <w:szCs w:val="22"/>
              </w:rPr>
            </w:pPr>
            <w:r w:rsidRPr="009A58EC">
              <w:rPr>
                <w:sz w:val="22"/>
                <w:szCs w:val="22"/>
              </w:rPr>
              <w:t xml:space="preserve">RTI submits IRB materials for approval </w:t>
            </w:r>
          </w:p>
        </w:tc>
        <w:tc>
          <w:tcPr>
            <w:tcW w:w="2250" w:type="dxa"/>
          </w:tcPr>
          <w:p w:rsidR="0076075F" w:rsidRPr="009A58EC" w:rsidRDefault="0076075F" w:rsidP="00B97D6D">
            <w:pPr>
              <w:rPr>
                <w:sz w:val="22"/>
                <w:szCs w:val="22"/>
              </w:rPr>
            </w:pPr>
            <w:r w:rsidRPr="009A58EC">
              <w:rPr>
                <w:sz w:val="22"/>
                <w:szCs w:val="22"/>
              </w:rPr>
              <w:t>May 21, 2008</w:t>
            </w:r>
          </w:p>
        </w:tc>
      </w:tr>
      <w:tr w:rsidR="0076075F" w:rsidRPr="009A58EC">
        <w:trPr>
          <w:jc w:val="center"/>
        </w:trPr>
        <w:tc>
          <w:tcPr>
            <w:tcW w:w="6570" w:type="dxa"/>
          </w:tcPr>
          <w:p w:rsidR="0076075F" w:rsidRPr="009A58EC" w:rsidRDefault="0076075F" w:rsidP="00B66B30">
            <w:pPr>
              <w:rPr>
                <w:sz w:val="22"/>
                <w:szCs w:val="22"/>
              </w:rPr>
            </w:pPr>
            <w:r w:rsidRPr="009A58EC">
              <w:rPr>
                <w:sz w:val="22"/>
                <w:szCs w:val="22"/>
              </w:rPr>
              <w:t>RTI delivers final package (3 sets) for request of OMB blanket clearance to SAMHSA</w:t>
            </w:r>
          </w:p>
        </w:tc>
        <w:tc>
          <w:tcPr>
            <w:tcW w:w="2250" w:type="dxa"/>
          </w:tcPr>
          <w:p w:rsidR="0076075F" w:rsidRPr="009A58EC" w:rsidRDefault="0076075F" w:rsidP="00B66B30">
            <w:pPr>
              <w:rPr>
                <w:sz w:val="22"/>
                <w:szCs w:val="22"/>
              </w:rPr>
            </w:pPr>
            <w:r w:rsidRPr="009A58EC">
              <w:rPr>
                <w:sz w:val="22"/>
                <w:szCs w:val="22"/>
              </w:rPr>
              <w:t>June 9, 2008</w:t>
            </w:r>
          </w:p>
        </w:tc>
      </w:tr>
      <w:tr w:rsidR="0076075F" w:rsidRPr="009A58EC">
        <w:trPr>
          <w:jc w:val="center"/>
        </w:trPr>
        <w:tc>
          <w:tcPr>
            <w:tcW w:w="6570" w:type="dxa"/>
          </w:tcPr>
          <w:p w:rsidR="0076075F" w:rsidRPr="009A58EC" w:rsidRDefault="0076075F" w:rsidP="00B97D6D">
            <w:pPr>
              <w:rPr>
                <w:sz w:val="22"/>
                <w:szCs w:val="22"/>
              </w:rPr>
            </w:pPr>
            <w:r w:rsidRPr="009A58EC">
              <w:rPr>
                <w:sz w:val="22"/>
                <w:szCs w:val="22"/>
              </w:rPr>
              <w:t>OMB package sent from OAS  to OMB</w:t>
            </w:r>
          </w:p>
        </w:tc>
        <w:tc>
          <w:tcPr>
            <w:tcW w:w="2250" w:type="dxa"/>
          </w:tcPr>
          <w:p w:rsidR="0076075F" w:rsidRPr="009A58EC" w:rsidRDefault="0076075F" w:rsidP="00B97D6D">
            <w:pPr>
              <w:rPr>
                <w:sz w:val="22"/>
                <w:szCs w:val="22"/>
              </w:rPr>
            </w:pPr>
            <w:r w:rsidRPr="009A58EC">
              <w:rPr>
                <w:sz w:val="22"/>
                <w:szCs w:val="22"/>
              </w:rPr>
              <w:t xml:space="preserve">June </w:t>
            </w:r>
            <w:r>
              <w:rPr>
                <w:sz w:val="22"/>
                <w:szCs w:val="22"/>
              </w:rPr>
              <w:t>11</w:t>
            </w:r>
            <w:r w:rsidRPr="009A58EC">
              <w:rPr>
                <w:sz w:val="22"/>
                <w:szCs w:val="22"/>
              </w:rPr>
              <w:t>, 2008</w:t>
            </w:r>
          </w:p>
        </w:tc>
      </w:tr>
      <w:tr w:rsidR="0076075F" w:rsidRPr="009A58EC">
        <w:trPr>
          <w:jc w:val="center"/>
        </w:trPr>
        <w:tc>
          <w:tcPr>
            <w:tcW w:w="6570" w:type="dxa"/>
          </w:tcPr>
          <w:p w:rsidR="0076075F" w:rsidRPr="009A58EC" w:rsidRDefault="0076075F" w:rsidP="00B97D6D">
            <w:pPr>
              <w:rPr>
                <w:sz w:val="22"/>
                <w:szCs w:val="22"/>
              </w:rPr>
            </w:pPr>
            <w:r w:rsidRPr="009A58EC">
              <w:rPr>
                <w:sz w:val="22"/>
                <w:szCs w:val="22"/>
              </w:rPr>
              <w:t>RTI IRB meeting</w:t>
            </w:r>
          </w:p>
        </w:tc>
        <w:tc>
          <w:tcPr>
            <w:tcW w:w="2250" w:type="dxa"/>
          </w:tcPr>
          <w:p w:rsidR="0076075F" w:rsidRPr="009A58EC" w:rsidRDefault="0076075F" w:rsidP="00B97D6D">
            <w:pPr>
              <w:rPr>
                <w:sz w:val="22"/>
                <w:szCs w:val="22"/>
              </w:rPr>
            </w:pPr>
            <w:r w:rsidRPr="009A58EC">
              <w:rPr>
                <w:sz w:val="22"/>
                <w:szCs w:val="22"/>
              </w:rPr>
              <w:t>June 2, 2008</w:t>
            </w:r>
          </w:p>
        </w:tc>
      </w:tr>
      <w:tr w:rsidR="0076075F" w:rsidRPr="009A58EC">
        <w:trPr>
          <w:jc w:val="center"/>
        </w:trPr>
        <w:tc>
          <w:tcPr>
            <w:tcW w:w="6570" w:type="dxa"/>
          </w:tcPr>
          <w:p w:rsidR="0076075F" w:rsidRPr="009A58EC" w:rsidRDefault="0076075F" w:rsidP="00B97D6D">
            <w:pPr>
              <w:rPr>
                <w:sz w:val="22"/>
                <w:szCs w:val="22"/>
              </w:rPr>
            </w:pPr>
            <w:r w:rsidRPr="009A58EC">
              <w:rPr>
                <w:sz w:val="22"/>
                <w:szCs w:val="22"/>
              </w:rPr>
              <w:t>RTI IRB approval obtained</w:t>
            </w:r>
          </w:p>
        </w:tc>
        <w:tc>
          <w:tcPr>
            <w:tcW w:w="2250" w:type="dxa"/>
          </w:tcPr>
          <w:p w:rsidR="0076075F" w:rsidRPr="009A58EC" w:rsidRDefault="0076075F" w:rsidP="00B97D6D">
            <w:pPr>
              <w:rPr>
                <w:sz w:val="22"/>
                <w:szCs w:val="22"/>
              </w:rPr>
            </w:pPr>
            <w:r w:rsidRPr="009A58EC">
              <w:rPr>
                <w:sz w:val="22"/>
                <w:szCs w:val="22"/>
              </w:rPr>
              <w:t>June 9, 2008</w:t>
            </w:r>
          </w:p>
        </w:tc>
      </w:tr>
    </w:tbl>
    <w:tbl>
      <w:tblPr>
        <w:tblW w:w="882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0"/>
        <w:gridCol w:w="2250"/>
      </w:tblGrid>
      <w:tr w:rsidR="0076075F" w:rsidRPr="009A58EC">
        <w:trPr>
          <w:jc w:val="center"/>
        </w:trPr>
        <w:tc>
          <w:tcPr>
            <w:tcW w:w="6570" w:type="dxa"/>
          </w:tcPr>
          <w:p w:rsidR="0076075F" w:rsidRPr="009A58EC" w:rsidRDefault="0076075F" w:rsidP="00B97D6D">
            <w:pPr>
              <w:rPr>
                <w:sz w:val="22"/>
                <w:szCs w:val="22"/>
              </w:rPr>
            </w:pPr>
            <w:r w:rsidRPr="009A58EC">
              <w:rPr>
                <w:sz w:val="22"/>
                <w:szCs w:val="22"/>
              </w:rPr>
              <w:t>OMB notifies SAMHSA concerning outcome of review</w:t>
            </w:r>
          </w:p>
        </w:tc>
        <w:tc>
          <w:tcPr>
            <w:tcW w:w="2250" w:type="dxa"/>
          </w:tcPr>
          <w:p w:rsidR="0076075F" w:rsidRPr="009A58EC" w:rsidRDefault="0076075F" w:rsidP="00B97D6D">
            <w:pPr>
              <w:rPr>
                <w:sz w:val="22"/>
                <w:szCs w:val="22"/>
              </w:rPr>
            </w:pPr>
            <w:r w:rsidRPr="009A58EC">
              <w:rPr>
                <w:sz w:val="22"/>
                <w:szCs w:val="22"/>
              </w:rPr>
              <w:t>Ju</w:t>
            </w:r>
            <w:r>
              <w:rPr>
                <w:sz w:val="22"/>
                <w:szCs w:val="22"/>
              </w:rPr>
              <w:t>ly 2</w:t>
            </w:r>
            <w:r w:rsidRPr="009A58EC">
              <w:rPr>
                <w:sz w:val="22"/>
                <w:szCs w:val="22"/>
              </w:rPr>
              <w:t>, 2008</w:t>
            </w:r>
          </w:p>
        </w:tc>
      </w:tr>
      <w:tr w:rsidR="0076075F" w:rsidRPr="009A58EC">
        <w:trPr>
          <w:jc w:val="center"/>
        </w:trPr>
        <w:tc>
          <w:tcPr>
            <w:tcW w:w="6570" w:type="dxa"/>
          </w:tcPr>
          <w:p w:rsidR="0076075F" w:rsidRPr="009A58EC" w:rsidRDefault="0076075F" w:rsidP="00B97D6D">
            <w:pPr>
              <w:rPr>
                <w:sz w:val="22"/>
                <w:szCs w:val="22"/>
              </w:rPr>
            </w:pPr>
            <w:r w:rsidRPr="009A58EC">
              <w:rPr>
                <w:sz w:val="22"/>
                <w:szCs w:val="22"/>
              </w:rPr>
              <w:t>RTI begins recruiting for cognitive interviews</w:t>
            </w:r>
          </w:p>
        </w:tc>
        <w:tc>
          <w:tcPr>
            <w:tcW w:w="2250" w:type="dxa"/>
          </w:tcPr>
          <w:p w:rsidR="0076075F" w:rsidRPr="009A58EC" w:rsidRDefault="0076075F" w:rsidP="00B97D6D">
            <w:pPr>
              <w:rPr>
                <w:sz w:val="22"/>
                <w:szCs w:val="22"/>
              </w:rPr>
            </w:pPr>
            <w:r w:rsidRPr="009A58EC">
              <w:rPr>
                <w:sz w:val="22"/>
                <w:szCs w:val="22"/>
              </w:rPr>
              <w:t>Ju</w:t>
            </w:r>
            <w:r>
              <w:rPr>
                <w:sz w:val="22"/>
                <w:szCs w:val="22"/>
              </w:rPr>
              <w:t>ly 3</w:t>
            </w:r>
            <w:r w:rsidRPr="009A58EC">
              <w:rPr>
                <w:sz w:val="22"/>
                <w:szCs w:val="22"/>
              </w:rPr>
              <w:t>, 2008</w:t>
            </w:r>
          </w:p>
        </w:tc>
      </w:tr>
      <w:tr w:rsidR="0076075F" w:rsidRPr="009A58EC">
        <w:trPr>
          <w:jc w:val="center"/>
        </w:trPr>
        <w:tc>
          <w:tcPr>
            <w:tcW w:w="6570" w:type="dxa"/>
          </w:tcPr>
          <w:p w:rsidR="0076075F" w:rsidRPr="009A58EC" w:rsidRDefault="0076075F" w:rsidP="00B97D6D">
            <w:pPr>
              <w:rPr>
                <w:sz w:val="22"/>
                <w:szCs w:val="22"/>
              </w:rPr>
            </w:pPr>
            <w:r w:rsidRPr="009A58EC">
              <w:rPr>
                <w:sz w:val="22"/>
                <w:szCs w:val="22"/>
              </w:rPr>
              <w:t>RTI conducts cognitive interviews</w:t>
            </w:r>
          </w:p>
        </w:tc>
        <w:tc>
          <w:tcPr>
            <w:tcW w:w="2250" w:type="dxa"/>
          </w:tcPr>
          <w:p w:rsidR="0076075F" w:rsidRPr="009A58EC" w:rsidRDefault="0076075F" w:rsidP="00B97D6D">
            <w:pPr>
              <w:rPr>
                <w:sz w:val="22"/>
                <w:szCs w:val="22"/>
              </w:rPr>
            </w:pPr>
            <w:r w:rsidRPr="009A58EC">
              <w:rPr>
                <w:sz w:val="22"/>
                <w:szCs w:val="22"/>
              </w:rPr>
              <w:t>Ju</w:t>
            </w:r>
            <w:r>
              <w:rPr>
                <w:sz w:val="22"/>
                <w:szCs w:val="22"/>
              </w:rPr>
              <w:t>ly 7</w:t>
            </w:r>
            <w:r w:rsidRPr="009A58EC">
              <w:rPr>
                <w:sz w:val="22"/>
                <w:szCs w:val="22"/>
              </w:rPr>
              <w:t xml:space="preserve">-August </w:t>
            </w:r>
            <w:r>
              <w:rPr>
                <w:sz w:val="22"/>
                <w:szCs w:val="22"/>
              </w:rPr>
              <w:t>25</w:t>
            </w:r>
            <w:r w:rsidRPr="009A58EC">
              <w:rPr>
                <w:sz w:val="22"/>
                <w:szCs w:val="22"/>
              </w:rPr>
              <w:t>, 2008</w:t>
            </w:r>
          </w:p>
        </w:tc>
      </w:tr>
      <w:tr w:rsidR="0076075F" w:rsidRPr="009A58EC">
        <w:trPr>
          <w:jc w:val="center"/>
        </w:trPr>
        <w:tc>
          <w:tcPr>
            <w:tcW w:w="6570" w:type="dxa"/>
          </w:tcPr>
          <w:p w:rsidR="0076075F" w:rsidRPr="009A58EC" w:rsidRDefault="0076075F" w:rsidP="00B97D6D">
            <w:pPr>
              <w:rPr>
                <w:sz w:val="22"/>
                <w:szCs w:val="22"/>
              </w:rPr>
            </w:pPr>
            <w:r w:rsidRPr="009A58EC">
              <w:rPr>
                <w:sz w:val="22"/>
                <w:szCs w:val="22"/>
              </w:rPr>
              <w:t>RTI sends final cognitive interview report to SAMHSA</w:t>
            </w:r>
          </w:p>
        </w:tc>
        <w:tc>
          <w:tcPr>
            <w:tcW w:w="2250" w:type="dxa"/>
          </w:tcPr>
          <w:p w:rsidR="0076075F" w:rsidRPr="009A58EC" w:rsidRDefault="0076075F" w:rsidP="00B97D6D">
            <w:pPr>
              <w:rPr>
                <w:sz w:val="22"/>
                <w:szCs w:val="22"/>
              </w:rPr>
            </w:pPr>
            <w:r w:rsidRPr="009A58EC">
              <w:rPr>
                <w:sz w:val="22"/>
                <w:szCs w:val="22"/>
              </w:rPr>
              <w:t xml:space="preserve">August </w:t>
            </w:r>
            <w:r>
              <w:rPr>
                <w:sz w:val="22"/>
                <w:szCs w:val="22"/>
              </w:rPr>
              <w:t>29</w:t>
            </w:r>
            <w:r w:rsidRPr="009A58EC">
              <w:rPr>
                <w:sz w:val="22"/>
                <w:szCs w:val="22"/>
              </w:rPr>
              <w:t>, 2008</w:t>
            </w:r>
          </w:p>
        </w:tc>
      </w:tr>
    </w:tbl>
    <w:p w:rsidR="0076075F" w:rsidRPr="009A58EC" w:rsidRDefault="0076075F" w:rsidP="00E216CE"/>
    <w:p w:rsidR="0076075F" w:rsidRPr="009A58EC" w:rsidRDefault="0076075F" w:rsidP="006000FC">
      <w:pPr>
        <w:pStyle w:val="Heading1"/>
        <w:spacing w:before="0" w:after="0"/>
        <w:rPr>
          <w:u w:val="single"/>
        </w:rPr>
      </w:pPr>
      <w:r w:rsidRPr="009A58EC">
        <w:t>12.</w:t>
      </w:r>
      <w:r w:rsidRPr="009A58EC">
        <w:tab/>
      </w:r>
      <w:r w:rsidRPr="009A58EC">
        <w:rPr>
          <w:u w:val="single"/>
        </w:rPr>
        <w:t>Respondent Universe and Sampling Methods</w:t>
      </w:r>
    </w:p>
    <w:p w:rsidR="0076075F" w:rsidRPr="009A58EC" w:rsidRDefault="0076075F" w:rsidP="00FD7E36"/>
    <w:p w:rsidR="0076075F" w:rsidRPr="009A58EC" w:rsidRDefault="0076075F" w:rsidP="00F61AD7">
      <w:pPr>
        <w:pStyle w:val="BodyText"/>
        <w:spacing w:after="0"/>
        <w:ind w:left="630" w:hanging="630"/>
      </w:pPr>
      <w:r w:rsidRPr="009A58EC">
        <w:tab/>
        <w:t xml:space="preserve">The sample of 32 participants to be recruited is non-probability based. It will consist of adolescent volunteers who are screened and determined to meet recruitment criteria. Adolescent volunteers will primarily be recruited from advertisements posted at local schools, summer camps, and boys and girls clubs in the three interview areas, and in the classified sections of internet sites. If these methods fail to produce adequate numbers, we will place newspaper ads.  </w:t>
      </w:r>
    </w:p>
    <w:p w:rsidR="0076075F" w:rsidRPr="009A58EC" w:rsidRDefault="0076075F" w:rsidP="0055201C">
      <w:pPr>
        <w:pStyle w:val="BodyText"/>
        <w:tabs>
          <w:tab w:val="left" w:pos="1080"/>
        </w:tabs>
        <w:spacing w:after="0"/>
      </w:pPr>
    </w:p>
    <w:p w:rsidR="0076075F" w:rsidRPr="009A58EC" w:rsidRDefault="0076075F" w:rsidP="00435EDD">
      <w:pPr>
        <w:pStyle w:val="BodyText"/>
        <w:spacing w:after="0"/>
        <w:ind w:left="630" w:hanging="630"/>
      </w:pPr>
      <w:r w:rsidRPr="009A58EC">
        <w:tab/>
        <w:t>The above mentioned objectives require the study to include people who match selected characteristics of the target population SAMHSA is trying to reach for the NSDUH. Details regarding the composition of potential participants for the cognitive interviews are as follows:</w:t>
      </w:r>
    </w:p>
    <w:p w:rsidR="0076075F" w:rsidRPr="009A58EC" w:rsidRDefault="0076075F" w:rsidP="00435EDD">
      <w:pPr>
        <w:pStyle w:val="BodyText"/>
        <w:spacing w:after="0"/>
        <w:ind w:left="630" w:hanging="630"/>
      </w:pPr>
    </w:p>
    <w:p w:rsidR="0076075F" w:rsidRPr="009A58EC" w:rsidRDefault="0076075F" w:rsidP="00E216CE">
      <w:pPr>
        <w:pStyle w:val="BodyText"/>
        <w:numPr>
          <w:ilvl w:val="0"/>
          <w:numId w:val="21"/>
        </w:numPr>
        <w:tabs>
          <w:tab w:val="clear" w:pos="720"/>
          <w:tab w:val="num" w:pos="1080"/>
        </w:tabs>
        <w:spacing w:after="0"/>
        <w:ind w:left="1080"/>
      </w:pPr>
      <w:r w:rsidRPr="009A58EC">
        <w:t>Half of the adolescent respondents in each round will be youth who have attended an alternative school in the past 12 months.  This will ensure that we have youth in our sample who may be familiar with the terms in the new questions regarding treatment received at a juvenile justice facility, and can help us explore more appropriate terms that we may need to use.</w:t>
      </w:r>
    </w:p>
    <w:p w:rsidR="0076075F" w:rsidRPr="009A58EC" w:rsidRDefault="0076075F" w:rsidP="00F61AD7">
      <w:pPr>
        <w:pStyle w:val="BodyText"/>
        <w:spacing w:after="0"/>
      </w:pPr>
    </w:p>
    <w:p w:rsidR="0076075F" w:rsidRPr="009A58EC" w:rsidRDefault="0076075F" w:rsidP="00E216CE">
      <w:pPr>
        <w:pStyle w:val="BodyText"/>
        <w:numPr>
          <w:ilvl w:val="0"/>
          <w:numId w:val="21"/>
        </w:numPr>
        <w:tabs>
          <w:tab w:val="clear" w:pos="720"/>
          <w:tab w:val="num" w:pos="1080"/>
        </w:tabs>
        <w:spacing w:after="0"/>
        <w:ind w:left="1080"/>
      </w:pPr>
      <w:r w:rsidRPr="009A58EC">
        <w:t xml:space="preserve">Interviews will be conducted in each of the RTI offices in Research Triangle Park (RTP), NC, </w:t>
      </w:r>
      <w:smartTag w:uri="urn:schemas-microsoft-com:office:smarttags" w:element="City">
        <w:r w:rsidRPr="009A58EC">
          <w:t>Washington</w:t>
        </w:r>
      </w:smartTag>
      <w:r w:rsidRPr="009A58EC">
        <w:t xml:space="preserve">, </w:t>
      </w:r>
      <w:smartTag w:uri="urn:schemas-microsoft-com:office:smarttags" w:element="State">
        <w:r w:rsidRPr="009A58EC">
          <w:t>DC</w:t>
        </w:r>
      </w:smartTag>
      <w:r w:rsidRPr="009A58EC">
        <w:t xml:space="preserve">, and </w:t>
      </w:r>
      <w:smartTag w:uri="urn:schemas-microsoft-com:office:smarttags" w:element="place">
        <w:smartTag w:uri="urn:schemas-microsoft-com:office:smarttags" w:element="City">
          <w:r w:rsidRPr="009A58EC">
            <w:t>Chicago</w:t>
          </w:r>
        </w:smartTag>
        <w:r w:rsidRPr="009A58EC">
          <w:t xml:space="preserve">, </w:t>
        </w:r>
        <w:smartTag w:uri="urn:schemas-microsoft-com:office:smarttags" w:element="State">
          <w:r w:rsidRPr="009A58EC">
            <w:t>IL</w:t>
          </w:r>
        </w:smartTag>
      </w:smartTag>
      <w:r w:rsidRPr="009A58EC">
        <w:t xml:space="preserve">, but we will not stipulate a certain number at each site.   </w:t>
      </w:r>
    </w:p>
    <w:p w:rsidR="0076075F" w:rsidRPr="009A58EC" w:rsidRDefault="0076075F" w:rsidP="00C6131B">
      <w:pPr>
        <w:pStyle w:val="BodyText"/>
        <w:tabs>
          <w:tab w:val="left" w:pos="1080"/>
        </w:tabs>
        <w:spacing w:after="0"/>
        <w:ind w:left="0"/>
      </w:pPr>
    </w:p>
    <w:p w:rsidR="0076075F" w:rsidRPr="009A58EC" w:rsidRDefault="0076075F" w:rsidP="0007304C">
      <w:pPr>
        <w:pStyle w:val="BodyText"/>
        <w:numPr>
          <w:ilvl w:val="0"/>
          <w:numId w:val="21"/>
        </w:numPr>
        <w:tabs>
          <w:tab w:val="clear" w:pos="720"/>
          <w:tab w:val="num" w:pos="1080"/>
        </w:tabs>
        <w:spacing w:after="0"/>
        <w:ind w:left="1080"/>
      </w:pPr>
      <w:r w:rsidRPr="009A58EC">
        <w:t>The majority of the NSDUH interviews are conducted in English. Thus we will focus our efforts on the English speaking population for all of our cognitive interviews.</w:t>
      </w:r>
    </w:p>
    <w:p w:rsidR="0076075F" w:rsidRPr="009A58EC" w:rsidRDefault="0076075F" w:rsidP="00762ED8">
      <w:pPr>
        <w:pStyle w:val="BodyText"/>
        <w:tabs>
          <w:tab w:val="left" w:pos="1080"/>
        </w:tabs>
        <w:spacing w:after="0"/>
        <w:ind w:left="0"/>
      </w:pPr>
    </w:p>
    <w:p w:rsidR="0076075F" w:rsidRPr="009A58EC" w:rsidRDefault="0076075F" w:rsidP="00733B13">
      <w:pPr>
        <w:pStyle w:val="BodyText"/>
        <w:tabs>
          <w:tab w:val="left" w:pos="1080"/>
        </w:tabs>
        <w:spacing w:after="0"/>
      </w:pPr>
      <w:r w:rsidRPr="009A58EC">
        <w:t xml:space="preserve">Exhibit 1 below details the estimated number of participants to be recruited according to the characteristics detailed above for the cognitive interviews. If after 50 screenings (see Section 9), some of the cells specified in the table are unfilled, potential participants who give permission to be put on a “will call” list (because the requisite number of participants for their criteria had already been recruited) will be re-contacted to fill the vacant interview slots to maximize the attempt to obtain 32 study participants. </w:t>
      </w:r>
    </w:p>
    <w:p w:rsidR="0076075F" w:rsidRPr="009A58EC" w:rsidRDefault="0076075F" w:rsidP="00F61A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 w:hAnsi="Helvetica"/>
          <w:sz w:val="22"/>
        </w:rPr>
      </w:pPr>
    </w:p>
    <w:p w:rsidR="0076075F" w:rsidRPr="009A58EC" w:rsidRDefault="0076075F" w:rsidP="00F61AD7">
      <w:pPr>
        <w:pStyle w:val="BodyText"/>
        <w:tabs>
          <w:tab w:val="left" w:pos="1080"/>
        </w:tabs>
        <w:spacing w:after="0"/>
        <w:rPr>
          <w:rFonts w:ascii="Helvetica" w:hAnsi="Helvetica"/>
          <w:sz w:val="22"/>
          <w:szCs w:val="20"/>
        </w:rPr>
      </w:pPr>
      <w:r w:rsidRPr="009A58EC">
        <w:rPr>
          <w:rFonts w:ascii="Helvetica" w:hAnsi="Helvetica"/>
          <w:sz w:val="22"/>
          <w:szCs w:val="20"/>
        </w:rPr>
        <w:t>Exhibit 1 – Recruiting Matrix</w:t>
      </w:r>
    </w:p>
    <w:tbl>
      <w:tblPr>
        <w:tblW w:w="64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440"/>
        <w:gridCol w:w="1260"/>
        <w:gridCol w:w="1980"/>
      </w:tblGrid>
      <w:tr w:rsidR="0076075F" w:rsidRPr="009A58EC" w:rsidTr="00B66B30">
        <w:tc>
          <w:tcPr>
            <w:tcW w:w="1800" w:type="dxa"/>
            <w:tcBorders>
              <w:bottom w:val="double" w:sz="4" w:space="0" w:color="auto"/>
            </w:tcBorders>
            <w:shd w:val="clear" w:color="auto" w:fill="E0E0E0"/>
            <w:vAlign w:val="center"/>
          </w:tcPr>
          <w:p w:rsidR="0076075F" w:rsidRPr="009A58EC" w:rsidRDefault="0076075F" w:rsidP="00B66B30">
            <w:pPr>
              <w:jc w:val="center"/>
              <w:rPr>
                <w:b/>
                <w:sz w:val="22"/>
                <w:szCs w:val="22"/>
              </w:rPr>
            </w:pPr>
            <w:r w:rsidRPr="009A58EC">
              <w:rPr>
                <w:b/>
                <w:sz w:val="22"/>
                <w:szCs w:val="22"/>
              </w:rPr>
              <w:t>School Type</w:t>
            </w:r>
          </w:p>
        </w:tc>
        <w:tc>
          <w:tcPr>
            <w:tcW w:w="1440" w:type="dxa"/>
            <w:tcBorders>
              <w:bottom w:val="double" w:sz="4" w:space="0" w:color="auto"/>
            </w:tcBorders>
            <w:shd w:val="clear" w:color="auto" w:fill="E0E0E0"/>
            <w:vAlign w:val="center"/>
          </w:tcPr>
          <w:p w:rsidR="0076075F" w:rsidRPr="009A58EC" w:rsidRDefault="0076075F" w:rsidP="00B66B30">
            <w:pPr>
              <w:jc w:val="center"/>
              <w:rPr>
                <w:b/>
                <w:i/>
                <w:sz w:val="22"/>
                <w:szCs w:val="22"/>
              </w:rPr>
            </w:pPr>
            <w:r w:rsidRPr="009A58EC">
              <w:rPr>
                <w:b/>
                <w:sz w:val="22"/>
                <w:szCs w:val="22"/>
              </w:rPr>
              <w:t>Age</w:t>
            </w:r>
          </w:p>
        </w:tc>
        <w:tc>
          <w:tcPr>
            <w:tcW w:w="1260" w:type="dxa"/>
            <w:tcBorders>
              <w:bottom w:val="double" w:sz="4" w:space="0" w:color="auto"/>
            </w:tcBorders>
            <w:shd w:val="clear" w:color="auto" w:fill="E0E0E0"/>
          </w:tcPr>
          <w:p w:rsidR="0076075F" w:rsidRPr="009A58EC" w:rsidRDefault="0076075F" w:rsidP="00B66B30">
            <w:pPr>
              <w:jc w:val="center"/>
              <w:rPr>
                <w:b/>
                <w:sz w:val="22"/>
                <w:szCs w:val="22"/>
              </w:rPr>
            </w:pPr>
            <w:r w:rsidRPr="009A58EC">
              <w:rPr>
                <w:b/>
                <w:sz w:val="22"/>
                <w:szCs w:val="22"/>
              </w:rPr>
              <w:t>Round</w:t>
            </w:r>
          </w:p>
        </w:tc>
        <w:tc>
          <w:tcPr>
            <w:tcW w:w="1980" w:type="dxa"/>
            <w:tcBorders>
              <w:bottom w:val="double" w:sz="4" w:space="0" w:color="auto"/>
            </w:tcBorders>
            <w:shd w:val="clear" w:color="auto" w:fill="E0E0E0"/>
            <w:vAlign w:val="center"/>
          </w:tcPr>
          <w:p w:rsidR="0076075F" w:rsidRPr="009A58EC" w:rsidRDefault="0076075F" w:rsidP="00B66B30">
            <w:pPr>
              <w:jc w:val="center"/>
              <w:rPr>
                <w:b/>
                <w:sz w:val="22"/>
                <w:szCs w:val="22"/>
              </w:rPr>
            </w:pPr>
            <w:r w:rsidRPr="009A58EC">
              <w:rPr>
                <w:b/>
                <w:sz w:val="22"/>
                <w:szCs w:val="22"/>
              </w:rPr>
              <w:t>Participants</w:t>
            </w:r>
          </w:p>
        </w:tc>
      </w:tr>
      <w:tr w:rsidR="0076075F" w:rsidRPr="009A58EC" w:rsidTr="00B66B30">
        <w:tc>
          <w:tcPr>
            <w:tcW w:w="1800" w:type="dxa"/>
            <w:tcBorders>
              <w:top w:val="double" w:sz="4" w:space="0" w:color="auto"/>
            </w:tcBorders>
            <w:vAlign w:val="bottom"/>
          </w:tcPr>
          <w:p w:rsidR="0076075F" w:rsidRPr="009A58EC" w:rsidRDefault="0076075F" w:rsidP="00B66B30">
            <w:pPr>
              <w:rPr>
                <w:sz w:val="22"/>
                <w:szCs w:val="22"/>
              </w:rPr>
            </w:pPr>
            <w:bookmarkStart w:id="0" w:name="_Hlk197940976"/>
            <w:r w:rsidRPr="009A58EC">
              <w:rPr>
                <w:sz w:val="22"/>
                <w:szCs w:val="22"/>
              </w:rPr>
              <w:t>Alternative</w:t>
            </w:r>
          </w:p>
        </w:tc>
        <w:tc>
          <w:tcPr>
            <w:tcW w:w="1440" w:type="dxa"/>
            <w:tcBorders>
              <w:top w:val="double" w:sz="4" w:space="0" w:color="auto"/>
            </w:tcBorders>
            <w:vAlign w:val="bottom"/>
          </w:tcPr>
          <w:p w:rsidR="0076075F" w:rsidRPr="009A58EC" w:rsidRDefault="0076075F" w:rsidP="00B66B30">
            <w:pPr>
              <w:rPr>
                <w:sz w:val="22"/>
                <w:szCs w:val="22"/>
              </w:rPr>
            </w:pPr>
            <w:r w:rsidRPr="009A58EC">
              <w:rPr>
                <w:sz w:val="22"/>
                <w:szCs w:val="22"/>
              </w:rPr>
              <w:t>12-14</w:t>
            </w:r>
          </w:p>
        </w:tc>
        <w:tc>
          <w:tcPr>
            <w:tcW w:w="1260" w:type="dxa"/>
            <w:tcBorders>
              <w:top w:val="double" w:sz="4" w:space="0" w:color="auto"/>
            </w:tcBorders>
          </w:tcPr>
          <w:p w:rsidR="0076075F" w:rsidRPr="009A58EC" w:rsidRDefault="0076075F" w:rsidP="00B66B30">
            <w:pPr>
              <w:jc w:val="center"/>
              <w:rPr>
                <w:sz w:val="22"/>
                <w:szCs w:val="22"/>
              </w:rPr>
            </w:pPr>
            <w:r w:rsidRPr="009A58EC">
              <w:rPr>
                <w:sz w:val="22"/>
                <w:szCs w:val="22"/>
              </w:rPr>
              <w:t>1</w:t>
            </w:r>
          </w:p>
        </w:tc>
        <w:tc>
          <w:tcPr>
            <w:tcW w:w="1980" w:type="dxa"/>
            <w:tcBorders>
              <w:top w:val="double" w:sz="4" w:space="0" w:color="auto"/>
            </w:tcBorders>
            <w:vAlign w:val="bottom"/>
          </w:tcPr>
          <w:p w:rsidR="0076075F" w:rsidRPr="009A58EC" w:rsidRDefault="0076075F" w:rsidP="00B66B30">
            <w:pPr>
              <w:jc w:val="center"/>
              <w:rPr>
                <w:sz w:val="22"/>
                <w:szCs w:val="22"/>
              </w:rPr>
            </w:pPr>
            <w:r w:rsidRPr="009A58EC">
              <w:rPr>
                <w:sz w:val="22"/>
                <w:szCs w:val="22"/>
              </w:rPr>
              <w:t>4</w:t>
            </w:r>
          </w:p>
        </w:tc>
      </w:tr>
      <w:tr w:rsidR="0076075F" w:rsidRPr="009A58EC" w:rsidTr="00B66B30">
        <w:tc>
          <w:tcPr>
            <w:tcW w:w="1800" w:type="dxa"/>
            <w:vAlign w:val="bottom"/>
          </w:tcPr>
          <w:p w:rsidR="0076075F" w:rsidRPr="009A58EC" w:rsidRDefault="0076075F" w:rsidP="00B66B30">
            <w:pPr>
              <w:rPr>
                <w:sz w:val="22"/>
                <w:szCs w:val="22"/>
              </w:rPr>
            </w:pPr>
            <w:r w:rsidRPr="009A58EC">
              <w:rPr>
                <w:sz w:val="22"/>
                <w:szCs w:val="22"/>
              </w:rPr>
              <w:t>Alternative</w:t>
            </w:r>
          </w:p>
        </w:tc>
        <w:tc>
          <w:tcPr>
            <w:tcW w:w="1440" w:type="dxa"/>
            <w:vAlign w:val="bottom"/>
          </w:tcPr>
          <w:p w:rsidR="0076075F" w:rsidRPr="009A58EC" w:rsidRDefault="0076075F" w:rsidP="00B66B30">
            <w:pPr>
              <w:rPr>
                <w:sz w:val="22"/>
                <w:szCs w:val="22"/>
              </w:rPr>
            </w:pPr>
            <w:r w:rsidRPr="009A58EC">
              <w:rPr>
                <w:sz w:val="22"/>
                <w:szCs w:val="22"/>
              </w:rPr>
              <w:t>15-17</w:t>
            </w:r>
          </w:p>
        </w:tc>
        <w:tc>
          <w:tcPr>
            <w:tcW w:w="1260" w:type="dxa"/>
          </w:tcPr>
          <w:p w:rsidR="0076075F" w:rsidRPr="009A58EC" w:rsidRDefault="0076075F" w:rsidP="00B66B30">
            <w:pPr>
              <w:jc w:val="center"/>
              <w:rPr>
                <w:sz w:val="22"/>
                <w:szCs w:val="22"/>
              </w:rPr>
            </w:pPr>
            <w:r w:rsidRPr="009A58EC">
              <w:rPr>
                <w:sz w:val="22"/>
                <w:szCs w:val="22"/>
              </w:rPr>
              <w:t>1</w:t>
            </w:r>
          </w:p>
        </w:tc>
        <w:tc>
          <w:tcPr>
            <w:tcW w:w="1980" w:type="dxa"/>
            <w:vAlign w:val="bottom"/>
          </w:tcPr>
          <w:p w:rsidR="0076075F" w:rsidRPr="009A58EC" w:rsidRDefault="0076075F" w:rsidP="00B66B30">
            <w:pPr>
              <w:jc w:val="center"/>
              <w:rPr>
                <w:sz w:val="22"/>
                <w:szCs w:val="22"/>
              </w:rPr>
            </w:pPr>
            <w:r w:rsidRPr="009A58EC">
              <w:rPr>
                <w:sz w:val="22"/>
                <w:szCs w:val="22"/>
              </w:rPr>
              <w:t>4</w:t>
            </w:r>
          </w:p>
        </w:tc>
      </w:tr>
      <w:bookmarkEnd w:id="0"/>
      <w:tr w:rsidR="0076075F" w:rsidRPr="009A58EC" w:rsidTr="00B66B30">
        <w:tc>
          <w:tcPr>
            <w:tcW w:w="1800" w:type="dxa"/>
            <w:vAlign w:val="bottom"/>
          </w:tcPr>
          <w:p w:rsidR="0076075F" w:rsidRPr="009A58EC" w:rsidRDefault="0076075F" w:rsidP="00B66B30">
            <w:pPr>
              <w:rPr>
                <w:sz w:val="22"/>
                <w:szCs w:val="22"/>
              </w:rPr>
            </w:pPr>
            <w:r w:rsidRPr="009A58EC">
              <w:rPr>
                <w:sz w:val="22"/>
                <w:szCs w:val="22"/>
              </w:rPr>
              <w:t>Traditional</w:t>
            </w:r>
          </w:p>
        </w:tc>
        <w:tc>
          <w:tcPr>
            <w:tcW w:w="1440" w:type="dxa"/>
            <w:vAlign w:val="bottom"/>
          </w:tcPr>
          <w:p w:rsidR="0076075F" w:rsidRPr="009A58EC" w:rsidRDefault="0076075F" w:rsidP="00B66B30">
            <w:pPr>
              <w:rPr>
                <w:sz w:val="22"/>
                <w:szCs w:val="22"/>
              </w:rPr>
            </w:pPr>
            <w:r w:rsidRPr="009A58EC">
              <w:rPr>
                <w:sz w:val="22"/>
                <w:szCs w:val="22"/>
              </w:rPr>
              <w:t>15-17</w:t>
            </w:r>
          </w:p>
        </w:tc>
        <w:tc>
          <w:tcPr>
            <w:tcW w:w="1260" w:type="dxa"/>
          </w:tcPr>
          <w:p w:rsidR="0076075F" w:rsidRPr="009A58EC" w:rsidRDefault="0076075F" w:rsidP="00B66B30">
            <w:pPr>
              <w:jc w:val="center"/>
              <w:rPr>
                <w:sz w:val="22"/>
                <w:szCs w:val="22"/>
              </w:rPr>
            </w:pPr>
            <w:r w:rsidRPr="009A58EC">
              <w:rPr>
                <w:sz w:val="22"/>
                <w:szCs w:val="22"/>
              </w:rPr>
              <w:t>1</w:t>
            </w:r>
          </w:p>
        </w:tc>
        <w:tc>
          <w:tcPr>
            <w:tcW w:w="1980" w:type="dxa"/>
            <w:vAlign w:val="bottom"/>
          </w:tcPr>
          <w:p w:rsidR="0076075F" w:rsidRPr="009A58EC" w:rsidRDefault="0076075F" w:rsidP="00B66B30">
            <w:pPr>
              <w:jc w:val="center"/>
              <w:rPr>
                <w:sz w:val="22"/>
                <w:szCs w:val="22"/>
              </w:rPr>
            </w:pPr>
            <w:r w:rsidRPr="009A58EC">
              <w:rPr>
                <w:sz w:val="22"/>
                <w:szCs w:val="22"/>
              </w:rPr>
              <w:t>4</w:t>
            </w:r>
          </w:p>
        </w:tc>
      </w:tr>
      <w:tr w:rsidR="0076075F" w:rsidRPr="009A58EC" w:rsidTr="00B66B30">
        <w:tc>
          <w:tcPr>
            <w:tcW w:w="1800" w:type="dxa"/>
            <w:vAlign w:val="bottom"/>
          </w:tcPr>
          <w:p w:rsidR="0076075F" w:rsidRPr="009A58EC" w:rsidRDefault="0076075F" w:rsidP="00B66B30">
            <w:pPr>
              <w:rPr>
                <w:sz w:val="22"/>
                <w:szCs w:val="22"/>
              </w:rPr>
            </w:pPr>
            <w:r w:rsidRPr="009A58EC">
              <w:rPr>
                <w:sz w:val="22"/>
                <w:szCs w:val="22"/>
              </w:rPr>
              <w:t>Traditional</w:t>
            </w:r>
          </w:p>
        </w:tc>
        <w:tc>
          <w:tcPr>
            <w:tcW w:w="1440" w:type="dxa"/>
            <w:vAlign w:val="bottom"/>
          </w:tcPr>
          <w:p w:rsidR="0076075F" w:rsidRPr="009A58EC" w:rsidRDefault="0076075F" w:rsidP="00B66B30">
            <w:pPr>
              <w:rPr>
                <w:sz w:val="22"/>
                <w:szCs w:val="22"/>
              </w:rPr>
            </w:pPr>
            <w:r w:rsidRPr="009A58EC">
              <w:rPr>
                <w:sz w:val="22"/>
                <w:szCs w:val="22"/>
              </w:rPr>
              <w:t>12-14</w:t>
            </w:r>
          </w:p>
        </w:tc>
        <w:tc>
          <w:tcPr>
            <w:tcW w:w="1260" w:type="dxa"/>
          </w:tcPr>
          <w:p w:rsidR="0076075F" w:rsidRPr="009A58EC" w:rsidRDefault="0076075F" w:rsidP="00B66B30">
            <w:pPr>
              <w:jc w:val="center"/>
              <w:rPr>
                <w:sz w:val="22"/>
                <w:szCs w:val="22"/>
              </w:rPr>
            </w:pPr>
            <w:r w:rsidRPr="009A58EC">
              <w:rPr>
                <w:sz w:val="22"/>
                <w:szCs w:val="22"/>
              </w:rPr>
              <w:t>1</w:t>
            </w:r>
          </w:p>
        </w:tc>
        <w:tc>
          <w:tcPr>
            <w:tcW w:w="1980" w:type="dxa"/>
            <w:vAlign w:val="bottom"/>
          </w:tcPr>
          <w:p w:rsidR="0076075F" w:rsidRPr="009A58EC" w:rsidRDefault="0076075F" w:rsidP="00B66B30">
            <w:pPr>
              <w:jc w:val="center"/>
              <w:rPr>
                <w:sz w:val="22"/>
                <w:szCs w:val="22"/>
              </w:rPr>
            </w:pPr>
            <w:r w:rsidRPr="009A58EC">
              <w:rPr>
                <w:sz w:val="22"/>
                <w:szCs w:val="22"/>
              </w:rPr>
              <w:t>4</w:t>
            </w:r>
          </w:p>
        </w:tc>
      </w:tr>
      <w:tr w:rsidR="0076075F" w:rsidRPr="009A58EC" w:rsidTr="00B66B30">
        <w:tc>
          <w:tcPr>
            <w:tcW w:w="1800" w:type="dxa"/>
            <w:vAlign w:val="bottom"/>
          </w:tcPr>
          <w:p w:rsidR="0076075F" w:rsidRPr="009A58EC" w:rsidRDefault="0076075F" w:rsidP="00B66B30">
            <w:pPr>
              <w:rPr>
                <w:sz w:val="22"/>
                <w:szCs w:val="22"/>
              </w:rPr>
            </w:pPr>
          </w:p>
        </w:tc>
        <w:tc>
          <w:tcPr>
            <w:tcW w:w="1440" w:type="dxa"/>
            <w:vAlign w:val="bottom"/>
          </w:tcPr>
          <w:p w:rsidR="0076075F" w:rsidRPr="009A58EC" w:rsidRDefault="0076075F" w:rsidP="00B66B30">
            <w:pPr>
              <w:rPr>
                <w:sz w:val="22"/>
                <w:szCs w:val="22"/>
              </w:rPr>
            </w:pPr>
          </w:p>
        </w:tc>
        <w:tc>
          <w:tcPr>
            <w:tcW w:w="1260" w:type="dxa"/>
          </w:tcPr>
          <w:p w:rsidR="0076075F" w:rsidRPr="009A58EC" w:rsidRDefault="0076075F" w:rsidP="00B66B30">
            <w:pPr>
              <w:jc w:val="center"/>
              <w:rPr>
                <w:sz w:val="22"/>
                <w:szCs w:val="22"/>
              </w:rPr>
            </w:pPr>
          </w:p>
        </w:tc>
        <w:tc>
          <w:tcPr>
            <w:tcW w:w="1980" w:type="dxa"/>
            <w:vAlign w:val="bottom"/>
          </w:tcPr>
          <w:p w:rsidR="0076075F" w:rsidRPr="009A58EC" w:rsidRDefault="0076075F" w:rsidP="00B66B30">
            <w:pPr>
              <w:jc w:val="center"/>
              <w:rPr>
                <w:sz w:val="22"/>
                <w:szCs w:val="22"/>
              </w:rPr>
            </w:pPr>
          </w:p>
        </w:tc>
      </w:tr>
      <w:tr w:rsidR="0076075F" w:rsidRPr="009A58EC" w:rsidTr="00B66B30">
        <w:tc>
          <w:tcPr>
            <w:tcW w:w="1800" w:type="dxa"/>
            <w:vAlign w:val="bottom"/>
          </w:tcPr>
          <w:p w:rsidR="0076075F" w:rsidRPr="009A58EC" w:rsidRDefault="0076075F" w:rsidP="00B66B30">
            <w:pPr>
              <w:rPr>
                <w:sz w:val="22"/>
                <w:szCs w:val="22"/>
              </w:rPr>
            </w:pPr>
            <w:r w:rsidRPr="009A58EC">
              <w:rPr>
                <w:sz w:val="22"/>
                <w:szCs w:val="22"/>
              </w:rPr>
              <w:t>Alternative</w:t>
            </w:r>
          </w:p>
        </w:tc>
        <w:tc>
          <w:tcPr>
            <w:tcW w:w="1440" w:type="dxa"/>
            <w:vAlign w:val="bottom"/>
          </w:tcPr>
          <w:p w:rsidR="0076075F" w:rsidRPr="009A58EC" w:rsidRDefault="0076075F" w:rsidP="00B66B30">
            <w:pPr>
              <w:rPr>
                <w:sz w:val="22"/>
                <w:szCs w:val="22"/>
              </w:rPr>
            </w:pPr>
            <w:r w:rsidRPr="009A58EC">
              <w:rPr>
                <w:sz w:val="22"/>
                <w:szCs w:val="22"/>
              </w:rPr>
              <w:t>12-14</w:t>
            </w:r>
          </w:p>
        </w:tc>
        <w:tc>
          <w:tcPr>
            <w:tcW w:w="1260" w:type="dxa"/>
          </w:tcPr>
          <w:p w:rsidR="0076075F" w:rsidRPr="009A58EC" w:rsidRDefault="0076075F" w:rsidP="00B66B30">
            <w:pPr>
              <w:jc w:val="center"/>
              <w:rPr>
                <w:sz w:val="22"/>
                <w:szCs w:val="22"/>
              </w:rPr>
            </w:pPr>
            <w:r w:rsidRPr="009A58EC">
              <w:rPr>
                <w:sz w:val="22"/>
                <w:szCs w:val="22"/>
              </w:rPr>
              <w:t>2</w:t>
            </w:r>
          </w:p>
        </w:tc>
        <w:tc>
          <w:tcPr>
            <w:tcW w:w="1980" w:type="dxa"/>
            <w:vAlign w:val="bottom"/>
          </w:tcPr>
          <w:p w:rsidR="0076075F" w:rsidRPr="009A58EC" w:rsidRDefault="0076075F" w:rsidP="00B66B30">
            <w:pPr>
              <w:jc w:val="center"/>
              <w:rPr>
                <w:sz w:val="22"/>
                <w:szCs w:val="22"/>
              </w:rPr>
            </w:pPr>
            <w:r w:rsidRPr="009A58EC">
              <w:rPr>
                <w:sz w:val="22"/>
                <w:szCs w:val="22"/>
              </w:rPr>
              <w:t>4</w:t>
            </w:r>
          </w:p>
        </w:tc>
      </w:tr>
      <w:tr w:rsidR="0076075F" w:rsidRPr="009A58EC" w:rsidTr="00B66B30">
        <w:tc>
          <w:tcPr>
            <w:tcW w:w="1800" w:type="dxa"/>
            <w:vAlign w:val="bottom"/>
          </w:tcPr>
          <w:p w:rsidR="0076075F" w:rsidRPr="009A58EC" w:rsidRDefault="0076075F" w:rsidP="00B66B30">
            <w:pPr>
              <w:rPr>
                <w:sz w:val="22"/>
                <w:szCs w:val="22"/>
              </w:rPr>
            </w:pPr>
            <w:r w:rsidRPr="009A58EC">
              <w:rPr>
                <w:sz w:val="22"/>
                <w:szCs w:val="22"/>
              </w:rPr>
              <w:t>Alternative</w:t>
            </w:r>
          </w:p>
        </w:tc>
        <w:tc>
          <w:tcPr>
            <w:tcW w:w="1440" w:type="dxa"/>
            <w:vAlign w:val="bottom"/>
          </w:tcPr>
          <w:p w:rsidR="0076075F" w:rsidRPr="009A58EC" w:rsidRDefault="0076075F" w:rsidP="00B66B30">
            <w:pPr>
              <w:rPr>
                <w:sz w:val="22"/>
                <w:szCs w:val="22"/>
              </w:rPr>
            </w:pPr>
            <w:r w:rsidRPr="009A58EC">
              <w:rPr>
                <w:sz w:val="22"/>
                <w:szCs w:val="22"/>
              </w:rPr>
              <w:t>15-17</w:t>
            </w:r>
          </w:p>
        </w:tc>
        <w:tc>
          <w:tcPr>
            <w:tcW w:w="1260" w:type="dxa"/>
          </w:tcPr>
          <w:p w:rsidR="0076075F" w:rsidRPr="009A58EC" w:rsidRDefault="0076075F" w:rsidP="00B66B30">
            <w:pPr>
              <w:jc w:val="center"/>
              <w:rPr>
                <w:sz w:val="22"/>
                <w:szCs w:val="22"/>
              </w:rPr>
            </w:pPr>
            <w:r w:rsidRPr="009A58EC">
              <w:rPr>
                <w:sz w:val="22"/>
                <w:szCs w:val="22"/>
              </w:rPr>
              <w:t>2</w:t>
            </w:r>
          </w:p>
        </w:tc>
        <w:tc>
          <w:tcPr>
            <w:tcW w:w="1980" w:type="dxa"/>
            <w:vAlign w:val="bottom"/>
          </w:tcPr>
          <w:p w:rsidR="0076075F" w:rsidRPr="009A58EC" w:rsidRDefault="0076075F" w:rsidP="00B66B30">
            <w:pPr>
              <w:jc w:val="center"/>
              <w:rPr>
                <w:sz w:val="22"/>
                <w:szCs w:val="22"/>
              </w:rPr>
            </w:pPr>
            <w:r w:rsidRPr="009A58EC">
              <w:rPr>
                <w:sz w:val="22"/>
                <w:szCs w:val="22"/>
              </w:rPr>
              <w:t>4</w:t>
            </w:r>
          </w:p>
        </w:tc>
      </w:tr>
      <w:tr w:rsidR="0076075F" w:rsidRPr="009A58EC" w:rsidTr="00B66B30">
        <w:tc>
          <w:tcPr>
            <w:tcW w:w="1800" w:type="dxa"/>
            <w:vAlign w:val="bottom"/>
          </w:tcPr>
          <w:p w:rsidR="0076075F" w:rsidRPr="009A58EC" w:rsidRDefault="0076075F" w:rsidP="00B66B30">
            <w:pPr>
              <w:rPr>
                <w:sz w:val="22"/>
                <w:szCs w:val="22"/>
              </w:rPr>
            </w:pPr>
            <w:r w:rsidRPr="009A58EC">
              <w:rPr>
                <w:sz w:val="22"/>
                <w:szCs w:val="22"/>
              </w:rPr>
              <w:t>Traditional</w:t>
            </w:r>
          </w:p>
        </w:tc>
        <w:tc>
          <w:tcPr>
            <w:tcW w:w="1440" w:type="dxa"/>
            <w:vAlign w:val="bottom"/>
          </w:tcPr>
          <w:p w:rsidR="0076075F" w:rsidRPr="009A58EC" w:rsidRDefault="0076075F" w:rsidP="00B66B30">
            <w:pPr>
              <w:rPr>
                <w:sz w:val="22"/>
                <w:szCs w:val="22"/>
              </w:rPr>
            </w:pPr>
            <w:r w:rsidRPr="009A58EC">
              <w:rPr>
                <w:sz w:val="22"/>
                <w:szCs w:val="22"/>
              </w:rPr>
              <w:t>15-17</w:t>
            </w:r>
          </w:p>
        </w:tc>
        <w:tc>
          <w:tcPr>
            <w:tcW w:w="1260" w:type="dxa"/>
          </w:tcPr>
          <w:p w:rsidR="0076075F" w:rsidRPr="009A58EC" w:rsidRDefault="0076075F" w:rsidP="00B66B30">
            <w:pPr>
              <w:jc w:val="center"/>
              <w:rPr>
                <w:sz w:val="22"/>
                <w:szCs w:val="22"/>
              </w:rPr>
            </w:pPr>
            <w:r w:rsidRPr="009A58EC">
              <w:rPr>
                <w:sz w:val="22"/>
                <w:szCs w:val="22"/>
              </w:rPr>
              <w:t>2</w:t>
            </w:r>
          </w:p>
        </w:tc>
        <w:tc>
          <w:tcPr>
            <w:tcW w:w="1980" w:type="dxa"/>
            <w:vAlign w:val="bottom"/>
          </w:tcPr>
          <w:p w:rsidR="0076075F" w:rsidRPr="009A58EC" w:rsidRDefault="0076075F" w:rsidP="00B66B30">
            <w:pPr>
              <w:jc w:val="center"/>
              <w:rPr>
                <w:sz w:val="22"/>
                <w:szCs w:val="22"/>
              </w:rPr>
            </w:pPr>
            <w:r w:rsidRPr="009A58EC">
              <w:rPr>
                <w:sz w:val="22"/>
                <w:szCs w:val="22"/>
              </w:rPr>
              <w:t>4</w:t>
            </w:r>
          </w:p>
        </w:tc>
      </w:tr>
      <w:tr w:rsidR="0076075F" w:rsidRPr="009A58EC" w:rsidTr="00B66B30">
        <w:tc>
          <w:tcPr>
            <w:tcW w:w="1800" w:type="dxa"/>
            <w:vAlign w:val="bottom"/>
          </w:tcPr>
          <w:p w:rsidR="0076075F" w:rsidRPr="009A58EC" w:rsidRDefault="0076075F" w:rsidP="00B66B30">
            <w:pPr>
              <w:rPr>
                <w:sz w:val="22"/>
                <w:szCs w:val="22"/>
              </w:rPr>
            </w:pPr>
            <w:r w:rsidRPr="009A58EC">
              <w:rPr>
                <w:sz w:val="22"/>
                <w:szCs w:val="22"/>
              </w:rPr>
              <w:t>Traditional</w:t>
            </w:r>
          </w:p>
        </w:tc>
        <w:tc>
          <w:tcPr>
            <w:tcW w:w="1440" w:type="dxa"/>
            <w:vAlign w:val="bottom"/>
          </w:tcPr>
          <w:p w:rsidR="0076075F" w:rsidRPr="009A58EC" w:rsidRDefault="0076075F" w:rsidP="00B66B30">
            <w:pPr>
              <w:rPr>
                <w:sz w:val="22"/>
                <w:szCs w:val="22"/>
              </w:rPr>
            </w:pPr>
            <w:r w:rsidRPr="009A58EC">
              <w:rPr>
                <w:sz w:val="22"/>
                <w:szCs w:val="22"/>
              </w:rPr>
              <w:t>12-14</w:t>
            </w:r>
          </w:p>
        </w:tc>
        <w:tc>
          <w:tcPr>
            <w:tcW w:w="1260" w:type="dxa"/>
          </w:tcPr>
          <w:p w:rsidR="0076075F" w:rsidRPr="009A58EC" w:rsidRDefault="0076075F" w:rsidP="00B66B30">
            <w:pPr>
              <w:jc w:val="center"/>
              <w:rPr>
                <w:sz w:val="22"/>
                <w:szCs w:val="22"/>
              </w:rPr>
            </w:pPr>
            <w:r w:rsidRPr="009A58EC">
              <w:rPr>
                <w:sz w:val="22"/>
                <w:szCs w:val="22"/>
              </w:rPr>
              <w:t>2</w:t>
            </w:r>
          </w:p>
        </w:tc>
        <w:tc>
          <w:tcPr>
            <w:tcW w:w="1980" w:type="dxa"/>
            <w:vAlign w:val="bottom"/>
          </w:tcPr>
          <w:p w:rsidR="0076075F" w:rsidRPr="009A58EC" w:rsidRDefault="0076075F" w:rsidP="00B66B30">
            <w:pPr>
              <w:jc w:val="center"/>
              <w:rPr>
                <w:sz w:val="22"/>
                <w:szCs w:val="22"/>
              </w:rPr>
            </w:pPr>
            <w:r w:rsidRPr="009A58EC">
              <w:rPr>
                <w:sz w:val="22"/>
                <w:szCs w:val="22"/>
              </w:rPr>
              <w:t>4</w:t>
            </w:r>
          </w:p>
        </w:tc>
      </w:tr>
      <w:tr w:rsidR="0076075F" w:rsidRPr="009A58EC" w:rsidTr="00B66B30">
        <w:tc>
          <w:tcPr>
            <w:tcW w:w="1800" w:type="dxa"/>
            <w:tcBorders>
              <w:top w:val="double" w:sz="4" w:space="0" w:color="auto"/>
            </w:tcBorders>
            <w:vAlign w:val="center"/>
          </w:tcPr>
          <w:p w:rsidR="0076075F" w:rsidRPr="009A58EC" w:rsidRDefault="0076075F" w:rsidP="00B66B30">
            <w:pPr>
              <w:rPr>
                <w:b/>
                <w:sz w:val="22"/>
                <w:szCs w:val="22"/>
              </w:rPr>
            </w:pPr>
            <w:r w:rsidRPr="009A58EC">
              <w:rPr>
                <w:b/>
                <w:sz w:val="22"/>
                <w:szCs w:val="22"/>
              </w:rPr>
              <w:t>Total</w:t>
            </w:r>
          </w:p>
        </w:tc>
        <w:tc>
          <w:tcPr>
            <w:tcW w:w="1440" w:type="dxa"/>
            <w:tcBorders>
              <w:top w:val="double" w:sz="4" w:space="0" w:color="auto"/>
            </w:tcBorders>
            <w:vAlign w:val="center"/>
          </w:tcPr>
          <w:p w:rsidR="0076075F" w:rsidRPr="009A58EC" w:rsidRDefault="0076075F" w:rsidP="00B66B30">
            <w:pPr>
              <w:rPr>
                <w:b/>
                <w:sz w:val="22"/>
                <w:szCs w:val="22"/>
              </w:rPr>
            </w:pPr>
          </w:p>
        </w:tc>
        <w:tc>
          <w:tcPr>
            <w:tcW w:w="1260" w:type="dxa"/>
            <w:tcBorders>
              <w:top w:val="double" w:sz="4" w:space="0" w:color="auto"/>
            </w:tcBorders>
          </w:tcPr>
          <w:p w:rsidR="0076075F" w:rsidRPr="009A58EC" w:rsidRDefault="0076075F" w:rsidP="00B66B30">
            <w:pPr>
              <w:jc w:val="center"/>
              <w:rPr>
                <w:b/>
                <w:sz w:val="22"/>
                <w:szCs w:val="22"/>
              </w:rPr>
            </w:pPr>
          </w:p>
        </w:tc>
        <w:tc>
          <w:tcPr>
            <w:tcW w:w="1980" w:type="dxa"/>
            <w:tcBorders>
              <w:top w:val="double" w:sz="4" w:space="0" w:color="auto"/>
            </w:tcBorders>
            <w:vAlign w:val="center"/>
          </w:tcPr>
          <w:p w:rsidR="0076075F" w:rsidRPr="009A58EC" w:rsidRDefault="0076075F" w:rsidP="00B66B30">
            <w:pPr>
              <w:jc w:val="center"/>
              <w:rPr>
                <w:b/>
                <w:sz w:val="22"/>
                <w:szCs w:val="22"/>
              </w:rPr>
            </w:pPr>
            <w:r w:rsidRPr="009A58EC">
              <w:rPr>
                <w:b/>
                <w:sz w:val="22"/>
                <w:szCs w:val="22"/>
              </w:rPr>
              <w:t>32</w:t>
            </w:r>
          </w:p>
        </w:tc>
      </w:tr>
    </w:tbl>
    <w:p w:rsidR="0076075F" w:rsidRPr="009A58EC" w:rsidRDefault="0076075F" w:rsidP="006000FC">
      <w:pPr>
        <w:pStyle w:val="Heading1"/>
        <w:spacing w:before="0" w:after="0"/>
      </w:pPr>
    </w:p>
    <w:p w:rsidR="0076075F" w:rsidRPr="009A58EC" w:rsidRDefault="0076075F" w:rsidP="006000FC">
      <w:pPr>
        <w:pStyle w:val="Heading1"/>
        <w:spacing w:before="0" w:after="0"/>
        <w:rPr>
          <w:u w:val="single"/>
        </w:rPr>
      </w:pPr>
      <w:r w:rsidRPr="009A58EC">
        <w:t>13.</w:t>
      </w:r>
      <w:r w:rsidRPr="009A58EC">
        <w:tab/>
      </w:r>
      <w:r w:rsidRPr="009A58EC">
        <w:rPr>
          <w:u w:val="single"/>
        </w:rPr>
        <w:t>Information Collection Procedures</w:t>
      </w:r>
    </w:p>
    <w:p w:rsidR="0076075F" w:rsidRPr="009A58EC" w:rsidRDefault="0076075F" w:rsidP="009E21B3"/>
    <w:p w:rsidR="0076075F" w:rsidRPr="009A58EC" w:rsidRDefault="0076075F" w:rsidP="004A08B2">
      <w:pPr>
        <w:pStyle w:val="BodyText"/>
        <w:spacing w:after="0"/>
        <w:ind w:left="630" w:hanging="630"/>
      </w:pPr>
      <w:r w:rsidRPr="009A58EC">
        <w:tab/>
        <w:t>Potential participants who call into the study line will be screened for eligibility [</w:t>
      </w:r>
      <w:r w:rsidRPr="009A58EC">
        <w:rPr>
          <w:b/>
          <w:bCs/>
        </w:rPr>
        <w:t>Attachment B</w:t>
      </w:r>
      <w:r w:rsidRPr="009A58EC">
        <w:t xml:space="preserve">]. Adolescents who call in will be screened for their age and type of school(s) they attended within the past 12 months, and will require permission from their parent or legal guardian to participate in the study. Eligible respondents will be scheduled for a forty five minute cognitive interview. </w:t>
      </w:r>
    </w:p>
    <w:p w:rsidR="0076075F" w:rsidRPr="009A58EC" w:rsidRDefault="0076075F" w:rsidP="009E21B3">
      <w:pPr>
        <w:pStyle w:val="BodyText"/>
        <w:spacing w:after="0"/>
        <w:ind w:left="630" w:hanging="630"/>
      </w:pPr>
    </w:p>
    <w:p w:rsidR="0076075F" w:rsidRPr="009A58EC" w:rsidRDefault="0076075F" w:rsidP="009E21B3">
      <w:pPr>
        <w:pStyle w:val="BodyText"/>
        <w:spacing w:after="0"/>
        <w:ind w:left="630" w:hanging="630"/>
      </w:pPr>
      <w:r w:rsidRPr="009A58EC">
        <w:tab/>
        <w:t>Potential participants who call the RTI study line after the requisite number of participants has been recruited will be placed on a “will call” list with their permission, but only for the duration of the interviewing phase. During this phase, individuals on the “will call” list may be called to ask if they are available, should one or more originally scheduled participants not arrive for a scheduled interview. As specified in Section 7, recruitment and contact information will be kept in locked cabinets and via password protected electronic files and not shared except with those who are assigned to complete the interviews.</w:t>
      </w:r>
    </w:p>
    <w:p w:rsidR="0076075F" w:rsidRPr="009A58EC" w:rsidRDefault="0076075F" w:rsidP="009E21B3">
      <w:pPr>
        <w:pStyle w:val="BodyText"/>
        <w:spacing w:after="0"/>
        <w:ind w:left="630" w:hanging="630"/>
      </w:pPr>
    </w:p>
    <w:p w:rsidR="0076075F" w:rsidRPr="009A58EC" w:rsidRDefault="0076075F" w:rsidP="00221772">
      <w:pPr>
        <w:pStyle w:val="BodyText"/>
        <w:spacing w:after="0"/>
        <w:ind w:left="630" w:hanging="630"/>
      </w:pPr>
      <w:r w:rsidRPr="009A58EC">
        <w:tab/>
        <w:t>Parents/guardians will be asked to accompany their children to the interview, and to sign a Parental Consent Form [</w:t>
      </w:r>
      <w:r w:rsidRPr="009A58EC">
        <w:rPr>
          <w:b/>
          <w:bCs/>
        </w:rPr>
        <w:t>Attachment C</w:t>
      </w:r>
      <w:r w:rsidRPr="009A58EC">
        <w:t>] once they arrive.  If the parent or guardian declines to accompany their child to the interview, a Parental Consent Form will be mailed to them with a pre-addressed return envelope and they will be asked to sign the form and return it to RTI.  Adolescent respondents will not be interviewed until we have a signed Parental Consent Form from a parent or guardian. When each participant arrives for their interview, they will be greeted and asked to listen to instructions and information from the interviewer, including the acknowledgement of a Participant Assent Form [</w:t>
      </w:r>
      <w:r w:rsidRPr="009A58EC">
        <w:rPr>
          <w:b/>
          <w:bCs/>
        </w:rPr>
        <w:t>Attachment D</w:t>
      </w:r>
      <w:r w:rsidRPr="009A58EC">
        <w:t xml:space="preserve">]. All cognitive interviews will be audio recorded upon consent of each participant. Participants will have the right to decline to be audio recorded without being excluded from participation. </w:t>
      </w:r>
    </w:p>
    <w:p w:rsidR="0076075F" w:rsidRPr="009A58EC" w:rsidRDefault="0076075F" w:rsidP="009E21B3">
      <w:pPr>
        <w:pStyle w:val="BodyText"/>
        <w:spacing w:after="0"/>
        <w:ind w:left="630" w:hanging="630"/>
      </w:pPr>
    </w:p>
    <w:p w:rsidR="0076075F" w:rsidRPr="009A58EC" w:rsidRDefault="0076075F" w:rsidP="004A08B2">
      <w:pPr>
        <w:pStyle w:val="BodyText"/>
        <w:spacing w:after="0"/>
        <w:ind w:left="630" w:hanging="630"/>
      </w:pPr>
      <w:r w:rsidRPr="009A58EC">
        <w:tab/>
        <w:t xml:space="preserve">To begin the interview, the interviewer will set up a 12-month calendar with the respondent (the same one used in the main NSDUH survey), and will show each respondent how to navigate through the NSDUH CAI program.  The respondent will then complete a tutorial, along with the beginning of the Youth Mental Health Services Utilization module from the main NSDUH survey [See </w:t>
      </w:r>
      <w:r w:rsidRPr="009A58EC">
        <w:rPr>
          <w:b/>
          <w:bCs/>
        </w:rPr>
        <w:t>Attachment E</w:t>
      </w:r>
      <w:r w:rsidRPr="009A58EC">
        <w:t xml:space="preserve">].  These modules will be completed via ACASI.  At the end of the YMHSU module, the respondent will be instructed to read the new questions aloud and discuss them with the interviewer.  Participants will deliver concurrent verbal reports of their thought process, or will provide thoughts on how they are answering the question before the question is answered (Forsyth and Lessler 1991).  Interviewers will be provided with a series of probes and questions that will further explore the quality of responses and whether these responses are meeting the researchers’ goals.  Interviewers are instructed to use the probes as a guideline, but are not required to use all of them, be limited by them, or to read them exactly as written (Beatty 2004).  Interviewers may probe based upon the content of the interview and participant responses.  All pre-scripted probes are found in the cognitive interviewing protocol in </w:t>
      </w:r>
      <w:r w:rsidRPr="009A58EC">
        <w:rPr>
          <w:b/>
          <w:bCs/>
        </w:rPr>
        <w:t>Attachment E</w:t>
      </w:r>
      <w:r w:rsidRPr="009A58EC">
        <w:t>.  However, the interviewer requires the latitude to deviate from and/or make changes to these protocols “on the fly” during the interviewing process in order to follow up on new information that is gained from respondents during the course of the interviews. After the interview, participants will be thanked, paid for their time with a $40 Visa card, and will be asked to sign a participation receipt form [</w:t>
      </w:r>
      <w:r w:rsidRPr="009A58EC">
        <w:rPr>
          <w:b/>
          <w:bCs/>
        </w:rPr>
        <w:t>Attachment F</w:t>
      </w:r>
      <w:r w:rsidRPr="009A58EC">
        <w:t>].</w:t>
      </w:r>
    </w:p>
    <w:p w:rsidR="0076075F" w:rsidRPr="009A58EC" w:rsidRDefault="0076075F" w:rsidP="00DF1485"/>
    <w:p w:rsidR="0076075F" w:rsidRPr="009A58EC" w:rsidRDefault="0076075F" w:rsidP="006000FC">
      <w:pPr>
        <w:pStyle w:val="Heading1"/>
        <w:spacing w:before="0" w:after="0"/>
        <w:rPr>
          <w:u w:val="single"/>
        </w:rPr>
      </w:pPr>
      <w:r w:rsidRPr="009A58EC">
        <w:t>14.</w:t>
      </w:r>
      <w:r w:rsidRPr="009A58EC">
        <w:tab/>
      </w:r>
      <w:r w:rsidRPr="009A58EC">
        <w:rPr>
          <w:u w:val="single"/>
        </w:rPr>
        <w:t xml:space="preserve">Methods to Maximize Response Rates </w:t>
      </w:r>
    </w:p>
    <w:p w:rsidR="0076075F" w:rsidRPr="009A58EC" w:rsidRDefault="0076075F" w:rsidP="00774774"/>
    <w:p w:rsidR="0076075F" w:rsidRPr="009A58EC" w:rsidRDefault="0076075F" w:rsidP="00876EA5">
      <w:pPr>
        <w:ind w:left="720" w:hanging="720"/>
      </w:pPr>
      <w:r w:rsidRPr="009A58EC">
        <w:tab/>
        <w:t>To assure the participation of the recruited cognitive interviewing participants, each selected person will receive a reminder telephone call the day before the interview with directions to the facility and an opportunity to ask any questions about the purpose or logistics of the study. The $40 VISA gift card incentive will also help ensure participation.</w:t>
      </w:r>
    </w:p>
    <w:p w:rsidR="0076075F" w:rsidRPr="009A58EC" w:rsidRDefault="0076075F" w:rsidP="006000FC">
      <w:pPr>
        <w:widowControl/>
      </w:pPr>
    </w:p>
    <w:p w:rsidR="0076075F" w:rsidRPr="009A58EC" w:rsidRDefault="0076075F" w:rsidP="006000FC">
      <w:pPr>
        <w:pStyle w:val="Heading1"/>
        <w:spacing w:before="0" w:after="0"/>
      </w:pPr>
      <w:r w:rsidRPr="009A58EC">
        <w:t>15.</w:t>
      </w:r>
      <w:r w:rsidRPr="009A58EC">
        <w:tab/>
      </w:r>
      <w:r w:rsidRPr="009A58EC">
        <w:rPr>
          <w:u w:val="single"/>
        </w:rPr>
        <w:t>Tests of Procedures</w:t>
      </w:r>
    </w:p>
    <w:p w:rsidR="0076075F" w:rsidRPr="009A58EC" w:rsidRDefault="0076075F" w:rsidP="006000FC">
      <w:pPr>
        <w:pStyle w:val="Heading1"/>
        <w:spacing w:before="0" w:after="0"/>
      </w:pPr>
    </w:p>
    <w:p w:rsidR="0076075F" w:rsidRPr="009A58EC" w:rsidRDefault="0076075F" w:rsidP="00575D8A">
      <w:r w:rsidRPr="009A58EC">
        <w:tab/>
        <w:t>The activities to be conducted under this approval are in themselves tests of procedures.</w:t>
      </w:r>
    </w:p>
    <w:p w:rsidR="0076075F" w:rsidRPr="009A58EC" w:rsidRDefault="0076075F" w:rsidP="00575D8A">
      <w:r w:rsidRPr="009A58EC">
        <w:tab/>
      </w:r>
    </w:p>
    <w:p w:rsidR="0076075F" w:rsidRPr="009A58EC" w:rsidRDefault="0076075F" w:rsidP="006000FC">
      <w:pPr>
        <w:pStyle w:val="Heading1"/>
        <w:spacing w:before="0" w:after="0"/>
        <w:rPr>
          <w:u w:val="single"/>
        </w:rPr>
      </w:pPr>
      <w:r w:rsidRPr="009A58EC">
        <w:t>16.</w:t>
      </w:r>
      <w:r w:rsidRPr="009A58EC">
        <w:tab/>
      </w:r>
      <w:r w:rsidRPr="009A58EC">
        <w:rPr>
          <w:u w:val="single"/>
        </w:rPr>
        <w:t>Statistical Consultants</w:t>
      </w:r>
    </w:p>
    <w:p w:rsidR="0076075F" w:rsidRPr="009A58EC" w:rsidRDefault="0076075F" w:rsidP="006000FC">
      <w:pPr>
        <w:pStyle w:val="Heading1"/>
        <w:spacing w:before="0" w:after="0"/>
        <w:rPr>
          <w:u w:val="single"/>
        </w:rPr>
      </w:pPr>
    </w:p>
    <w:p w:rsidR="0076075F" w:rsidRPr="009A58EC" w:rsidRDefault="0076075F" w:rsidP="00A07E5D">
      <w:pPr>
        <w:pStyle w:val="Heading1"/>
        <w:spacing w:before="0" w:after="0"/>
      </w:pPr>
      <w:r w:rsidRPr="009A58EC">
        <w:tab/>
      </w:r>
    </w:p>
    <w:tbl>
      <w:tblPr>
        <w:tblW w:w="0" w:type="auto"/>
        <w:tblInd w:w="738" w:type="dxa"/>
        <w:tblLook w:val="01E0"/>
      </w:tblPr>
      <w:tblGrid>
        <w:gridCol w:w="4824"/>
        <w:gridCol w:w="4932"/>
      </w:tblGrid>
      <w:tr w:rsidR="0076075F" w:rsidRPr="009A58EC">
        <w:tc>
          <w:tcPr>
            <w:tcW w:w="4194" w:type="dxa"/>
          </w:tcPr>
          <w:p w:rsidR="0076075F" w:rsidRPr="009A58EC" w:rsidRDefault="0076075F" w:rsidP="00896E88">
            <w:pPr>
              <w:pStyle w:val="BodyText"/>
              <w:spacing w:after="0"/>
              <w:ind w:left="0"/>
              <w:rPr>
                <w:i/>
              </w:rPr>
            </w:pPr>
            <w:r w:rsidRPr="009A58EC">
              <w:rPr>
                <w:i/>
              </w:rPr>
              <w:t>Arthur Hughes</w:t>
            </w:r>
          </w:p>
          <w:p w:rsidR="0076075F" w:rsidRPr="009A58EC" w:rsidRDefault="0076075F" w:rsidP="00896E88">
            <w:pPr>
              <w:pStyle w:val="BodyText"/>
              <w:spacing w:after="0"/>
              <w:ind w:left="0"/>
            </w:pPr>
            <w:r w:rsidRPr="009A58EC">
              <w:t>(240) 276-1261</w:t>
            </w:r>
          </w:p>
          <w:p w:rsidR="0076075F" w:rsidRPr="009A58EC" w:rsidRDefault="0076075F" w:rsidP="00896E88">
            <w:pPr>
              <w:pStyle w:val="BodyText"/>
              <w:spacing w:after="0"/>
              <w:ind w:left="0"/>
            </w:pPr>
            <w:r w:rsidRPr="009A58EC">
              <w:t>Project Officer/Mathematical Statistician</w:t>
            </w:r>
          </w:p>
          <w:p w:rsidR="0076075F" w:rsidRPr="009A58EC" w:rsidRDefault="0076075F" w:rsidP="00896E88">
            <w:pPr>
              <w:pStyle w:val="BodyText"/>
              <w:spacing w:after="0"/>
              <w:ind w:left="0"/>
            </w:pPr>
            <w:r w:rsidRPr="009A58EC">
              <w:t>Division of Population Surveys</w:t>
            </w:r>
          </w:p>
          <w:p w:rsidR="0076075F" w:rsidRPr="009A58EC" w:rsidRDefault="0076075F" w:rsidP="00896E88">
            <w:pPr>
              <w:pStyle w:val="BodyText"/>
              <w:spacing w:after="0"/>
              <w:ind w:left="0"/>
            </w:pPr>
            <w:r w:rsidRPr="009A58EC">
              <w:t>OAS, SAMHSA</w:t>
            </w:r>
          </w:p>
          <w:p w:rsidR="0076075F" w:rsidRPr="009A58EC" w:rsidRDefault="0076075F" w:rsidP="00896E88">
            <w:pPr>
              <w:pStyle w:val="BodyText"/>
              <w:spacing w:after="0"/>
              <w:ind w:left="0"/>
            </w:pPr>
          </w:p>
        </w:tc>
        <w:tc>
          <w:tcPr>
            <w:tcW w:w="4932" w:type="dxa"/>
          </w:tcPr>
          <w:p w:rsidR="0076075F" w:rsidRPr="009A58EC" w:rsidRDefault="0076075F" w:rsidP="00585313">
            <w:pPr>
              <w:widowControl/>
              <w:autoSpaceDE/>
              <w:autoSpaceDN/>
              <w:adjustRightInd/>
              <w:rPr>
                <w:i/>
              </w:rPr>
            </w:pPr>
            <w:r w:rsidRPr="009A58EC">
              <w:rPr>
                <w:i/>
              </w:rPr>
              <w:t>Dicy Painter</w:t>
            </w:r>
          </w:p>
          <w:p w:rsidR="0076075F" w:rsidRPr="009A58EC" w:rsidRDefault="0076075F" w:rsidP="00585313">
            <w:pPr>
              <w:widowControl/>
              <w:autoSpaceDE/>
              <w:autoSpaceDN/>
              <w:adjustRightInd/>
            </w:pPr>
            <w:r w:rsidRPr="009A58EC">
              <w:t>(240) 276-1264</w:t>
            </w:r>
          </w:p>
          <w:p w:rsidR="0076075F" w:rsidRPr="009A58EC" w:rsidRDefault="0076075F" w:rsidP="00585313">
            <w:pPr>
              <w:widowControl/>
              <w:autoSpaceDE/>
              <w:autoSpaceDN/>
              <w:adjustRightInd/>
            </w:pPr>
            <w:r w:rsidRPr="009A58EC">
              <w:t>Alternate Project Officer</w:t>
            </w:r>
          </w:p>
          <w:p w:rsidR="0076075F" w:rsidRPr="009A58EC" w:rsidRDefault="0076075F" w:rsidP="00585313">
            <w:pPr>
              <w:widowControl/>
              <w:autoSpaceDE/>
              <w:autoSpaceDN/>
              <w:adjustRightInd/>
            </w:pPr>
            <w:r w:rsidRPr="009A58EC">
              <w:t>Division of Population Surveys</w:t>
            </w:r>
          </w:p>
          <w:p w:rsidR="0076075F" w:rsidRPr="009A58EC" w:rsidRDefault="0076075F" w:rsidP="00585313">
            <w:pPr>
              <w:widowControl/>
              <w:autoSpaceDE/>
              <w:autoSpaceDN/>
              <w:adjustRightInd/>
            </w:pPr>
            <w:r w:rsidRPr="009A58EC">
              <w:t>OAS, SAMHSA</w:t>
            </w:r>
          </w:p>
          <w:p w:rsidR="0076075F" w:rsidRPr="009A58EC" w:rsidRDefault="0076075F" w:rsidP="00585313">
            <w:pPr>
              <w:widowControl/>
              <w:autoSpaceDE/>
              <w:autoSpaceDN/>
              <w:adjustRightInd/>
            </w:pPr>
          </w:p>
        </w:tc>
      </w:tr>
      <w:tr w:rsidR="0076075F" w:rsidRPr="009A58EC">
        <w:tc>
          <w:tcPr>
            <w:tcW w:w="4194" w:type="dxa"/>
          </w:tcPr>
          <w:p w:rsidR="0076075F" w:rsidRPr="009A58EC" w:rsidRDefault="0076075F" w:rsidP="00585313">
            <w:pPr>
              <w:widowControl/>
              <w:autoSpaceDE/>
              <w:autoSpaceDN/>
              <w:adjustRightInd/>
              <w:rPr>
                <w:i/>
              </w:rPr>
            </w:pPr>
            <w:r w:rsidRPr="009A58EC">
              <w:rPr>
                <w:i/>
              </w:rPr>
              <w:t>Joseph Gfroerer</w:t>
            </w:r>
          </w:p>
          <w:p w:rsidR="0076075F" w:rsidRPr="009A58EC" w:rsidRDefault="0076075F" w:rsidP="00585313">
            <w:pPr>
              <w:widowControl/>
              <w:autoSpaceDE/>
              <w:autoSpaceDN/>
              <w:adjustRightInd/>
            </w:pPr>
            <w:r w:rsidRPr="009A58EC">
              <w:t>(240) 276-1262</w:t>
            </w:r>
          </w:p>
          <w:p w:rsidR="0076075F" w:rsidRPr="009A58EC" w:rsidRDefault="0076075F" w:rsidP="00585313">
            <w:pPr>
              <w:widowControl/>
              <w:autoSpaceDE/>
              <w:autoSpaceDN/>
              <w:adjustRightInd/>
            </w:pPr>
            <w:r w:rsidRPr="009A58EC">
              <w:t>Division Director/Supervisory Mathematical Statistician</w:t>
            </w:r>
          </w:p>
          <w:p w:rsidR="0076075F" w:rsidRPr="009A58EC" w:rsidRDefault="0076075F" w:rsidP="00585313">
            <w:pPr>
              <w:widowControl/>
              <w:autoSpaceDE/>
              <w:autoSpaceDN/>
              <w:adjustRightInd/>
            </w:pPr>
            <w:r w:rsidRPr="009A58EC">
              <w:t>Division of Population Surveys</w:t>
            </w:r>
          </w:p>
          <w:p w:rsidR="0076075F" w:rsidRPr="009A58EC" w:rsidRDefault="0076075F" w:rsidP="00585313">
            <w:pPr>
              <w:widowControl/>
              <w:autoSpaceDE/>
              <w:autoSpaceDN/>
              <w:adjustRightInd/>
            </w:pPr>
            <w:r w:rsidRPr="009A58EC">
              <w:t>OAS, SAMHSA</w:t>
            </w:r>
          </w:p>
          <w:p w:rsidR="0076075F" w:rsidRPr="009A58EC" w:rsidRDefault="0076075F" w:rsidP="00585313">
            <w:pPr>
              <w:widowControl/>
              <w:autoSpaceDE/>
              <w:autoSpaceDN/>
              <w:adjustRightInd/>
            </w:pPr>
          </w:p>
          <w:p w:rsidR="0076075F" w:rsidRPr="009A58EC" w:rsidRDefault="0076075F" w:rsidP="00AD5F87">
            <w:pPr>
              <w:widowControl/>
              <w:autoSpaceDE/>
              <w:autoSpaceDN/>
              <w:adjustRightInd/>
              <w:rPr>
                <w:i/>
              </w:rPr>
            </w:pPr>
            <w:r w:rsidRPr="009A58EC">
              <w:rPr>
                <w:i/>
              </w:rPr>
              <w:t>Peggy Barker</w:t>
            </w:r>
          </w:p>
          <w:p w:rsidR="0076075F" w:rsidRPr="009A58EC" w:rsidRDefault="0076075F" w:rsidP="00AD5F87">
            <w:pPr>
              <w:widowControl/>
              <w:autoSpaceDE/>
              <w:autoSpaceDN/>
              <w:adjustRightInd/>
            </w:pPr>
            <w:r w:rsidRPr="009A58EC">
              <w:t>(240) 276-1258</w:t>
            </w:r>
          </w:p>
          <w:p w:rsidR="0076075F" w:rsidRPr="009A58EC" w:rsidRDefault="0076075F" w:rsidP="00AD5F87">
            <w:pPr>
              <w:widowControl/>
              <w:autoSpaceDE/>
              <w:autoSpaceDN/>
              <w:adjustRightInd/>
            </w:pPr>
            <w:r w:rsidRPr="009A58EC">
              <w:t>Statistician</w:t>
            </w:r>
          </w:p>
          <w:p w:rsidR="0076075F" w:rsidRPr="009A58EC" w:rsidRDefault="0076075F" w:rsidP="00AD5F87">
            <w:pPr>
              <w:widowControl/>
              <w:autoSpaceDE/>
              <w:autoSpaceDN/>
              <w:adjustRightInd/>
            </w:pPr>
            <w:r w:rsidRPr="009A58EC">
              <w:t>Division of Population Surveys</w:t>
            </w:r>
          </w:p>
          <w:p w:rsidR="0076075F" w:rsidRPr="009A58EC" w:rsidRDefault="0076075F" w:rsidP="00AD5F87">
            <w:pPr>
              <w:widowControl/>
              <w:autoSpaceDE/>
              <w:autoSpaceDN/>
              <w:adjustRightInd/>
            </w:pPr>
            <w:r w:rsidRPr="009A58EC">
              <w:t>OAS, SAMHSA</w:t>
            </w:r>
          </w:p>
          <w:p w:rsidR="0076075F" w:rsidRPr="009A58EC" w:rsidRDefault="0076075F" w:rsidP="00585313">
            <w:pPr>
              <w:widowControl/>
              <w:autoSpaceDE/>
              <w:autoSpaceDN/>
              <w:adjustRightInd/>
            </w:pPr>
          </w:p>
        </w:tc>
        <w:tc>
          <w:tcPr>
            <w:tcW w:w="4932" w:type="dxa"/>
          </w:tcPr>
          <w:p w:rsidR="0076075F" w:rsidRPr="009A58EC" w:rsidRDefault="0076075F" w:rsidP="00585313">
            <w:pPr>
              <w:widowControl/>
              <w:autoSpaceDE/>
              <w:autoSpaceDN/>
              <w:adjustRightInd/>
              <w:rPr>
                <w:i/>
              </w:rPr>
            </w:pPr>
            <w:r w:rsidRPr="009A58EC">
              <w:rPr>
                <w:i/>
              </w:rPr>
              <w:t>Joel Kennet</w:t>
            </w:r>
          </w:p>
          <w:p w:rsidR="0076075F" w:rsidRPr="009A58EC" w:rsidRDefault="0076075F" w:rsidP="00585313">
            <w:pPr>
              <w:widowControl/>
              <w:autoSpaceDE/>
              <w:autoSpaceDN/>
              <w:adjustRightInd/>
            </w:pPr>
            <w:r w:rsidRPr="009A58EC">
              <w:t>(240) 276-1265</w:t>
            </w:r>
          </w:p>
          <w:p w:rsidR="0076075F" w:rsidRPr="009A58EC" w:rsidRDefault="0076075F" w:rsidP="00585313">
            <w:pPr>
              <w:widowControl/>
              <w:autoSpaceDE/>
              <w:autoSpaceDN/>
              <w:adjustRightInd/>
            </w:pPr>
            <w:r w:rsidRPr="009A58EC">
              <w:t>Statistician</w:t>
            </w:r>
          </w:p>
          <w:p w:rsidR="0076075F" w:rsidRPr="009A58EC" w:rsidRDefault="0076075F" w:rsidP="00585313">
            <w:pPr>
              <w:widowControl/>
              <w:autoSpaceDE/>
              <w:autoSpaceDN/>
              <w:adjustRightInd/>
            </w:pPr>
            <w:r w:rsidRPr="009A58EC">
              <w:t>Division of Population Surveys</w:t>
            </w:r>
          </w:p>
          <w:p w:rsidR="0076075F" w:rsidRPr="009A58EC" w:rsidRDefault="0076075F" w:rsidP="00585313">
            <w:pPr>
              <w:widowControl/>
              <w:autoSpaceDE/>
              <w:autoSpaceDN/>
              <w:adjustRightInd/>
            </w:pPr>
            <w:r w:rsidRPr="009A58EC">
              <w:t>OAS, SAMHSA</w:t>
            </w:r>
          </w:p>
          <w:p w:rsidR="0076075F" w:rsidRPr="009A58EC" w:rsidRDefault="0076075F" w:rsidP="00585313">
            <w:pPr>
              <w:widowControl/>
              <w:autoSpaceDE/>
              <w:autoSpaceDN/>
              <w:adjustRightInd/>
            </w:pPr>
          </w:p>
          <w:p w:rsidR="0076075F" w:rsidRPr="009A58EC" w:rsidRDefault="0076075F" w:rsidP="00585313">
            <w:pPr>
              <w:widowControl/>
              <w:autoSpaceDE/>
              <w:autoSpaceDN/>
              <w:adjustRightInd/>
            </w:pPr>
          </w:p>
          <w:p w:rsidR="0076075F" w:rsidRPr="009A58EC" w:rsidRDefault="0076075F" w:rsidP="00585313">
            <w:pPr>
              <w:widowControl/>
              <w:autoSpaceDE/>
              <w:autoSpaceDN/>
              <w:adjustRightInd/>
              <w:rPr>
                <w:i/>
                <w:iCs/>
              </w:rPr>
            </w:pPr>
            <w:r w:rsidRPr="009A58EC">
              <w:rPr>
                <w:i/>
                <w:iCs/>
              </w:rPr>
              <w:t>Lisa Colpe</w:t>
            </w:r>
          </w:p>
          <w:p w:rsidR="0076075F" w:rsidRPr="009A58EC" w:rsidRDefault="0076075F" w:rsidP="00585313">
            <w:pPr>
              <w:widowControl/>
              <w:autoSpaceDE/>
              <w:autoSpaceDN/>
              <w:adjustRightInd/>
            </w:pPr>
            <w:r w:rsidRPr="009A58EC">
              <w:t>(240) 276-1245</w:t>
            </w:r>
          </w:p>
          <w:p w:rsidR="0076075F" w:rsidRPr="009A58EC" w:rsidRDefault="0076075F" w:rsidP="00585313">
            <w:pPr>
              <w:widowControl/>
              <w:autoSpaceDE/>
              <w:autoSpaceDN/>
              <w:adjustRightInd/>
            </w:pPr>
            <w:r w:rsidRPr="009A58EC">
              <w:t>Statistician</w:t>
            </w:r>
          </w:p>
          <w:p w:rsidR="0076075F" w:rsidRPr="009A58EC" w:rsidRDefault="0076075F" w:rsidP="00585313">
            <w:pPr>
              <w:widowControl/>
              <w:autoSpaceDE/>
              <w:autoSpaceDN/>
              <w:adjustRightInd/>
            </w:pPr>
            <w:r w:rsidRPr="009A58EC">
              <w:t>Division of Population Surveys</w:t>
            </w:r>
          </w:p>
          <w:p w:rsidR="0076075F" w:rsidRPr="009A58EC" w:rsidRDefault="0076075F" w:rsidP="00585313">
            <w:pPr>
              <w:widowControl/>
              <w:autoSpaceDE/>
              <w:autoSpaceDN/>
              <w:adjustRightInd/>
            </w:pPr>
            <w:r w:rsidRPr="009A58EC">
              <w:t>OAS, SAMHSA</w:t>
            </w:r>
          </w:p>
          <w:p w:rsidR="0076075F" w:rsidRPr="009A58EC" w:rsidRDefault="0076075F" w:rsidP="00585313">
            <w:pPr>
              <w:widowControl/>
              <w:autoSpaceDE/>
              <w:autoSpaceDN/>
              <w:adjustRightInd/>
            </w:pPr>
          </w:p>
        </w:tc>
      </w:tr>
    </w:tbl>
    <w:p w:rsidR="0076075F" w:rsidRPr="009A58EC" w:rsidRDefault="0076075F" w:rsidP="00A07E5D">
      <w:r w:rsidRPr="009A58EC">
        <w:tab/>
      </w:r>
    </w:p>
    <w:p w:rsidR="0076075F" w:rsidRPr="009A58EC" w:rsidRDefault="0076075F" w:rsidP="00A07E5D">
      <w:r w:rsidRPr="009A58EC">
        <w:tab/>
        <w:t xml:space="preserve"> </w:t>
      </w:r>
    </w:p>
    <w:p w:rsidR="0076075F" w:rsidRPr="009A58EC" w:rsidRDefault="0076075F" w:rsidP="00A07E5D">
      <w:r w:rsidRPr="009A58EC">
        <w:tab/>
      </w:r>
    </w:p>
    <w:p w:rsidR="0076075F" w:rsidRPr="009A58EC" w:rsidRDefault="0076075F" w:rsidP="006000FC">
      <w:pPr>
        <w:widowControl/>
      </w:pP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9A58EC">
        <w:br w:type="page"/>
      </w:r>
      <w:r w:rsidRPr="009A58EC">
        <w:rPr>
          <w:b/>
        </w:rPr>
        <w:t>ATTACHMENTS</w:t>
      </w: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9A58EC">
        <w:t xml:space="preserve">Attachment A - </w:t>
      </w:r>
      <w:r w:rsidRPr="009A58EC">
        <w:tab/>
        <w:t>Recruitment Flyer</w:t>
      </w: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9A58EC">
        <w:t xml:space="preserve">Attachment B - </w:t>
      </w:r>
      <w:r w:rsidRPr="009A58EC">
        <w:tab/>
        <w:t>Recruitment Script</w:t>
      </w: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9A58EC">
        <w:t>Attachment C -</w:t>
      </w:r>
      <w:r w:rsidRPr="009A58EC">
        <w:tab/>
        <w:t>Parental Informed Consent Form</w:t>
      </w: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p w:rsidR="0076075F" w:rsidRPr="009A58EC" w:rsidRDefault="0076075F" w:rsidP="006B1D3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9A58EC">
        <w:t xml:space="preserve">Attachment D - </w:t>
      </w:r>
      <w:r w:rsidRPr="009A58EC">
        <w:tab/>
        <w:t>Participant Informed Assent Form</w:t>
      </w: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p w:rsidR="0076075F" w:rsidRPr="001057B1" w:rsidRDefault="0076075F" w:rsidP="001057B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9A58EC">
        <w:t xml:space="preserve">Attachment E </w:t>
      </w:r>
      <w:r w:rsidRPr="009A58EC">
        <w:noBreakHyphen/>
      </w:r>
      <w:r w:rsidRPr="009A58EC">
        <w:tab/>
      </w:r>
      <w:r w:rsidRPr="001057B1">
        <w:t>YMHSU Module and Protocol for YMHSU Cognitive Testing</w:t>
      </w: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9A58EC">
        <w:t xml:space="preserve">Attachment F </w:t>
      </w:r>
      <w:r w:rsidRPr="009A58EC">
        <w:noBreakHyphen/>
      </w:r>
      <w:r w:rsidRPr="009A58EC">
        <w:tab/>
        <w:t>Receipt for Participation</w:t>
      </w: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p w:rsidR="0076075F" w:rsidRPr="009A58EC" w:rsidRDefault="0076075F" w:rsidP="000D38D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9A58EC">
        <w:t>Attachment G -</w:t>
      </w:r>
      <w:r w:rsidRPr="009A58EC">
        <w:tab/>
        <w:t>NSDUH Confidentiality Pledge</w:t>
      </w: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9A58EC">
        <w:t xml:space="preserve">Attachment H  - </w:t>
      </w:r>
      <w:r w:rsidRPr="009A58EC">
        <w:tab/>
        <w:t>Distressed Respondent Protocol</w:t>
      </w: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9A58EC">
        <w:t xml:space="preserve">Attachment I - </w:t>
      </w:r>
      <w:r w:rsidRPr="009A58EC">
        <w:tab/>
        <w:t>April 10, 2008 YMHSU Recommendations Memo to SAMHSA</w:t>
      </w: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p w:rsidR="0076075F" w:rsidRPr="009A58EC" w:rsidRDefault="0076075F" w:rsidP="00614A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6075F" w:rsidRPr="009A58EC" w:rsidRDefault="0076075F" w:rsidP="00E54AF5">
      <w:pPr>
        <w:pStyle w:val="BodyText"/>
        <w:spacing w:after="0"/>
      </w:pPr>
    </w:p>
    <w:p w:rsidR="0076075F" w:rsidRPr="009A58EC" w:rsidRDefault="0076075F" w:rsidP="00C10AFE">
      <w:pPr>
        <w:pStyle w:val="BodyText"/>
        <w:spacing w:after="0"/>
        <w:jc w:val="center"/>
        <w:rPr>
          <w:b/>
        </w:rPr>
      </w:pPr>
      <w:r w:rsidRPr="009A58EC">
        <w:rPr>
          <w:b/>
        </w:rPr>
        <w:t>REFERENCES</w:t>
      </w:r>
    </w:p>
    <w:p w:rsidR="0076075F" w:rsidRPr="009A58EC" w:rsidRDefault="0076075F" w:rsidP="00C10AFE">
      <w:pPr>
        <w:pStyle w:val="BodyText"/>
        <w:spacing w:after="0"/>
        <w:jc w:val="center"/>
        <w:rPr>
          <w:b/>
        </w:rPr>
      </w:pPr>
    </w:p>
    <w:p w:rsidR="0076075F" w:rsidRPr="009A58EC" w:rsidRDefault="0076075F" w:rsidP="00BA0D97">
      <w:pPr>
        <w:pStyle w:val="BodyText"/>
        <w:ind w:left="630"/>
      </w:pPr>
      <w:r w:rsidRPr="009A58EC">
        <w:t xml:space="preserve">Beatty, P. (2004). The dynamics of cognitive interviewing. In S. Presser, J. Rothgeb, M. Couper, J. Lessler, E. Martin, J. Martin, and E. Singer (Eds.), Methods for Testing and Evaluating Survey Questionnaires (pp. 45-66). </w:t>
      </w:r>
      <w:smartTag w:uri="urn:schemas-microsoft-com:office:smarttags" w:element="State">
        <w:smartTag w:uri="urn:schemas-microsoft-com:office:smarttags" w:element="place">
          <w:r w:rsidRPr="009A58EC">
            <w:t>New York</w:t>
          </w:r>
        </w:smartTag>
      </w:smartTag>
      <w:r w:rsidRPr="009A58EC">
        <w:t>: John Wiley &amp; Sons.</w:t>
      </w:r>
    </w:p>
    <w:p w:rsidR="0076075F" w:rsidRPr="009A58EC" w:rsidRDefault="0076075F" w:rsidP="00BA0D97">
      <w:pPr>
        <w:pStyle w:val="BodyText"/>
        <w:ind w:left="630"/>
      </w:pPr>
    </w:p>
    <w:p w:rsidR="0076075F" w:rsidRPr="009A58EC" w:rsidRDefault="0076075F" w:rsidP="006F6C7D">
      <w:pPr>
        <w:pStyle w:val="BodyText"/>
        <w:ind w:left="630"/>
      </w:pPr>
      <w:r w:rsidRPr="009A58EC">
        <w:t xml:space="preserve">Forsyth, B.H. and Lessler, J.T.  (1991) Cognitive Laboratory Methods:  A Taxonomy.  In Measurement Error in Surveys.  P.P Biemer, </w:t>
      </w:r>
      <w:smartTag w:uri="urn:schemas-microsoft-com:office:smarttags" w:element="PlaceName">
        <w:smartTag w:uri="urn:schemas-microsoft-com:office:smarttags" w:element="place">
          <w:r w:rsidRPr="009A58EC">
            <w:t>R.M.</w:t>
          </w:r>
        </w:smartTag>
        <w:r w:rsidRPr="009A58EC">
          <w:t xml:space="preserve"> </w:t>
        </w:r>
        <w:smartTag w:uri="urn:schemas-microsoft-com:office:smarttags" w:element="PlaceType">
          <w:r w:rsidRPr="009A58EC">
            <w:t>Groves</w:t>
          </w:r>
        </w:smartTag>
      </w:smartTag>
      <w:r w:rsidRPr="009A58EC">
        <w:t xml:space="preserve">, L.E. Lyberg, N.A. Mathiowitz and S. Sudman (eds).  </w:t>
      </w:r>
      <w:smartTag w:uri="urn:schemas-microsoft-com:office:smarttags" w:element="place">
        <w:smartTag w:uri="urn:schemas-microsoft-com:office:smarttags" w:element="State">
          <w:r w:rsidRPr="009A58EC">
            <w:t>New York</w:t>
          </w:r>
        </w:smartTag>
      </w:smartTag>
      <w:r w:rsidRPr="009A58EC">
        <w:t xml:space="preserve">, Wiley, 393-418.    </w:t>
      </w:r>
    </w:p>
    <w:p w:rsidR="0076075F" w:rsidRPr="009A58EC" w:rsidRDefault="0076075F" w:rsidP="00BA0D97">
      <w:pPr>
        <w:pStyle w:val="BodyText"/>
        <w:spacing w:after="0"/>
      </w:pPr>
    </w:p>
    <w:p w:rsidR="0076075F" w:rsidRPr="009A4FE0" w:rsidRDefault="0076075F" w:rsidP="006F6C7D">
      <w:pPr>
        <w:pStyle w:val="BodyText"/>
        <w:spacing w:after="0"/>
        <w:ind w:left="630"/>
      </w:pPr>
      <w:r w:rsidRPr="009A58EC">
        <w:t xml:space="preserve">Willis, G. B. (2005). </w:t>
      </w:r>
      <w:r w:rsidRPr="009A58EC">
        <w:rPr>
          <w:i/>
        </w:rPr>
        <w:t>Cognitive Interviewing: A Tool for Improving Questionnaire Design</w:t>
      </w:r>
      <w:r w:rsidRPr="009A58EC">
        <w:t xml:space="preserve"> (p. 144). Sage Publications, Inc.: </w:t>
      </w:r>
      <w:smartTag w:uri="urn:schemas-microsoft-com:office:smarttags" w:element="place">
        <w:smartTag w:uri="urn:schemas-microsoft-com:office:smarttags" w:element="City">
          <w:r w:rsidRPr="009A58EC">
            <w:t>Thousand Oaks</w:t>
          </w:r>
        </w:smartTag>
        <w:r w:rsidRPr="009A58EC">
          <w:t xml:space="preserve">, </w:t>
        </w:r>
        <w:smartTag w:uri="urn:schemas-microsoft-com:office:smarttags" w:element="State">
          <w:r w:rsidRPr="009A58EC">
            <w:t>CA</w:t>
          </w:r>
        </w:smartTag>
      </w:smartTag>
      <w:r w:rsidRPr="009A58EC">
        <w:t>.</w:t>
      </w:r>
    </w:p>
    <w:p w:rsidR="0076075F" w:rsidRPr="00BA0D97" w:rsidRDefault="0076075F" w:rsidP="00BA0D97">
      <w:pPr>
        <w:pStyle w:val="BodyText"/>
        <w:ind w:left="630"/>
        <w:rPr>
          <w:b/>
        </w:rPr>
      </w:pPr>
    </w:p>
    <w:p w:rsidR="0076075F" w:rsidRPr="00C10AFE" w:rsidRDefault="0076075F" w:rsidP="00BA0D97">
      <w:pPr>
        <w:pStyle w:val="BodyText"/>
        <w:ind w:left="630"/>
      </w:pPr>
    </w:p>
    <w:sectPr w:rsidR="0076075F" w:rsidRPr="00C10AFE" w:rsidSect="007E1AB2">
      <w:footerReference w:type="even" r:id="rId7"/>
      <w:footerReference w:type="default" r:id="rId8"/>
      <w:pgSz w:w="12240" w:h="15840"/>
      <w:pgMar w:top="1152" w:right="1440" w:bottom="720" w:left="1152" w:header="1152"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75F" w:rsidRDefault="0076075F">
      <w:r>
        <w:separator/>
      </w:r>
    </w:p>
  </w:endnote>
  <w:endnote w:type="continuationSeparator" w:id="1">
    <w:p w:rsidR="0076075F" w:rsidRDefault="0076075F">
      <w:r>
        <w:continuationSeparator/>
      </w:r>
    </w:p>
  </w:endnote>
</w:endnotes>
</file>

<file path=word/fontTable.xml><?xml version="1.0" encoding="utf-8"?>
<w:fonts xmlns:r="http://schemas.openxmlformats.org/officeDocument/2006/relationships" xmlns:w="http://schemas.openxmlformats.org/wordprocessingml/2006/main">
  <w:font w:name="GoudyOlSt BT">
    <w:panose1 w:val="02020502050305020303"/>
    <w:charset w:val="00"/>
    <w:family w:val="roman"/>
    <w:pitch w:val="variable"/>
    <w:sig w:usb0="00000087" w:usb1="00000000" w:usb2="00000000" w:usb3="00000000" w:csb0="0000001B"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Narrow">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75F" w:rsidRDefault="0076075F" w:rsidP="007E1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075F" w:rsidRDefault="0076075F" w:rsidP="007E1AB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75F" w:rsidRDefault="0076075F">
    <w:pPr>
      <w:spacing w:line="240" w:lineRule="exact"/>
    </w:pPr>
  </w:p>
  <w:p w:rsidR="0076075F" w:rsidRDefault="0076075F" w:rsidP="007E1AB2">
    <w:pPr>
      <w:framePr w:wrap="around" w:vAnchor="text" w:hAnchor="margin" w:xAlign="center" w:y="1"/>
      <w:jc w:val="center"/>
    </w:pPr>
    <w:fldSimple w:instr="PAGE ">
      <w:r>
        <w:rPr>
          <w:noProof/>
        </w:rPr>
        <w:t>3</w:t>
      </w:r>
    </w:fldSimple>
  </w:p>
  <w:p w:rsidR="0076075F" w:rsidRDefault="0076075F" w:rsidP="007E1AB2">
    <w:pPr>
      <w:ind w:left="288"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75F" w:rsidRDefault="0076075F">
      <w:r>
        <w:separator/>
      </w:r>
    </w:p>
  </w:footnote>
  <w:footnote w:type="continuationSeparator" w:id="1">
    <w:p w:rsidR="0076075F" w:rsidRDefault="007607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CG Times"/>
        <w:sz w:val="24"/>
        <w:szCs w:val="24"/>
      </w:rPr>
    </w:lvl>
  </w:abstractNum>
  <w:abstractNum w:abstractNumId="1">
    <w:nsid w:val="00000002"/>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000003"/>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
    <w:nsid w:val="00000004"/>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64D64EB"/>
    <w:multiLevelType w:val="hybridMultilevel"/>
    <w:tmpl w:val="BCA81D72"/>
    <w:lvl w:ilvl="0" w:tplc="04090001">
      <w:start w:val="1"/>
      <w:numFmt w:val="bullet"/>
      <w:lvlText w:val=""/>
      <w:lvlJc w:val="left"/>
      <w:pPr>
        <w:tabs>
          <w:tab w:val="num" w:pos="1440"/>
        </w:tabs>
        <w:ind w:left="1440" w:hanging="360"/>
      </w:pPr>
      <w:rPr>
        <w:rFonts w:ascii="Symbol" w:hAnsi="Symbol" w:hint="default"/>
      </w:rPr>
    </w:lvl>
    <w:lvl w:ilvl="1" w:tplc="69B0F956">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8C75DA4"/>
    <w:multiLevelType w:val="hybridMultilevel"/>
    <w:tmpl w:val="4EBE6116"/>
    <w:lvl w:ilvl="0" w:tplc="1136C392">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A5A4DDA"/>
    <w:multiLevelType w:val="hybridMultilevel"/>
    <w:tmpl w:val="3DB6CEC2"/>
    <w:lvl w:ilvl="0" w:tplc="780842DC">
      <w:start w:val="1"/>
      <w:numFmt w:val="bullet"/>
      <w:lvlText w:val=""/>
      <w:lvlJc w:val="left"/>
      <w:pPr>
        <w:tabs>
          <w:tab w:val="num" w:pos="1440"/>
        </w:tabs>
        <w:ind w:left="1440" w:hanging="360"/>
      </w:pPr>
      <w:rPr>
        <w:rFonts w:ascii="Symbol" w:hAnsi="Symbol" w:hint="default"/>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DF239E6"/>
    <w:multiLevelType w:val="hybridMultilevel"/>
    <w:tmpl w:val="E54E6A6E"/>
    <w:lvl w:ilvl="0" w:tplc="75280F6C">
      <w:start w:val="3"/>
      <w:numFmt w:val="decimal"/>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ABF3F26"/>
    <w:multiLevelType w:val="hybridMultilevel"/>
    <w:tmpl w:val="AACA76BC"/>
    <w:lvl w:ilvl="0" w:tplc="04090001">
      <w:start w:val="1"/>
      <w:numFmt w:val="bullet"/>
      <w:lvlText w:val=""/>
      <w:lvlJc w:val="left"/>
      <w:pPr>
        <w:tabs>
          <w:tab w:val="num" w:pos="1440"/>
        </w:tabs>
        <w:ind w:left="1440" w:hanging="360"/>
      </w:pPr>
      <w:rPr>
        <w:rFonts w:ascii="Symbol" w:hAnsi="Symbol" w:hint="default"/>
      </w:rPr>
    </w:lvl>
    <w:lvl w:ilvl="1" w:tplc="58A4E492">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C8C64DD"/>
    <w:multiLevelType w:val="hybridMultilevel"/>
    <w:tmpl w:val="80B63C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0CD0022"/>
    <w:multiLevelType w:val="hybridMultilevel"/>
    <w:tmpl w:val="73502F36"/>
    <w:lvl w:ilvl="0" w:tplc="9620BF88">
      <w:start w:val="11"/>
      <w:numFmt w:val="decimal"/>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79955B8"/>
    <w:multiLevelType w:val="hybridMultilevel"/>
    <w:tmpl w:val="5F06C4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BE95711"/>
    <w:multiLevelType w:val="hybridMultilevel"/>
    <w:tmpl w:val="0492B3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04C0B63"/>
    <w:multiLevelType w:val="hybridMultilevel"/>
    <w:tmpl w:val="94B6AD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6116123"/>
    <w:multiLevelType w:val="hybridMultilevel"/>
    <w:tmpl w:val="DB9458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ACC606C"/>
    <w:multiLevelType w:val="hybridMultilevel"/>
    <w:tmpl w:val="B50E50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2492580"/>
    <w:multiLevelType w:val="hybridMultilevel"/>
    <w:tmpl w:val="AC1AD7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BDC03D3"/>
    <w:multiLevelType w:val="hybridMultilevel"/>
    <w:tmpl w:val="7398F422"/>
    <w:lvl w:ilvl="0" w:tplc="512802C2">
      <w:start w:val="1"/>
      <w:numFmt w:val="bullet"/>
      <w:lvlText w:val=""/>
      <w:lvlJc w:val="left"/>
      <w:pPr>
        <w:tabs>
          <w:tab w:val="num" w:pos="1440"/>
        </w:tabs>
        <w:ind w:left="144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1C3646E"/>
    <w:multiLevelType w:val="hybridMultilevel"/>
    <w:tmpl w:val="1C5EBF36"/>
    <w:lvl w:ilvl="0" w:tplc="0EA40E6C">
      <w:start w:val="12"/>
      <w:numFmt w:val="bullet"/>
      <w:pStyle w:val="bullet"/>
      <w:lvlText w:val=""/>
      <w:lvlJc w:val="left"/>
      <w:pPr>
        <w:tabs>
          <w:tab w:val="num" w:pos="1440"/>
        </w:tabs>
        <w:ind w:left="1440" w:hanging="72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5C5416E"/>
    <w:multiLevelType w:val="hybridMultilevel"/>
    <w:tmpl w:val="1A7E92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596F4375"/>
    <w:multiLevelType w:val="hybridMultilevel"/>
    <w:tmpl w:val="2C88E8A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B19199C"/>
    <w:multiLevelType w:val="hybridMultilevel"/>
    <w:tmpl w:val="4A74BA90"/>
    <w:lvl w:ilvl="0" w:tplc="04090001">
      <w:start w:val="1"/>
      <w:numFmt w:val="bullet"/>
      <w:lvlText w:val=""/>
      <w:lvlJc w:val="left"/>
      <w:pPr>
        <w:tabs>
          <w:tab w:val="num" w:pos="1440"/>
        </w:tabs>
        <w:ind w:left="1440" w:hanging="360"/>
      </w:pPr>
      <w:rPr>
        <w:rFonts w:ascii="Symbol" w:hAnsi="Symbol" w:hint="default"/>
      </w:rPr>
    </w:lvl>
    <w:lvl w:ilvl="1" w:tplc="58A4E492">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02B2359"/>
    <w:multiLevelType w:val="hybridMultilevel"/>
    <w:tmpl w:val="F280D882"/>
    <w:lvl w:ilvl="0" w:tplc="35DA4442">
      <w:start w:val="12"/>
      <w:numFmt w:val="bullet"/>
      <w:lvlText w:val=""/>
      <w:lvlJc w:val="left"/>
      <w:pPr>
        <w:tabs>
          <w:tab w:val="num" w:pos="1440"/>
        </w:tabs>
        <w:ind w:left="1440" w:hanging="720"/>
      </w:pPr>
      <w:rPr>
        <w:rFonts w:ascii="Symbol" w:eastAsia="Times New Roman" w:hAnsi="Symbol" w:hint="default"/>
      </w:rPr>
    </w:lvl>
    <w:lvl w:ilvl="1" w:tplc="90B870A6">
      <w:start w:val="1"/>
      <w:numFmt w:val="bullet"/>
      <w:pStyle w:val="2ndlevelbullet"/>
      <w:lvlText w:val=""/>
      <w:lvlJc w:val="left"/>
      <w:pPr>
        <w:tabs>
          <w:tab w:val="num" w:pos="2160"/>
        </w:tabs>
        <w:ind w:left="2160" w:hanging="72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DAF1A66"/>
    <w:multiLevelType w:val="hybridMultilevel"/>
    <w:tmpl w:val="C68EC4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7E01996"/>
    <w:multiLevelType w:val="hybridMultilevel"/>
    <w:tmpl w:val="A16C3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8"/>
  </w:num>
  <w:num w:numId="3">
    <w:abstractNumId w:val="11"/>
  </w:num>
  <w:num w:numId="4">
    <w:abstractNumId w:val="19"/>
  </w:num>
  <w:num w:numId="5">
    <w:abstractNumId w:val="6"/>
  </w:num>
  <w:num w:numId="6">
    <w:abstractNumId w:val="9"/>
  </w:num>
  <w:num w:numId="7">
    <w:abstractNumId w:val="14"/>
  </w:num>
  <w:num w:numId="8">
    <w:abstractNumId w:val="15"/>
  </w:num>
  <w:num w:numId="9">
    <w:abstractNumId w:val="20"/>
  </w:num>
  <w:num w:numId="10">
    <w:abstractNumId w:val="4"/>
  </w:num>
  <w:num w:numId="11">
    <w:abstractNumId w:val="13"/>
  </w:num>
  <w:num w:numId="12">
    <w:abstractNumId w:val="23"/>
  </w:num>
  <w:num w:numId="13">
    <w:abstractNumId w:val="8"/>
  </w:num>
  <w:num w:numId="14">
    <w:abstractNumId w:val="21"/>
  </w:num>
  <w:num w:numId="15">
    <w:abstractNumId w:val="17"/>
  </w:num>
  <w:num w:numId="16">
    <w:abstractNumId w:val="12"/>
  </w:num>
  <w:num w:numId="17">
    <w:abstractNumId w:val="16"/>
  </w:num>
  <w:num w:numId="18">
    <w:abstractNumId w:val="5"/>
  </w:num>
  <w:num w:numId="19">
    <w:abstractNumId w:val="7"/>
  </w:num>
  <w:num w:numId="20">
    <w:abstractNumId w:val="10"/>
  </w:num>
  <w:num w:numId="2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stylePaneFormatFilter w:val="1F08"/>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3D27"/>
    <w:rsid w:val="00000532"/>
    <w:rsid w:val="000125D1"/>
    <w:rsid w:val="00014FDB"/>
    <w:rsid w:val="0002319E"/>
    <w:rsid w:val="00032AE0"/>
    <w:rsid w:val="00033A6D"/>
    <w:rsid w:val="00034741"/>
    <w:rsid w:val="00034E65"/>
    <w:rsid w:val="00041121"/>
    <w:rsid w:val="00044452"/>
    <w:rsid w:val="00052829"/>
    <w:rsid w:val="0006152F"/>
    <w:rsid w:val="00063BE6"/>
    <w:rsid w:val="00066FBC"/>
    <w:rsid w:val="00066FC4"/>
    <w:rsid w:val="0007304C"/>
    <w:rsid w:val="0007377C"/>
    <w:rsid w:val="00075BE5"/>
    <w:rsid w:val="000801D0"/>
    <w:rsid w:val="00084C3B"/>
    <w:rsid w:val="00085DDD"/>
    <w:rsid w:val="00085F16"/>
    <w:rsid w:val="00092EA9"/>
    <w:rsid w:val="00095041"/>
    <w:rsid w:val="000A0C0C"/>
    <w:rsid w:val="000A0CD5"/>
    <w:rsid w:val="000A3852"/>
    <w:rsid w:val="000B050F"/>
    <w:rsid w:val="000B1042"/>
    <w:rsid w:val="000B506D"/>
    <w:rsid w:val="000B52F4"/>
    <w:rsid w:val="000C1E13"/>
    <w:rsid w:val="000C6279"/>
    <w:rsid w:val="000C6BEE"/>
    <w:rsid w:val="000D38D5"/>
    <w:rsid w:val="000D3A37"/>
    <w:rsid w:val="000E4594"/>
    <w:rsid w:val="000E4C90"/>
    <w:rsid w:val="000E755D"/>
    <w:rsid w:val="00101F9A"/>
    <w:rsid w:val="0010255E"/>
    <w:rsid w:val="001057B1"/>
    <w:rsid w:val="00105E9C"/>
    <w:rsid w:val="00131DC9"/>
    <w:rsid w:val="001330E6"/>
    <w:rsid w:val="001356AE"/>
    <w:rsid w:val="001379A3"/>
    <w:rsid w:val="00144412"/>
    <w:rsid w:val="001455FF"/>
    <w:rsid w:val="00153218"/>
    <w:rsid w:val="001615C3"/>
    <w:rsid w:val="00176DBE"/>
    <w:rsid w:val="001842EC"/>
    <w:rsid w:val="001A1192"/>
    <w:rsid w:val="001B182A"/>
    <w:rsid w:val="001B3B51"/>
    <w:rsid w:val="001B3FAE"/>
    <w:rsid w:val="001B68D3"/>
    <w:rsid w:val="001E00D3"/>
    <w:rsid w:val="001E10E8"/>
    <w:rsid w:val="001E6862"/>
    <w:rsid w:val="001E72A0"/>
    <w:rsid w:val="001E7314"/>
    <w:rsid w:val="001F1EFC"/>
    <w:rsid w:val="001F3A5D"/>
    <w:rsid w:val="0020632F"/>
    <w:rsid w:val="00213CA4"/>
    <w:rsid w:val="00217344"/>
    <w:rsid w:val="00221772"/>
    <w:rsid w:val="00221A2A"/>
    <w:rsid w:val="00222594"/>
    <w:rsid w:val="002239AE"/>
    <w:rsid w:val="00223DF1"/>
    <w:rsid w:val="00235CF2"/>
    <w:rsid w:val="00235EB3"/>
    <w:rsid w:val="002365FC"/>
    <w:rsid w:val="002378CB"/>
    <w:rsid w:val="00240A2F"/>
    <w:rsid w:val="00245628"/>
    <w:rsid w:val="002479A6"/>
    <w:rsid w:val="00254495"/>
    <w:rsid w:val="00254AA5"/>
    <w:rsid w:val="00257A5E"/>
    <w:rsid w:val="00260827"/>
    <w:rsid w:val="002626DF"/>
    <w:rsid w:val="002657D4"/>
    <w:rsid w:val="002805C0"/>
    <w:rsid w:val="00283BF5"/>
    <w:rsid w:val="002856FA"/>
    <w:rsid w:val="00291E82"/>
    <w:rsid w:val="00293562"/>
    <w:rsid w:val="002976D4"/>
    <w:rsid w:val="00297A55"/>
    <w:rsid w:val="002A08C5"/>
    <w:rsid w:val="002A1392"/>
    <w:rsid w:val="002A6A96"/>
    <w:rsid w:val="002B0DEA"/>
    <w:rsid w:val="002B0DEE"/>
    <w:rsid w:val="002B3D60"/>
    <w:rsid w:val="002C5613"/>
    <w:rsid w:val="002C686A"/>
    <w:rsid w:val="002C7CD8"/>
    <w:rsid w:val="002D606B"/>
    <w:rsid w:val="002D692E"/>
    <w:rsid w:val="002E46E8"/>
    <w:rsid w:val="002F3425"/>
    <w:rsid w:val="002F6C88"/>
    <w:rsid w:val="0030223A"/>
    <w:rsid w:val="00305E3F"/>
    <w:rsid w:val="0030621D"/>
    <w:rsid w:val="00307315"/>
    <w:rsid w:val="00312923"/>
    <w:rsid w:val="003129E6"/>
    <w:rsid w:val="0032235E"/>
    <w:rsid w:val="00322804"/>
    <w:rsid w:val="00327566"/>
    <w:rsid w:val="003322A4"/>
    <w:rsid w:val="00333FA2"/>
    <w:rsid w:val="00336847"/>
    <w:rsid w:val="0033724B"/>
    <w:rsid w:val="00340393"/>
    <w:rsid w:val="0034182B"/>
    <w:rsid w:val="003431D4"/>
    <w:rsid w:val="00345C8F"/>
    <w:rsid w:val="00350846"/>
    <w:rsid w:val="003547C1"/>
    <w:rsid w:val="00354AAD"/>
    <w:rsid w:val="003560B4"/>
    <w:rsid w:val="0037768B"/>
    <w:rsid w:val="00381094"/>
    <w:rsid w:val="003836F2"/>
    <w:rsid w:val="00395362"/>
    <w:rsid w:val="003A1264"/>
    <w:rsid w:val="003A37B0"/>
    <w:rsid w:val="003A66ED"/>
    <w:rsid w:val="003B12EB"/>
    <w:rsid w:val="003B5AB5"/>
    <w:rsid w:val="003B6998"/>
    <w:rsid w:val="003C252D"/>
    <w:rsid w:val="003C722B"/>
    <w:rsid w:val="003D158D"/>
    <w:rsid w:val="003D7850"/>
    <w:rsid w:val="003E1A48"/>
    <w:rsid w:val="003E3545"/>
    <w:rsid w:val="003E4AA8"/>
    <w:rsid w:val="003E6E32"/>
    <w:rsid w:val="003F1C9E"/>
    <w:rsid w:val="003F458B"/>
    <w:rsid w:val="003F649B"/>
    <w:rsid w:val="00401ED5"/>
    <w:rsid w:val="00404C45"/>
    <w:rsid w:val="0041054B"/>
    <w:rsid w:val="00411B07"/>
    <w:rsid w:val="00413CD4"/>
    <w:rsid w:val="00420D1D"/>
    <w:rsid w:val="0043526F"/>
    <w:rsid w:val="00435373"/>
    <w:rsid w:val="00435EDD"/>
    <w:rsid w:val="00445D88"/>
    <w:rsid w:val="004475DD"/>
    <w:rsid w:val="0044786D"/>
    <w:rsid w:val="00453710"/>
    <w:rsid w:val="00454DFE"/>
    <w:rsid w:val="00456CC8"/>
    <w:rsid w:val="004668DD"/>
    <w:rsid w:val="00471AA4"/>
    <w:rsid w:val="00473D06"/>
    <w:rsid w:val="00491292"/>
    <w:rsid w:val="00493653"/>
    <w:rsid w:val="00497176"/>
    <w:rsid w:val="004A08B2"/>
    <w:rsid w:val="004A1515"/>
    <w:rsid w:val="004A25CA"/>
    <w:rsid w:val="004A55C9"/>
    <w:rsid w:val="004B5110"/>
    <w:rsid w:val="004B68FD"/>
    <w:rsid w:val="004C3B60"/>
    <w:rsid w:val="004D0CEA"/>
    <w:rsid w:val="004D5951"/>
    <w:rsid w:val="004E364A"/>
    <w:rsid w:val="004E442F"/>
    <w:rsid w:val="004F2AB5"/>
    <w:rsid w:val="00502543"/>
    <w:rsid w:val="00502D54"/>
    <w:rsid w:val="00504304"/>
    <w:rsid w:val="00507FF8"/>
    <w:rsid w:val="00522757"/>
    <w:rsid w:val="00526511"/>
    <w:rsid w:val="00527AF6"/>
    <w:rsid w:val="00533B42"/>
    <w:rsid w:val="00540E27"/>
    <w:rsid w:val="0054640D"/>
    <w:rsid w:val="0055201C"/>
    <w:rsid w:val="00553895"/>
    <w:rsid w:val="005557AB"/>
    <w:rsid w:val="00556DF2"/>
    <w:rsid w:val="005610F2"/>
    <w:rsid w:val="00570604"/>
    <w:rsid w:val="00572C6D"/>
    <w:rsid w:val="00574455"/>
    <w:rsid w:val="00575D8A"/>
    <w:rsid w:val="005842B0"/>
    <w:rsid w:val="00585313"/>
    <w:rsid w:val="00586283"/>
    <w:rsid w:val="00596500"/>
    <w:rsid w:val="005B0079"/>
    <w:rsid w:val="005B6041"/>
    <w:rsid w:val="005C26CB"/>
    <w:rsid w:val="005C3FBF"/>
    <w:rsid w:val="005D2D23"/>
    <w:rsid w:val="005D2F14"/>
    <w:rsid w:val="005E4BDE"/>
    <w:rsid w:val="005E514C"/>
    <w:rsid w:val="005E6E25"/>
    <w:rsid w:val="005E71F7"/>
    <w:rsid w:val="005F342E"/>
    <w:rsid w:val="006000FC"/>
    <w:rsid w:val="00601581"/>
    <w:rsid w:val="00607F2D"/>
    <w:rsid w:val="0061156B"/>
    <w:rsid w:val="00613C3A"/>
    <w:rsid w:val="00614A66"/>
    <w:rsid w:val="0062441D"/>
    <w:rsid w:val="00624FCC"/>
    <w:rsid w:val="00626C88"/>
    <w:rsid w:val="00631EF7"/>
    <w:rsid w:val="00635329"/>
    <w:rsid w:val="00637C96"/>
    <w:rsid w:val="006403B3"/>
    <w:rsid w:val="00640567"/>
    <w:rsid w:val="00651603"/>
    <w:rsid w:val="00652A96"/>
    <w:rsid w:val="00654510"/>
    <w:rsid w:val="00657D16"/>
    <w:rsid w:val="006642DE"/>
    <w:rsid w:val="006675B4"/>
    <w:rsid w:val="00667E26"/>
    <w:rsid w:val="0067065A"/>
    <w:rsid w:val="0067329A"/>
    <w:rsid w:val="00673A96"/>
    <w:rsid w:val="00677C4B"/>
    <w:rsid w:val="00680CDE"/>
    <w:rsid w:val="00681BA7"/>
    <w:rsid w:val="006821E1"/>
    <w:rsid w:val="0069076C"/>
    <w:rsid w:val="006978B1"/>
    <w:rsid w:val="006B1D32"/>
    <w:rsid w:val="006B529F"/>
    <w:rsid w:val="006B6927"/>
    <w:rsid w:val="006C4BD5"/>
    <w:rsid w:val="006F236B"/>
    <w:rsid w:val="006F258A"/>
    <w:rsid w:val="006F4DA2"/>
    <w:rsid w:val="006F6C7D"/>
    <w:rsid w:val="006F6DF9"/>
    <w:rsid w:val="00701C61"/>
    <w:rsid w:val="00712724"/>
    <w:rsid w:val="0071550D"/>
    <w:rsid w:val="007221F0"/>
    <w:rsid w:val="00722627"/>
    <w:rsid w:val="007243EA"/>
    <w:rsid w:val="007247B4"/>
    <w:rsid w:val="007326B1"/>
    <w:rsid w:val="00733B13"/>
    <w:rsid w:val="00740A9D"/>
    <w:rsid w:val="0076075F"/>
    <w:rsid w:val="00762ED8"/>
    <w:rsid w:val="0076747F"/>
    <w:rsid w:val="00771C85"/>
    <w:rsid w:val="00773D27"/>
    <w:rsid w:val="00774774"/>
    <w:rsid w:val="0078079D"/>
    <w:rsid w:val="007832CF"/>
    <w:rsid w:val="00785F35"/>
    <w:rsid w:val="00793415"/>
    <w:rsid w:val="00793533"/>
    <w:rsid w:val="00793A3B"/>
    <w:rsid w:val="007943FB"/>
    <w:rsid w:val="007969E5"/>
    <w:rsid w:val="00797D53"/>
    <w:rsid w:val="007A044E"/>
    <w:rsid w:val="007A65FC"/>
    <w:rsid w:val="007B0C33"/>
    <w:rsid w:val="007B29AF"/>
    <w:rsid w:val="007C5090"/>
    <w:rsid w:val="007C708E"/>
    <w:rsid w:val="007D08CE"/>
    <w:rsid w:val="007D309C"/>
    <w:rsid w:val="007D5A4C"/>
    <w:rsid w:val="007D6903"/>
    <w:rsid w:val="007E1AB2"/>
    <w:rsid w:val="007E3BA8"/>
    <w:rsid w:val="007E6D95"/>
    <w:rsid w:val="007F611C"/>
    <w:rsid w:val="007F6382"/>
    <w:rsid w:val="0080465A"/>
    <w:rsid w:val="00807383"/>
    <w:rsid w:val="008136E0"/>
    <w:rsid w:val="00814E13"/>
    <w:rsid w:val="00815DE8"/>
    <w:rsid w:val="008210D8"/>
    <w:rsid w:val="00821AB2"/>
    <w:rsid w:val="00830A77"/>
    <w:rsid w:val="00834F40"/>
    <w:rsid w:val="00835512"/>
    <w:rsid w:val="00842B61"/>
    <w:rsid w:val="00843A2C"/>
    <w:rsid w:val="0084549D"/>
    <w:rsid w:val="00847B6C"/>
    <w:rsid w:val="00852147"/>
    <w:rsid w:val="00860E98"/>
    <w:rsid w:val="00861C46"/>
    <w:rsid w:val="008638F8"/>
    <w:rsid w:val="00865E12"/>
    <w:rsid w:val="00866630"/>
    <w:rsid w:val="00867554"/>
    <w:rsid w:val="00876EA5"/>
    <w:rsid w:val="008909D6"/>
    <w:rsid w:val="00891EB2"/>
    <w:rsid w:val="008935C8"/>
    <w:rsid w:val="00894DE4"/>
    <w:rsid w:val="00895C57"/>
    <w:rsid w:val="00896E88"/>
    <w:rsid w:val="008A2A27"/>
    <w:rsid w:val="008B0333"/>
    <w:rsid w:val="008B0D62"/>
    <w:rsid w:val="008B63CE"/>
    <w:rsid w:val="008C3C7C"/>
    <w:rsid w:val="008C45A2"/>
    <w:rsid w:val="008D0683"/>
    <w:rsid w:val="008D4B2C"/>
    <w:rsid w:val="008D526D"/>
    <w:rsid w:val="008E0693"/>
    <w:rsid w:val="008E45E7"/>
    <w:rsid w:val="009025E4"/>
    <w:rsid w:val="009126AE"/>
    <w:rsid w:val="00912F2B"/>
    <w:rsid w:val="00913D95"/>
    <w:rsid w:val="00914BA2"/>
    <w:rsid w:val="009203D1"/>
    <w:rsid w:val="00924C21"/>
    <w:rsid w:val="0092517C"/>
    <w:rsid w:val="009256EF"/>
    <w:rsid w:val="009312B8"/>
    <w:rsid w:val="009331A3"/>
    <w:rsid w:val="00950EC5"/>
    <w:rsid w:val="0097519C"/>
    <w:rsid w:val="009835C8"/>
    <w:rsid w:val="00983EB7"/>
    <w:rsid w:val="009849C9"/>
    <w:rsid w:val="00984D39"/>
    <w:rsid w:val="00997436"/>
    <w:rsid w:val="009A4FE0"/>
    <w:rsid w:val="009A58EC"/>
    <w:rsid w:val="009B2BCE"/>
    <w:rsid w:val="009C0C46"/>
    <w:rsid w:val="009C14C4"/>
    <w:rsid w:val="009C7219"/>
    <w:rsid w:val="009D1C10"/>
    <w:rsid w:val="009D397C"/>
    <w:rsid w:val="009D7188"/>
    <w:rsid w:val="009E21B3"/>
    <w:rsid w:val="009E3570"/>
    <w:rsid w:val="00A00AB3"/>
    <w:rsid w:val="00A05337"/>
    <w:rsid w:val="00A05DD1"/>
    <w:rsid w:val="00A07E5D"/>
    <w:rsid w:val="00A1003D"/>
    <w:rsid w:val="00A11A5E"/>
    <w:rsid w:val="00A17C47"/>
    <w:rsid w:val="00A240B2"/>
    <w:rsid w:val="00A2639D"/>
    <w:rsid w:val="00A40A26"/>
    <w:rsid w:val="00A42E54"/>
    <w:rsid w:val="00A458F0"/>
    <w:rsid w:val="00A5203B"/>
    <w:rsid w:val="00A521A4"/>
    <w:rsid w:val="00A52D68"/>
    <w:rsid w:val="00A659EC"/>
    <w:rsid w:val="00A75873"/>
    <w:rsid w:val="00A77E7C"/>
    <w:rsid w:val="00A93C7A"/>
    <w:rsid w:val="00A95F3A"/>
    <w:rsid w:val="00AB0F02"/>
    <w:rsid w:val="00AB6F5A"/>
    <w:rsid w:val="00AC6880"/>
    <w:rsid w:val="00AC6A60"/>
    <w:rsid w:val="00AD20E6"/>
    <w:rsid w:val="00AD5F87"/>
    <w:rsid w:val="00AD68BF"/>
    <w:rsid w:val="00AD7E14"/>
    <w:rsid w:val="00AE60B2"/>
    <w:rsid w:val="00AF6B85"/>
    <w:rsid w:val="00B05D10"/>
    <w:rsid w:val="00B0662A"/>
    <w:rsid w:val="00B121E0"/>
    <w:rsid w:val="00B12F09"/>
    <w:rsid w:val="00B1520F"/>
    <w:rsid w:val="00B17E74"/>
    <w:rsid w:val="00B36974"/>
    <w:rsid w:val="00B427ED"/>
    <w:rsid w:val="00B43DCD"/>
    <w:rsid w:val="00B476FF"/>
    <w:rsid w:val="00B512EF"/>
    <w:rsid w:val="00B51D9B"/>
    <w:rsid w:val="00B54558"/>
    <w:rsid w:val="00B61E8E"/>
    <w:rsid w:val="00B632DB"/>
    <w:rsid w:val="00B6534F"/>
    <w:rsid w:val="00B65EEF"/>
    <w:rsid w:val="00B66B30"/>
    <w:rsid w:val="00B74B9D"/>
    <w:rsid w:val="00B76F8F"/>
    <w:rsid w:val="00B913EA"/>
    <w:rsid w:val="00B916D1"/>
    <w:rsid w:val="00B97D6D"/>
    <w:rsid w:val="00BA0D97"/>
    <w:rsid w:val="00BA75D5"/>
    <w:rsid w:val="00BB11FB"/>
    <w:rsid w:val="00BB2139"/>
    <w:rsid w:val="00BB38DB"/>
    <w:rsid w:val="00BC3A01"/>
    <w:rsid w:val="00BD2788"/>
    <w:rsid w:val="00BD5BDA"/>
    <w:rsid w:val="00BE68B9"/>
    <w:rsid w:val="00BE7E7A"/>
    <w:rsid w:val="00BF0EAF"/>
    <w:rsid w:val="00C02B3D"/>
    <w:rsid w:val="00C04DF3"/>
    <w:rsid w:val="00C05544"/>
    <w:rsid w:val="00C074C5"/>
    <w:rsid w:val="00C10AFE"/>
    <w:rsid w:val="00C117D3"/>
    <w:rsid w:val="00C23973"/>
    <w:rsid w:val="00C31612"/>
    <w:rsid w:val="00C426DE"/>
    <w:rsid w:val="00C42FBF"/>
    <w:rsid w:val="00C474C6"/>
    <w:rsid w:val="00C52A0C"/>
    <w:rsid w:val="00C6131B"/>
    <w:rsid w:val="00C67C56"/>
    <w:rsid w:val="00C70128"/>
    <w:rsid w:val="00C70E46"/>
    <w:rsid w:val="00C7533C"/>
    <w:rsid w:val="00C76547"/>
    <w:rsid w:val="00C80BCA"/>
    <w:rsid w:val="00C848C0"/>
    <w:rsid w:val="00C87CEE"/>
    <w:rsid w:val="00C902BE"/>
    <w:rsid w:val="00C945BD"/>
    <w:rsid w:val="00C9558A"/>
    <w:rsid w:val="00C9574C"/>
    <w:rsid w:val="00CA5C00"/>
    <w:rsid w:val="00CC0811"/>
    <w:rsid w:val="00CC6ACC"/>
    <w:rsid w:val="00CC7815"/>
    <w:rsid w:val="00CE6E22"/>
    <w:rsid w:val="00D1009C"/>
    <w:rsid w:val="00D1032B"/>
    <w:rsid w:val="00D13AC2"/>
    <w:rsid w:val="00D22449"/>
    <w:rsid w:val="00D224CA"/>
    <w:rsid w:val="00D316EA"/>
    <w:rsid w:val="00D376A9"/>
    <w:rsid w:val="00D402A9"/>
    <w:rsid w:val="00D541A5"/>
    <w:rsid w:val="00D56CB9"/>
    <w:rsid w:val="00D630F7"/>
    <w:rsid w:val="00D71B5D"/>
    <w:rsid w:val="00D72EA2"/>
    <w:rsid w:val="00D774D4"/>
    <w:rsid w:val="00D83537"/>
    <w:rsid w:val="00D85279"/>
    <w:rsid w:val="00D90BF3"/>
    <w:rsid w:val="00D92996"/>
    <w:rsid w:val="00DA19AF"/>
    <w:rsid w:val="00DA6815"/>
    <w:rsid w:val="00DA6A7F"/>
    <w:rsid w:val="00DD3118"/>
    <w:rsid w:val="00DD4068"/>
    <w:rsid w:val="00DD5005"/>
    <w:rsid w:val="00DE3AC5"/>
    <w:rsid w:val="00DE4B9E"/>
    <w:rsid w:val="00DE6475"/>
    <w:rsid w:val="00DF1485"/>
    <w:rsid w:val="00DF6B17"/>
    <w:rsid w:val="00DF7BD7"/>
    <w:rsid w:val="00E116CE"/>
    <w:rsid w:val="00E12D2D"/>
    <w:rsid w:val="00E12F4A"/>
    <w:rsid w:val="00E216CE"/>
    <w:rsid w:val="00E24320"/>
    <w:rsid w:val="00E26638"/>
    <w:rsid w:val="00E26F78"/>
    <w:rsid w:val="00E30073"/>
    <w:rsid w:val="00E35D8A"/>
    <w:rsid w:val="00E43E3C"/>
    <w:rsid w:val="00E51C14"/>
    <w:rsid w:val="00E54AF5"/>
    <w:rsid w:val="00E54DAD"/>
    <w:rsid w:val="00E57272"/>
    <w:rsid w:val="00E622C3"/>
    <w:rsid w:val="00E636EE"/>
    <w:rsid w:val="00E67CD4"/>
    <w:rsid w:val="00E72A4A"/>
    <w:rsid w:val="00E75EED"/>
    <w:rsid w:val="00E76DC4"/>
    <w:rsid w:val="00E804BC"/>
    <w:rsid w:val="00E8479D"/>
    <w:rsid w:val="00E866CC"/>
    <w:rsid w:val="00E95C05"/>
    <w:rsid w:val="00EA0117"/>
    <w:rsid w:val="00EA497D"/>
    <w:rsid w:val="00EB04A6"/>
    <w:rsid w:val="00EB129F"/>
    <w:rsid w:val="00EB58D3"/>
    <w:rsid w:val="00EC08F1"/>
    <w:rsid w:val="00EC3B49"/>
    <w:rsid w:val="00EC54C2"/>
    <w:rsid w:val="00ED3870"/>
    <w:rsid w:val="00EE267F"/>
    <w:rsid w:val="00EF1533"/>
    <w:rsid w:val="00EF5002"/>
    <w:rsid w:val="00EF52CE"/>
    <w:rsid w:val="00F00C88"/>
    <w:rsid w:val="00F06947"/>
    <w:rsid w:val="00F13719"/>
    <w:rsid w:val="00F14BF3"/>
    <w:rsid w:val="00F20B86"/>
    <w:rsid w:val="00F26CC4"/>
    <w:rsid w:val="00F279DD"/>
    <w:rsid w:val="00F31763"/>
    <w:rsid w:val="00F411A9"/>
    <w:rsid w:val="00F45565"/>
    <w:rsid w:val="00F475B5"/>
    <w:rsid w:val="00F50A84"/>
    <w:rsid w:val="00F532EC"/>
    <w:rsid w:val="00F6053A"/>
    <w:rsid w:val="00F61AD7"/>
    <w:rsid w:val="00F75FEC"/>
    <w:rsid w:val="00F84861"/>
    <w:rsid w:val="00F93A0A"/>
    <w:rsid w:val="00FA586A"/>
    <w:rsid w:val="00FB0E6E"/>
    <w:rsid w:val="00FC33D5"/>
    <w:rsid w:val="00FC36E0"/>
    <w:rsid w:val="00FC4697"/>
    <w:rsid w:val="00FC4CCB"/>
    <w:rsid w:val="00FC6794"/>
    <w:rsid w:val="00FD55F8"/>
    <w:rsid w:val="00FD7E36"/>
    <w:rsid w:val="00FE29FE"/>
    <w:rsid w:val="00FE5BEE"/>
    <w:rsid w:val="00FF11E4"/>
    <w:rsid w:val="00FF7A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link w:val="Heading1Char"/>
    <w:uiPriority w:val="9"/>
    <w:qFormat/>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outlineLvl w:val="0"/>
    </w:pPr>
    <w:rPr>
      <w:b/>
    </w:rPr>
  </w:style>
  <w:style w:type="paragraph" w:styleId="Heading3">
    <w:name w:val="heading 3"/>
    <w:basedOn w:val="Normal"/>
    <w:next w:val="Normal"/>
    <w:link w:val="Heading3Char"/>
    <w:uiPriority w:val="9"/>
    <w:qFormat/>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outlineLvl w:val="2"/>
    </w:pPr>
    <w:rPr>
      <w:u w:val="single"/>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08C"/>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4D508C"/>
    <w:rPr>
      <w:rFonts w:asciiTheme="majorHAnsi" w:eastAsiaTheme="majorEastAsia" w:hAnsiTheme="majorHAnsi" w:cstheme="majorBidi"/>
      <w:b/>
      <w:bCs/>
      <w:sz w:val="26"/>
      <w:szCs w:val="26"/>
    </w:rPr>
  </w:style>
  <w:style w:type="character" w:styleId="FootnoteReference">
    <w:name w:val="footnote reference"/>
    <w:basedOn w:val="DefaultParagraphFont"/>
    <w:uiPriority w:val="99"/>
    <w:semiHidden/>
  </w:style>
  <w:style w:type="paragraph" w:styleId="BodyTextIndent">
    <w:name w:val="Body Text Indent"/>
    <w:basedOn w:val="Normal"/>
    <w:link w:val="BodyTextIndentChar"/>
    <w:uiPriority w:val="99"/>
    <w:pPr>
      <w:tabs>
        <w:tab w:val="right" w:pos="9936"/>
      </w:tabs>
      <w:spacing w:line="240" w:lineRule="exact"/>
      <w:ind w:left="810"/>
    </w:pPr>
  </w:style>
  <w:style w:type="character" w:customStyle="1" w:styleId="BodyTextIndentChar">
    <w:name w:val="Body Text Indent Char"/>
    <w:basedOn w:val="DefaultParagraphFont"/>
    <w:link w:val="BodyTextIndent"/>
    <w:uiPriority w:val="99"/>
    <w:semiHidden/>
    <w:rsid w:val="004D508C"/>
    <w:rPr>
      <w:rFonts w:ascii="CG Times" w:hAnsi="CG Times"/>
      <w:sz w:val="24"/>
      <w:szCs w:val="24"/>
    </w:rPr>
  </w:style>
  <w:style w:type="paragraph" w:styleId="BodyTextIndent2">
    <w:name w:val="Body Text Indent 2"/>
    <w:basedOn w:val="Normal"/>
    <w:link w:val="BodyTextIndent2Char"/>
    <w:uiPriority w:val="99"/>
    <w:pPr>
      <w:keepNext/>
      <w:keepLines/>
      <w:tabs>
        <w:tab w:val="left" w:pos="5130"/>
      </w:tabs>
      <w:spacing w:line="240" w:lineRule="exact"/>
      <w:ind w:left="720"/>
    </w:pPr>
  </w:style>
  <w:style w:type="character" w:customStyle="1" w:styleId="BodyTextIndent2Char">
    <w:name w:val="Body Text Indent 2 Char"/>
    <w:basedOn w:val="DefaultParagraphFont"/>
    <w:link w:val="BodyTextIndent2"/>
    <w:uiPriority w:val="99"/>
    <w:semiHidden/>
    <w:rsid w:val="004D508C"/>
    <w:rPr>
      <w:rFonts w:ascii="CG Times" w:hAnsi="CG Times"/>
      <w:sz w:val="24"/>
      <w:szCs w:val="24"/>
    </w:rPr>
  </w:style>
  <w:style w:type="paragraph" w:styleId="BalloonText">
    <w:name w:val="Balloon Text"/>
    <w:basedOn w:val="Normal"/>
    <w:link w:val="BalloonTextChar"/>
    <w:uiPriority w:val="99"/>
    <w:semiHidden/>
    <w:rPr>
      <w:rFonts w:ascii="Tahoma" w:hAnsi="Tahoma" w:cs="GoudyOlSt BT"/>
      <w:sz w:val="16"/>
      <w:szCs w:val="16"/>
    </w:rPr>
  </w:style>
  <w:style w:type="character" w:customStyle="1" w:styleId="BalloonTextChar">
    <w:name w:val="Balloon Text Char"/>
    <w:basedOn w:val="DefaultParagraphFont"/>
    <w:link w:val="BalloonText"/>
    <w:uiPriority w:val="99"/>
    <w:semiHidden/>
    <w:rsid w:val="004D508C"/>
    <w:rPr>
      <w:sz w:val="0"/>
      <w:szCs w:val="0"/>
    </w:rPr>
  </w:style>
  <w:style w:type="character" w:styleId="Hyperlink">
    <w:name w:val="Hyperlink"/>
    <w:basedOn w:val="DefaultParagraphFont"/>
    <w:uiPriority w:val="99"/>
    <w:rPr>
      <w:rFonts w:ascii="Arial" w:hAnsi="Arial" w:cs="Arial"/>
      <w:color w:val="005A9C"/>
      <w:u w:val="single"/>
    </w:rPr>
  </w:style>
  <w:style w:type="paragraph" w:styleId="NormalWeb">
    <w:name w:val="Normal (Web)"/>
    <w:basedOn w:val="Normal"/>
    <w:uiPriority w:val="99"/>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uiPriority w:val="99"/>
    <w:rPr>
      <w:rFonts w:cs="Times New Roman"/>
      <w:color w:val="800080"/>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4D508C"/>
    <w:rPr>
      <w:rFonts w:ascii="CG Times" w:hAnsi="CG Times"/>
      <w:sz w:val="24"/>
      <w:szCs w:val="24"/>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tabs>
        <w:tab w:val="left" w:pos="-720"/>
        <w:tab w:val="left" w:pos="0"/>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style>
  <w:style w:type="character" w:customStyle="1" w:styleId="BodyTextChar">
    <w:name w:val="Body Text Char"/>
    <w:basedOn w:val="DefaultParagraphFont"/>
    <w:link w:val="BodyText"/>
    <w:uiPriority w:val="99"/>
    <w:locked/>
    <w:rsid w:val="00075BE5"/>
    <w:rPr>
      <w:rFonts w:ascii="CG Times" w:hAnsi="CG Times" w:cs="Times New Roman"/>
      <w:sz w:val="24"/>
      <w:szCs w:val="24"/>
      <w:lang w:val="en-US" w:eastAsia="en-US" w:bidi="ar-SA"/>
    </w:rPr>
  </w:style>
  <w:style w:type="paragraph" w:customStyle="1" w:styleId="ListingNameCharCharCharChar">
    <w:name w:val="Listing_Name Char Char Char Char"/>
    <w:basedOn w:val="Normal"/>
    <w:pPr>
      <w:widowControl/>
      <w:autoSpaceDE/>
      <w:autoSpaceDN/>
      <w:adjustRightInd/>
      <w:spacing w:before="120" w:line="240" w:lineRule="exact"/>
    </w:pPr>
    <w:rPr>
      <w:i/>
      <w:sz w:val="22"/>
      <w:szCs w:val="22"/>
    </w:rPr>
  </w:style>
  <w:style w:type="character" w:customStyle="1" w:styleId="ListingNameCharCharCharCharChar">
    <w:name w:val="Listing_Name Char Char Char Char Char"/>
    <w:basedOn w:val="DefaultParagraphFont"/>
    <w:rPr>
      <w:rFonts w:ascii="CG Times" w:hAnsi="CG Times" w:cs="Times New Roman"/>
      <w:i/>
      <w:sz w:val="22"/>
      <w:szCs w:val="22"/>
      <w:lang w:val="en-US" w:eastAsia="en-US" w:bidi="ar-SA"/>
    </w:rPr>
  </w:style>
  <w:style w:type="paragraph" w:customStyle="1" w:styleId="a">
    <w:name w:val=""/>
    <w:pPr>
      <w:autoSpaceDE w:val="0"/>
      <w:autoSpaceDN w:val="0"/>
      <w:adjustRightInd w:val="0"/>
      <w:ind w:left="-1440"/>
    </w:pPr>
    <w:rPr>
      <w:sz w:val="24"/>
      <w:szCs w:val="24"/>
    </w:rPr>
  </w:style>
  <w:style w:type="character" w:customStyle="1" w:styleId="EmailStyle28">
    <w:name w:val="EmailStyle35"/>
    <w:aliases w:val="EmailStyle35"/>
    <w:basedOn w:val="DefaultParagraphFont"/>
    <w:semiHidden/>
    <w:personal/>
    <w:rPr>
      <w:rFonts w:ascii="Arial" w:hAnsi="Arial" w:cs="Arial"/>
      <w:color w:val="auto"/>
      <w:sz w:val="20"/>
      <w:szCs w:val="20"/>
    </w:rPr>
  </w:style>
  <w:style w:type="paragraph" w:customStyle="1" w:styleId="bullet">
    <w:name w:val="bullet"/>
    <w:basedOn w:val="Normal"/>
    <w:pPr>
      <w:numPr>
        <w:numId w:val="2"/>
      </w:num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style>
  <w:style w:type="paragraph" w:customStyle="1" w:styleId="2ndlevelbullet">
    <w:name w:val="2ndlevelbullet"/>
    <w:basedOn w:val="bullet"/>
    <w:pPr>
      <w:numPr>
        <w:ilvl w:val="1"/>
        <w:numId w:val="1"/>
      </w:numPr>
    </w:pPr>
  </w:style>
  <w:style w:type="paragraph" w:customStyle="1" w:styleId="Default">
    <w:name w:val="Default"/>
    <w:rsid w:val="003E1A48"/>
    <w:pPr>
      <w:autoSpaceDE w:val="0"/>
      <w:autoSpaceDN w:val="0"/>
      <w:adjustRightInd w:val="0"/>
    </w:pPr>
    <w:rPr>
      <w:rFonts w:ascii="ArialNarrow" w:hAnsi="ArialNarrow" w:cs="ArialNarrow"/>
    </w:rPr>
  </w:style>
  <w:style w:type="paragraph" w:customStyle="1" w:styleId="CM21">
    <w:name w:val="CM21"/>
    <w:basedOn w:val="Default"/>
    <w:next w:val="Default"/>
    <w:rsid w:val="003E1A48"/>
    <w:pPr>
      <w:spacing w:line="211" w:lineRule="auto"/>
    </w:pPr>
    <w:rPr>
      <w:rFonts w:cs="Times New Roman"/>
      <w:sz w:val="24"/>
      <w:szCs w:val="24"/>
    </w:rPr>
  </w:style>
  <w:style w:type="table" w:styleId="TableClassic1">
    <w:name w:val="Table Classic 1"/>
    <w:basedOn w:val="TableNormal"/>
    <w:uiPriority w:val="99"/>
    <w:rsid w:val="00F411A9"/>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pPr>
        <w:jc w:val="center"/>
      </w:pPr>
      <w:rPr>
        <w:rFonts w:cs="Times New Roman"/>
        <w:b/>
        <w:i w:val="0"/>
        <w:iCs/>
      </w:rPr>
      <w:tblPr/>
      <w:tcPr>
        <w:tcBorders>
          <w:bottom w:val="single" w:sz="6" w:space="0" w:color="000000"/>
        </w:tcBorders>
      </w:tcPr>
    </w:tblStylePr>
    <w:tblStylePr w:type="lastRow">
      <w:rPr>
        <w:rFonts w:cs="Times New Roman"/>
        <w:color w:val="auto"/>
      </w:rPr>
      <w:tblPr/>
      <w:tcPr>
        <w:tcBorders>
          <w:top w:val="nil"/>
        </w:tcBorders>
        <w:shd w:val="clear" w:color="auto" w:fill="auto"/>
      </w:tcPr>
    </w:tblStylePr>
    <w:tblStylePr w:type="firstCol">
      <w:rPr>
        <w:rFonts w:cs="Times New Roman"/>
        <w:b/>
      </w:rPr>
      <w:tblPr/>
      <w:tcPr>
        <w:tcBorders>
          <w:right w:val="single" w:sz="6" w:space="0" w:color="000000"/>
          <w:tl2br w:val="none" w:sz="0" w:space="0" w:color="auto"/>
          <w:tr2bl w:val="none" w:sz="0" w:space="0" w:color="auto"/>
        </w:tcBorders>
      </w:tcPr>
    </w:tblStylePr>
    <w:tblStylePr w:type="lastCol">
      <w:rPr>
        <w:rFonts w:cs="Times New Roman"/>
        <w:b w:val="0"/>
      </w:r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Level1">
    <w:name w:val="Level 1"/>
    <w:basedOn w:val="Normal"/>
    <w:rsid w:val="0097519C"/>
    <w:pPr>
      <w:autoSpaceDE/>
      <w:autoSpaceDN/>
      <w:adjustRightInd/>
    </w:pPr>
    <w:rPr>
      <w:rFonts w:ascii="Times New Roman" w:hAnsi="Times New Roman"/>
      <w:szCs w:val="20"/>
    </w:rPr>
  </w:style>
  <w:style w:type="character" w:styleId="CommentReference">
    <w:name w:val="annotation reference"/>
    <w:basedOn w:val="DefaultParagraphFont"/>
    <w:uiPriority w:val="99"/>
    <w:semiHidden/>
    <w:rsid w:val="00DE3AC5"/>
    <w:rPr>
      <w:rFonts w:cs="Times New Roman"/>
      <w:sz w:val="16"/>
      <w:szCs w:val="16"/>
    </w:rPr>
  </w:style>
  <w:style w:type="paragraph" w:styleId="CommentText">
    <w:name w:val="annotation text"/>
    <w:basedOn w:val="Normal"/>
    <w:link w:val="CommentTextChar"/>
    <w:uiPriority w:val="99"/>
    <w:semiHidden/>
    <w:rsid w:val="00DE3AC5"/>
    <w:rPr>
      <w:sz w:val="20"/>
      <w:szCs w:val="20"/>
    </w:rPr>
  </w:style>
  <w:style w:type="character" w:customStyle="1" w:styleId="CommentTextChar">
    <w:name w:val="Comment Text Char"/>
    <w:basedOn w:val="DefaultParagraphFont"/>
    <w:link w:val="CommentText"/>
    <w:uiPriority w:val="99"/>
    <w:semiHidden/>
    <w:rsid w:val="004D508C"/>
    <w:rPr>
      <w:rFonts w:ascii="CG Times" w:hAnsi="CG Times"/>
    </w:rPr>
  </w:style>
  <w:style w:type="paragraph" w:styleId="CommentSubject">
    <w:name w:val="annotation subject"/>
    <w:basedOn w:val="CommentText"/>
    <w:next w:val="CommentText"/>
    <w:link w:val="CommentSubjectChar"/>
    <w:uiPriority w:val="99"/>
    <w:semiHidden/>
    <w:rsid w:val="00DE3AC5"/>
    <w:rPr>
      <w:b/>
      <w:bCs/>
    </w:rPr>
  </w:style>
  <w:style w:type="character" w:customStyle="1" w:styleId="CommentSubjectChar">
    <w:name w:val="Comment Subject Char"/>
    <w:basedOn w:val="CommentTextChar"/>
    <w:link w:val="CommentSubject"/>
    <w:uiPriority w:val="99"/>
    <w:semiHidden/>
    <w:rsid w:val="004D508C"/>
    <w:rPr>
      <w:b/>
      <w:bCs/>
    </w:rPr>
  </w:style>
  <w:style w:type="table" w:styleId="TableGrid">
    <w:name w:val="Table Grid"/>
    <w:basedOn w:val="TableNormal"/>
    <w:uiPriority w:val="59"/>
    <w:rsid w:val="00DF6B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p21">
    <w:name w:val="smallp21"/>
    <w:basedOn w:val="DefaultParagraphFont"/>
    <w:rsid w:val="00F532EC"/>
    <w:rPr>
      <w:rFonts w:cs="Times New Roman"/>
    </w:rPr>
  </w:style>
</w:styles>
</file>

<file path=word/webSettings.xml><?xml version="1.0" encoding="utf-8"?>
<w:webSettings xmlns:r="http://schemas.openxmlformats.org/officeDocument/2006/relationships" xmlns:w="http://schemas.openxmlformats.org/wordprocessingml/2006/main">
  <w:divs>
    <w:div w:id="1552690158">
      <w:marLeft w:val="0"/>
      <w:marRight w:val="0"/>
      <w:marTop w:val="0"/>
      <w:marBottom w:val="0"/>
      <w:divBdr>
        <w:top w:val="none" w:sz="0" w:space="0" w:color="auto"/>
        <w:left w:val="none" w:sz="0" w:space="0" w:color="auto"/>
        <w:bottom w:val="none" w:sz="0" w:space="0" w:color="auto"/>
        <w:right w:val="none" w:sz="0" w:space="0" w:color="auto"/>
      </w:divBdr>
      <w:divsChild>
        <w:div w:id="1552690169">
          <w:marLeft w:val="720"/>
          <w:marRight w:val="720"/>
          <w:marTop w:val="100"/>
          <w:marBottom w:val="100"/>
          <w:divBdr>
            <w:top w:val="none" w:sz="0" w:space="0" w:color="auto"/>
            <w:left w:val="none" w:sz="0" w:space="0" w:color="auto"/>
            <w:bottom w:val="none" w:sz="0" w:space="0" w:color="auto"/>
            <w:right w:val="none" w:sz="0" w:space="0" w:color="auto"/>
          </w:divBdr>
        </w:div>
      </w:divsChild>
    </w:div>
    <w:div w:id="1552690159">
      <w:marLeft w:val="0"/>
      <w:marRight w:val="0"/>
      <w:marTop w:val="0"/>
      <w:marBottom w:val="0"/>
      <w:divBdr>
        <w:top w:val="none" w:sz="0" w:space="0" w:color="auto"/>
        <w:left w:val="none" w:sz="0" w:space="0" w:color="auto"/>
        <w:bottom w:val="none" w:sz="0" w:space="0" w:color="auto"/>
        <w:right w:val="none" w:sz="0" w:space="0" w:color="auto"/>
      </w:divBdr>
      <w:divsChild>
        <w:div w:id="1552690164">
          <w:marLeft w:val="720"/>
          <w:marRight w:val="720"/>
          <w:marTop w:val="100"/>
          <w:marBottom w:val="100"/>
          <w:divBdr>
            <w:top w:val="none" w:sz="0" w:space="0" w:color="auto"/>
            <w:left w:val="none" w:sz="0" w:space="0" w:color="auto"/>
            <w:bottom w:val="none" w:sz="0" w:space="0" w:color="auto"/>
            <w:right w:val="none" w:sz="0" w:space="0" w:color="auto"/>
          </w:divBdr>
        </w:div>
      </w:divsChild>
    </w:div>
    <w:div w:id="1552690160">
      <w:marLeft w:val="0"/>
      <w:marRight w:val="0"/>
      <w:marTop w:val="0"/>
      <w:marBottom w:val="0"/>
      <w:divBdr>
        <w:top w:val="none" w:sz="0" w:space="0" w:color="auto"/>
        <w:left w:val="none" w:sz="0" w:space="0" w:color="auto"/>
        <w:bottom w:val="none" w:sz="0" w:space="0" w:color="auto"/>
        <w:right w:val="none" w:sz="0" w:space="0" w:color="auto"/>
      </w:divBdr>
    </w:div>
    <w:div w:id="1552690162">
      <w:marLeft w:val="0"/>
      <w:marRight w:val="0"/>
      <w:marTop w:val="0"/>
      <w:marBottom w:val="0"/>
      <w:divBdr>
        <w:top w:val="none" w:sz="0" w:space="0" w:color="auto"/>
        <w:left w:val="none" w:sz="0" w:space="0" w:color="auto"/>
        <w:bottom w:val="none" w:sz="0" w:space="0" w:color="auto"/>
        <w:right w:val="none" w:sz="0" w:space="0" w:color="auto"/>
      </w:divBdr>
    </w:div>
    <w:div w:id="1552690163">
      <w:marLeft w:val="0"/>
      <w:marRight w:val="0"/>
      <w:marTop w:val="0"/>
      <w:marBottom w:val="0"/>
      <w:divBdr>
        <w:top w:val="none" w:sz="0" w:space="0" w:color="auto"/>
        <w:left w:val="none" w:sz="0" w:space="0" w:color="auto"/>
        <w:bottom w:val="none" w:sz="0" w:space="0" w:color="auto"/>
        <w:right w:val="none" w:sz="0" w:space="0" w:color="auto"/>
      </w:divBdr>
      <w:divsChild>
        <w:div w:id="1552690171">
          <w:marLeft w:val="720"/>
          <w:marRight w:val="720"/>
          <w:marTop w:val="100"/>
          <w:marBottom w:val="100"/>
          <w:divBdr>
            <w:top w:val="none" w:sz="0" w:space="0" w:color="auto"/>
            <w:left w:val="none" w:sz="0" w:space="0" w:color="auto"/>
            <w:bottom w:val="none" w:sz="0" w:space="0" w:color="auto"/>
            <w:right w:val="none" w:sz="0" w:space="0" w:color="auto"/>
          </w:divBdr>
        </w:div>
      </w:divsChild>
    </w:div>
    <w:div w:id="1552690166">
      <w:marLeft w:val="0"/>
      <w:marRight w:val="0"/>
      <w:marTop w:val="0"/>
      <w:marBottom w:val="0"/>
      <w:divBdr>
        <w:top w:val="none" w:sz="0" w:space="0" w:color="auto"/>
        <w:left w:val="none" w:sz="0" w:space="0" w:color="auto"/>
        <w:bottom w:val="none" w:sz="0" w:space="0" w:color="auto"/>
        <w:right w:val="none" w:sz="0" w:space="0" w:color="auto"/>
      </w:divBdr>
    </w:div>
    <w:div w:id="1552690168">
      <w:marLeft w:val="0"/>
      <w:marRight w:val="0"/>
      <w:marTop w:val="0"/>
      <w:marBottom w:val="0"/>
      <w:divBdr>
        <w:top w:val="none" w:sz="0" w:space="0" w:color="auto"/>
        <w:left w:val="none" w:sz="0" w:space="0" w:color="auto"/>
        <w:bottom w:val="none" w:sz="0" w:space="0" w:color="auto"/>
        <w:right w:val="none" w:sz="0" w:space="0" w:color="auto"/>
      </w:divBdr>
    </w:div>
    <w:div w:id="1552690172">
      <w:marLeft w:val="0"/>
      <w:marRight w:val="0"/>
      <w:marTop w:val="0"/>
      <w:marBottom w:val="0"/>
      <w:divBdr>
        <w:top w:val="none" w:sz="0" w:space="0" w:color="auto"/>
        <w:left w:val="none" w:sz="0" w:space="0" w:color="auto"/>
        <w:bottom w:val="none" w:sz="0" w:space="0" w:color="auto"/>
        <w:right w:val="none" w:sz="0" w:space="0" w:color="auto"/>
      </w:divBdr>
    </w:div>
    <w:div w:id="1552690173">
      <w:marLeft w:val="0"/>
      <w:marRight w:val="0"/>
      <w:marTop w:val="0"/>
      <w:marBottom w:val="0"/>
      <w:divBdr>
        <w:top w:val="none" w:sz="0" w:space="0" w:color="auto"/>
        <w:left w:val="none" w:sz="0" w:space="0" w:color="auto"/>
        <w:bottom w:val="none" w:sz="0" w:space="0" w:color="auto"/>
        <w:right w:val="none" w:sz="0" w:space="0" w:color="auto"/>
      </w:divBdr>
      <w:divsChild>
        <w:div w:id="1552690167">
          <w:marLeft w:val="720"/>
          <w:marRight w:val="720"/>
          <w:marTop w:val="100"/>
          <w:marBottom w:val="100"/>
          <w:divBdr>
            <w:top w:val="none" w:sz="0" w:space="0" w:color="auto"/>
            <w:left w:val="none" w:sz="0" w:space="0" w:color="auto"/>
            <w:bottom w:val="none" w:sz="0" w:space="0" w:color="auto"/>
            <w:right w:val="none" w:sz="0" w:space="0" w:color="auto"/>
          </w:divBdr>
        </w:div>
      </w:divsChild>
    </w:div>
    <w:div w:id="1552690174">
      <w:marLeft w:val="0"/>
      <w:marRight w:val="0"/>
      <w:marTop w:val="0"/>
      <w:marBottom w:val="0"/>
      <w:divBdr>
        <w:top w:val="none" w:sz="0" w:space="0" w:color="auto"/>
        <w:left w:val="none" w:sz="0" w:space="0" w:color="auto"/>
        <w:bottom w:val="none" w:sz="0" w:space="0" w:color="auto"/>
        <w:right w:val="none" w:sz="0" w:space="0" w:color="auto"/>
      </w:divBdr>
      <w:divsChild>
        <w:div w:id="1552690187">
          <w:marLeft w:val="720"/>
          <w:marRight w:val="720"/>
          <w:marTop w:val="100"/>
          <w:marBottom w:val="100"/>
          <w:divBdr>
            <w:top w:val="none" w:sz="0" w:space="0" w:color="auto"/>
            <w:left w:val="none" w:sz="0" w:space="0" w:color="auto"/>
            <w:bottom w:val="none" w:sz="0" w:space="0" w:color="auto"/>
            <w:right w:val="none" w:sz="0" w:space="0" w:color="auto"/>
          </w:divBdr>
        </w:div>
      </w:divsChild>
    </w:div>
    <w:div w:id="1552690176">
      <w:marLeft w:val="0"/>
      <w:marRight w:val="0"/>
      <w:marTop w:val="0"/>
      <w:marBottom w:val="0"/>
      <w:divBdr>
        <w:top w:val="none" w:sz="0" w:space="0" w:color="auto"/>
        <w:left w:val="none" w:sz="0" w:space="0" w:color="auto"/>
        <w:bottom w:val="none" w:sz="0" w:space="0" w:color="auto"/>
        <w:right w:val="none" w:sz="0" w:space="0" w:color="auto"/>
      </w:divBdr>
      <w:divsChild>
        <w:div w:id="1552690170">
          <w:marLeft w:val="720"/>
          <w:marRight w:val="720"/>
          <w:marTop w:val="100"/>
          <w:marBottom w:val="100"/>
          <w:divBdr>
            <w:top w:val="none" w:sz="0" w:space="0" w:color="auto"/>
            <w:left w:val="none" w:sz="0" w:space="0" w:color="auto"/>
            <w:bottom w:val="none" w:sz="0" w:space="0" w:color="auto"/>
            <w:right w:val="none" w:sz="0" w:space="0" w:color="auto"/>
          </w:divBdr>
        </w:div>
      </w:divsChild>
    </w:div>
    <w:div w:id="1552690177">
      <w:marLeft w:val="0"/>
      <w:marRight w:val="0"/>
      <w:marTop w:val="0"/>
      <w:marBottom w:val="0"/>
      <w:divBdr>
        <w:top w:val="none" w:sz="0" w:space="0" w:color="auto"/>
        <w:left w:val="none" w:sz="0" w:space="0" w:color="auto"/>
        <w:bottom w:val="none" w:sz="0" w:space="0" w:color="auto"/>
        <w:right w:val="none" w:sz="0" w:space="0" w:color="auto"/>
      </w:divBdr>
      <w:divsChild>
        <w:div w:id="1552690181">
          <w:marLeft w:val="720"/>
          <w:marRight w:val="720"/>
          <w:marTop w:val="100"/>
          <w:marBottom w:val="100"/>
          <w:divBdr>
            <w:top w:val="none" w:sz="0" w:space="0" w:color="auto"/>
            <w:left w:val="none" w:sz="0" w:space="0" w:color="auto"/>
            <w:bottom w:val="none" w:sz="0" w:space="0" w:color="auto"/>
            <w:right w:val="none" w:sz="0" w:space="0" w:color="auto"/>
          </w:divBdr>
        </w:div>
      </w:divsChild>
    </w:div>
    <w:div w:id="1552690178">
      <w:marLeft w:val="0"/>
      <w:marRight w:val="0"/>
      <w:marTop w:val="0"/>
      <w:marBottom w:val="0"/>
      <w:divBdr>
        <w:top w:val="none" w:sz="0" w:space="0" w:color="auto"/>
        <w:left w:val="none" w:sz="0" w:space="0" w:color="auto"/>
        <w:bottom w:val="none" w:sz="0" w:space="0" w:color="auto"/>
        <w:right w:val="none" w:sz="0" w:space="0" w:color="auto"/>
      </w:divBdr>
      <w:divsChild>
        <w:div w:id="1552690188">
          <w:marLeft w:val="720"/>
          <w:marRight w:val="720"/>
          <w:marTop w:val="100"/>
          <w:marBottom w:val="100"/>
          <w:divBdr>
            <w:top w:val="none" w:sz="0" w:space="0" w:color="auto"/>
            <w:left w:val="none" w:sz="0" w:space="0" w:color="auto"/>
            <w:bottom w:val="none" w:sz="0" w:space="0" w:color="auto"/>
            <w:right w:val="none" w:sz="0" w:space="0" w:color="auto"/>
          </w:divBdr>
        </w:div>
      </w:divsChild>
    </w:div>
    <w:div w:id="1552690180">
      <w:marLeft w:val="0"/>
      <w:marRight w:val="0"/>
      <w:marTop w:val="0"/>
      <w:marBottom w:val="0"/>
      <w:divBdr>
        <w:top w:val="none" w:sz="0" w:space="0" w:color="auto"/>
        <w:left w:val="none" w:sz="0" w:space="0" w:color="auto"/>
        <w:bottom w:val="none" w:sz="0" w:space="0" w:color="auto"/>
        <w:right w:val="none" w:sz="0" w:space="0" w:color="auto"/>
      </w:divBdr>
    </w:div>
    <w:div w:id="1552690182">
      <w:marLeft w:val="0"/>
      <w:marRight w:val="0"/>
      <w:marTop w:val="0"/>
      <w:marBottom w:val="0"/>
      <w:divBdr>
        <w:top w:val="none" w:sz="0" w:space="0" w:color="auto"/>
        <w:left w:val="none" w:sz="0" w:space="0" w:color="auto"/>
        <w:bottom w:val="none" w:sz="0" w:space="0" w:color="auto"/>
        <w:right w:val="none" w:sz="0" w:space="0" w:color="auto"/>
      </w:divBdr>
      <w:divsChild>
        <w:div w:id="1552690179">
          <w:marLeft w:val="720"/>
          <w:marRight w:val="720"/>
          <w:marTop w:val="100"/>
          <w:marBottom w:val="100"/>
          <w:divBdr>
            <w:top w:val="none" w:sz="0" w:space="0" w:color="auto"/>
            <w:left w:val="none" w:sz="0" w:space="0" w:color="auto"/>
            <w:bottom w:val="none" w:sz="0" w:space="0" w:color="auto"/>
            <w:right w:val="none" w:sz="0" w:space="0" w:color="auto"/>
          </w:divBdr>
        </w:div>
      </w:divsChild>
    </w:div>
    <w:div w:id="1552690183">
      <w:marLeft w:val="0"/>
      <w:marRight w:val="0"/>
      <w:marTop w:val="0"/>
      <w:marBottom w:val="0"/>
      <w:divBdr>
        <w:top w:val="none" w:sz="0" w:space="0" w:color="auto"/>
        <w:left w:val="none" w:sz="0" w:space="0" w:color="auto"/>
        <w:bottom w:val="none" w:sz="0" w:space="0" w:color="auto"/>
        <w:right w:val="none" w:sz="0" w:space="0" w:color="auto"/>
      </w:divBdr>
      <w:divsChild>
        <w:div w:id="1552690165">
          <w:marLeft w:val="720"/>
          <w:marRight w:val="720"/>
          <w:marTop w:val="100"/>
          <w:marBottom w:val="100"/>
          <w:divBdr>
            <w:top w:val="none" w:sz="0" w:space="0" w:color="auto"/>
            <w:left w:val="none" w:sz="0" w:space="0" w:color="auto"/>
            <w:bottom w:val="none" w:sz="0" w:space="0" w:color="auto"/>
            <w:right w:val="none" w:sz="0" w:space="0" w:color="auto"/>
          </w:divBdr>
        </w:div>
      </w:divsChild>
    </w:div>
    <w:div w:id="1552690184">
      <w:marLeft w:val="0"/>
      <w:marRight w:val="0"/>
      <w:marTop w:val="0"/>
      <w:marBottom w:val="0"/>
      <w:divBdr>
        <w:top w:val="none" w:sz="0" w:space="0" w:color="auto"/>
        <w:left w:val="none" w:sz="0" w:space="0" w:color="auto"/>
        <w:bottom w:val="none" w:sz="0" w:space="0" w:color="auto"/>
        <w:right w:val="none" w:sz="0" w:space="0" w:color="auto"/>
      </w:divBdr>
      <w:divsChild>
        <w:div w:id="1552690161">
          <w:marLeft w:val="720"/>
          <w:marRight w:val="720"/>
          <w:marTop w:val="100"/>
          <w:marBottom w:val="100"/>
          <w:divBdr>
            <w:top w:val="none" w:sz="0" w:space="0" w:color="auto"/>
            <w:left w:val="none" w:sz="0" w:space="0" w:color="auto"/>
            <w:bottom w:val="none" w:sz="0" w:space="0" w:color="auto"/>
            <w:right w:val="none" w:sz="0" w:space="0" w:color="auto"/>
          </w:divBdr>
        </w:div>
      </w:divsChild>
    </w:div>
    <w:div w:id="1552690185">
      <w:marLeft w:val="0"/>
      <w:marRight w:val="0"/>
      <w:marTop w:val="0"/>
      <w:marBottom w:val="0"/>
      <w:divBdr>
        <w:top w:val="none" w:sz="0" w:space="0" w:color="auto"/>
        <w:left w:val="none" w:sz="0" w:space="0" w:color="auto"/>
        <w:bottom w:val="none" w:sz="0" w:space="0" w:color="auto"/>
        <w:right w:val="none" w:sz="0" w:space="0" w:color="auto"/>
      </w:divBdr>
      <w:divsChild>
        <w:div w:id="1552690175">
          <w:marLeft w:val="720"/>
          <w:marRight w:val="720"/>
          <w:marTop w:val="100"/>
          <w:marBottom w:val="100"/>
          <w:divBdr>
            <w:top w:val="none" w:sz="0" w:space="0" w:color="auto"/>
            <w:left w:val="none" w:sz="0" w:space="0" w:color="auto"/>
            <w:bottom w:val="none" w:sz="0" w:space="0" w:color="auto"/>
            <w:right w:val="none" w:sz="0" w:space="0" w:color="auto"/>
          </w:divBdr>
        </w:div>
      </w:divsChild>
    </w:div>
    <w:div w:id="1552690186">
      <w:marLeft w:val="0"/>
      <w:marRight w:val="0"/>
      <w:marTop w:val="0"/>
      <w:marBottom w:val="0"/>
      <w:divBdr>
        <w:top w:val="none" w:sz="0" w:space="0" w:color="auto"/>
        <w:left w:val="none" w:sz="0" w:space="0" w:color="auto"/>
        <w:bottom w:val="none" w:sz="0" w:space="0" w:color="auto"/>
        <w:right w:val="none" w:sz="0" w:space="0" w:color="auto"/>
      </w:divBdr>
    </w:div>
    <w:div w:id="1552690189">
      <w:marLeft w:val="0"/>
      <w:marRight w:val="0"/>
      <w:marTop w:val="0"/>
      <w:marBottom w:val="0"/>
      <w:divBdr>
        <w:top w:val="none" w:sz="0" w:space="0" w:color="auto"/>
        <w:left w:val="none" w:sz="0" w:space="0" w:color="auto"/>
        <w:bottom w:val="none" w:sz="0" w:space="0" w:color="auto"/>
        <w:right w:val="none" w:sz="0" w:space="0" w:color="auto"/>
      </w:divBdr>
      <w:divsChild>
        <w:div w:id="155269015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Pages>
  <Words>3713</Words>
  <Characters>21166</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subject/>
  <dc:creator>rebecca</dc:creator>
  <cp:keywords/>
  <dc:description/>
  <cp:lastModifiedBy>plebaron</cp:lastModifiedBy>
  <cp:revision>3</cp:revision>
  <cp:lastPrinted>2008-06-05T19:21:00Z</cp:lastPrinted>
  <dcterms:created xsi:type="dcterms:W3CDTF">2008-06-11T13:55:00Z</dcterms:created>
  <dcterms:modified xsi:type="dcterms:W3CDTF">2008-06-11T14:02:00Z</dcterms:modified>
</cp:coreProperties>
</file>