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C6" w:rsidRDefault="00ED57BF" w:rsidP="007438C6">
      <w:pPr>
        <w:spacing w:after="0"/>
        <w:jc w:val="center"/>
      </w:pPr>
      <w:r>
        <w:rPr>
          <w:b/>
        </w:rPr>
        <w:t>ATTACHMENT A – USDA FOODS</w:t>
      </w:r>
      <w:r w:rsidR="007438C6" w:rsidRPr="00D8399F">
        <w:rPr>
          <w:b/>
        </w:rPr>
        <w:t xml:space="preserve"> RESEARCH DESIGN</w:t>
      </w:r>
    </w:p>
    <w:p w:rsidR="007438C6" w:rsidRDefault="007438C6" w:rsidP="007438C6">
      <w:pPr>
        <w:spacing w:after="0"/>
      </w:pPr>
    </w:p>
    <w:p w:rsidR="007438C6" w:rsidRDefault="007438C6" w:rsidP="007438C6">
      <w:pPr>
        <w:spacing w:after="0"/>
      </w:pPr>
      <w:r w:rsidRPr="00D8399F">
        <w:t>This section outlines the research methodology for the proposed project.</w:t>
      </w:r>
      <w:r w:rsidR="00AD7D85">
        <w:t xml:space="preserve"> </w:t>
      </w:r>
      <w:r w:rsidRPr="00D8399F">
        <w:t xml:space="preserve"> It also includes the audience matrix, which shows the number of focus groups </w:t>
      </w:r>
      <w:r w:rsidR="00437330" w:rsidRPr="000B4CAC">
        <w:t>F</w:t>
      </w:r>
      <w:r w:rsidR="005C0502" w:rsidRPr="000B4CAC">
        <w:t>leishman-</w:t>
      </w:r>
      <w:r w:rsidR="00437330" w:rsidRPr="000B4CAC">
        <w:t>H</w:t>
      </w:r>
      <w:r w:rsidR="005C0502" w:rsidRPr="000B4CAC">
        <w:t>illard (FH)</w:t>
      </w:r>
      <w:r w:rsidR="00437330" w:rsidRPr="000B4CAC">
        <w:t>/GMMB</w:t>
      </w:r>
      <w:r w:rsidRPr="00D8399F">
        <w:t xml:space="preserve"> will conduct with each of the stakeholder audie</w:t>
      </w:r>
      <w:r w:rsidR="006F2029">
        <w:t xml:space="preserve">nces and the manner in which FH/GMMB </w:t>
      </w:r>
      <w:r w:rsidRPr="00D8399F">
        <w:t>will segregate the discussions for comparative purposes.</w:t>
      </w:r>
    </w:p>
    <w:p w:rsidR="007438C6" w:rsidRDefault="007438C6">
      <w:pPr>
        <w:rPr>
          <w:rFonts w:cs="Times New Roman"/>
          <w:b/>
          <w:u w:val="single"/>
        </w:rPr>
      </w:pPr>
    </w:p>
    <w:p w:rsidR="007438C6" w:rsidRPr="00DF2E06" w:rsidRDefault="007438C6" w:rsidP="007438C6">
      <w:pPr>
        <w:spacing w:after="0"/>
        <w:rPr>
          <w:rFonts w:cs="Times New Roman"/>
          <w:b/>
        </w:rPr>
      </w:pPr>
    </w:p>
    <w:p w:rsidR="007438C6" w:rsidRDefault="007438C6">
      <w:pPr>
        <w:rPr>
          <w:rFonts w:cs="Times New Roman"/>
          <w:b/>
        </w:rPr>
      </w:pPr>
      <w:r>
        <w:rPr>
          <w:rFonts w:cs="Times New Roman"/>
          <w:b/>
        </w:rPr>
        <w:br w:type="page"/>
      </w:r>
    </w:p>
    <w:p w:rsidR="007438C6" w:rsidRPr="00DF2E06" w:rsidRDefault="007438C6" w:rsidP="007438C6">
      <w:pPr>
        <w:spacing w:after="0"/>
        <w:rPr>
          <w:rFonts w:cs="Times New Roman"/>
          <w:b/>
        </w:rPr>
      </w:pPr>
      <w:r w:rsidRPr="00DF2E06">
        <w:rPr>
          <w:rFonts w:cs="Times New Roman"/>
          <w:b/>
        </w:rPr>
        <w:lastRenderedPageBreak/>
        <w:t>Project Background</w:t>
      </w:r>
    </w:p>
    <w:p w:rsidR="007438C6" w:rsidRPr="00DF2E06" w:rsidRDefault="007438C6" w:rsidP="007438C6">
      <w:pPr>
        <w:spacing w:after="0"/>
        <w:rPr>
          <w:rFonts w:cs="Times New Roman"/>
        </w:rPr>
      </w:pPr>
      <w:r w:rsidRPr="00DF2E06">
        <w:rPr>
          <w:rFonts w:cs="Times New Roman"/>
        </w:rPr>
        <w:t xml:space="preserve">USDA </w:t>
      </w:r>
      <w:r>
        <w:rPr>
          <w:rFonts w:cs="Times New Roman"/>
        </w:rPr>
        <w:t>Commodities</w:t>
      </w:r>
      <w:r w:rsidRPr="00DF2E06">
        <w:rPr>
          <w:rFonts w:cs="Times New Roman"/>
        </w:rPr>
        <w:t>, a food distribution program managed by the United States Department of Agriculture (USDA)</w:t>
      </w:r>
      <w:r w:rsidR="00AD7D85">
        <w:rPr>
          <w:rFonts w:cs="Times New Roman"/>
        </w:rPr>
        <w:t>,</w:t>
      </w:r>
      <w:r w:rsidRPr="00DF2E06">
        <w:rPr>
          <w:rFonts w:cs="Times New Roman"/>
        </w:rPr>
        <w:t xml:space="preserve"> Food and Nutrition Service (FNS), </w:t>
      </w:r>
      <w:r w:rsidRPr="00DF2E06">
        <w:rPr>
          <w:rFonts w:cs="Arial"/>
        </w:rPr>
        <w:t xml:space="preserve">are distributed across the U.S. through six nutrition assistance programs. </w:t>
      </w:r>
      <w:r w:rsidR="00AD7D85">
        <w:rPr>
          <w:rFonts w:cs="Arial"/>
        </w:rPr>
        <w:t xml:space="preserve"> </w:t>
      </w:r>
      <w:r w:rsidRPr="00DF2E06">
        <w:rPr>
          <w:rFonts w:cs="Arial"/>
        </w:rPr>
        <w:t xml:space="preserve">The largest portion </w:t>
      </w:r>
      <w:r>
        <w:rPr>
          <w:rFonts w:cs="Arial"/>
        </w:rPr>
        <w:t>of USDA Commodities</w:t>
      </w:r>
      <w:r w:rsidRPr="00DF2E06">
        <w:rPr>
          <w:rFonts w:cs="Arial"/>
        </w:rPr>
        <w:t xml:space="preserve"> go to the National School Lunch Program (NSLP), which helps schools provide nutritious lunches free or at low cost to over 31 million children each school day </w:t>
      </w:r>
      <w:r w:rsidRPr="00DF2E06">
        <w:rPr>
          <w:rFonts w:cs="Times New Roman"/>
        </w:rPr>
        <w:t>spanning over 101,000 public and nonprofit private schools and residential child care institutions across the United States</w:t>
      </w:r>
      <w:r w:rsidRPr="00DF2E06">
        <w:rPr>
          <w:rFonts w:cs="Arial"/>
        </w:rPr>
        <w:t xml:space="preserve">.  </w:t>
      </w:r>
      <w:r w:rsidRPr="00DF2E06">
        <w:rPr>
          <w:rFonts w:cs="Times New Roman"/>
        </w:rPr>
        <w:t>Participating schools are able to select from more than 180 types of food that are safe, wholesome</w:t>
      </w:r>
      <w:r w:rsidR="00AD7D85">
        <w:rPr>
          <w:rFonts w:cs="Times New Roman"/>
        </w:rPr>
        <w:t>,</w:t>
      </w:r>
      <w:r w:rsidRPr="00DF2E06">
        <w:rPr>
          <w:rFonts w:cs="Times New Roman"/>
        </w:rPr>
        <w:t xml:space="preserve"> and 100 percent </w:t>
      </w:r>
      <w:r>
        <w:rPr>
          <w:rFonts w:cs="Times New Roman"/>
        </w:rPr>
        <w:t>American</w:t>
      </w:r>
      <w:r w:rsidR="00AD7D85">
        <w:rPr>
          <w:rFonts w:cs="Times New Roman"/>
        </w:rPr>
        <w:t>-</w:t>
      </w:r>
      <w:r>
        <w:rPr>
          <w:rFonts w:cs="Times New Roman"/>
        </w:rPr>
        <w:t xml:space="preserve">grown. </w:t>
      </w:r>
      <w:r w:rsidR="00AD7D85">
        <w:rPr>
          <w:rFonts w:cs="Times New Roman"/>
        </w:rPr>
        <w:t xml:space="preserve"> </w:t>
      </w:r>
      <w:r>
        <w:rPr>
          <w:rFonts w:cs="Times New Roman"/>
        </w:rPr>
        <w:t>USDA Commodities</w:t>
      </w:r>
      <w:r w:rsidRPr="00DF2E06">
        <w:rPr>
          <w:rFonts w:cs="Times New Roman"/>
        </w:rPr>
        <w:t xml:space="preserve"> contribute to the nutritional value of the NSLP and provide schools with meals at a good value.</w:t>
      </w:r>
    </w:p>
    <w:p w:rsidR="007438C6" w:rsidRPr="00DF2E06" w:rsidRDefault="007438C6" w:rsidP="007438C6">
      <w:pPr>
        <w:spacing w:after="0"/>
        <w:rPr>
          <w:rFonts w:cs="Times New Roman"/>
          <w:b/>
        </w:rPr>
      </w:pPr>
    </w:p>
    <w:p w:rsidR="007438C6" w:rsidRPr="00DF2E06" w:rsidRDefault="007438C6" w:rsidP="007438C6">
      <w:pPr>
        <w:spacing w:after="0"/>
        <w:rPr>
          <w:rFonts w:cs="Times New Roman"/>
        </w:rPr>
      </w:pPr>
      <w:r w:rsidRPr="00DF2E06">
        <w:rPr>
          <w:rFonts w:cs="Times New Roman"/>
        </w:rPr>
        <w:t xml:space="preserve">In addition to playing a vital role in providing food to schools and low-income people, improvements have been made to USDA </w:t>
      </w:r>
      <w:r>
        <w:rPr>
          <w:rFonts w:cs="Times New Roman"/>
        </w:rPr>
        <w:t>Commodities</w:t>
      </w:r>
      <w:r w:rsidRPr="00DF2E06">
        <w:rPr>
          <w:rFonts w:cs="Times New Roman"/>
        </w:rPr>
        <w:t xml:space="preserve"> over the past few years, such as adding low- and reduced fat options in compliance with program guidelines over the past few years.  However, not all teachers, administrators, child nutrition professionals and parents are aware of these changes and some incorrectly believe the foods provided by USDA are unhealthy. </w:t>
      </w:r>
    </w:p>
    <w:p w:rsidR="007438C6" w:rsidRPr="00DF2E06" w:rsidRDefault="007438C6" w:rsidP="007438C6">
      <w:pPr>
        <w:spacing w:after="0"/>
        <w:rPr>
          <w:rFonts w:cs="Times New Roman"/>
        </w:rPr>
      </w:pPr>
    </w:p>
    <w:p w:rsidR="007438C6" w:rsidRPr="00DF2E06" w:rsidRDefault="007438C6" w:rsidP="007438C6">
      <w:pPr>
        <w:pStyle w:val="NoSpacing"/>
        <w:spacing w:line="276" w:lineRule="auto"/>
        <w:rPr>
          <w:rFonts w:cs="Arial"/>
        </w:rPr>
      </w:pPr>
      <w:r w:rsidRPr="00DF2E06">
        <w:rPr>
          <w:rFonts w:cs="Arial"/>
        </w:rPr>
        <w:t>USDA is looking to improve</w:t>
      </w:r>
      <w:r>
        <w:rPr>
          <w:rFonts w:cs="Arial"/>
        </w:rPr>
        <w:t xml:space="preserve"> public perceptions about USDA Commodities</w:t>
      </w:r>
      <w:r w:rsidRPr="00DF2E06">
        <w:rPr>
          <w:rFonts w:cs="Arial"/>
        </w:rPr>
        <w:t xml:space="preserve"> at large. </w:t>
      </w:r>
      <w:r w:rsidR="00AD7D85">
        <w:rPr>
          <w:rFonts w:cs="Arial"/>
        </w:rPr>
        <w:t xml:space="preserve"> </w:t>
      </w:r>
      <w:r w:rsidRPr="00DF2E06">
        <w:rPr>
          <w:rFonts w:cs="Arial"/>
        </w:rPr>
        <w:t>This will be done through a rebranding process and communications campaign, which will serve to emphasize that USDA Foods are nutritious, safe, of good value, tasty, American-grown</w:t>
      </w:r>
      <w:r w:rsidR="00AD7D85">
        <w:rPr>
          <w:rFonts w:cs="Arial"/>
        </w:rPr>
        <w:t>,</w:t>
      </w:r>
      <w:r w:rsidRPr="00DF2E06">
        <w:rPr>
          <w:rFonts w:cs="Arial"/>
        </w:rPr>
        <w:t xml:space="preserve"> and help feed students across the country, including those in need. </w:t>
      </w:r>
      <w:r w:rsidR="00AD7D85">
        <w:rPr>
          <w:rFonts w:cs="Arial"/>
        </w:rPr>
        <w:t xml:space="preserve"> </w:t>
      </w:r>
      <w:r w:rsidRPr="00DF2E06">
        <w:rPr>
          <w:rFonts w:cs="Arial"/>
        </w:rPr>
        <w:t xml:space="preserve">The NSLP will serve as the platform from which to begin communicating these messages about USDA </w:t>
      </w:r>
      <w:r>
        <w:rPr>
          <w:rFonts w:cs="Arial"/>
        </w:rPr>
        <w:t>Commodities</w:t>
      </w:r>
      <w:r w:rsidRPr="00DF2E06">
        <w:rPr>
          <w:rFonts w:cs="Arial"/>
        </w:rPr>
        <w:t xml:space="preserve">. </w:t>
      </w:r>
    </w:p>
    <w:p w:rsidR="007438C6" w:rsidRPr="00DF2E06" w:rsidRDefault="007438C6" w:rsidP="007438C6">
      <w:pPr>
        <w:spacing w:after="0"/>
        <w:rPr>
          <w:rFonts w:cs="Times New Roman"/>
        </w:rPr>
      </w:pPr>
    </w:p>
    <w:p w:rsidR="007438C6" w:rsidRPr="00DF2E06" w:rsidRDefault="007438C6" w:rsidP="007438C6">
      <w:pPr>
        <w:spacing w:after="0"/>
        <w:rPr>
          <w:rFonts w:cs="Times New Roman"/>
          <w:b/>
        </w:rPr>
      </w:pPr>
      <w:r w:rsidRPr="00DF2E06">
        <w:rPr>
          <w:rFonts w:cs="Times New Roman"/>
          <w:b/>
        </w:rPr>
        <w:t>Research Objectives</w:t>
      </w:r>
    </w:p>
    <w:p w:rsidR="007438C6" w:rsidRPr="00DF2E06" w:rsidRDefault="007438C6" w:rsidP="007438C6">
      <w:pPr>
        <w:spacing w:after="0"/>
        <w:rPr>
          <w:rFonts w:cs="Times New Roman"/>
        </w:rPr>
      </w:pPr>
      <w:r w:rsidRPr="00DF2E06">
        <w:rPr>
          <w:rFonts w:cs="Times New Roman"/>
        </w:rPr>
        <w:t xml:space="preserve">In an effort to address and reverse this misperception, FNS has contracted with FH/GMMB to help improve the public’s perception of USDA </w:t>
      </w:r>
      <w:r>
        <w:rPr>
          <w:rFonts w:cs="Times New Roman"/>
        </w:rPr>
        <w:t>Commodities.</w:t>
      </w:r>
      <w:r w:rsidRPr="00DF2E06">
        <w:rPr>
          <w:rFonts w:cs="Times New Roman"/>
        </w:rPr>
        <w:t xml:space="preserve"> </w:t>
      </w:r>
      <w:r w:rsidR="00AD7D85">
        <w:rPr>
          <w:rFonts w:cs="Times New Roman"/>
        </w:rPr>
        <w:t xml:space="preserve"> </w:t>
      </w:r>
      <w:r w:rsidRPr="00DF2E06">
        <w:rPr>
          <w:rFonts w:cs="Times New Roman"/>
        </w:rPr>
        <w:t xml:space="preserve">More specifically, FH/GMMB will rebrand USDA </w:t>
      </w:r>
      <w:r>
        <w:rPr>
          <w:rFonts w:cs="Times New Roman"/>
        </w:rPr>
        <w:t>Commoditie</w:t>
      </w:r>
      <w:r w:rsidRPr="00DF2E06">
        <w:rPr>
          <w:rFonts w:cs="Times New Roman"/>
        </w:rPr>
        <w:t xml:space="preserve">s and create a communications campaign which will emphasize that USDA </w:t>
      </w:r>
      <w:r>
        <w:rPr>
          <w:rFonts w:cs="Times New Roman"/>
        </w:rPr>
        <w:t>Commodities</w:t>
      </w:r>
      <w:r w:rsidRPr="00DF2E06">
        <w:rPr>
          <w:rFonts w:cs="Times New Roman"/>
        </w:rPr>
        <w:t xml:space="preserve"> are nutritious, balanced, safe, tasty, American-grown</w:t>
      </w:r>
      <w:r w:rsidR="00AD7D85">
        <w:rPr>
          <w:rFonts w:cs="Times New Roman"/>
        </w:rPr>
        <w:t>,</w:t>
      </w:r>
      <w:r w:rsidRPr="00DF2E06">
        <w:rPr>
          <w:rFonts w:cs="Times New Roman"/>
        </w:rPr>
        <w:t xml:space="preserve"> and important for school-aged children across the country. </w:t>
      </w:r>
      <w:r w:rsidR="00AD7D85">
        <w:rPr>
          <w:rFonts w:cs="Times New Roman"/>
        </w:rPr>
        <w:t xml:space="preserve"> </w:t>
      </w:r>
      <w:r w:rsidRPr="00DF2E06">
        <w:rPr>
          <w:rFonts w:cs="Times New Roman"/>
        </w:rPr>
        <w:t xml:space="preserve">The NSLP will serve as the platform from which to begin communicating these messages about USDA </w:t>
      </w:r>
      <w:r>
        <w:rPr>
          <w:rFonts w:cs="Times New Roman"/>
        </w:rPr>
        <w:t>Commoditie</w:t>
      </w:r>
      <w:r w:rsidRPr="00DF2E06">
        <w:rPr>
          <w:rFonts w:cs="Times New Roman"/>
        </w:rPr>
        <w:t xml:space="preserve">s, with the goal of elevating USDA </w:t>
      </w:r>
      <w:r>
        <w:rPr>
          <w:rFonts w:cs="Times New Roman"/>
        </w:rPr>
        <w:t>Commodities</w:t>
      </w:r>
      <w:r w:rsidRPr="00DF2E06">
        <w:rPr>
          <w:rFonts w:cs="Times New Roman"/>
        </w:rPr>
        <w:t xml:space="preserve"> as a whole. </w:t>
      </w:r>
    </w:p>
    <w:p w:rsidR="007438C6" w:rsidRPr="00DF2E06" w:rsidRDefault="007438C6" w:rsidP="007438C6">
      <w:pPr>
        <w:spacing w:after="0"/>
        <w:rPr>
          <w:rFonts w:cs="Times New Roman"/>
        </w:rPr>
      </w:pPr>
    </w:p>
    <w:p w:rsidR="007438C6" w:rsidRPr="00DF2E06" w:rsidRDefault="007438C6" w:rsidP="007438C6">
      <w:pPr>
        <w:spacing w:after="0"/>
        <w:rPr>
          <w:rFonts w:cs="Times New Roman"/>
        </w:rPr>
      </w:pPr>
      <w:r w:rsidRPr="00DF2E06">
        <w:rPr>
          <w:rFonts w:cs="Times New Roman"/>
        </w:rPr>
        <w:t xml:space="preserve">Through both qualitative and </w:t>
      </w:r>
      <w:r w:rsidRPr="00FD6FED">
        <w:rPr>
          <w:rFonts w:cs="Times New Roman"/>
        </w:rPr>
        <w:t>quantitative</w:t>
      </w:r>
      <w:r w:rsidRPr="00DF2E06">
        <w:rPr>
          <w:rFonts w:cs="Times New Roman"/>
        </w:rPr>
        <w:t xml:space="preserve"> research methods, FH/GMMB will assess key audiences’ awareness and knowledge of USDA </w:t>
      </w:r>
      <w:r>
        <w:rPr>
          <w:rFonts w:cs="Times New Roman"/>
        </w:rPr>
        <w:t>Commodities</w:t>
      </w:r>
      <w:r w:rsidRPr="00DF2E06">
        <w:rPr>
          <w:rFonts w:cs="Times New Roman"/>
        </w:rPr>
        <w:t xml:space="preserve">, their perceptions of USDA </w:t>
      </w:r>
      <w:r>
        <w:rPr>
          <w:rFonts w:cs="Times New Roman"/>
        </w:rPr>
        <w:t>Commodities</w:t>
      </w:r>
      <w:r w:rsidRPr="00DF2E06">
        <w:rPr>
          <w:rFonts w:cs="Times New Roman"/>
        </w:rPr>
        <w:t xml:space="preserve"> and the perceived barriers to participation in the NSLP. </w:t>
      </w:r>
      <w:r w:rsidR="00AD7D85">
        <w:rPr>
          <w:rFonts w:cs="Times New Roman"/>
        </w:rPr>
        <w:t xml:space="preserve"> </w:t>
      </w:r>
      <w:r w:rsidRPr="00DF2E06">
        <w:rPr>
          <w:rFonts w:cs="Times New Roman"/>
        </w:rPr>
        <w:t>Additionally, the research will obtain feedback regarding new program names, messages, taglines, logos</w:t>
      </w:r>
      <w:r w:rsidR="00AD7D85">
        <w:rPr>
          <w:rFonts w:cs="Times New Roman"/>
        </w:rPr>
        <w:t>,</w:t>
      </w:r>
      <w:r w:rsidRPr="00DF2E06">
        <w:rPr>
          <w:rFonts w:cs="Times New Roman"/>
        </w:rPr>
        <w:t xml:space="preserve"> and other outreach materials to support the rebranding of USDA </w:t>
      </w:r>
      <w:r>
        <w:rPr>
          <w:rFonts w:cs="Times New Roman"/>
        </w:rPr>
        <w:t>Commodities</w:t>
      </w:r>
      <w:r w:rsidRPr="00DF2E06">
        <w:rPr>
          <w:rFonts w:cs="Times New Roman"/>
        </w:rPr>
        <w:t>.</w:t>
      </w:r>
    </w:p>
    <w:p w:rsidR="007438C6" w:rsidRPr="00DF2E06" w:rsidRDefault="007438C6" w:rsidP="007438C6">
      <w:pPr>
        <w:spacing w:after="0"/>
        <w:rPr>
          <w:rFonts w:cs="Times New Roman"/>
        </w:rPr>
      </w:pPr>
    </w:p>
    <w:p w:rsidR="007438C6" w:rsidRPr="00DF2E06" w:rsidRDefault="007438C6" w:rsidP="007438C6">
      <w:pPr>
        <w:spacing w:after="0"/>
        <w:rPr>
          <w:rFonts w:cs="Times New Roman"/>
        </w:rPr>
      </w:pPr>
      <w:r w:rsidRPr="00DF2E06">
        <w:rPr>
          <w:rFonts w:cs="Times New Roman"/>
        </w:rPr>
        <w:t xml:space="preserve">The proposed benchmark surveys will provide a baseline measure of key audiences’ attitudes, </w:t>
      </w:r>
      <w:r w:rsidR="006A0EA3" w:rsidRPr="00DF2E06">
        <w:rPr>
          <w:rFonts w:cs="Times New Roman"/>
        </w:rPr>
        <w:t>awareness, and</w:t>
      </w:r>
      <w:r w:rsidRPr="00DF2E06">
        <w:rPr>
          <w:rFonts w:cs="Times New Roman"/>
        </w:rPr>
        <w:t xml:space="preserve"> perceptions of the program, which FNS can track over time to evaluate the effectiveness of its outreach efforts.</w:t>
      </w:r>
    </w:p>
    <w:p w:rsidR="007438C6" w:rsidRPr="00DF2E06" w:rsidRDefault="007438C6" w:rsidP="007438C6">
      <w:pPr>
        <w:spacing w:after="0"/>
        <w:rPr>
          <w:rFonts w:cs="Times New Roman"/>
        </w:rPr>
      </w:pPr>
    </w:p>
    <w:p w:rsidR="006A0EA3" w:rsidRDefault="006A0EA3" w:rsidP="007438C6">
      <w:pPr>
        <w:spacing w:after="0"/>
        <w:rPr>
          <w:rFonts w:cs="Times New Roman"/>
        </w:rPr>
      </w:pPr>
    </w:p>
    <w:p w:rsidR="007438C6" w:rsidRPr="00DF2E06" w:rsidRDefault="007438C6" w:rsidP="007438C6">
      <w:pPr>
        <w:spacing w:after="0"/>
        <w:rPr>
          <w:rFonts w:cs="Times New Roman"/>
        </w:rPr>
      </w:pPr>
      <w:r w:rsidRPr="00DF2E06">
        <w:rPr>
          <w:rFonts w:cs="Times New Roman"/>
        </w:rPr>
        <w:t xml:space="preserve">FH/GMMB will </w:t>
      </w:r>
      <w:r w:rsidR="00AD7D85">
        <w:rPr>
          <w:rFonts w:cs="Times New Roman"/>
        </w:rPr>
        <w:t>direct</w:t>
      </w:r>
      <w:r w:rsidR="00AD7D85" w:rsidRPr="00DF2E06">
        <w:rPr>
          <w:rFonts w:cs="Times New Roman"/>
        </w:rPr>
        <w:t xml:space="preserve"> </w:t>
      </w:r>
      <w:r w:rsidRPr="00DF2E06">
        <w:rPr>
          <w:rFonts w:cs="Times New Roman"/>
        </w:rPr>
        <w:t>its efforts toward five important audiences:</w:t>
      </w:r>
    </w:p>
    <w:p w:rsidR="007438C6" w:rsidRPr="00DF2E06" w:rsidRDefault="007438C6" w:rsidP="007438C6">
      <w:pPr>
        <w:pStyle w:val="ListParagraph"/>
        <w:numPr>
          <w:ilvl w:val="0"/>
          <w:numId w:val="26"/>
        </w:numPr>
        <w:spacing w:after="0"/>
        <w:rPr>
          <w:rFonts w:cs="Times New Roman"/>
        </w:rPr>
      </w:pPr>
      <w:r w:rsidRPr="00DF2E06">
        <w:rPr>
          <w:rFonts w:cs="Times New Roman"/>
        </w:rPr>
        <w:t xml:space="preserve">Program messengers: </w:t>
      </w:r>
      <w:r w:rsidR="00AD7D85">
        <w:rPr>
          <w:rFonts w:cs="Times New Roman"/>
        </w:rPr>
        <w:t xml:space="preserve"> C</w:t>
      </w:r>
      <w:r w:rsidRPr="00DF2E06">
        <w:rPr>
          <w:rFonts w:cs="Times New Roman"/>
        </w:rPr>
        <w:t xml:space="preserve">hild </w:t>
      </w:r>
      <w:r w:rsidR="00AD7D85">
        <w:rPr>
          <w:rFonts w:cs="Times New Roman"/>
        </w:rPr>
        <w:t>N</w:t>
      </w:r>
      <w:r w:rsidRPr="00DF2E06">
        <w:rPr>
          <w:rFonts w:cs="Times New Roman"/>
        </w:rPr>
        <w:t xml:space="preserve">utrition </w:t>
      </w:r>
      <w:r w:rsidR="00AD7D85">
        <w:rPr>
          <w:rFonts w:cs="Times New Roman"/>
        </w:rPr>
        <w:t>P</w:t>
      </w:r>
      <w:r w:rsidRPr="00DF2E06">
        <w:rPr>
          <w:rFonts w:cs="Times New Roman"/>
        </w:rPr>
        <w:t xml:space="preserve">rofessionals, teachers (Grades K through 12), </w:t>
      </w:r>
      <w:r w:rsidR="00AD7D85">
        <w:rPr>
          <w:rFonts w:cs="Times New Roman"/>
        </w:rPr>
        <w:t>A</w:t>
      </w:r>
      <w:r w:rsidRPr="00DF2E06">
        <w:rPr>
          <w:rFonts w:cs="Times New Roman"/>
        </w:rPr>
        <w:t>dministrators (Grades K through 12)</w:t>
      </w:r>
      <w:r w:rsidR="00AD7D85">
        <w:rPr>
          <w:rFonts w:cs="Times New Roman"/>
        </w:rPr>
        <w:t>,</w:t>
      </w:r>
      <w:r w:rsidRPr="00DF2E06">
        <w:rPr>
          <w:rFonts w:cs="Times New Roman"/>
        </w:rPr>
        <w:t xml:space="preserve"> and USDA </w:t>
      </w:r>
      <w:r>
        <w:rPr>
          <w:rFonts w:cs="Times New Roman"/>
        </w:rPr>
        <w:t>Commodities</w:t>
      </w:r>
      <w:r w:rsidRPr="00DF2E06">
        <w:rPr>
          <w:rFonts w:cs="Times New Roman"/>
        </w:rPr>
        <w:t xml:space="preserve"> partners, both internal and external</w:t>
      </w:r>
    </w:p>
    <w:p w:rsidR="007438C6" w:rsidRPr="00DF2E06" w:rsidRDefault="007438C6" w:rsidP="007438C6">
      <w:pPr>
        <w:pStyle w:val="ListParagraph"/>
        <w:numPr>
          <w:ilvl w:val="0"/>
          <w:numId w:val="26"/>
        </w:numPr>
        <w:spacing w:after="0"/>
        <w:rPr>
          <w:rFonts w:cs="Times New Roman"/>
        </w:rPr>
      </w:pPr>
      <w:r w:rsidRPr="00DF2E06">
        <w:rPr>
          <w:rFonts w:cs="Times New Roman"/>
        </w:rPr>
        <w:t xml:space="preserve">Program users: </w:t>
      </w:r>
      <w:r w:rsidR="00AD7D85">
        <w:rPr>
          <w:rFonts w:cs="Times New Roman"/>
        </w:rPr>
        <w:t xml:space="preserve"> </w:t>
      </w:r>
      <w:r w:rsidRPr="00DF2E06">
        <w:rPr>
          <w:rFonts w:cs="Times New Roman"/>
        </w:rPr>
        <w:t xml:space="preserve">parents/guardians of </w:t>
      </w:r>
      <w:r w:rsidR="00AD7D85">
        <w:rPr>
          <w:rFonts w:cs="Times New Roman"/>
        </w:rPr>
        <w:t xml:space="preserve">school-aged </w:t>
      </w:r>
      <w:r w:rsidRPr="00DF2E06">
        <w:rPr>
          <w:rFonts w:cs="Times New Roman"/>
        </w:rPr>
        <w:t xml:space="preserve">children </w:t>
      </w:r>
      <w:r w:rsidR="00AD7D85">
        <w:rPr>
          <w:rFonts w:cs="Times New Roman"/>
        </w:rPr>
        <w:t>(</w:t>
      </w:r>
      <w:r w:rsidR="006A0EA3">
        <w:rPr>
          <w:rFonts w:cs="Times New Roman"/>
        </w:rPr>
        <w:t xml:space="preserve">Grades </w:t>
      </w:r>
      <w:r w:rsidRPr="00DF2E06">
        <w:rPr>
          <w:rFonts w:cs="Times New Roman"/>
        </w:rPr>
        <w:t>K through 12</w:t>
      </w:r>
      <w:r w:rsidR="00AD7D85">
        <w:rPr>
          <w:rFonts w:cs="Times New Roman"/>
        </w:rPr>
        <w:t>)</w:t>
      </w:r>
    </w:p>
    <w:p w:rsidR="007438C6" w:rsidRPr="00DF2E06" w:rsidRDefault="007438C6" w:rsidP="007438C6">
      <w:pPr>
        <w:spacing w:after="0"/>
        <w:rPr>
          <w:rFonts w:cs="Times New Roman"/>
          <w:b/>
        </w:rPr>
      </w:pPr>
    </w:p>
    <w:p w:rsidR="007438C6" w:rsidRPr="00DF2E06" w:rsidRDefault="007438C6" w:rsidP="007438C6">
      <w:pPr>
        <w:spacing w:after="0"/>
        <w:rPr>
          <w:rFonts w:cs="Times New Roman"/>
          <w:b/>
        </w:rPr>
      </w:pPr>
      <w:r w:rsidRPr="00DF2E06">
        <w:rPr>
          <w:rFonts w:cs="Times New Roman"/>
          <w:b/>
        </w:rPr>
        <w:t>RESEARCH DESIGN</w:t>
      </w:r>
    </w:p>
    <w:p w:rsidR="007438C6" w:rsidRPr="00DF2E06" w:rsidRDefault="007438C6" w:rsidP="007438C6">
      <w:pPr>
        <w:spacing w:after="0"/>
        <w:rPr>
          <w:rFonts w:cs="Times New Roman"/>
        </w:rPr>
      </w:pPr>
      <w:r w:rsidRPr="00DF2E06">
        <w:rPr>
          <w:rFonts w:cs="Times New Roman"/>
        </w:rPr>
        <w:t xml:space="preserve">FH/GMMB proposes conducting both qualitative and quantitative research with key stakeholder groups– focus groups, in-depth interviews (IDIs) and Web-based surveys. </w:t>
      </w:r>
      <w:r w:rsidR="00AD7D85">
        <w:rPr>
          <w:rFonts w:cs="Times New Roman"/>
        </w:rPr>
        <w:t xml:space="preserve"> </w:t>
      </w:r>
      <w:r w:rsidRPr="00DF2E06">
        <w:rPr>
          <w:rFonts w:cs="Times New Roman"/>
        </w:rPr>
        <w:t xml:space="preserve">The table </w:t>
      </w:r>
      <w:r w:rsidR="00AD7D85">
        <w:rPr>
          <w:rFonts w:cs="Times New Roman"/>
        </w:rPr>
        <w:t xml:space="preserve">below </w:t>
      </w:r>
      <w:r w:rsidR="00F60C64">
        <w:rPr>
          <w:rFonts w:cs="Times New Roman"/>
        </w:rPr>
        <w:t>outlines the</w:t>
      </w:r>
      <w:r w:rsidRPr="00DF2E06">
        <w:rPr>
          <w:rFonts w:cs="Times New Roman"/>
        </w:rPr>
        <w:t xml:space="preserve"> proposed research design</w:t>
      </w:r>
      <w:r w:rsidR="00AD7D85">
        <w:rPr>
          <w:rFonts w:cs="Times New Roman"/>
        </w:rPr>
        <w:t>,</w:t>
      </w:r>
      <w:r w:rsidRPr="00DF2E06">
        <w:rPr>
          <w:rFonts w:cs="Times New Roman"/>
        </w:rPr>
        <w:t xml:space="preserve"> and the subsequent sections outline </w:t>
      </w:r>
      <w:r w:rsidR="00F60C64">
        <w:rPr>
          <w:rFonts w:cs="Times New Roman"/>
        </w:rPr>
        <w:t>the</w:t>
      </w:r>
      <w:r w:rsidRPr="00DF2E06">
        <w:rPr>
          <w:rFonts w:cs="Times New Roman"/>
        </w:rPr>
        <w:t xml:space="preserve"> approach for each methodology in more detail.</w:t>
      </w:r>
    </w:p>
    <w:p w:rsidR="007438C6" w:rsidRPr="00DF2E06" w:rsidRDefault="007438C6" w:rsidP="007438C6">
      <w:pPr>
        <w:spacing w:after="0"/>
        <w:rPr>
          <w:rFonts w:cs="Times New Roman"/>
        </w:rPr>
      </w:pPr>
    </w:p>
    <w:p w:rsidR="007438C6" w:rsidRPr="00DF2E06" w:rsidRDefault="007438C6" w:rsidP="007438C6">
      <w:pPr>
        <w:spacing w:after="0"/>
        <w:rPr>
          <w:rFonts w:cs="Times New Roman"/>
        </w:rPr>
      </w:pPr>
      <w:r w:rsidRPr="00DF2E06">
        <w:rPr>
          <w:rFonts w:cs="Times New Roman"/>
        </w:rPr>
        <w:t xml:space="preserve">With this blended </w:t>
      </w:r>
      <w:r w:rsidRPr="004F3A8D">
        <w:rPr>
          <w:rFonts w:cs="Times New Roman"/>
        </w:rPr>
        <w:t>approach, up t</w:t>
      </w:r>
      <w:r w:rsidR="00BC4044" w:rsidRPr="004F3A8D">
        <w:rPr>
          <w:rFonts w:cs="Times New Roman"/>
        </w:rPr>
        <w:t>o 1,74</w:t>
      </w:r>
      <w:r w:rsidRPr="004F3A8D">
        <w:rPr>
          <w:rFonts w:cs="Times New Roman"/>
        </w:rPr>
        <w:t>0 individuals will participate in this research.</w:t>
      </w:r>
      <w:r w:rsidR="00BC4044" w:rsidRPr="004F3A8D">
        <w:rPr>
          <w:rFonts w:cs="Times New Roman"/>
        </w:rPr>
        <w:t xml:space="preserve"> </w:t>
      </w:r>
      <w:r w:rsidR="00BA0139">
        <w:rPr>
          <w:rFonts w:cs="Times New Roman"/>
        </w:rPr>
        <w:t xml:space="preserve"> </w:t>
      </w:r>
      <w:r w:rsidR="00BC4044" w:rsidRPr="004F3A8D">
        <w:rPr>
          <w:rFonts w:cs="Times New Roman"/>
        </w:rPr>
        <w:t>Please note that this number does not take into account non-responses (those individuals who are screened and agree to participate, but do not actually participate).</w:t>
      </w:r>
    </w:p>
    <w:p w:rsidR="007438C6" w:rsidRPr="00DF2E06" w:rsidRDefault="007438C6" w:rsidP="007438C6">
      <w:pPr>
        <w:spacing w:after="0"/>
        <w:rPr>
          <w:rFonts w:cs="Times New Roman"/>
        </w:rPr>
      </w:pPr>
    </w:p>
    <w:tbl>
      <w:tblPr>
        <w:tblStyle w:val="LightList1"/>
        <w:tblW w:w="0" w:type="auto"/>
        <w:tblLook w:val="04A0"/>
      </w:tblPr>
      <w:tblGrid>
        <w:gridCol w:w="4788"/>
        <w:gridCol w:w="4788"/>
      </w:tblGrid>
      <w:tr w:rsidR="007438C6" w:rsidRPr="00DF2E06" w:rsidTr="002C137E">
        <w:trPr>
          <w:cnfStyle w:val="100000000000"/>
        </w:trPr>
        <w:tc>
          <w:tcPr>
            <w:cnfStyle w:val="001000000000"/>
            <w:tcW w:w="9576" w:type="dxa"/>
            <w:gridSpan w:val="2"/>
            <w:tcBorders>
              <w:bottom w:val="single" w:sz="8" w:space="0" w:color="000000" w:themeColor="text1"/>
            </w:tcBorders>
          </w:tcPr>
          <w:p w:rsidR="007438C6" w:rsidRPr="00DF2E06" w:rsidRDefault="007438C6" w:rsidP="002C137E">
            <w:pPr>
              <w:jc w:val="center"/>
              <w:rPr>
                <w:rFonts w:cs="Times New Roman"/>
              </w:rPr>
            </w:pPr>
            <w:r w:rsidRPr="00DF2E06">
              <w:rPr>
                <w:rFonts w:cs="Times New Roman"/>
              </w:rPr>
              <w:t>RESEARCH DESIGN – SNAPSHOT</w:t>
            </w:r>
          </w:p>
        </w:tc>
      </w:tr>
      <w:tr w:rsidR="007438C6" w:rsidRPr="00DF2E06" w:rsidTr="002C137E">
        <w:trPr>
          <w:cnfStyle w:val="000000100000"/>
        </w:trPr>
        <w:tc>
          <w:tcPr>
            <w:cnfStyle w:val="001000000000"/>
            <w:tcW w:w="4788" w:type="dxa"/>
            <w:shd w:val="clear" w:color="auto" w:fill="000000" w:themeFill="text1"/>
          </w:tcPr>
          <w:p w:rsidR="007438C6" w:rsidRPr="00DF2E06" w:rsidRDefault="007438C6" w:rsidP="002C137E">
            <w:pPr>
              <w:jc w:val="center"/>
              <w:rPr>
                <w:rFonts w:cs="Times New Roman"/>
              </w:rPr>
            </w:pPr>
            <w:r w:rsidRPr="00DF2E06">
              <w:rPr>
                <w:rFonts w:cs="Times New Roman"/>
              </w:rPr>
              <w:t>TARGET AUDIENCE</w:t>
            </w:r>
          </w:p>
        </w:tc>
        <w:tc>
          <w:tcPr>
            <w:tcW w:w="4788" w:type="dxa"/>
            <w:shd w:val="clear" w:color="auto" w:fill="000000" w:themeFill="text1"/>
          </w:tcPr>
          <w:p w:rsidR="007438C6" w:rsidRPr="00DF2E06" w:rsidRDefault="007438C6" w:rsidP="002C137E">
            <w:pPr>
              <w:jc w:val="center"/>
              <w:cnfStyle w:val="000000100000"/>
              <w:rPr>
                <w:rFonts w:cs="Times New Roman"/>
                <w:b/>
              </w:rPr>
            </w:pPr>
            <w:r w:rsidRPr="00DF2E06">
              <w:rPr>
                <w:rFonts w:cs="Times New Roman"/>
                <w:b/>
              </w:rPr>
              <w:t>RESEARCH METHODOLOGY</w:t>
            </w:r>
          </w:p>
        </w:tc>
      </w:tr>
      <w:tr w:rsidR="007438C6" w:rsidRPr="00DF2E06" w:rsidTr="002C137E">
        <w:tc>
          <w:tcPr>
            <w:cnfStyle w:val="001000000000"/>
            <w:tcW w:w="4788" w:type="dxa"/>
          </w:tcPr>
          <w:p w:rsidR="007438C6" w:rsidRPr="00DF2E06" w:rsidRDefault="007438C6" w:rsidP="002C137E">
            <w:pPr>
              <w:rPr>
                <w:rFonts w:cs="Times New Roman"/>
                <w:b w:val="0"/>
              </w:rPr>
            </w:pPr>
            <w:r w:rsidRPr="00DF2E06">
              <w:rPr>
                <w:rFonts w:cs="Times New Roman"/>
                <w:b w:val="0"/>
              </w:rPr>
              <w:t>Child Nutrition Professionals (CNPs)</w:t>
            </w:r>
          </w:p>
        </w:tc>
        <w:tc>
          <w:tcPr>
            <w:tcW w:w="4788" w:type="dxa"/>
          </w:tcPr>
          <w:p w:rsidR="007438C6" w:rsidRPr="00DF2E06" w:rsidRDefault="007438C6" w:rsidP="002C137E">
            <w:pPr>
              <w:pStyle w:val="ListParagraph"/>
              <w:numPr>
                <w:ilvl w:val="0"/>
                <w:numId w:val="2"/>
              </w:numPr>
              <w:cnfStyle w:val="000000000000"/>
              <w:rPr>
                <w:rFonts w:cs="Times New Roman"/>
              </w:rPr>
            </w:pPr>
            <w:r w:rsidRPr="00DF2E06">
              <w:rPr>
                <w:rFonts w:cs="Times New Roman"/>
              </w:rPr>
              <w:t>Four Web-based focus groups (n=32)</w:t>
            </w:r>
          </w:p>
          <w:p w:rsidR="007438C6" w:rsidRPr="00DF2E06" w:rsidRDefault="007438C6" w:rsidP="002C137E">
            <w:pPr>
              <w:pStyle w:val="ListParagraph"/>
              <w:numPr>
                <w:ilvl w:val="0"/>
                <w:numId w:val="2"/>
              </w:numPr>
              <w:cnfStyle w:val="000000000000"/>
              <w:rPr>
                <w:rFonts w:cs="Times New Roman"/>
              </w:rPr>
            </w:pPr>
            <w:r w:rsidRPr="00DF2E06">
              <w:rPr>
                <w:rFonts w:cs="Times New Roman"/>
              </w:rPr>
              <w:t>Web-based benchmark survey (n= 500)</w:t>
            </w:r>
          </w:p>
          <w:p w:rsidR="007438C6" w:rsidRPr="00DF2E06" w:rsidRDefault="007438C6" w:rsidP="002C137E">
            <w:pPr>
              <w:pStyle w:val="ListParagraph"/>
              <w:numPr>
                <w:ilvl w:val="0"/>
                <w:numId w:val="2"/>
              </w:numPr>
              <w:cnfStyle w:val="000000000000"/>
              <w:rPr>
                <w:rFonts w:cs="Times New Roman"/>
              </w:rPr>
            </w:pPr>
            <w:r w:rsidRPr="00DF2E06">
              <w:rPr>
                <w:rFonts w:cs="Times New Roman"/>
              </w:rPr>
              <w:t>Web-based tracking survey (n=500)</w:t>
            </w:r>
          </w:p>
        </w:tc>
      </w:tr>
      <w:tr w:rsidR="007438C6" w:rsidRPr="00DF2E06" w:rsidTr="002C137E">
        <w:trPr>
          <w:cnfStyle w:val="000000100000"/>
        </w:trPr>
        <w:tc>
          <w:tcPr>
            <w:cnfStyle w:val="001000000000"/>
            <w:tcW w:w="4788" w:type="dxa"/>
          </w:tcPr>
          <w:p w:rsidR="007438C6" w:rsidRPr="00DF2E06" w:rsidRDefault="007438C6" w:rsidP="002C137E">
            <w:pPr>
              <w:rPr>
                <w:rFonts w:cs="Times New Roman"/>
                <w:b w:val="0"/>
              </w:rPr>
            </w:pPr>
            <w:r w:rsidRPr="00DF2E06">
              <w:rPr>
                <w:rFonts w:cs="Times New Roman"/>
                <w:b w:val="0"/>
              </w:rPr>
              <w:t>K through 12 Teachers</w:t>
            </w:r>
          </w:p>
        </w:tc>
        <w:tc>
          <w:tcPr>
            <w:tcW w:w="4788" w:type="dxa"/>
          </w:tcPr>
          <w:p w:rsidR="007438C6" w:rsidRPr="00167A57" w:rsidRDefault="00437330" w:rsidP="002C137E">
            <w:pPr>
              <w:pStyle w:val="ListParagraph"/>
              <w:numPr>
                <w:ilvl w:val="0"/>
                <w:numId w:val="2"/>
              </w:numPr>
              <w:cnfStyle w:val="000000100000"/>
              <w:rPr>
                <w:rFonts w:cs="Times New Roman"/>
              </w:rPr>
            </w:pPr>
            <w:r w:rsidRPr="00167A57">
              <w:rPr>
                <w:rFonts w:cs="Times New Roman"/>
              </w:rPr>
              <w:t>Four</w:t>
            </w:r>
            <w:r w:rsidR="005C0502" w:rsidRPr="00167A57">
              <w:rPr>
                <w:rFonts w:cs="Times New Roman"/>
              </w:rPr>
              <w:t>, in-person</w:t>
            </w:r>
            <w:r w:rsidRPr="00167A57">
              <w:rPr>
                <w:rFonts w:cs="Times New Roman"/>
              </w:rPr>
              <w:t xml:space="preserve"> focus</w:t>
            </w:r>
            <w:r w:rsidR="007438C6" w:rsidRPr="00167A57">
              <w:rPr>
                <w:rFonts w:cs="Times New Roman"/>
              </w:rPr>
              <w:t xml:space="preserve"> groups </w:t>
            </w:r>
            <w:r w:rsidRPr="00167A57">
              <w:rPr>
                <w:rFonts w:cs="Times New Roman"/>
              </w:rPr>
              <w:t>(n=48)</w:t>
            </w:r>
          </w:p>
          <w:p w:rsidR="007438C6" w:rsidRPr="00DF2E06" w:rsidRDefault="007438C6" w:rsidP="002C137E">
            <w:pPr>
              <w:pStyle w:val="ListParagraph"/>
              <w:numPr>
                <w:ilvl w:val="0"/>
                <w:numId w:val="2"/>
              </w:numPr>
              <w:cnfStyle w:val="000000100000"/>
              <w:rPr>
                <w:rFonts w:cs="Times New Roman"/>
              </w:rPr>
            </w:pPr>
            <w:r w:rsidRPr="00DF2E06">
              <w:rPr>
                <w:rFonts w:cs="Times New Roman"/>
              </w:rPr>
              <w:t>Web-based benchmark survey (n=250)</w:t>
            </w:r>
          </w:p>
          <w:p w:rsidR="007438C6" w:rsidRPr="00DF2E06" w:rsidRDefault="007438C6" w:rsidP="002C137E">
            <w:pPr>
              <w:pStyle w:val="ListParagraph"/>
              <w:numPr>
                <w:ilvl w:val="0"/>
                <w:numId w:val="2"/>
              </w:numPr>
              <w:cnfStyle w:val="000000100000"/>
              <w:rPr>
                <w:rFonts w:cs="Times New Roman"/>
              </w:rPr>
            </w:pPr>
            <w:r w:rsidRPr="00DF2E06">
              <w:rPr>
                <w:rFonts w:cs="Times New Roman"/>
              </w:rPr>
              <w:t>Web-based tracking survey (n=250)</w:t>
            </w:r>
          </w:p>
        </w:tc>
      </w:tr>
      <w:tr w:rsidR="007438C6" w:rsidRPr="00DF2E06" w:rsidTr="002C137E">
        <w:tc>
          <w:tcPr>
            <w:cnfStyle w:val="001000000000"/>
            <w:tcW w:w="4788" w:type="dxa"/>
          </w:tcPr>
          <w:p w:rsidR="007438C6" w:rsidRPr="00DF2E06" w:rsidRDefault="007438C6" w:rsidP="002C137E">
            <w:pPr>
              <w:rPr>
                <w:rFonts w:cs="Times New Roman"/>
                <w:b w:val="0"/>
              </w:rPr>
            </w:pPr>
            <w:r w:rsidRPr="00DF2E06">
              <w:rPr>
                <w:rFonts w:cs="Times New Roman"/>
                <w:b w:val="0"/>
              </w:rPr>
              <w:t>K through 12 Administrators</w:t>
            </w:r>
          </w:p>
        </w:tc>
        <w:tc>
          <w:tcPr>
            <w:tcW w:w="4788" w:type="dxa"/>
          </w:tcPr>
          <w:p w:rsidR="007438C6" w:rsidRPr="00DF2E06" w:rsidRDefault="00437330" w:rsidP="002C137E">
            <w:pPr>
              <w:pStyle w:val="ListParagraph"/>
              <w:numPr>
                <w:ilvl w:val="0"/>
                <w:numId w:val="2"/>
              </w:numPr>
              <w:cnfStyle w:val="000000000000"/>
              <w:rPr>
                <w:rFonts w:cs="Times New Roman"/>
              </w:rPr>
            </w:pPr>
            <w:r w:rsidRPr="00167A57">
              <w:rPr>
                <w:rFonts w:cs="Times New Roman"/>
              </w:rPr>
              <w:t>Four</w:t>
            </w:r>
            <w:r w:rsidR="005C0502" w:rsidRPr="00167A57">
              <w:rPr>
                <w:rFonts w:cs="Times New Roman"/>
              </w:rPr>
              <w:t>,</w:t>
            </w:r>
            <w:r w:rsidRPr="00167A57">
              <w:rPr>
                <w:rFonts w:cs="Times New Roman"/>
              </w:rPr>
              <w:t xml:space="preserve"> </w:t>
            </w:r>
            <w:r w:rsidR="005C0502" w:rsidRPr="00167A57">
              <w:rPr>
                <w:rFonts w:cs="Times New Roman"/>
              </w:rPr>
              <w:t xml:space="preserve">in-person </w:t>
            </w:r>
            <w:r w:rsidRPr="00167A57">
              <w:rPr>
                <w:rFonts w:cs="Times New Roman"/>
              </w:rPr>
              <w:t>focus groups (n=48)</w:t>
            </w:r>
          </w:p>
        </w:tc>
      </w:tr>
      <w:tr w:rsidR="007438C6" w:rsidRPr="00DF2E06" w:rsidTr="002C137E">
        <w:trPr>
          <w:cnfStyle w:val="000000100000"/>
        </w:trPr>
        <w:tc>
          <w:tcPr>
            <w:cnfStyle w:val="001000000000"/>
            <w:tcW w:w="4788" w:type="dxa"/>
          </w:tcPr>
          <w:p w:rsidR="007438C6" w:rsidRPr="00DF2E06" w:rsidRDefault="007438C6" w:rsidP="002C137E">
            <w:pPr>
              <w:rPr>
                <w:rFonts w:cs="Times New Roman"/>
                <w:b w:val="0"/>
              </w:rPr>
            </w:pPr>
            <w:r w:rsidRPr="00DF2E06">
              <w:rPr>
                <w:rFonts w:cs="Times New Roman"/>
                <w:b w:val="0"/>
              </w:rPr>
              <w:t xml:space="preserve">Partners </w:t>
            </w:r>
          </w:p>
        </w:tc>
        <w:tc>
          <w:tcPr>
            <w:tcW w:w="4788" w:type="dxa"/>
          </w:tcPr>
          <w:p w:rsidR="007438C6" w:rsidRPr="00DF2E06" w:rsidRDefault="007438C6" w:rsidP="002C137E">
            <w:pPr>
              <w:pStyle w:val="ListParagraph"/>
              <w:numPr>
                <w:ilvl w:val="0"/>
                <w:numId w:val="2"/>
              </w:numPr>
              <w:cnfStyle w:val="000000100000"/>
              <w:rPr>
                <w:rFonts w:cs="Times New Roman"/>
              </w:rPr>
            </w:pPr>
            <w:r w:rsidRPr="00DF2E06">
              <w:rPr>
                <w:rFonts w:cs="Times New Roman"/>
              </w:rPr>
              <w:t>15 to 20 telephone interviews with internal partners</w:t>
            </w:r>
          </w:p>
          <w:p w:rsidR="007438C6" w:rsidRPr="00DF2E06" w:rsidRDefault="007438C6" w:rsidP="002C137E">
            <w:pPr>
              <w:pStyle w:val="ListParagraph"/>
              <w:numPr>
                <w:ilvl w:val="0"/>
                <w:numId w:val="2"/>
              </w:numPr>
              <w:cnfStyle w:val="000000100000"/>
              <w:rPr>
                <w:rFonts w:cs="Times New Roman"/>
              </w:rPr>
            </w:pPr>
            <w:r w:rsidRPr="00DF2E06">
              <w:rPr>
                <w:rFonts w:cs="Times New Roman"/>
              </w:rPr>
              <w:t>15 to 20 telephone interviews with external partners</w:t>
            </w:r>
          </w:p>
        </w:tc>
      </w:tr>
      <w:tr w:rsidR="007438C6" w:rsidRPr="00DF2E06" w:rsidTr="002C137E">
        <w:tc>
          <w:tcPr>
            <w:cnfStyle w:val="001000000000"/>
            <w:tcW w:w="4788" w:type="dxa"/>
          </w:tcPr>
          <w:p w:rsidR="006A0EA3" w:rsidRDefault="007438C6" w:rsidP="002C137E">
            <w:pPr>
              <w:rPr>
                <w:rFonts w:cs="Times New Roman"/>
                <w:b w:val="0"/>
              </w:rPr>
            </w:pPr>
            <w:r w:rsidRPr="00DF2E06">
              <w:rPr>
                <w:rFonts w:cs="Times New Roman"/>
                <w:b w:val="0"/>
              </w:rPr>
              <w:t>Parents/Guardians of School-Aged Children</w:t>
            </w:r>
            <w:r w:rsidR="00BA0139">
              <w:rPr>
                <w:rFonts w:cs="Times New Roman"/>
                <w:b w:val="0"/>
              </w:rPr>
              <w:t xml:space="preserve"> </w:t>
            </w:r>
          </w:p>
          <w:p w:rsidR="007438C6" w:rsidRPr="00DF2E06" w:rsidRDefault="00BA0139" w:rsidP="002C137E">
            <w:pPr>
              <w:rPr>
                <w:rFonts w:cs="Times New Roman"/>
                <w:b w:val="0"/>
              </w:rPr>
            </w:pPr>
            <w:r>
              <w:rPr>
                <w:rFonts w:cs="Times New Roman"/>
                <w:b w:val="0"/>
              </w:rPr>
              <w:t>(K through 12)</w:t>
            </w:r>
          </w:p>
        </w:tc>
        <w:tc>
          <w:tcPr>
            <w:tcW w:w="4788" w:type="dxa"/>
          </w:tcPr>
          <w:p w:rsidR="007438C6" w:rsidRPr="00DF2E06" w:rsidRDefault="00437330" w:rsidP="005C0502">
            <w:pPr>
              <w:pStyle w:val="ListParagraph"/>
              <w:numPr>
                <w:ilvl w:val="0"/>
                <w:numId w:val="2"/>
              </w:numPr>
              <w:cnfStyle w:val="000000000000"/>
              <w:rPr>
                <w:rFonts w:cs="Times New Roman"/>
              </w:rPr>
            </w:pPr>
            <w:r w:rsidRPr="00167A57">
              <w:rPr>
                <w:rFonts w:cs="Times New Roman"/>
              </w:rPr>
              <w:t>Six</w:t>
            </w:r>
            <w:r w:rsidR="005C0502" w:rsidRPr="00167A57">
              <w:rPr>
                <w:rFonts w:cs="Times New Roman"/>
              </w:rPr>
              <w:t xml:space="preserve">, in-person </w:t>
            </w:r>
            <w:r w:rsidRPr="00167A57">
              <w:rPr>
                <w:rFonts w:cs="Times New Roman"/>
              </w:rPr>
              <w:t>focus groups (n=72)</w:t>
            </w:r>
          </w:p>
        </w:tc>
      </w:tr>
      <w:tr w:rsidR="007438C6" w:rsidRPr="00DF2E06" w:rsidTr="002C137E">
        <w:trPr>
          <w:cnfStyle w:val="000000100000"/>
        </w:trPr>
        <w:tc>
          <w:tcPr>
            <w:cnfStyle w:val="001000000000"/>
            <w:tcW w:w="4788" w:type="dxa"/>
          </w:tcPr>
          <w:p w:rsidR="007438C6" w:rsidRPr="00DF2E06" w:rsidRDefault="007438C6" w:rsidP="002C137E">
            <w:pPr>
              <w:rPr>
                <w:rFonts w:cs="Times New Roman"/>
              </w:rPr>
            </w:pPr>
            <w:r w:rsidRPr="00DF2E06">
              <w:rPr>
                <w:rFonts w:cs="Times New Roman"/>
              </w:rPr>
              <w:t>TOTAL NUMBER OF PARTICIPANTS</w:t>
            </w:r>
          </w:p>
        </w:tc>
        <w:tc>
          <w:tcPr>
            <w:tcW w:w="4788" w:type="dxa"/>
          </w:tcPr>
          <w:p w:rsidR="007438C6" w:rsidRPr="00DF2E06" w:rsidRDefault="007438C6" w:rsidP="002C137E">
            <w:pPr>
              <w:cnfStyle w:val="000000100000"/>
              <w:rPr>
                <w:rFonts w:cs="Times New Roman"/>
                <w:b/>
              </w:rPr>
            </w:pPr>
            <w:r w:rsidRPr="00DF2E06">
              <w:rPr>
                <w:rFonts w:cs="Times New Roman"/>
                <w:b/>
              </w:rPr>
              <w:t xml:space="preserve">Approximately 1,740 </w:t>
            </w:r>
          </w:p>
        </w:tc>
      </w:tr>
    </w:tbl>
    <w:p w:rsidR="007438C6" w:rsidRPr="00DF2E06" w:rsidRDefault="007438C6" w:rsidP="007438C6">
      <w:pPr>
        <w:spacing w:after="0"/>
        <w:rPr>
          <w:rFonts w:cs="Times New Roman"/>
        </w:rPr>
      </w:pPr>
    </w:p>
    <w:p w:rsidR="007438C6" w:rsidRPr="00DF2E06" w:rsidRDefault="007438C6" w:rsidP="007438C6">
      <w:pPr>
        <w:rPr>
          <w:rFonts w:cs="Times New Roman"/>
          <w:b/>
          <w:u w:val="single"/>
        </w:rPr>
      </w:pPr>
      <w:r w:rsidRPr="00DF2E06">
        <w:rPr>
          <w:rFonts w:cs="Times New Roman"/>
          <w:b/>
          <w:u w:val="single"/>
        </w:rPr>
        <w:br w:type="page"/>
      </w:r>
    </w:p>
    <w:p w:rsidR="007438C6" w:rsidRPr="00DF2E06" w:rsidRDefault="007438C6" w:rsidP="007438C6">
      <w:pPr>
        <w:spacing w:after="0"/>
        <w:jc w:val="center"/>
        <w:rPr>
          <w:rFonts w:cs="Times New Roman"/>
          <w:b/>
          <w:u w:val="single"/>
        </w:rPr>
      </w:pPr>
      <w:r w:rsidRPr="00DF2E06">
        <w:rPr>
          <w:rFonts w:cs="Times New Roman"/>
          <w:b/>
          <w:u w:val="single"/>
        </w:rPr>
        <w:t>Qualitative Research: Stakeholders Represented and Design</w:t>
      </w:r>
    </w:p>
    <w:p w:rsidR="007438C6" w:rsidRPr="00DF2E06"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We propose conducting 14 in-person focus groups across the four U.S. Census Bureau regions</w:t>
      </w:r>
      <w:r w:rsidR="000B4CAC" w:rsidRPr="00591643">
        <w:rPr>
          <w:rFonts w:cs="Times New Roman"/>
        </w:rPr>
        <w:t xml:space="preserve"> (Northeast, South, Midwest and West)</w:t>
      </w:r>
      <w:r w:rsidRPr="00591643">
        <w:rPr>
          <w:rFonts w:cs="Times New Roman"/>
        </w:rPr>
        <w:t>, four Web-based focus groups via the Internet</w:t>
      </w:r>
      <w:r w:rsidR="00BA0139">
        <w:rPr>
          <w:rFonts w:cs="Times New Roman"/>
        </w:rPr>
        <w:t>,</w:t>
      </w:r>
      <w:r w:rsidRPr="00591643">
        <w:rPr>
          <w:rFonts w:cs="Times New Roman"/>
        </w:rPr>
        <w:t xml:space="preserve"> and up to 40 in-depth telephone interviews (IDIs). </w:t>
      </w:r>
      <w:r w:rsidR="00BA0139">
        <w:rPr>
          <w:rFonts w:cs="Times New Roman"/>
        </w:rPr>
        <w:t xml:space="preserve"> </w:t>
      </w:r>
      <w:r w:rsidRPr="00591643">
        <w:rPr>
          <w:rFonts w:cs="Times New Roman"/>
        </w:rPr>
        <w:t xml:space="preserve">Up to 240 individuals will participate in the qualitative discussions and interviews. </w:t>
      </w:r>
      <w:r w:rsidR="00BA0139">
        <w:rPr>
          <w:rFonts w:cs="Times New Roman"/>
        </w:rPr>
        <w:t xml:space="preserve"> </w:t>
      </w:r>
      <w:r w:rsidR="000B4CAC" w:rsidRPr="00591643">
        <w:rPr>
          <w:rFonts w:cs="Times New Roman"/>
        </w:rPr>
        <w:t>For a full description of the audiences</w:t>
      </w:r>
      <w:r w:rsidR="00BA0139">
        <w:rPr>
          <w:rFonts w:cs="Times New Roman"/>
        </w:rPr>
        <w:t>,</w:t>
      </w:r>
      <w:r w:rsidR="000B4CAC" w:rsidRPr="00591643">
        <w:rPr>
          <w:rFonts w:cs="Times New Roman"/>
        </w:rPr>
        <w:t xml:space="preserve"> please refer to “Composition/Structure of Focus Gr</w:t>
      </w:r>
      <w:r w:rsidR="003C4BD6" w:rsidRPr="00591643">
        <w:rPr>
          <w:rFonts w:cs="Times New Roman"/>
        </w:rPr>
        <w:t xml:space="preserve">oups and In-Depth </w:t>
      </w:r>
      <w:r w:rsidR="00474D15">
        <w:rPr>
          <w:rFonts w:cs="Times New Roman"/>
        </w:rPr>
        <w:t>Interviews” that follows in the body of this</w:t>
      </w:r>
      <w:r w:rsidR="003C4BD6" w:rsidRPr="00591643">
        <w:rPr>
          <w:rFonts w:cs="Times New Roman"/>
        </w:rPr>
        <w:t xml:space="preserve"> document, or, </w:t>
      </w:r>
      <w:r w:rsidR="000B4CAC" w:rsidRPr="00591643">
        <w:rPr>
          <w:rFonts w:cs="Times New Roman"/>
        </w:rPr>
        <w:t>the “Audien</w:t>
      </w:r>
      <w:r w:rsidR="003C4BD6" w:rsidRPr="00591643">
        <w:rPr>
          <w:rFonts w:cs="Times New Roman"/>
        </w:rPr>
        <w:t>ce and Market Matrix” that</w:t>
      </w:r>
      <w:r w:rsidR="00474D15">
        <w:rPr>
          <w:rFonts w:cs="Times New Roman"/>
        </w:rPr>
        <w:t xml:space="preserve"> also follows in the body of this</w:t>
      </w:r>
      <w:r w:rsidR="003C4BD6" w:rsidRPr="00591643">
        <w:rPr>
          <w:rFonts w:cs="Times New Roman"/>
        </w:rPr>
        <w:t xml:space="preserve"> document</w:t>
      </w:r>
      <w:r w:rsidR="000B4CAC" w:rsidRPr="00591643">
        <w:rPr>
          <w:rFonts w:cs="Times New Roman"/>
        </w:rPr>
        <w:t>.</w:t>
      </w:r>
      <w:r w:rsidR="00BA0139">
        <w:rPr>
          <w:rFonts w:cs="Times New Roman"/>
        </w:rPr>
        <w:t xml:space="preserve"> </w:t>
      </w:r>
      <w:r w:rsidR="00BC4044">
        <w:rPr>
          <w:rFonts w:cs="Times New Roman"/>
        </w:rPr>
        <w:t xml:space="preserve"> </w:t>
      </w:r>
      <w:r w:rsidRPr="00591643">
        <w:rPr>
          <w:rFonts w:cs="Times New Roman"/>
        </w:rPr>
        <w:t>The types of stakeholder groups included in this project are the following:</w:t>
      </w:r>
    </w:p>
    <w:p w:rsidR="007438C6" w:rsidRPr="00591643" w:rsidRDefault="007438C6" w:rsidP="007438C6">
      <w:pPr>
        <w:spacing w:after="0"/>
        <w:rPr>
          <w:rFonts w:cs="Times New Roman"/>
        </w:rPr>
      </w:pPr>
    </w:p>
    <w:p w:rsidR="007438C6" w:rsidRPr="00591643" w:rsidRDefault="007438C6" w:rsidP="007438C6">
      <w:pPr>
        <w:pStyle w:val="ListParagraph"/>
        <w:numPr>
          <w:ilvl w:val="0"/>
          <w:numId w:val="2"/>
        </w:numPr>
        <w:spacing w:after="0"/>
        <w:ind w:left="360"/>
        <w:rPr>
          <w:rFonts w:cs="Times New Roman"/>
        </w:rPr>
      </w:pPr>
      <w:r w:rsidRPr="00591643">
        <w:rPr>
          <w:rFonts w:cs="Times New Roman"/>
          <w:b/>
        </w:rPr>
        <w:t>Child Nutrition Professionals</w:t>
      </w:r>
      <w:r w:rsidRPr="00591643">
        <w:rPr>
          <w:rFonts w:cs="Times New Roman"/>
        </w:rPr>
        <w:t xml:space="preserve"> (includes food service directors and/or food service supervisors, as well as F</w:t>
      </w:r>
      <w:r w:rsidR="006A0EA3">
        <w:rPr>
          <w:rFonts w:cs="Times New Roman"/>
        </w:rPr>
        <w:t xml:space="preserve">ood Service Management Company </w:t>
      </w:r>
      <w:r w:rsidRPr="00591643">
        <w:rPr>
          <w:rFonts w:cs="Times New Roman"/>
        </w:rPr>
        <w:t xml:space="preserve">personnel if appropriate): </w:t>
      </w:r>
      <w:r w:rsidR="00BA0139">
        <w:rPr>
          <w:rFonts w:cs="Times New Roman"/>
        </w:rPr>
        <w:t xml:space="preserve"> </w:t>
      </w:r>
      <w:r w:rsidRPr="00591643">
        <w:rPr>
          <w:rFonts w:cs="Times New Roman"/>
        </w:rPr>
        <w:t>four</w:t>
      </w:r>
      <w:r w:rsidR="00BA0139">
        <w:rPr>
          <w:rFonts w:cs="Times New Roman"/>
        </w:rPr>
        <w:t>,</w:t>
      </w:r>
      <w:r w:rsidRPr="00591643">
        <w:rPr>
          <w:rFonts w:cs="Times New Roman"/>
        </w:rPr>
        <w:t xml:space="preserve"> </w:t>
      </w:r>
      <w:r w:rsidR="00245620" w:rsidRPr="00245620">
        <w:rPr>
          <w:rFonts w:cs="Times New Roman"/>
        </w:rPr>
        <w:t>Web-based</w:t>
      </w:r>
      <w:r w:rsidRPr="00591643">
        <w:rPr>
          <w:rFonts w:cs="Times New Roman"/>
        </w:rPr>
        <w:t xml:space="preserve"> focus groups. </w:t>
      </w:r>
      <w:r w:rsidR="00BA0139">
        <w:rPr>
          <w:rFonts w:cs="Times New Roman"/>
        </w:rPr>
        <w:t xml:space="preserve"> </w:t>
      </w:r>
      <w:r w:rsidRPr="00591643">
        <w:rPr>
          <w:rFonts w:cs="Times New Roman"/>
          <w:i/>
        </w:rPr>
        <w:t>Rationale:</w:t>
      </w:r>
      <w:r w:rsidR="00BA0139">
        <w:rPr>
          <w:rFonts w:cs="Times New Roman"/>
          <w:i/>
        </w:rPr>
        <w:t xml:space="preserve"> </w:t>
      </w:r>
      <w:r w:rsidRPr="00591643">
        <w:rPr>
          <w:rFonts w:cs="Times New Roman"/>
          <w:i/>
        </w:rPr>
        <w:t xml:space="preserve"> This group represents public and nonprofit private school employees who implement the NSLP in their respective school districts. </w:t>
      </w:r>
      <w:r w:rsidR="00BA0139">
        <w:rPr>
          <w:rFonts w:cs="Times New Roman"/>
          <w:i/>
        </w:rPr>
        <w:t xml:space="preserve"> </w:t>
      </w:r>
      <w:r w:rsidRPr="00591643">
        <w:rPr>
          <w:rFonts w:cs="Times New Roman"/>
          <w:i/>
        </w:rPr>
        <w:t>This audience interacts directly with cafeteria managers, school teachers, school administrators, PTO/PTAs</w:t>
      </w:r>
      <w:r w:rsidR="00BA0139">
        <w:rPr>
          <w:rFonts w:cs="Times New Roman"/>
          <w:i/>
        </w:rPr>
        <w:t>,</w:t>
      </w:r>
      <w:r w:rsidRPr="00591643">
        <w:rPr>
          <w:rFonts w:cs="Times New Roman"/>
          <w:i/>
        </w:rPr>
        <w:t xml:space="preserve"> and school-aged children. </w:t>
      </w:r>
      <w:r w:rsidR="00BA0139">
        <w:rPr>
          <w:rFonts w:cs="Times New Roman"/>
          <w:i/>
        </w:rPr>
        <w:t xml:space="preserve"> </w:t>
      </w:r>
      <w:r w:rsidRPr="00591643">
        <w:rPr>
          <w:rFonts w:cs="Times New Roman"/>
          <w:i/>
        </w:rPr>
        <w:t>Child nutrition professionals serve as program marketers, messengers</w:t>
      </w:r>
      <w:r w:rsidR="00BA0139">
        <w:rPr>
          <w:rFonts w:cs="Times New Roman"/>
          <w:i/>
        </w:rPr>
        <w:t>,</w:t>
      </w:r>
      <w:r w:rsidRPr="00591643">
        <w:rPr>
          <w:rFonts w:cs="Times New Roman"/>
          <w:i/>
        </w:rPr>
        <w:t xml:space="preserve"> and ambassadors. </w:t>
      </w:r>
      <w:r w:rsidR="00BA0139">
        <w:rPr>
          <w:rFonts w:cs="Times New Roman"/>
          <w:i/>
        </w:rPr>
        <w:t xml:space="preserve"> </w:t>
      </w:r>
      <w:r w:rsidRPr="00591643">
        <w:rPr>
          <w:rFonts w:cs="Times New Roman"/>
          <w:i/>
        </w:rPr>
        <w:t>Because they have a significant role in educating students, parents</w:t>
      </w:r>
      <w:r w:rsidR="00BA0139">
        <w:rPr>
          <w:rFonts w:cs="Times New Roman"/>
          <w:i/>
        </w:rPr>
        <w:t>,</w:t>
      </w:r>
      <w:r w:rsidRPr="00591643">
        <w:rPr>
          <w:rFonts w:cs="Times New Roman"/>
          <w:i/>
        </w:rPr>
        <w:t xml:space="preserve"> and teachers about the benefits of USDA Commodities, it is important that they understand, accept</w:t>
      </w:r>
      <w:r w:rsidR="00BA0139">
        <w:rPr>
          <w:rFonts w:cs="Times New Roman"/>
          <w:i/>
        </w:rPr>
        <w:t>,</w:t>
      </w:r>
      <w:r w:rsidRPr="00591643">
        <w:rPr>
          <w:rFonts w:cs="Times New Roman"/>
          <w:i/>
        </w:rPr>
        <w:t xml:space="preserve"> and communicate USDA’s message about the nutritional value and benefits of USDA Commodities.</w:t>
      </w:r>
    </w:p>
    <w:p w:rsidR="007438C6" w:rsidRPr="00591643" w:rsidRDefault="007438C6" w:rsidP="007438C6">
      <w:pPr>
        <w:pStyle w:val="ListParagraph"/>
        <w:spacing w:after="0"/>
        <w:ind w:left="360"/>
        <w:rPr>
          <w:rFonts w:cs="Times New Roman"/>
        </w:rPr>
      </w:pPr>
    </w:p>
    <w:p w:rsidR="007438C6" w:rsidRPr="00591643" w:rsidRDefault="007438C6" w:rsidP="007438C6">
      <w:pPr>
        <w:pStyle w:val="ListParagraph"/>
        <w:numPr>
          <w:ilvl w:val="0"/>
          <w:numId w:val="2"/>
        </w:numPr>
        <w:spacing w:after="0"/>
        <w:ind w:left="360"/>
        <w:rPr>
          <w:rFonts w:cs="Times New Roman"/>
        </w:rPr>
      </w:pPr>
      <w:r w:rsidRPr="00591643">
        <w:rPr>
          <w:rFonts w:cs="Times New Roman"/>
          <w:b/>
        </w:rPr>
        <w:t>K through 12 Teachers</w:t>
      </w:r>
      <w:r w:rsidRPr="00591643">
        <w:rPr>
          <w:rFonts w:cs="Times New Roman"/>
        </w:rPr>
        <w:t>:</w:t>
      </w:r>
      <w:r w:rsidR="00BA0139">
        <w:rPr>
          <w:rFonts w:cs="Times New Roman"/>
        </w:rPr>
        <w:t xml:space="preserve"> </w:t>
      </w:r>
      <w:r w:rsidRPr="00591643">
        <w:rPr>
          <w:rFonts w:cs="Times New Roman"/>
        </w:rPr>
        <w:t xml:space="preserve"> four</w:t>
      </w:r>
      <w:r w:rsidR="005C0502" w:rsidRPr="00591643">
        <w:rPr>
          <w:rFonts w:cs="Times New Roman"/>
        </w:rPr>
        <w:t>, in-person</w:t>
      </w:r>
      <w:r w:rsidRPr="00591643">
        <w:rPr>
          <w:rFonts w:cs="Times New Roman"/>
        </w:rPr>
        <w:t xml:space="preserve"> focus groups. </w:t>
      </w:r>
      <w:r w:rsidR="00BA0139">
        <w:rPr>
          <w:rFonts w:cs="Times New Roman"/>
        </w:rPr>
        <w:t xml:space="preserve"> </w:t>
      </w:r>
      <w:r w:rsidRPr="00591643">
        <w:rPr>
          <w:rFonts w:cs="Times New Roman"/>
          <w:i/>
        </w:rPr>
        <w:t xml:space="preserve">Rationale: </w:t>
      </w:r>
      <w:r w:rsidR="00BA0139">
        <w:rPr>
          <w:rFonts w:cs="Times New Roman"/>
          <w:i/>
        </w:rPr>
        <w:t xml:space="preserve"> </w:t>
      </w:r>
      <w:r w:rsidRPr="00591643">
        <w:rPr>
          <w:rFonts w:cs="Times New Roman"/>
          <w:i/>
        </w:rPr>
        <w:t xml:space="preserve">Teachers have a great influence on what children learn – in both content and attitude. </w:t>
      </w:r>
      <w:r w:rsidR="00BA0139">
        <w:rPr>
          <w:rFonts w:cs="Times New Roman"/>
          <w:i/>
        </w:rPr>
        <w:t xml:space="preserve"> </w:t>
      </w:r>
      <w:r w:rsidRPr="00591643">
        <w:rPr>
          <w:rFonts w:cs="Times New Roman"/>
          <w:i/>
        </w:rPr>
        <w:t>Because they are in a position to encourage students to participate in the NSLP, and in turn eat USDA Commodities, it is important that they are aware of the nutritional, health and learning benefits of children’s participation in the NSLP.</w:t>
      </w:r>
    </w:p>
    <w:p w:rsidR="007438C6" w:rsidRPr="00591643" w:rsidRDefault="007438C6" w:rsidP="007438C6">
      <w:pPr>
        <w:pStyle w:val="ListParagraph"/>
        <w:spacing w:after="0"/>
        <w:ind w:left="360"/>
        <w:rPr>
          <w:rFonts w:cs="Times New Roman"/>
        </w:rPr>
      </w:pPr>
    </w:p>
    <w:p w:rsidR="007438C6" w:rsidRPr="00591643" w:rsidRDefault="007438C6" w:rsidP="007438C6">
      <w:pPr>
        <w:pStyle w:val="ListParagraph"/>
        <w:numPr>
          <w:ilvl w:val="0"/>
          <w:numId w:val="2"/>
        </w:numPr>
        <w:spacing w:after="0"/>
        <w:ind w:left="360"/>
        <w:rPr>
          <w:rFonts w:cs="Times New Roman"/>
        </w:rPr>
      </w:pPr>
      <w:r w:rsidRPr="00591643">
        <w:rPr>
          <w:rFonts w:cs="Times New Roman"/>
          <w:b/>
        </w:rPr>
        <w:t>K through 12 Administrators</w:t>
      </w:r>
      <w:r w:rsidRPr="00591643">
        <w:rPr>
          <w:rFonts w:cs="Times New Roman"/>
        </w:rPr>
        <w:t xml:space="preserve"> (includes principals, vice principals, associate administrators, assistant administrators and district administrators):</w:t>
      </w:r>
      <w:r w:rsidR="00BA0139">
        <w:rPr>
          <w:rFonts w:cs="Times New Roman"/>
        </w:rPr>
        <w:t xml:space="preserve"> </w:t>
      </w:r>
      <w:r w:rsidRPr="00591643">
        <w:rPr>
          <w:rFonts w:cs="Times New Roman"/>
        </w:rPr>
        <w:t xml:space="preserve"> four</w:t>
      </w:r>
      <w:r w:rsidR="005C0502" w:rsidRPr="00591643">
        <w:rPr>
          <w:rFonts w:cs="Times New Roman"/>
        </w:rPr>
        <w:t>, in-person</w:t>
      </w:r>
      <w:r w:rsidRPr="00591643">
        <w:rPr>
          <w:rFonts w:cs="Times New Roman"/>
        </w:rPr>
        <w:t xml:space="preserve"> focus groups. </w:t>
      </w:r>
      <w:r w:rsidR="00BA0139">
        <w:rPr>
          <w:rFonts w:cs="Times New Roman"/>
        </w:rPr>
        <w:t xml:space="preserve"> </w:t>
      </w:r>
      <w:r w:rsidRPr="00591643">
        <w:rPr>
          <w:rFonts w:cs="Times New Roman"/>
          <w:i/>
        </w:rPr>
        <w:t xml:space="preserve">Rationale: </w:t>
      </w:r>
      <w:r w:rsidR="00BA0139">
        <w:rPr>
          <w:rFonts w:cs="Times New Roman"/>
          <w:i/>
        </w:rPr>
        <w:t xml:space="preserve"> </w:t>
      </w:r>
      <w:r w:rsidRPr="00591643">
        <w:rPr>
          <w:rFonts w:cs="Times New Roman"/>
          <w:i/>
        </w:rPr>
        <w:t xml:space="preserve">Similar to teachers, school administrators are in a position to encourage students to participate in the NSLP. </w:t>
      </w:r>
      <w:r w:rsidR="00BA0139">
        <w:rPr>
          <w:rFonts w:cs="Times New Roman"/>
          <w:i/>
        </w:rPr>
        <w:t xml:space="preserve"> </w:t>
      </w:r>
      <w:r w:rsidRPr="00591643">
        <w:rPr>
          <w:rFonts w:cs="Times New Roman"/>
          <w:i/>
        </w:rPr>
        <w:t xml:space="preserve">They also play a role in determining the schools’ level of participation in the NSLP. </w:t>
      </w:r>
      <w:r w:rsidR="00BA0139">
        <w:rPr>
          <w:rFonts w:cs="Times New Roman"/>
          <w:i/>
        </w:rPr>
        <w:t xml:space="preserve"> </w:t>
      </w:r>
      <w:r w:rsidRPr="00591643">
        <w:rPr>
          <w:rFonts w:cs="Times New Roman"/>
          <w:i/>
        </w:rPr>
        <w:t>Because of this, it is important that school administrators understand the importance of USDA Commodities – both the financial and nutritional benefits – in the schools.</w:t>
      </w:r>
    </w:p>
    <w:p w:rsidR="007438C6" w:rsidRPr="00591643" w:rsidRDefault="007438C6" w:rsidP="007438C6">
      <w:pPr>
        <w:pStyle w:val="ListParagraph"/>
        <w:spacing w:after="0"/>
        <w:rPr>
          <w:rFonts w:cs="Times New Roman"/>
        </w:rPr>
      </w:pPr>
    </w:p>
    <w:p w:rsidR="007438C6" w:rsidRPr="00591643" w:rsidRDefault="007438C6" w:rsidP="007438C6">
      <w:pPr>
        <w:pStyle w:val="ListParagraph"/>
        <w:numPr>
          <w:ilvl w:val="0"/>
          <w:numId w:val="2"/>
        </w:numPr>
        <w:spacing w:after="0"/>
        <w:ind w:left="360"/>
        <w:rPr>
          <w:rFonts w:cs="Times New Roman"/>
          <w:i/>
        </w:rPr>
      </w:pPr>
      <w:r w:rsidRPr="00591643">
        <w:rPr>
          <w:rFonts w:cs="Times New Roman"/>
          <w:b/>
        </w:rPr>
        <w:t>USDA Commodities Internal Partners</w:t>
      </w:r>
      <w:r w:rsidRPr="00591643">
        <w:rPr>
          <w:rFonts w:cs="Times New Roman"/>
        </w:rPr>
        <w:t xml:space="preserve"> (includes organizations such as the Agricultural Marketing Service </w:t>
      </w:r>
      <w:r w:rsidR="00BA0139">
        <w:rPr>
          <w:rFonts w:cs="Times New Roman"/>
        </w:rPr>
        <w:t>(</w:t>
      </w:r>
      <w:r w:rsidRPr="00591643">
        <w:rPr>
          <w:rFonts w:cs="Times New Roman"/>
        </w:rPr>
        <w:t>AMS</w:t>
      </w:r>
      <w:r w:rsidR="00BA0139">
        <w:rPr>
          <w:rFonts w:cs="Times New Roman"/>
        </w:rPr>
        <w:t>)</w:t>
      </w:r>
      <w:r w:rsidRPr="00591643">
        <w:rPr>
          <w:rFonts w:cs="Times New Roman"/>
        </w:rPr>
        <w:t xml:space="preserve"> and the Farm Service Agency </w:t>
      </w:r>
      <w:r w:rsidR="00BA0139">
        <w:rPr>
          <w:rFonts w:cs="Times New Roman"/>
        </w:rPr>
        <w:t>(</w:t>
      </w:r>
      <w:r w:rsidRPr="00591643">
        <w:rPr>
          <w:rFonts w:cs="Times New Roman"/>
        </w:rPr>
        <w:t xml:space="preserve">FSA): </w:t>
      </w:r>
      <w:r w:rsidR="00BA0139">
        <w:rPr>
          <w:rFonts w:cs="Times New Roman"/>
        </w:rPr>
        <w:t xml:space="preserve"> </w:t>
      </w:r>
      <w:r w:rsidRPr="00591643">
        <w:rPr>
          <w:rFonts w:cs="Times New Roman"/>
        </w:rPr>
        <w:t xml:space="preserve">15 to 20 in-depth telephone interviews. </w:t>
      </w:r>
      <w:r w:rsidR="00BA0139">
        <w:rPr>
          <w:rFonts w:cs="Times New Roman"/>
        </w:rPr>
        <w:t xml:space="preserve"> </w:t>
      </w:r>
      <w:r w:rsidRPr="00591643">
        <w:rPr>
          <w:rFonts w:cs="Times New Roman"/>
          <w:i/>
        </w:rPr>
        <w:t xml:space="preserve">Rationale: </w:t>
      </w:r>
      <w:r w:rsidR="00BA0139">
        <w:rPr>
          <w:rFonts w:cs="Times New Roman"/>
          <w:i/>
        </w:rPr>
        <w:t xml:space="preserve"> </w:t>
      </w:r>
      <w:r w:rsidRPr="00591643">
        <w:rPr>
          <w:rFonts w:cs="Times New Roman"/>
          <w:i/>
        </w:rPr>
        <w:t>Internal partners work with FNS to develop commodity specifications, issue and accept commodity bids from manufacturers, purchase product</w:t>
      </w:r>
      <w:r w:rsidR="00BA0139">
        <w:rPr>
          <w:rFonts w:cs="Times New Roman"/>
          <w:i/>
        </w:rPr>
        <w:t>s,</w:t>
      </w:r>
      <w:r w:rsidRPr="00591643">
        <w:rPr>
          <w:rFonts w:cs="Times New Roman"/>
          <w:i/>
        </w:rPr>
        <w:t xml:space="preserve"> and deliver commodities to </w:t>
      </w:r>
      <w:r w:rsidR="00BA0139">
        <w:rPr>
          <w:rFonts w:cs="Times New Roman"/>
          <w:i/>
        </w:rPr>
        <w:t>S</w:t>
      </w:r>
      <w:r w:rsidRPr="00591643">
        <w:rPr>
          <w:rFonts w:cs="Times New Roman"/>
          <w:i/>
        </w:rPr>
        <w:t>tate designated locations.</w:t>
      </w:r>
      <w:r w:rsidR="00BA0139">
        <w:rPr>
          <w:rFonts w:cs="Times New Roman"/>
          <w:i/>
        </w:rPr>
        <w:t xml:space="preserve"> </w:t>
      </w:r>
      <w:r w:rsidRPr="00591643">
        <w:rPr>
          <w:rFonts w:cs="Times New Roman"/>
          <w:i/>
        </w:rPr>
        <w:t xml:space="preserve"> It is important that these partners agree with and embrace USDA Commodities new brand and messaging.</w:t>
      </w:r>
    </w:p>
    <w:p w:rsidR="007438C6" w:rsidRPr="00591643" w:rsidRDefault="007438C6" w:rsidP="007438C6">
      <w:pPr>
        <w:rPr>
          <w:rFonts w:cs="Times New Roman"/>
          <w:i/>
        </w:rPr>
      </w:pPr>
      <w:r w:rsidRPr="00591643">
        <w:rPr>
          <w:rFonts w:cs="Times New Roman"/>
          <w:i/>
        </w:rPr>
        <w:br w:type="page"/>
      </w:r>
    </w:p>
    <w:p w:rsidR="007438C6" w:rsidRPr="00591643" w:rsidRDefault="007438C6" w:rsidP="007438C6">
      <w:pPr>
        <w:pStyle w:val="ListParagraph"/>
        <w:numPr>
          <w:ilvl w:val="0"/>
          <w:numId w:val="2"/>
        </w:numPr>
        <w:spacing w:after="0"/>
        <w:ind w:left="360"/>
        <w:rPr>
          <w:rFonts w:cs="Times New Roman"/>
        </w:rPr>
      </w:pPr>
      <w:r w:rsidRPr="00591643">
        <w:rPr>
          <w:rFonts w:cs="Times New Roman"/>
          <w:b/>
        </w:rPr>
        <w:t>USDA Commodities External Partners</w:t>
      </w:r>
      <w:r w:rsidRPr="00591643">
        <w:rPr>
          <w:rFonts w:cs="Times New Roman"/>
        </w:rPr>
        <w:t xml:space="preserve"> (includes organizations such as the American Commodity Distribution Association (ACDA) and the School Nutrition Association (SNA): </w:t>
      </w:r>
      <w:r w:rsidR="00BA0139">
        <w:rPr>
          <w:rFonts w:cs="Times New Roman"/>
        </w:rPr>
        <w:t xml:space="preserve"> </w:t>
      </w:r>
      <w:r w:rsidRPr="00591643">
        <w:rPr>
          <w:rFonts w:cs="Times New Roman"/>
        </w:rPr>
        <w:t xml:space="preserve">15 to 20 in-depth telephone interviews. </w:t>
      </w:r>
      <w:r w:rsidR="00BA0139">
        <w:rPr>
          <w:rFonts w:cs="Times New Roman"/>
        </w:rPr>
        <w:t xml:space="preserve"> </w:t>
      </w:r>
      <w:r w:rsidRPr="00591643">
        <w:rPr>
          <w:rFonts w:cs="Times New Roman"/>
          <w:i/>
        </w:rPr>
        <w:t xml:space="preserve">Rationale: </w:t>
      </w:r>
      <w:r w:rsidR="00BA0139">
        <w:rPr>
          <w:rFonts w:cs="Times New Roman"/>
          <w:i/>
        </w:rPr>
        <w:t xml:space="preserve"> </w:t>
      </w:r>
      <w:r w:rsidRPr="00591643">
        <w:rPr>
          <w:rFonts w:cs="Times New Roman"/>
          <w:i/>
        </w:rPr>
        <w:t xml:space="preserve">External partners are representatives from an array of organizations that are very engaged in the child nutrition industry. </w:t>
      </w:r>
      <w:r w:rsidR="00BA0139">
        <w:rPr>
          <w:rFonts w:cs="Times New Roman"/>
          <w:i/>
        </w:rPr>
        <w:t xml:space="preserve"> </w:t>
      </w:r>
      <w:r w:rsidRPr="00591643">
        <w:rPr>
          <w:rFonts w:cs="Times New Roman"/>
          <w:i/>
        </w:rPr>
        <w:t>They include manufacturers, brokers, distributors, consultants, researchers, advocates</w:t>
      </w:r>
      <w:r w:rsidR="00BA0139">
        <w:rPr>
          <w:rFonts w:cs="Times New Roman"/>
          <w:i/>
        </w:rPr>
        <w:t>,</w:t>
      </w:r>
      <w:r w:rsidRPr="00591643">
        <w:rPr>
          <w:rFonts w:cs="Times New Roman"/>
          <w:i/>
        </w:rPr>
        <w:t xml:space="preserve"> and State Distributing Agencies. </w:t>
      </w:r>
      <w:r w:rsidR="00BA0139">
        <w:rPr>
          <w:rFonts w:cs="Times New Roman"/>
          <w:i/>
        </w:rPr>
        <w:t xml:space="preserve"> </w:t>
      </w:r>
      <w:r w:rsidRPr="00591643">
        <w:rPr>
          <w:rFonts w:cs="Times New Roman"/>
          <w:i/>
        </w:rPr>
        <w:t>All play a role in communicating USDA Commodities’ messages and the program’s benefits.</w:t>
      </w:r>
    </w:p>
    <w:p w:rsidR="007438C6" w:rsidRPr="00591643" w:rsidRDefault="007438C6" w:rsidP="007438C6">
      <w:pPr>
        <w:pStyle w:val="ListParagraph"/>
        <w:spacing w:after="0"/>
        <w:rPr>
          <w:rFonts w:cs="Times New Roman"/>
        </w:rPr>
      </w:pPr>
    </w:p>
    <w:p w:rsidR="007438C6" w:rsidRPr="004F3A8D" w:rsidRDefault="007438C6" w:rsidP="007438C6">
      <w:pPr>
        <w:pStyle w:val="ListParagraph"/>
        <w:numPr>
          <w:ilvl w:val="0"/>
          <w:numId w:val="2"/>
        </w:numPr>
        <w:spacing w:after="0"/>
        <w:ind w:left="360"/>
        <w:rPr>
          <w:rFonts w:cs="Times New Roman"/>
        </w:rPr>
      </w:pPr>
      <w:r w:rsidRPr="00591643">
        <w:rPr>
          <w:rFonts w:cs="Times New Roman"/>
          <w:b/>
        </w:rPr>
        <w:t>Parents/Guardians of children in Grades K through 12</w:t>
      </w:r>
      <w:r w:rsidRPr="00591643">
        <w:rPr>
          <w:rFonts w:cs="Times New Roman"/>
        </w:rPr>
        <w:t xml:space="preserve">: </w:t>
      </w:r>
      <w:r w:rsidR="00BA0139">
        <w:rPr>
          <w:rFonts w:cs="Times New Roman"/>
        </w:rPr>
        <w:t xml:space="preserve"> </w:t>
      </w:r>
      <w:r w:rsidRPr="00591643">
        <w:rPr>
          <w:rFonts w:cs="Times New Roman"/>
        </w:rPr>
        <w:t>six</w:t>
      </w:r>
      <w:r w:rsidR="005C0502" w:rsidRPr="00591643">
        <w:rPr>
          <w:rFonts w:cs="Times New Roman"/>
        </w:rPr>
        <w:t>,</w:t>
      </w:r>
      <w:r w:rsidRPr="00591643">
        <w:rPr>
          <w:rFonts w:cs="Times New Roman"/>
        </w:rPr>
        <w:t xml:space="preserve"> </w:t>
      </w:r>
      <w:r w:rsidR="005C0502" w:rsidRPr="00591643">
        <w:rPr>
          <w:rFonts w:cs="Times New Roman"/>
        </w:rPr>
        <w:t xml:space="preserve">in-person </w:t>
      </w:r>
      <w:r w:rsidRPr="00591643">
        <w:rPr>
          <w:rFonts w:cs="Times New Roman"/>
        </w:rPr>
        <w:t xml:space="preserve">focus groups. </w:t>
      </w:r>
      <w:r w:rsidR="00BA0139">
        <w:rPr>
          <w:rFonts w:cs="Times New Roman"/>
        </w:rPr>
        <w:t xml:space="preserve"> </w:t>
      </w:r>
      <w:r w:rsidRPr="00591643">
        <w:rPr>
          <w:rFonts w:cs="Times New Roman"/>
          <w:i/>
        </w:rPr>
        <w:t xml:space="preserve">Rationale: </w:t>
      </w:r>
      <w:r w:rsidR="00BA0139">
        <w:rPr>
          <w:rFonts w:cs="Times New Roman"/>
          <w:i/>
        </w:rPr>
        <w:t xml:space="preserve"> </w:t>
      </w:r>
      <w:r w:rsidRPr="00591643">
        <w:rPr>
          <w:rFonts w:cs="Times New Roman"/>
          <w:i/>
        </w:rPr>
        <w:t xml:space="preserve">Parents/Guardians tend to influence whether their children participate in the NSLP. </w:t>
      </w:r>
      <w:r w:rsidR="00BA0139">
        <w:rPr>
          <w:rFonts w:cs="Times New Roman"/>
          <w:i/>
        </w:rPr>
        <w:t xml:space="preserve"> </w:t>
      </w:r>
      <w:r w:rsidRPr="00591643">
        <w:rPr>
          <w:rFonts w:cs="Times New Roman"/>
          <w:i/>
        </w:rPr>
        <w:t xml:space="preserve">Studies also cite parents as children’s role models for dietary and exercise behaviors. </w:t>
      </w:r>
      <w:r w:rsidR="00BA0139">
        <w:rPr>
          <w:rFonts w:cs="Times New Roman"/>
          <w:i/>
        </w:rPr>
        <w:t xml:space="preserve"> </w:t>
      </w:r>
      <w:r w:rsidRPr="00591643">
        <w:rPr>
          <w:rFonts w:cs="Times New Roman"/>
          <w:i/>
        </w:rPr>
        <w:t xml:space="preserve">This audience’s misperceptions about the program and USDA Commodities can </w:t>
      </w:r>
      <w:r w:rsidRPr="004F3A8D">
        <w:rPr>
          <w:rFonts w:cs="Times New Roman"/>
          <w:i/>
        </w:rPr>
        <w:t xml:space="preserve">prevent children from participating in the NSLP. </w:t>
      </w:r>
      <w:r w:rsidR="00BA0139">
        <w:rPr>
          <w:rFonts w:cs="Times New Roman"/>
          <w:i/>
        </w:rPr>
        <w:t xml:space="preserve"> </w:t>
      </w:r>
      <w:r w:rsidRPr="004F3A8D">
        <w:rPr>
          <w:rFonts w:cs="Times New Roman"/>
          <w:i/>
        </w:rPr>
        <w:t>Within these groups, FH/GMMB recommends segregating groups by participation in other nutrition assistance programs such as</w:t>
      </w:r>
      <w:r w:rsidR="00BC4044" w:rsidRPr="004F3A8D">
        <w:rPr>
          <w:rFonts w:cs="Times New Roman"/>
          <w:i/>
        </w:rPr>
        <w:t xml:space="preserve"> the Supplemental Nutrition Assistance Program (SNAP)</w:t>
      </w:r>
      <w:r w:rsidRPr="004F3A8D">
        <w:rPr>
          <w:rFonts w:cs="Times New Roman"/>
          <w:i/>
        </w:rPr>
        <w:t>.</w:t>
      </w:r>
      <w:r w:rsidR="00BA0139">
        <w:rPr>
          <w:rFonts w:cs="Times New Roman"/>
          <w:i/>
        </w:rPr>
        <w:t xml:space="preserve"> </w:t>
      </w:r>
      <w:r w:rsidRPr="004F3A8D">
        <w:rPr>
          <w:rFonts w:cs="Times New Roman"/>
          <w:i/>
        </w:rPr>
        <w:t xml:space="preserve"> It is important to identify parents’/guardians’ misperceptions and other barriers to the program. </w:t>
      </w:r>
    </w:p>
    <w:p w:rsidR="007438C6" w:rsidRPr="004F3A8D" w:rsidRDefault="007438C6" w:rsidP="007438C6">
      <w:pPr>
        <w:spacing w:after="0"/>
        <w:rPr>
          <w:rFonts w:cs="Times New Roman"/>
        </w:rPr>
      </w:pPr>
    </w:p>
    <w:p w:rsidR="007438C6" w:rsidRPr="00591643" w:rsidRDefault="007438C6" w:rsidP="007438C6">
      <w:pPr>
        <w:spacing w:after="0"/>
        <w:rPr>
          <w:rFonts w:cs="Times New Roman"/>
          <w:b/>
        </w:rPr>
      </w:pPr>
      <w:r w:rsidRPr="004F3A8D">
        <w:rPr>
          <w:rFonts w:cs="Times New Roman"/>
          <w:b/>
        </w:rPr>
        <w:t>Composition/Structure of Focus Groups and In-Depth Interviews</w:t>
      </w:r>
      <w:r w:rsidR="00040605" w:rsidRPr="004F3A8D">
        <w:rPr>
          <w:rFonts w:cs="Times New Roman"/>
          <w:b/>
        </w:rPr>
        <w:t xml:space="preserve"> (IDIs</w:t>
      </w:r>
      <w:r w:rsidR="00040605" w:rsidRPr="00591643">
        <w:rPr>
          <w:rFonts w:cs="Times New Roman"/>
          <w:b/>
        </w:rPr>
        <w:t>)</w:t>
      </w:r>
    </w:p>
    <w:p w:rsidR="007438C6" w:rsidRPr="00591643" w:rsidRDefault="007438C6" w:rsidP="007438C6">
      <w:pPr>
        <w:spacing w:after="0"/>
        <w:rPr>
          <w:rFonts w:cs="Times New Roman"/>
        </w:rPr>
      </w:pPr>
      <w:r w:rsidRPr="00591643">
        <w:rPr>
          <w:rFonts w:cs="Times New Roman"/>
        </w:rPr>
        <w:t xml:space="preserve">Several characteristics were taken into consideration when determining how many and which types of individuals to include in the focus groups and in-depth interviews. </w:t>
      </w:r>
      <w:r w:rsidR="00BA0139">
        <w:rPr>
          <w:rFonts w:cs="Times New Roman"/>
        </w:rPr>
        <w:t xml:space="preserve"> </w:t>
      </w:r>
      <w:r w:rsidRPr="00591643">
        <w:rPr>
          <w:rFonts w:cs="Times New Roman"/>
        </w:rPr>
        <w:t>The lists below summarize the number of</w:t>
      </w:r>
      <w:r w:rsidR="006A0EA3">
        <w:rPr>
          <w:rFonts w:cs="Times New Roman"/>
        </w:rPr>
        <w:t xml:space="preserve"> and</w:t>
      </w:r>
      <w:r w:rsidRPr="00591643">
        <w:rPr>
          <w:rFonts w:cs="Times New Roman"/>
        </w:rPr>
        <w:t xml:space="preserve"> types of groups/IDIs that will be conducted as part of the qualitative phase of the research design.</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Stakeholder audiences:</w:t>
      </w:r>
    </w:p>
    <w:p w:rsidR="007438C6" w:rsidRPr="00591643" w:rsidRDefault="007438C6" w:rsidP="007438C6">
      <w:pPr>
        <w:pStyle w:val="ListParagraph"/>
        <w:numPr>
          <w:ilvl w:val="0"/>
          <w:numId w:val="3"/>
        </w:numPr>
        <w:spacing w:after="0"/>
        <w:rPr>
          <w:rFonts w:cs="Times New Roman"/>
        </w:rPr>
      </w:pPr>
      <w:r w:rsidRPr="00591643">
        <w:rPr>
          <w:rFonts w:cs="Times New Roman"/>
        </w:rPr>
        <w:t>Child nutrition professionals (four groups)</w:t>
      </w:r>
    </w:p>
    <w:p w:rsidR="007438C6" w:rsidRPr="00591643" w:rsidRDefault="007438C6" w:rsidP="007438C6">
      <w:pPr>
        <w:pStyle w:val="ListParagraph"/>
        <w:numPr>
          <w:ilvl w:val="0"/>
          <w:numId w:val="3"/>
        </w:numPr>
        <w:spacing w:after="0"/>
        <w:rPr>
          <w:rFonts w:cs="Times New Roman"/>
        </w:rPr>
      </w:pPr>
      <w:r w:rsidRPr="00591643">
        <w:rPr>
          <w:rFonts w:cs="Times New Roman"/>
        </w:rPr>
        <w:t>K through 12 teachers (four groups)</w:t>
      </w:r>
    </w:p>
    <w:p w:rsidR="007438C6" w:rsidRPr="00591643" w:rsidRDefault="007438C6" w:rsidP="007438C6">
      <w:pPr>
        <w:pStyle w:val="ListParagraph"/>
        <w:numPr>
          <w:ilvl w:val="0"/>
          <w:numId w:val="3"/>
        </w:numPr>
        <w:spacing w:after="0"/>
        <w:rPr>
          <w:rFonts w:cs="Times New Roman"/>
        </w:rPr>
      </w:pPr>
      <w:r w:rsidRPr="00591643">
        <w:rPr>
          <w:rFonts w:cs="Times New Roman"/>
        </w:rPr>
        <w:t>K through 12 administrators (four groups)</w:t>
      </w:r>
    </w:p>
    <w:p w:rsidR="007438C6" w:rsidRPr="00591643" w:rsidRDefault="007438C6" w:rsidP="007438C6">
      <w:pPr>
        <w:pStyle w:val="ListParagraph"/>
        <w:numPr>
          <w:ilvl w:val="0"/>
          <w:numId w:val="3"/>
        </w:numPr>
        <w:spacing w:after="0"/>
        <w:rPr>
          <w:rFonts w:cs="Times New Roman"/>
        </w:rPr>
      </w:pPr>
      <w:r w:rsidRPr="00591643">
        <w:rPr>
          <w:rFonts w:cs="Times New Roman"/>
        </w:rPr>
        <w:t>Internal partners (15 to 20 IDIs)</w:t>
      </w:r>
    </w:p>
    <w:p w:rsidR="007438C6" w:rsidRPr="00591643" w:rsidRDefault="007438C6" w:rsidP="007438C6">
      <w:pPr>
        <w:pStyle w:val="ListParagraph"/>
        <w:numPr>
          <w:ilvl w:val="0"/>
          <w:numId w:val="3"/>
        </w:numPr>
        <w:spacing w:after="0"/>
        <w:rPr>
          <w:rFonts w:cs="Times New Roman"/>
        </w:rPr>
      </w:pPr>
      <w:r w:rsidRPr="00591643">
        <w:rPr>
          <w:rFonts w:cs="Times New Roman"/>
        </w:rPr>
        <w:t>External partners (15 to 20 IDIs)</w:t>
      </w:r>
    </w:p>
    <w:p w:rsidR="007438C6" w:rsidRPr="00591643" w:rsidRDefault="007438C6" w:rsidP="007438C6">
      <w:pPr>
        <w:pStyle w:val="ListParagraph"/>
        <w:numPr>
          <w:ilvl w:val="0"/>
          <w:numId w:val="3"/>
        </w:numPr>
        <w:spacing w:after="0"/>
        <w:rPr>
          <w:rFonts w:cs="Times New Roman"/>
        </w:rPr>
      </w:pPr>
      <w:r w:rsidRPr="00591643">
        <w:rPr>
          <w:rFonts w:cs="Times New Roman"/>
        </w:rPr>
        <w:t>Parents/Guardians (six groups)</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Urban/suburban v</w:t>
      </w:r>
      <w:r w:rsidR="00BA0139">
        <w:rPr>
          <w:rFonts w:cs="Times New Roman"/>
        </w:rPr>
        <w:t>ersu</w:t>
      </w:r>
      <w:r w:rsidRPr="00591643">
        <w:rPr>
          <w:rFonts w:cs="Times New Roman"/>
        </w:rPr>
        <w:t xml:space="preserve">s rural segments (for teacher, administrator and parent/guardian groups </w:t>
      </w:r>
      <w:r w:rsidR="00245620" w:rsidRPr="00245620">
        <w:rPr>
          <w:rFonts w:cs="Times New Roman"/>
        </w:rPr>
        <w:t>only</w:t>
      </w:r>
      <w:r w:rsidRPr="00BA0139">
        <w:rPr>
          <w:rFonts w:cs="Times New Roman"/>
        </w:rPr>
        <w:t>):</w:t>
      </w:r>
    </w:p>
    <w:p w:rsidR="007438C6" w:rsidRPr="00591643" w:rsidRDefault="007438C6" w:rsidP="007438C6">
      <w:pPr>
        <w:pStyle w:val="ListParagraph"/>
        <w:numPr>
          <w:ilvl w:val="0"/>
          <w:numId w:val="4"/>
        </w:numPr>
        <w:spacing w:after="0"/>
        <w:rPr>
          <w:rFonts w:cs="Times New Roman"/>
        </w:rPr>
      </w:pPr>
      <w:r w:rsidRPr="00591643">
        <w:rPr>
          <w:rFonts w:cs="Times New Roman"/>
        </w:rPr>
        <w:t>Urban/suburban (10 groups and up to 30 IDIs)</w:t>
      </w:r>
    </w:p>
    <w:p w:rsidR="007438C6" w:rsidRPr="00591643" w:rsidRDefault="007438C6" w:rsidP="007438C6">
      <w:pPr>
        <w:pStyle w:val="ListParagraph"/>
        <w:numPr>
          <w:ilvl w:val="0"/>
          <w:numId w:val="4"/>
        </w:numPr>
        <w:spacing w:after="0"/>
        <w:rPr>
          <w:rFonts w:cs="Times New Roman"/>
        </w:rPr>
      </w:pPr>
      <w:r w:rsidRPr="00591643">
        <w:rPr>
          <w:rFonts w:cs="Times New Roman"/>
        </w:rPr>
        <w:t>Rural (four groups and up to 10 IDIs)</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 xml:space="preserve">Potential urban/suburban markets (for teacher, administrator and parent/guardian </w:t>
      </w:r>
      <w:r w:rsidRPr="00BA0139">
        <w:rPr>
          <w:rFonts w:cs="Times New Roman"/>
        </w:rPr>
        <w:t>group</w:t>
      </w:r>
      <w:r w:rsidR="00BA0139" w:rsidRPr="00BA0139">
        <w:rPr>
          <w:rFonts w:cs="Times New Roman"/>
        </w:rPr>
        <w:t>s</w:t>
      </w:r>
      <w:r w:rsidRPr="00BA0139">
        <w:rPr>
          <w:rFonts w:cs="Times New Roman"/>
        </w:rPr>
        <w:t xml:space="preserve"> </w:t>
      </w:r>
      <w:r w:rsidR="00245620" w:rsidRPr="00245620">
        <w:rPr>
          <w:rFonts w:cs="Times New Roman"/>
        </w:rPr>
        <w:t>only</w:t>
      </w:r>
      <w:r w:rsidRPr="00BA0139">
        <w:rPr>
          <w:rFonts w:cs="Times New Roman"/>
        </w:rPr>
        <w:t>):</w:t>
      </w:r>
    </w:p>
    <w:p w:rsidR="007438C6" w:rsidRPr="00591643" w:rsidRDefault="007438C6" w:rsidP="007438C6">
      <w:pPr>
        <w:pStyle w:val="ListParagraph"/>
        <w:numPr>
          <w:ilvl w:val="0"/>
          <w:numId w:val="5"/>
        </w:numPr>
        <w:spacing w:after="0"/>
        <w:rPr>
          <w:rFonts w:cs="Times New Roman"/>
        </w:rPr>
      </w:pPr>
      <w:r w:rsidRPr="00591643">
        <w:rPr>
          <w:rFonts w:cs="Times New Roman"/>
        </w:rPr>
        <w:t xml:space="preserve">East Region: </w:t>
      </w:r>
      <w:r w:rsidR="00BA0139">
        <w:rPr>
          <w:rFonts w:cs="Times New Roman"/>
        </w:rPr>
        <w:t xml:space="preserve"> </w:t>
      </w:r>
      <w:r w:rsidRPr="00591643">
        <w:rPr>
          <w:rFonts w:cs="Times New Roman"/>
        </w:rPr>
        <w:t>Washington, D.C. or Alexandria, VA (three groups)</w:t>
      </w:r>
    </w:p>
    <w:p w:rsidR="007438C6" w:rsidRPr="00591643" w:rsidRDefault="007438C6" w:rsidP="007438C6">
      <w:pPr>
        <w:pStyle w:val="ListParagraph"/>
        <w:numPr>
          <w:ilvl w:val="0"/>
          <w:numId w:val="5"/>
        </w:numPr>
        <w:spacing w:after="0"/>
        <w:rPr>
          <w:rFonts w:cs="Times New Roman"/>
        </w:rPr>
      </w:pPr>
      <w:r w:rsidRPr="00591643">
        <w:rPr>
          <w:rFonts w:cs="Times New Roman"/>
        </w:rPr>
        <w:t xml:space="preserve">South Region: </w:t>
      </w:r>
      <w:r w:rsidR="00BA0139">
        <w:rPr>
          <w:rFonts w:cs="Times New Roman"/>
        </w:rPr>
        <w:t xml:space="preserve"> </w:t>
      </w:r>
      <w:r w:rsidRPr="00591643">
        <w:rPr>
          <w:rFonts w:cs="Times New Roman"/>
        </w:rPr>
        <w:t>Atlanta, GA or San Antonio, TX (four groups)</w:t>
      </w:r>
    </w:p>
    <w:p w:rsidR="007438C6" w:rsidRPr="00591643" w:rsidRDefault="007438C6" w:rsidP="007438C6">
      <w:pPr>
        <w:pStyle w:val="ListParagraph"/>
        <w:numPr>
          <w:ilvl w:val="0"/>
          <w:numId w:val="5"/>
        </w:numPr>
        <w:spacing w:after="0"/>
        <w:rPr>
          <w:rFonts w:cs="Times New Roman"/>
        </w:rPr>
      </w:pPr>
      <w:r w:rsidRPr="00591643">
        <w:rPr>
          <w:rFonts w:cs="Times New Roman"/>
        </w:rPr>
        <w:t xml:space="preserve">Midwest Region: </w:t>
      </w:r>
      <w:r w:rsidR="00BA0139">
        <w:rPr>
          <w:rFonts w:cs="Times New Roman"/>
        </w:rPr>
        <w:t xml:space="preserve"> </w:t>
      </w:r>
      <w:r w:rsidRPr="00591643">
        <w:rPr>
          <w:rFonts w:cs="Times New Roman"/>
        </w:rPr>
        <w:t>Chicago, IL or Kansas City, MO (three groups)</w:t>
      </w:r>
    </w:p>
    <w:p w:rsidR="007438C6" w:rsidRDefault="007438C6" w:rsidP="007438C6">
      <w:pPr>
        <w:pStyle w:val="ListParagraph"/>
        <w:numPr>
          <w:ilvl w:val="0"/>
          <w:numId w:val="5"/>
        </w:numPr>
        <w:spacing w:after="0"/>
        <w:rPr>
          <w:rFonts w:cs="Times New Roman"/>
        </w:rPr>
      </w:pPr>
      <w:r w:rsidRPr="00591643">
        <w:rPr>
          <w:rFonts w:cs="Times New Roman"/>
        </w:rPr>
        <w:t xml:space="preserve">West Region: </w:t>
      </w:r>
      <w:r w:rsidR="00BA0139">
        <w:rPr>
          <w:rFonts w:cs="Times New Roman"/>
        </w:rPr>
        <w:t xml:space="preserve"> </w:t>
      </w:r>
      <w:r w:rsidRPr="00591643">
        <w:rPr>
          <w:rFonts w:cs="Times New Roman"/>
        </w:rPr>
        <w:t>Los Angeles, CA or Portland, OR (four groups)</w:t>
      </w:r>
    </w:p>
    <w:p w:rsidR="00D96436" w:rsidRPr="00591643" w:rsidRDefault="00D96436" w:rsidP="00D96436">
      <w:pPr>
        <w:pStyle w:val="ListParagraph"/>
        <w:spacing w:after="0"/>
        <w:ind w:left="360"/>
        <w:rPr>
          <w:rFonts w:cs="Times New Roman"/>
        </w:rPr>
      </w:pPr>
    </w:p>
    <w:p w:rsidR="007438C6" w:rsidRPr="00591643" w:rsidRDefault="00D96436" w:rsidP="007438C6">
      <w:pPr>
        <w:rPr>
          <w:rFonts w:cs="Times New Roman"/>
        </w:rPr>
      </w:pPr>
      <w:r>
        <w:rPr>
          <w:rFonts w:cs="Times New Roman"/>
        </w:rPr>
        <w:t>Per the above urban/suburban recommendations, following are close by rural communities (for teacher and parent/guardian groups only):</w:t>
      </w:r>
    </w:p>
    <w:p w:rsidR="007438C6" w:rsidRPr="00591643" w:rsidRDefault="007438C6" w:rsidP="007438C6">
      <w:pPr>
        <w:pStyle w:val="ListParagraph"/>
        <w:numPr>
          <w:ilvl w:val="0"/>
          <w:numId w:val="6"/>
        </w:numPr>
        <w:spacing w:after="0"/>
        <w:rPr>
          <w:rFonts w:cs="Times New Roman"/>
        </w:rPr>
      </w:pPr>
      <w:r w:rsidRPr="00591643">
        <w:rPr>
          <w:rFonts w:cs="Times New Roman"/>
        </w:rPr>
        <w:t>Atlanta, GA – Gainesville, Jackson, Shady Dale</w:t>
      </w:r>
      <w:r w:rsidR="00EA1B9C">
        <w:rPr>
          <w:rFonts w:cs="Times New Roman"/>
        </w:rPr>
        <w:t>,</w:t>
      </w:r>
      <w:r w:rsidRPr="00591643">
        <w:rPr>
          <w:rFonts w:cs="Times New Roman"/>
        </w:rPr>
        <w:t xml:space="preserve"> and Chestnut Mountain</w:t>
      </w:r>
    </w:p>
    <w:p w:rsidR="007438C6" w:rsidRPr="00591643" w:rsidRDefault="007438C6" w:rsidP="007438C6">
      <w:pPr>
        <w:pStyle w:val="ListParagraph"/>
        <w:numPr>
          <w:ilvl w:val="0"/>
          <w:numId w:val="6"/>
        </w:numPr>
        <w:spacing w:after="0"/>
        <w:rPr>
          <w:rFonts w:cs="Times New Roman"/>
        </w:rPr>
      </w:pPr>
      <w:r w:rsidRPr="00591643">
        <w:rPr>
          <w:rFonts w:cs="Times New Roman"/>
        </w:rPr>
        <w:t>Kansas City, MO – Holden, Chillicothe, Harrisonville</w:t>
      </w:r>
      <w:r w:rsidR="00EA1B9C">
        <w:rPr>
          <w:rFonts w:cs="Times New Roman"/>
        </w:rPr>
        <w:t>,</w:t>
      </w:r>
      <w:r w:rsidRPr="00591643">
        <w:rPr>
          <w:rFonts w:cs="Times New Roman"/>
        </w:rPr>
        <w:t xml:space="preserve"> and Sedalia</w:t>
      </w:r>
    </w:p>
    <w:p w:rsidR="007438C6" w:rsidRPr="00591643" w:rsidRDefault="007438C6" w:rsidP="007438C6">
      <w:pPr>
        <w:pStyle w:val="ListParagraph"/>
        <w:numPr>
          <w:ilvl w:val="0"/>
          <w:numId w:val="6"/>
        </w:numPr>
        <w:spacing w:after="0"/>
        <w:rPr>
          <w:rFonts w:cs="Times New Roman"/>
        </w:rPr>
      </w:pPr>
      <w:r w:rsidRPr="00591643">
        <w:rPr>
          <w:rFonts w:cs="Times New Roman"/>
        </w:rPr>
        <w:t>San A</w:t>
      </w:r>
      <w:r w:rsidR="006A0EA3">
        <w:rPr>
          <w:rFonts w:cs="Times New Roman"/>
        </w:rPr>
        <w:t>ntonio, TX – Pearsall, Beeville</w:t>
      </w:r>
      <w:r w:rsidR="00EA1B9C">
        <w:rPr>
          <w:rFonts w:cs="Times New Roman"/>
        </w:rPr>
        <w:t>,</w:t>
      </w:r>
      <w:r w:rsidR="006A0EA3">
        <w:rPr>
          <w:rFonts w:cs="Times New Roman"/>
        </w:rPr>
        <w:t xml:space="preserve"> </w:t>
      </w:r>
      <w:r w:rsidRPr="00591643">
        <w:rPr>
          <w:rFonts w:cs="Times New Roman"/>
        </w:rPr>
        <w:t>and Gonzales</w:t>
      </w:r>
    </w:p>
    <w:p w:rsidR="007438C6" w:rsidRPr="00591643" w:rsidRDefault="007438C6" w:rsidP="007438C6">
      <w:pPr>
        <w:pStyle w:val="ListParagraph"/>
        <w:numPr>
          <w:ilvl w:val="0"/>
          <w:numId w:val="6"/>
        </w:numPr>
        <w:spacing w:after="0"/>
        <w:rPr>
          <w:rFonts w:cs="Times New Roman"/>
        </w:rPr>
      </w:pPr>
      <w:r w:rsidRPr="00591643">
        <w:rPr>
          <w:rFonts w:cs="Times New Roman"/>
        </w:rPr>
        <w:t>Los Angeles, CA – Fresno and Salinas</w:t>
      </w:r>
    </w:p>
    <w:p w:rsidR="007438C6" w:rsidRPr="00591643" w:rsidRDefault="007438C6" w:rsidP="007438C6">
      <w:pPr>
        <w:spacing w:after="0"/>
        <w:rPr>
          <w:rFonts w:cs="Times New Roman"/>
        </w:rPr>
      </w:pPr>
    </w:p>
    <w:p w:rsidR="007438C6" w:rsidRPr="00591643" w:rsidRDefault="007438C6" w:rsidP="007438C6">
      <w:pPr>
        <w:spacing w:after="0"/>
        <w:rPr>
          <w:rFonts w:cs="Times New Roman"/>
          <w:i/>
        </w:rPr>
      </w:pPr>
      <w:r w:rsidRPr="00591643">
        <w:rPr>
          <w:rFonts w:cs="Times New Roman"/>
          <w:i/>
        </w:rPr>
        <w:t xml:space="preserve">Please note that since child nutrition professionals are spread out across the country and are difficult to target at the market level, these focus groups will be conducted via the Internet using Web cameras. Participants will be located in school districts/markets that are actively involved in the NSLP. </w:t>
      </w:r>
      <w:r w:rsidR="00EA1B9C">
        <w:rPr>
          <w:rFonts w:cs="Times New Roman"/>
          <w:i/>
        </w:rPr>
        <w:t xml:space="preserve"> </w:t>
      </w:r>
      <w:r w:rsidRPr="00591643">
        <w:rPr>
          <w:rFonts w:cs="Times New Roman"/>
          <w:i/>
        </w:rPr>
        <w:t xml:space="preserve">Internal and external partners are also dispersed across the country and will be interviewed via telephone. </w:t>
      </w:r>
      <w:r w:rsidR="00EA1B9C">
        <w:rPr>
          <w:rFonts w:cs="Times New Roman"/>
          <w:i/>
        </w:rPr>
        <w:t xml:space="preserve"> </w:t>
      </w:r>
      <w:r w:rsidRPr="00591643">
        <w:rPr>
          <w:rFonts w:cs="Times New Roman"/>
          <w:i/>
        </w:rPr>
        <w:t>To the extent possible, FH/GMMB will ensure a mix of urban/suburban and rural participants.</w:t>
      </w:r>
      <w:r w:rsidR="000B4CAC" w:rsidRPr="00591643">
        <w:rPr>
          <w:rFonts w:cs="Times New Roman"/>
          <w:i/>
        </w:rPr>
        <w:t xml:space="preserve"> </w:t>
      </w:r>
      <w:r w:rsidR="00EA1B9C">
        <w:rPr>
          <w:rFonts w:cs="Times New Roman"/>
          <w:i/>
        </w:rPr>
        <w:t xml:space="preserve"> </w:t>
      </w:r>
      <w:r w:rsidR="000B4CAC" w:rsidRPr="00591643">
        <w:rPr>
          <w:rFonts w:cs="Times New Roman"/>
          <w:i/>
        </w:rPr>
        <w:t xml:space="preserve">Please see the “Audience and </w:t>
      </w:r>
      <w:r w:rsidR="003C4BD6" w:rsidRPr="00591643">
        <w:rPr>
          <w:rFonts w:cs="Times New Roman"/>
          <w:i/>
        </w:rPr>
        <w:t xml:space="preserve">Market Matrix” that follows in </w:t>
      </w:r>
      <w:r w:rsidR="00456499">
        <w:rPr>
          <w:rFonts w:cs="Times New Roman"/>
          <w:i/>
        </w:rPr>
        <w:t xml:space="preserve">the body of </w:t>
      </w:r>
      <w:r w:rsidR="003C4BD6" w:rsidRPr="00591643">
        <w:rPr>
          <w:rFonts w:cs="Times New Roman"/>
          <w:i/>
        </w:rPr>
        <w:t xml:space="preserve">this document </w:t>
      </w:r>
      <w:r w:rsidR="00167A57" w:rsidRPr="00591643">
        <w:rPr>
          <w:rFonts w:cs="Times New Roman"/>
          <w:i/>
        </w:rPr>
        <w:t xml:space="preserve">for </w:t>
      </w:r>
      <w:r w:rsidR="000B4CAC" w:rsidRPr="00591643">
        <w:rPr>
          <w:rFonts w:cs="Times New Roman"/>
          <w:i/>
        </w:rPr>
        <w:t>detail</w:t>
      </w:r>
      <w:r w:rsidR="00167A57" w:rsidRPr="00591643">
        <w:rPr>
          <w:rFonts w:cs="Times New Roman"/>
          <w:i/>
        </w:rPr>
        <w:t>ed</w:t>
      </w:r>
      <w:r w:rsidR="000B4CAC" w:rsidRPr="00591643">
        <w:rPr>
          <w:rFonts w:cs="Times New Roman"/>
          <w:i/>
        </w:rPr>
        <w:t xml:space="preserve"> information regarding the proposed locations for each in-person focus groups, the audiences for the Web-based groups and in-depth telephone interviews.</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 xml:space="preserve">Demographic Composition of </w:t>
      </w:r>
      <w:r w:rsidR="005C0502" w:rsidRPr="00591643">
        <w:rPr>
          <w:rFonts w:cs="Times New Roman"/>
          <w:b/>
        </w:rPr>
        <w:t xml:space="preserve">In-Person </w:t>
      </w:r>
      <w:r w:rsidRPr="00591643">
        <w:rPr>
          <w:rFonts w:cs="Times New Roman"/>
          <w:b/>
        </w:rPr>
        <w:t>Focus Groups and IDIs</w:t>
      </w:r>
    </w:p>
    <w:p w:rsidR="007438C6" w:rsidRPr="00591643" w:rsidRDefault="007438C6" w:rsidP="007438C6">
      <w:pPr>
        <w:spacing w:after="0"/>
        <w:rPr>
          <w:rFonts w:cs="Times New Roman"/>
        </w:rPr>
      </w:pPr>
      <w:r w:rsidRPr="00591643">
        <w:rPr>
          <w:rFonts w:cs="Times New Roman"/>
        </w:rPr>
        <w:t xml:space="preserve">For the consumer focus groups (e.g., </w:t>
      </w:r>
      <w:r w:rsidR="00437330" w:rsidRPr="00591643">
        <w:rPr>
          <w:rFonts w:cs="Times New Roman"/>
        </w:rPr>
        <w:t>parents),</w:t>
      </w:r>
      <w:r w:rsidRPr="00591643">
        <w:rPr>
          <w:rFonts w:cs="Times New Roman"/>
        </w:rPr>
        <w:t xml:space="preserve"> each group recr</w:t>
      </w:r>
      <w:r w:rsidR="006A0EA3">
        <w:rPr>
          <w:rFonts w:cs="Times New Roman"/>
        </w:rPr>
        <w:t>uited will represent a diverse and fairly representative</w:t>
      </w:r>
      <w:r w:rsidRPr="00591643">
        <w:rPr>
          <w:rFonts w:cs="Times New Roman"/>
        </w:rPr>
        <w:t xml:space="preserve"> mix of stakeholders based on characteristics such as gender, age, race/ethnicity, occupation, presence of children in the househol</w:t>
      </w:r>
      <w:r w:rsidR="000B4CAC" w:rsidRPr="00591643">
        <w:rPr>
          <w:rFonts w:cs="Times New Roman"/>
        </w:rPr>
        <w:t>d</w:t>
      </w:r>
      <w:r w:rsidR="00EA1B9C">
        <w:rPr>
          <w:rFonts w:cs="Times New Roman"/>
        </w:rPr>
        <w:t>,</w:t>
      </w:r>
      <w:r w:rsidR="000B4CAC" w:rsidRPr="00591643">
        <w:rPr>
          <w:rFonts w:cs="Times New Roman"/>
        </w:rPr>
        <w:t xml:space="preserve"> a</w:t>
      </w:r>
      <w:r w:rsidRPr="00591643">
        <w:rPr>
          <w:rFonts w:cs="Times New Roman"/>
        </w:rPr>
        <w:t>nd education</w:t>
      </w:r>
      <w:r w:rsidR="006A0EA3">
        <w:rPr>
          <w:rFonts w:cs="Times New Roman"/>
        </w:rPr>
        <w:t xml:space="preserve"> level</w:t>
      </w:r>
      <w:r w:rsidRPr="00591643">
        <w:rPr>
          <w:rFonts w:cs="Times New Roman"/>
        </w:rPr>
        <w:t xml:space="preserve">. </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For the professional focus groups (e.g., CNPs, teachers</w:t>
      </w:r>
      <w:r w:rsidR="00EA1B9C">
        <w:rPr>
          <w:rFonts w:cs="Times New Roman"/>
        </w:rPr>
        <w:t>,</w:t>
      </w:r>
      <w:r w:rsidRPr="00591643">
        <w:rPr>
          <w:rFonts w:cs="Times New Roman"/>
        </w:rPr>
        <w:t xml:space="preserve"> and administrators), each group will contain a mix of participants based on gender, tenure, age</w:t>
      </w:r>
      <w:r w:rsidR="00EA1B9C">
        <w:rPr>
          <w:rFonts w:cs="Times New Roman"/>
        </w:rPr>
        <w:t>,</w:t>
      </w:r>
      <w:r w:rsidRPr="00591643">
        <w:rPr>
          <w:rFonts w:cs="Times New Roman"/>
        </w:rPr>
        <w:t xml:space="preserve"> and education</w:t>
      </w:r>
      <w:r w:rsidR="006A0EA3">
        <w:rPr>
          <w:rFonts w:cs="Times New Roman"/>
        </w:rPr>
        <w:t xml:space="preserve"> level.</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However, because each group is relativel</w:t>
      </w:r>
      <w:r w:rsidR="006F2029">
        <w:rPr>
          <w:rFonts w:cs="Times New Roman"/>
        </w:rPr>
        <w:t>y small, FH/GMMB</w:t>
      </w:r>
      <w:r w:rsidR="006A0EA3">
        <w:rPr>
          <w:rFonts w:cs="Times New Roman"/>
        </w:rPr>
        <w:t xml:space="preserve"> cannot control who </w:t>
      </w:r>
      <w:r w:rsidRPr="00591643">
        <w:rPr>
          <w:rFonts w:cs="Times New Roman"/>
        </w:rPr>
        <w:t>show</w:t>
      </w:r>
      <w:r w:rsidR="00EA1B9C">
        <w:rPr>
          <w:rFonts w:cs="Times New Roman"/>
        </w:rPr>
        <w:t>s</w:t>
      </w:r>
      <w:r w:rsidRPr="00591643">
        <w:rPr>
          <w:rFonts w:cs="Times New Roman"/>
        </w:rPr>
        <w:t xml:space="preserve"> up for the discussions. </w:t>
      </w:r>
      <w:r w:rsidR="00EA1B9C">
        <w:rPr>
          <w:rFonts w:cs="Times New Roman"/>
        </w:rPr>
        <w:t xml:space="preserve"> </w:t>
      </w:r>
      <w:r w:rsidRPr="00591643">
        <w:rPr>
          <w:rFonts w:cs="Times New Roman"/>
        </w:rPr>
        <w:t>As a result, despite the best efforts to recruit a representative mix of stakeholders, those who actually show up for and participate in the discussions may not be quite as representative</w:t>
      </w:r>
      <w:r w:rsidR="00EA1B9C">
        <w:rPr>
          <w:rFonts w:cs="Times New Roman"/>
        </w:rPr>
        <w:t xml:space="preserve">. </w:t>
      </w:r>
      <w:r w:rsidRPr="00591643">
        <w:rPr>
          <w:rFonts w:cs="Times New Roman"/>
        </w:rPr>
        <w:t xml:space="preserve"> </w:t>
      </w:r>
      <w:r w:rsidR="00EA1B9C">
        <w:rPr>
          <w:rFonts w:cs="Times New Roman"/>
        </w:rPr>
        <w:t>F</w:t>
      </w:r>
      <w:r w:rsidRPr="00591643">
        <w:rPr>
          <w:rFonts w:cs="Times New Roman"/>
        </w:rPr>
        <w:t>or example, out of seven men and seven women recruited, it is possible that six women show up</w:t>
      </w:r>
      <w:r w:rsidR="00EA1B9C">
        <w:rPr>
          <w:rFonts w:cs="Times New Roman"/>
        </w:rPr>
        <w:t>,</w:t>
      </w:r>
      <w:r w:rsidRPr="00591643">
        <w:rPr>
          <w:rFonts w:cs="Times New Roman"/>
        </w:rPr>
        <w:t xml:space="preserve"> but only one man. </w:t>
      </w:r>
      <w:r w:rsidR="00EA1B9C">
        <w:rPr>
          <w:rFonts w:cs="Times New Roman"/>
        </w:rPr>
        <w:t xml:space="preserve"> </w:t>
      </w:r>
      <w:r w:rsidR="006F2029">
        <w:rPr>
          <w:rFonts w:cs="Times New Roman"/>
        </w:rPr>
        <w:t>Additionally, if FH/GMMB is</w:t>
      </w:r>
      <w:r w:rsidRPr="00591643">
        <w:rPr>
          <w:rFonts w:cs="Times New Roman"/>
        </w:rPr>
        <w:t xml:space="preserve"> recruiting for only 12 individuals</w:t>
      </w:r>
      <w:r w:rsidR="00EA1B9C">
        <w:rPr>
          <w:rFonts w:cs="Times New Roman"/>
        </w:rPr>
        <w:t xml:space="preserve"> </w:t>
      </w:r>
      <w:r w:rsidRPr="00591643">
        <w:rPr>
          <w:rFonts w:cs="Times New Roman"/>
        </w:rPr>
        <w:t>and nin</w:t>
      </w:r>
      <w:r w:rsidR="006F2029">
        <w:rPr>
          <w:rFonts w:cs="Times New Roman"/>
        </w:rPr>
        <w:t>e women and five men show up, FH/GMMB</w:t>
      </w:r>
      <w:r w:rsidRPr="00591643">
        <w:rPr>
          <w:rFonts w:cs="Times New Roman"/>
        </w:rPr>
        <w:t xml:space="preserve"> will send two women home. </w:t>
      </w:r>
    </w:p>
    <w:p w:rsidR="007438C6" w:rsidRPr="00591643" w:rsidRDefault="007438C6" w:rsidP="007438C6">
      <w:pPr>
        <w:spacing w:after="0"/>
        <w:rPr>
          <w:rFonts w:cs="Times New Roman"/>
        </w:rPr>
      </w:pPr>
    </w:p>
    <w:p w:rsidR="007438C6" w:rsidRPr="00591643" w:rsidRDefault="005C0502" w:rsidP="007438C6">
      <w:pPr>
        <w:spacing w:after="0"/>
        <w:rPr>
          <w:rFonts w:cs="Times New Roman"/>
        </w:rPr>
      </w:pPr>
      <w:r w:rsidRPr="00591643">
        <w:rPr>
          <w:rFonts w:cs="Times New Roman"/>
        </w:rPr>
        <w:t>T</w:t>
      </w:r>
      <w:r w:rsidR="007438C6" w:rsidRPr="00591643">
        <w:rPr>
          <w:rFonts w:cs="Times New Roman"/>
        </w:rPr>
        <w:t>he following demographic composition of the 18 focus groups</w:t>
      </w:r>
      <w:r w:rsidRPr="00591643">
        <w:rPr>
          <w:rFonts w:cs="Times New Roman"/>
        </w:rPr>
        <w:t xml:space="preserve"> includes</w:t>
      </w:r>
      <w:r w:rsidR="007438C6" w:rsidRPr="00591643">
        <w:rPr>
          <w:rFonts w:cs="Times New Roman"/>
        </w:rPr>
        <w:t>:</w:t>
      </w:r>
      <w:r w:rsidRPr="00591643">
        <w:rPr>
          <w:rFonts w:cs="Times New Roman"/>
        </w:rPr>
        <w:t xml:space="preserve"> </w:t>
      </w:r>
    </w:p>
    <w:p w:rsidR="007438C6" w:rsidRPr="00591643" w:rsidRDefault="007438C6" w:rsidP="007438C6">
      <w:pPr>
        <w:spacing w:after="0"/>
        <w:rPr>
          <w:rFonts w:cs="Times New Roman"/>
          <w:i/>
        </w:rPr>
      </w:pPr>
      <w:r w:rsidRPr="00591643">
        <w:rPr>
          <w:rFonts w:cs="Times New Roman"/>
          <w:i/>
        </w:rPr>
        <w:t xml:space="preserve">Child Nutrition Professionals (four Web-based </w:t>
      </w:r>
      <w:r w:rsidR="00EA1B9C">
        <w:rPr>
          <w:rFonts w:cs="Times New Roman"/>
          <w:i/>
        </w:rPr>
        <w:t xml:space="preserve">focus </w:t>
      </w:r>
      <w:r w:rsidRPr="00591643">
        <w:rPr>
          <w:rFonts w:cs="Times New Roman"/>
          <w:i/>
        </w:rPr>
        <w:t>groups total)</w:t>
      </w:r>
    </w:p>
    <w:p w:rsidR="007438C6" w:rsidRPr="00591643" w:rsidRDefault="007438C6" w:rsidP="007438C6">
      <w:pPr>
        <w:pStyle w:val="ListParagraph"/>
        <w:numPr>
          <w:ilvl w:val="0"/>
          <w:numId w:val="8"/>
        </w:numPr>
        <w:spacing w:after="0"/>
        <w:rPr>
          <w:rFonts w:cs="Times New Roman"/>
        </w:rPr>
      </w:pPr>
      <w:r w:rsidRPr="00591643">
        <w:rPr>
          <w:rFonts w:cs="Times New Roman"/>
        </w:rPr>
        <w:t>Two groups with child nutrition professionals at mid- to large-size school districts</w:t>
      </w:r>
    </w:p>
    <w:p w:rsidR="007438C6" w:rsidRPr="00591643" w:rsidRDefault="007438C6" w:rsidP="007438C6">
      <w:pPr>
        <w:pStyle w:val="ListParagraph"/>
        <w:numPr>
          <w:ilvl w:val="0"/>
          <w:numId w:val="8"/>
        </w:numPr>
        <w:spacing w:after="0"/>
        <w:rPr>
          <w:rFonts w:cs="Times New Roman"/>
        </w:rPr>
      </w:pPr>
      <w:r w:rsidRPr="00591643">
        <w:rPr>
          <w:rFonts w:cs="Times New Roman"/>
        </w:rPr>
        <w:t>Two groups wi</w:t>
      </w:r>
      <w:r w:rsidR="00456499">
        <w:rPr>
          <w:rFonts w:cs="Times New Roman"/>
        </w:rPr>
        <w:t xml:space="preserve">th child nutrition professionals </w:t>
      </w:r>
      <w:r w:rsidRPr="00591643">
        <w:rPr>
          <w:rFonts w:cs="Times New Roman"/>
        </w:rPr>
        <w:t xml:space="preserve">at small school districts </w:t>
      </w:r>
    </w:p>
    <w:p w:rsidR="007438C6" w:rsidRPr="00591643" w:rsidRDefault="007438C6" w:rsidP="007438C6">
      <w:pPr>
        <w:pStyle w:val="ListParagraph"/>
        <w:spacing w:after="0"/>
        <w:ind w:left="360"/>
        <w:rPr>
          <w:rFonts w:cs="Times New Roman"/>
        </w:rPr>
      </w:pPr>
    </w:p>
    <w:p w:rsidR="007438C6" w:rsidRPr="00591643" w:rsidRDefault="007438C6" w:rsidP="007438C6">
      <w:pPr>
        <w:rPr>
          <w:rFonts w:cs="Times New Roman"/>
          <w:i/>
        </w:rPr>
      </w:pPr>
      <w:r w:rsidRPr="00591643">
        <w:rPr>
          <w:rFonts w:cs="Times New Roman"/>
          <w:i/>
        </w:rPr>
        <w:br w:type="page"/>
      </w:r>
    </w:p>
    <w:p w:rsidR="007438C6" w:rsidRPr="00591643" w:rsidRDefault="007438C6" w:rsidP="007438C6">
      <w:pPr>
        <w:spacing w:after="0"/>
        <w:rPr>
          <w:rFonts w:cs="Times New Roman"/>
          <w:i/>
        </w:rPr>
      </w:pPr>
      <w:r w:rsidRPr="00591643">
        <w:rPr>
          <w:rFonts w:cs="Times New Roman"/>
          <w:i/>
        </w:rPr>
        <w:t xml:space="preserve">Teachers (four </w:t>
      </w:r>
      <w:r w:rsidR="00E65E56" w:rsidRPr="00591643">
        <w:rPr>
          <w:rFonts w:cs="Times New Roman"/>
          <w:i/>
        </w:rPr>
        <w:t xml:space="preserve">in-person </w:t>
      </w:r>
      <w:r w:rsidR="00EA1B9C">
        <w:rPr>
          <w:rFonts w:cs="Times New Roman"/>
          <w:i/>
        </w:rPr>
        <w:t xml:space="preserve">focus </w:t>
      </w:r>
      <w:r w:rsidRPr="00591643">
        <w:rPr>
          <w:rFonts w:cs="Times New Roman"/>
          <w:i/>
        </w:rPr>
        <w:t>groups total)</w:t>
      </w:r>
    </w:p>
    <w:p w:rsidR="007438C6" w:rsidRPr="00591643" w:rsidRDefault="007438C6" w:rsidP="007438C6">
      <w:pPr>
        <w:pStyle w:val="ListParagraph"/>
        <w:numPr>
          <w:ilvl w:val="0"/>
          <w:numId w:val="8"/>
        </w:numPr>
        <w:spacing w:after="0"/>
        <w:rPr>
          <w:rFonts w:cs="Times New Roman"/>
        </w:rPr>
      </w:pPr>
      <w:r w:rsidRPr="00591643">
        <w:rPr>
          <w:rFonts w:cs="Times New Roman"/>
        </w:rPr>
        <w:t xml:space="preserve">Two groups with elementary school teachers (Grades K through 5 and in some cases </w:t>
      </w:r>
      <w:r w:rsidR="00EA1B9C">
        <w:rPr>
          <w:rFonts w:cs="Times New Roman"/>
        </w:rPr>
        <w:t xml:space="preserve">through </w:t>
      </w:r>
      <w:r w:rsidRPr="00591643">
        <w:rPr>
          <w:rFonts w:cs="Times New Roman"/>
        </w:rPr>
        <w:t>6</w:t>
      </w:r>
      <w:r w:rsidRPr="00591643">
        <w:rPr>
          <w:rFonts w:cs="Times New Roman"/>
          <w:vertAlign w:val="superscript"/>
        </w:rPr>
        <w:t xml:space="preserve"> </w:t>
      </w:r>
      <w:r w:rsidR="00EA1B9C">
        <w:rPr>
          <w:rFonts w:cs="Times New Roman"/>
        </w:rPr>
        <w:t>dep</w:t>
      </w:r>
      <w:r w:rsidRPr="00591643">
        <w:rPr>
          <w:rFonts w:cs="Times New Roman"/>
        </w:rPr>
        <w:t xml:space="preserve">ending </w:t>
      </w:r>
      <w:r w:rsidR="00EA1B9C">
        <w:rPr>
          <w:rFonts w:cs="Times New Roman"/>
        </w:rPr>
        <w:t xml:space="preserve">on </w:t>
      </w:r>
      <w:r w:rsidRPr="00591643">
        <w:rPr>
          <w:rFonts w:cs="Times New Roman"/>
        </w:rPr>
        <w:t>how school</w:t>
      </w:r>
      <w:r w:rsidR="00EA1B9C">
        <w:rPr>
          <w:rFonts w:cs="Times New Roman"/>
        </w:rPr>
        <w:t>s</w:t>
      </w:r>
      <w:r w:rsidRPr="00591643">
        <w:rPr>
          <w:rFonts w:cs="Times New Roman"/>
        </w:rPr>
        <w:t xml:space="preserve"> define elementary grades. </w:t>
      </w:r>
      <w:r w:rsidR="00EA1B9C">
        <w:rPr>
          <w:rFonts w:cs="Times New Roman"/>
        </w:rPr>
        <w:t xml:space="preserve"> </w:t>
      </w:r>
      <w:r w:rsidRPr="00591643">
        <w:rPr>
          <w:rFonts w:cs="Times New Roman"/>
        </w:rPr>
        <w:t>This can vary</w:t>
      </w:r>
      <w:r w:rsidR="00F62D61">
        <w:rPr>
          <w:rFonts w:cs="Times New Roman"/>
        </w:rPr>
        <w:t>.</w:t>
      </w:r>
      <w:r w:rsidRPr="00591643">
        <w:rPr>
          <w:rFonts w:cs="Times New Roman"/>
        </w:rPr>
        <w:t>)</w:t>
      </w:r>
    </w:p>
    <w:p w:rsidR="007438C6" w:rsidRPr="00591643" w:rsidRDefault="007438C6" w:rsidP="007438C6">
      <w:pPr>
        <w:pStyle w:val="ListParagraph"/>
        <w:numPr>
          <w:ilvl w:val="0"/>
          <w:numId w:val="8"/>
        </w:numPr>
        <w:spacing w:after="0"/>
        <w:rPr>
          <w:rFonts w:cs="Times New Roman"/>
        </w:rPr>
      </w:pPr>
      <w:r w:rsidRPr="00591643">
        <w:rPr>
          <w:rFonts w:cs="Times New Roman"/>
        </w:rPr>
        <w:t>One group with middle school teachers (Grades 6, 7</w:t>
      </w:r>
      <w:r w:rsidR="00EA1B9C">
        <w:rPr>
          <w:rFonts w:cs="Times New Roman"/>
        </w:rPr>
        <w:t xml:space="preserve">, </w:t>
      </w:r>
      <w:r w:rsidRPr="00591643">
        <w:rPr>
          <w:rFonts w:cs="Times New Roman"/>
        </w:rPr>
        <w:t>and 8)</w:t>
      </w:r>
    </w:p>
    <w:p w:rsidR="007438C6" w:rsidRPr="00591643" w:rsidRDefault="007438C6" w:rsidP="007438C6">
      <w:pPr>
        <w:pStyle w:val="ListParagraph"/>
        <w:numPr>
          <w:ilvl w:val="0"/>
          <w:numId w:val="8"/>
        </w:numPr>
        <w:spacing w:after="0"/>
        <w:rPr>
          <w:rFonts w:cs="Times New Roman"/>
        </w:rPr>
      </w:pPr>
      <w:r w:rsidRPr="00591643">
        <w:rPr>
          <w:rFonts w:cs="Times New Roman"/>
        </w:rPr>
        <w:t>One group with high school teachers (Grades 9, 10, 11</w:t>
      </w:r>
      <w:r w:rsidR="00EA1B9C">
        <w:rPr>
          <w:rFonts w:cs="Times New Roman"/>
        </w:rPr>
        <w:t xml:space="preserve">, </w:t>
      </w:r>
      <w:r w:rsidRPr="00591643">
        <w:rPr>
          <w:rFonts w:cs="Times New Roman"/>
        </w:rPr>
        <w:t>and 12)</w:t>
      </w:r>
    </w:p>
    <w:p w:rsidR="007438C6" w:rsidRPr="00591643" w:rsidRDefault="007438C6" w:rsidP="007438C6">
      <w:pPr>
        <w:pStyle w:val="ListParagraph"/>
        <w:numPr>
          <w:ilvl w:val="0"/>
          <w:numId w:val="8"/>
        </w:numPr>
        <w:spacing w:after="0"/>
        <w:rPr>
          <w:rFonts w:cs="Times New Roman"/>
        </w:rPr>
      </w:pPr>
      <w:r w:rsidRPr="00591643">
        <w:rPr>
          <w:rFonts w:cs="Times New Roman"/>
        </w:rPr>
        <w:t>Within each group, FH/GMMB will recruit  a mix of teachers based on tenure, subjects taught, gender, age</w:t>
      </w:r>
      <w:r w:rsidR="00EA1B9C">
        <w:rPr>
          <w:rFonts w:cs="Times New Roman"/>
        </w:rPr>
        <w:t>,</w:t>
      </w:r>
      <w:r w:rsidRPr="00591643">
        <w:rPr>
          <w:rFonts w:cs="Times New Roman"/>
        </w:rPr>
        <w:t xml:space="preserve"> and school size</w:t>
      </w:r>
    </w:p>
    <w:p w:rsidR="007438C6" w:rsidRPr="00591643" w:rsidRDefault="007438C6" w:rsidP="007438C6">
      <w:pPr>
        <w:pStyle w:val="ListParagraph"/>
        <w:numPr>
          <w:ilvl w:val="0"/>
          <w:numId w:val="8"/>
        </w:numPr>
        <w:spacing w:after="0"/>
        <w:rPr>
          <w:rFonts w:cs="Times New Roman"/>
        </w:rPr>
      </w:pPr>
      <w:r w:rsidRPr="00591643">
        <w:rPr>
          <w:rFonts w:cs="Times New Roman"/>
        </w:rPr>
        <w:t>Two groups will be conducted in a rural setting; two will be conducted in an urban/suburban setting</w:t>
      </w:r>
    </w:p>
    <w:p w:rsidR="007438C6" w:rsidRPr="00591643" w:rsidRDefault="007438C6" w:rsidP="007438C6">
      <w:pPr>
        <w:spacing w:after="0"/>
        <w:rPr>
          <w:rFonts w:cs="Times New Roman"/>
        </w:rPr>
      </w:pPr>
    </w:p>
    <w:p w:rsidR="007438C6" w:rsidRPr="00591643" w:rsidRDefault="007438C6" w:rsidP="007438C6">
      <w:pPr>
        <w:spacing w:after="0"/>
        <w:rPr>
          <w:rFonts w:cs="Times New Roman"/>
          <w:i/>
        </w:rPr>
      </w:pPr>
      <w:r w:rsidRPr="00591643">
        <w:rPr>
          <w:rFonts w:cs="Times New Roman"/>
          <w:i/>
        </w:rPr>
        <w:t xml:space="preserve">Administrators (four </w:t>
      </w:r>
      <w:r w:rsidR="00E65E56" w:rsidRPr="00591643">
        <w:rPr>
          <w:rFonts w:cs="Times New Roman"/>
          <w:i/>
        </w:rPr>
        <w:t xml:space="preserve">in-person </w:t>
      </w:r>
      <w:r w:rsidRPr="00591643">
        <w:rPr>
          <w:rFonts w:cs="Times New Roman"/>
          <w:i/>
        </w:rPr>
        <w:t>groups total)</w:t>
      </w:r>
    </w:p>
    <w:p w:rsidR="007438C6" w:rsidRPr="00591643" w:rsidRDefault="007438C6" w:rsidP="007438C6">
      <w:pPr>
        <w:pStyle w:val="ListParagraph"/>
        <w:numPr>
          <w:ilvl w:val="0"/>
          <w:numId w:val="9"/>
        </w:numPr>
        <w:spacing w:after="0"/>
        <w:rPr>
          <w:rFonts w:cs="Times New Roman"/>
        </w:rPr>
      </w:pPr>
      <w:r w:rsidRPr="00591643">
        <w:rPr>
          <w:rFonts w:cs="Times New Roman"/>
        </w:rPr>
        <w:t>Two groups with elementary school administrators (Grades K through 5</w:t>
      </w:r>
      <w:r w:rsidR="00F62D61">
        <w:rPr>
          <w:rFonts w:cs="Times New Roman"/>
        </w:rPr>
        <w:t xml:space="preserve"> a</w:t>
      </w:r>
      <w:r w:rsidR="00F62D61" w:rsidRPr="00591643">
        <w:rPr>
          <w:rFonts w:cs="Times New Roman"/>
        </w:rPr>
        <w:t xml:space="preserve">nd in some cases </w:t>
      </w:r>
      <w:r w:rsidR="00F62D61">
        <w:rPr>
          <w:rFonts w:cs="Times New Roman"/>
        </w:rPr>
        <w:t xml:space="preserve">through </w:t>
      </w:r>
      <w:r w:rsidR="00F62D61" w:rsidRPr="00591643">
        <w:rPr>
          <w:rFonts w:cs="Times New Roman"/>
        </w:rPr>
        <w:t>6</w:t>
      </w:r>
      <w:r w:rsidR="00F62D61" w:rsidRPr="00591643">
        <w:rPr>
          <w:rFonts w:cs="Times New Roman"/>
          <w:vertAlign w:val="superscript"/>
        </w:rPr>
        <w:t xml:space="preserve"> </w:t>
      </w:r>
      <w:r w:rsidR="00F62D61">
        <w:rPr>
          <w:rFonts w:cs="Times New Roman"/>
        </w:rPr>
        <w:t>dep</w:t>
      </w:r>
      <w:r w:rsidR="00F62D61" w:rsidRPr="00591643">
        <w:rPr>
          <w:rFonts w:cs="Times New Roman"/>
        </w:rPr>
        <w:t xml:space="preserve">ending </w:t>
      </w:r>
      <w:r w:rsidR="00F62D61">
        <w:rPr>
          <w:rFonts w:cs="Times New Roman"/>
        </w:rPr>
        <w:t xml:space="preserve">on </w:t>
      </w:r>
      <w:r w:rsidR="00F62D61" w:rsidRPr="00591643">
        <w:rPr>
          <w:rFonts w:cs="Times New Roman"/>
        </w:rPr>
        <w:t>how school</w:t>
      </w:r>
      <w:r w:rsidR="00F62D61">
        <w:rPr>
          <w:rFonts w:cs="Times New Roman"/>
        </w:rPr>
        <w:t>s</w:t>
      </w:r>
      <w:r w:rsidR="00F62D61" w:rsidRPr="00591643">
        <w:rPr>
          <w:rFonts w:cs="Times New Roman"/>
        </w:rPr>
        <w:t xml:space="preserve"> define elementary grades. </w:t>
      </w:r>
      <w:r w:rsidR="00F62D61">
        <w:rPr>
          <w:rFonts w:cs="Times New Roman"/>
        </w:rPr>
        <w:t xml:space="preserve"> </w:t>
      </w:r>
      <w:r w:rsidR="00F62D61" w:rsidRPr="00591643">
        <w:rPr>
          <w:rFonts w:cs="Times New Roman"/>
        </w:rPr>
        <w:t>This can vary</w:t>
      </w:r>
      <w:r w:rsidR="00F62D61">
        <w:rPr>
          <w:rFonts w:cs="Times New Roman"/>
        </w:rPr>
        <w:t>.</w:t>
      </w:r>
      <w:r w:rsidRPr="00591643">
        <w:rPr>
          <w:rFonts w:cs="Times New Roman"/>
        </w:rPr>
        <w:t>)</w:t>
      </w:r>
    </w:p>
    <w:p w:rsidR="007438C6" w:rsidRPr="00591643" w:rsidRDefault="007438C6" w:rsidP="007438C6">
      <w:pPr>
        <w:pStyle w:val="ListParagraph"/>
        <w:numPr>
          <w:ilvl w:val="0"/>
          <w:numId w:val="9"/>
        </w:numPr>
        <w:spacing w:after="0"/>
        <w:rPr>
          <w:rFonts w:cs="Times New Roman"/>
        </w:rPr>
      </w:pPr>
      <w:r w:rsidRPr="00591643">
        <w:rPr>
          <w:rFonts w:cs="Times New Roman"/>
        </w:rPr>
        <w:t>One group with middle school administrators (Grades 6, 7</w:t>
      </w:r>
      <w:r w:rsidR="00525A6C">
        <w:rPr>
          <w:rFonts w:cs="Times New Roman"/>
        </w:rPr>
        <w:t xml:space="preserve">, </w:t>
      </w:r>
      <w:r w:rsidRPr="00591643">
        <w:rPr>
          <w:rFonts w:cs="Times New Roman"/>
        </w:rPr>
        <w:t>and 8)</w:t>
      </w:r>
    </w:p>
    <w:p w:rsidR="007438C6" w:rsidRPr="00591643" w:rsidRDefault="007438C6" w:rsidP="007438C6">
      <w:pPr>
        <w:pStyle w:val="ListParagraph"/>
        <w:numPr>
          <w:ilvl w:val="0"/>
          <w:numId w:val="9"/>
        </w:numPr>
        <w:spacing w:after="0"/>
        <w:rPr>
          <w:rFonts w:cs="Times New Roman"/>
        </w:rPr>
      </w:pPr>
      <w:r w:rsidRPr="00591643">
        <w:rPr>
          <w:rFonts w:cs="Times New Roman"/>
        </w:rPr>
        <w:t>One group with high school administrators (Grades 9, 10, 11</w:t>
      </w:r>
      <w:r w:rsidR="00525A6C">
        <w:rPr>
          <w:rFonts w:cs="Times New Roman"/>
        </w:rPr>
        <w:t xml:space="preserve">, </w:t>
      </w:r>
      <w:r w:rsidRPr="00591643">
        <w:rPr>
          <w:rFonts w:cs="Times New Roman"/>
        </w:rPr>
        <w:t>and 12)</w:t>
      </w:r>
    </w:p>
    <w:p w:rsidR="007438C6" w:rsidRPr="00591643" w:rsidRDefault="007438C6" w:rsidP="007438C6">
      <w:pPr>
        <w:pStyle w:val="ListParagraph"/>
        <w:numPr>
          <w:ilvl w:val="0"/>
          <w:numId w:val="9"/>
        </w:numPr>
        <w:spacing w:after="0"/>
        <w:rPr>
          <w:rFonts w:cs="Times New Roman"/>
        </w:rPr>
      </w:pPr>
      <w:r w:rsidRPr="00591643">
        <w:rPr>
          <w:rFonts w:cs="Times New Roman"/>
        </w:rPr>
        <w:t>Within each group, FH/GMMB will recruit  a mix of administrators based on tenure, gender, age</w:t>
      </w:r>
      <w:r w:rsidR="00525A6C">
        <w:rPr>
          <w:rFonts w:cs="Times New Roman"/>
        </w:rPr>
        <w:t>,</w:t>
      </w:r>
      <w:r w:rsidRPr="00591643">
        <w:rPr>
          <w:rFonts w:cs="Times New Roman"/>
        </w:rPr>
        <w:t xml:space="preserve"> and school size</w:t>
      </w:r>
    </w:p>
    <w:p w:rsidR="007438C6" w:rsidRPr="00591643" w:rsidRDefault="007438C6" w:rsidP="007438C6">
      <w:pPr>
        <w:pStyle w:val="ListParagraph"/>
        <w:numPr>
          <w:ilvl w:val="0"/>
          <w:numId w:val="9"/>
        </w:numPr>
        <w:spacing w:after="0"/>
        <w:rPr>
          <w:rFonts w:cs="Times New Roman"/>
        </w:rPr>
      </w:pPr>
      <w:r w:rsidRPr="00591643">
        <w:rPr>
          <w:rFonts w:cs="Times New Roman"/>
        </w:rPr>
        <w:t>All four groups will be conducted in an urban/suburban setting</w:t>
      </w:r>
      <w:r w:rsidR="00525A6C">
        <w:rPr>
          <w:rFonts w:cs="Times New Roman"/>
        </w:rPr>
        <w:t xml:space="preserve">.  </w:t>
      </w:r>
      <w:r w:rsidR="00C3531F" w:rsidRPr="00591643">
        <w:rPr>
          <w:rFonts w:cs="Times New Roman"/>
        </w:rPr>
        <w:t>Please note that due to the potential difficulty in identifying a rural market with a large enough sample of school administrators, focus groups with this audience will not take place in a rural setting.</w:t>
      </w:r>
    </w:p>
    <w:p w:rsidR="007438C6" w:rsidRPr="00591643" w:rsidRDefault="007438C6" w:rsidP="007438C6">
      <w:pPr>
        <w:spacing w:after="0"/>
        <w:rPr>
          <w:rFonts w:cs="Times New Roman"/>
        </w:rPr>
      </w:pPr>
    </w:p>
    <w:p w:rsidR="007438C6" w:rsidRPr="00591643" w:rsidRDefault="007438C6" w:rsidP="007438C6">
      <w:pPr>
        <w:spacing w:after="0"/>
        <w:rPr>
          <w:rFonts w:cs="Times New Roman"/>
          <w:i/>
        </w:rPr>
      </w:pPr>
      <w:r w:rsidRPr="00591643">
        <w:rPr>
          <w:rFonts w:cs="Times New Roman"/>
          <w:i/>
        </w:rPr>
        <w:t xml:space="preserve">Internal and External Partners (up to 40 </w:t>
      </w:r>
      <w:r w:rsidR="00E65E56" w:rsidRPr="00591643">
        <w:rPr>
          <w:rFonts w:cs="Times New Roman"/>
          <w:i/>
        </w:rPr>
        <w:t xml:space="preserve">telephone </w:t>
      </w:r>
      <w:r w:rsidRPr="00591643">
        <w:rPr>
          <w:rFonts w:cs="Times New Roman"/>
          <w:i/>
        </w:rPr>
        <w:t>IDIs)</w:t>
      </w:r>
    </w:p>
    <w:p w:rsidR="007438C6" w:rsidRPr="00591643" w:rsidRDefault="007438C6" w:rsidP="007438C6">
      <w:pPr>
        <w:pStyle w:val="ListParagraph"/>
        <w:numPr>
          <w:ilvl w:val="0"/>
          <w:numId w:val="10"/>
        </w:numPr>
        <w:spacing w:after="0"/>
        <w:rPr>
          <w:rFonts w:cs="Times New Roman"/>
        </w:rPr>
      </w:pPr>
      <w:r w:rsidRPr="00591643">
        <w:rPr>
          <w:rFonts w:cs="Times New Roman"/>
        </w:rPr>
        <w:t>15 to 20 IDIs with USDA Commodities’ internal partners; FH/GMMB will recruit a mix based on region and role/position</w:t>
      </w:r>
    </w:p>
    <w:p w:rsidR="007438C6" w:rsidRPr="00591643" w:rsidRDefault="007438C6" w:rsidP="007438C6">
      <w:pPr>
        <w:pStyle w:val="ListParagraph"/>
        <w:numPr>
          <w:ilvl w:val="0"/>
          <w:numId w:val="10"/>
        </w:numPr>
        <w:spacing w:after="0"/>
        <w:rPr>
          <w:rFonts w:cs="Times New Roman"/>
        </w:rPr>
      </w:pPr>
      <w:r w:rsidRPr="00591643">
        <w:rPr>
          <w:rFonts w:cs="Times New Roman"/>
        </w:rPr>
        <w:t>15 to 20 IDIs with USDA Commodities’ external partners; FH/GMMB will recruit a mix based on region and role/position</w:t>
      </w:r>
    </w:p>
    <w:p w:rsidR="007438C6" w:rsidRPr="00591643" w:rsidRDefault="007438C6" w:rsidP="007438C6">
      <w:pPr>
        <w:spacing w:after="0"/>
        <w:rPr>
          <w:rFonts w:cs="Times New Roman"/>
        </w:rPr>
      </w:pPr>
    </w:p>
    <w:p w:rsidR="007438C6" w:rsidRPr="00591643" w:rsidRDefault="007438C6" w:rsidP="007438C6">
      <w:pPr>
        <w:spacing w:after="0"/>
        <w:rPr>
          <w:rFonts w:cs="Times New Roman"/>
          <w:i/>
        </w:rPr>
      </w:pPr>
      <w:r w:rsidRPr="00591643">
        <w:rPr>
          <w:rFonts w:cs="Times New Roman"/>
          <w:i/>
        </w:rPr>
        <w:t>Parents/Guardians (six</w:t>
      </w:r>
      <w:r w:rsidR="00E65E56" w:rsidRPr="00591643">
        <w:rPr>
          <w:rFonts w:cs="Times New Roman"/>
          <w:i/>
        </w:rPr>
        <w:t xml:space="preserve"> in-person</w:t>
      </w:r>
      <w:r w:rsidRPr="00591643">
        <w:rPr>
          <w:rFonts w:cs="Times New Roman"/>
          <w:i/>
        </w:rPr>
        <w:t xml:space="preserve"> </w:t>
      </w:r>
      <w:r w:rsidR="00525A6C">
        <w:rPr>
          <w:rFonts w:cs="Times New Roman"/>
          <w:i/>
        </w:rPr>
        <w:t xml:space="preserve">focus </w:t>
      </w:r>
      <w:r w:rsidRPr="00591643">
        <w:rPr>
          <w:rFonts w:cs="Times New Roman"/>
          <w:i/>
        </w:rPr>
        <w:t>groups total)</w:t>
      </w:r>
    </w:p>
    <w:p w:rsidR="007438C6" w:rsidRPr="00591643" w:rsidRDefault="007438C6" w:rsidP="007438C6">
      <w:pPr>
        <w:pStyle w:val="ListParagraph"/>
        <w:numPr>
          <w:ilvl w:val="0"/>
          <w:numId w:val="11"/>
        </w:numPr>
        <w:spacing w:after="0"/>
        <w:rPr>
          <w:rFonts w:cs="Times New Roman"/>
        </w:rPr>
      </w:pPr>
      <w:r w:rsidRPr="00591643">
        <w:rPr>
          <w:rFonts w:cs="Times New Roman"/>
        </w:rPr>
        <w:t>Three groups with parents/guardians with children in Grades K through 12 who qualify for SNAP</w:t>
      </w:r>
    </w:p>
    <w:p w:rsidR="007438C6" w:rsidRPr="00591643" w:rsidRDefault="007438C6" w:rsidP="007438C6">
      <w:pPr>
        <w:pStyle w:val="ListParagraph"/>
        <w:numPr>
          <w:ilvl w:val="0"/>
          <w:numId w:val="11"/>
        </w:numPr>
        <w:spacing w:after="0"/>
        <w:rPr>
          <w:rFonts w:cs="Times New Roman"/>
        </w:rPr>
      </w:pPr>
      <w:r w:rsidRPr="00591643">
        <w:rPr>
          <w:rFonts w:cs="Times New Roman"/>
        </w:rPr>
        <w:t>Three groups with parents/guardians with children in Grades K through 12, who do not qualify for SNAP</w:t>
      </w:r>
    </w:p>
    <w:p w:rsidR="007438C6" w:rsidRPr="00591643" w:rsidRDefault="007438C6" w:rsidP="007438C6">
      <w:pPr>
        <w:pStyle w:val="ListParagraph"/>
        <w:numPr>
          <w:ilvl w:val="0"/>
          <w:numId w:val="11"/>
        </w:numPr>
        <w:spacing w:after="0"/>
        <w:rPr>
          <w:rFonts w:cs="Times New Roman"/>
        </w:rPr>
      </w:pPr>
      <w:r w:rsidRPr="00591643">
        <w:rPr>
          <w:rFonts w:cs="Times New Roman"/>
        </w:rPr>
        <w:t>Within each group, FH/GMMB will recruit for a mix of parents/guardians with children who participate in the NSLP</w:t>
      </w:r>
    </w:p>
    <w:p w:rsidR="007438C6" w:rsidRPr="00591643" w:rsidRDefault="007438C6" w:rsidP="007438C6">
      <w:pPr>
        <w:pStyle w:val="ListParagraph"/>
        <w:numPr>
          <w:ilvl w:val="0"/>
          <w:numId w:val="11"/>
        </w:numPr>
        <w:spacing w:after="0"/>
        <w:rPr>
          <w:rFonts w:cs="Times New Roman"/>
        </w:rPr>
      </w:pPr>
      <w:r w:rsidRPr="00591643">
        <w:rPr>
          <w:rFonts w:cs="Times New Roman"/>
        </w:rPr>
        <w:t>Within each group, FH/GMMB will recruit for a mix of parents/guardians with children who attend public and private nonprofit schools</w:t>
      </w:r>
    </w:p>
    <w:p w:rsidR="007438C6" w:rsidRPr="00591643" w:rsidRDefault="007438C6" w:rsidP="007438C6">
      <w:pPr>
        <w:pStyle w:val="ListParagraph"/>
        <w:numPr>
          <w:ilvl w:val="0"/>
          <w:numId w:val="11"/>
        </w:numPr>
        <w:spacing w:after="0"/>
        <w:rPr>
          <w:rFonts w:cs="Times New Roman"/>
        </w:rPr>
      </w:pPr>
      <w:r w:rsidRPr="00591643">
        <w:rPr>
          <w:rFonts w:cs="Times New Roman"/>
        </w:rPr>
        <w:t>Within each group, FH/GMMB will recruit for a mix of parents/guardians based on race/ethnicity, age, occupation, gender, education</w:t>
      </w:r>
      <w:r w:rsidR="00525A6C">
        <w:rPr>
          <w:rFonts w:cs="Times New Roman"/>
        </w:rPr>
        <w:t>,</w:t>
      </w:r>
      <w:r w:rsidRPr="00591643">
        <w:rPr>
          <w:rFonts w:cs="Times New Roman"/>
        </w:rPr>
        <w:t xml:space="preserve"> and number of children in the household</w:t>
      </w:r>
    </w:p>
    <w:p w:rsidR="007438C6" w:rsidRPr="00591643" w:rsidRDefault="007438C6" w:rsidP="007438C6">
      <w:pPr>
        <w:pStyle w:val="ListParagraph"/>
        <w:numPr>
          <w:ilvl w:val="0"/>
          <w:numId w:val="11"/>
        </w:numPr>
        <w:spacing w:after="0"/>
        <w:rPr>
          <w:rFonts w:cs="Times New Roman"/>
        </w:rPr>
      </w:pPr>
      <w:r w:rsidRPr="00591643">
        <w:rPr>
          <w:rFonts w:cs="Times New Roman"/>
        </w:rPr>
        <w:t>Two groups will be conducted in a rural setting; four groups will be conducted in an urban/suburban setting</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The following propos</w:t>
      </w:r>
      <w:r w:rsidR="006F2029">
        <w:rPr>
          <w:rFonts w:cs="Times New Roman"/>
        </w:rPr>
        <w:t>ed markets are those in which FH/GMMB</w:t>
      </w:r>
      <w:r w:rsidRPr="00591643">
        <w:rPr>
          <w:rFonts w:cs="Times New Roman"/>
        </w:rPr>
        <w:t xml:space="preserve"> plan</w:t>
      </w:r>
      <w:r w:rsidR="006F2029">
        <w:rPr>
          <w:rFonts w:cs="Times New Roman"/>
        </w:rPr>
        <w:t>s</w:t>
      </w:r>
      <w:r w:rsidRPr="00591643">
        <w:rPr>
          <w:rFonts w:cs="Times New Roman"/>
        </w:rPr>
        <w:t xml:space="preserve"> to </w:t>
      </w:r>
      <w:r w:rsidR="00437330" w:rsidRPr="00591643">
        <w:rPr>
          <w:rFonts w:cs="Times New Roman"/>
        </w:rPr>
        <w:t>conduct the in-person focus groups</w:t>
      </w:r>
      <w:r w:rsidRPr="00591643">
        <w:rPr>
          <w:rFonts w:cs="Times New Roman"/>
        </w:rPr>
        <w:t xml:space="preserve">. </w:t>
      </w:r>
      <w:r w:rsidR="00525A6C">
        <w:rPr>
          <w:rFonts w:cs="Times New Roman"/>
        </w:rPr>
        <w:t xml:space="preserve"> </w:t>
      </w:r>
      <w:r w:rsidRPr="00591643">
        <w:rPr>
          <w:rFonts w:cs="Times New Roman"/>
        </w:rPr>
        <w:t>However, the actual market</w:t>
      </w:r>
      <w:r w:rsidR="009139D0" w:rsidRPr="00591643">
        <w:rPr>
          <w:rFonts w:cs="Times New Roman"/>
        </w:rPr>
        <w:t>s</w:t>
      </w:r>
      <w:r w:rsidRPr="00591643">
        <w:rPr>
          <w:rFonts w:cs="Times New Roman"/>
        </w:rPr>
        <w:t xml:space="preserve"> selected to represent each of the four regions </w:t>
      </w:r>
      <w:r w:rsidR="00E65E56" w:rsidRPr="00591643">
        <w:rPr>
          <w:rFonts w:cs="Times New Roman"/>
        </w:rPr>
        <w:t xml:space="preserve">(Northeast, South, Midwest and West) </w:t>
      </w:r>
      <w:r w:rsidR="006F2029">
        <w:rPr>
          <w:rFonts w:cs="Times New Roman"/>
        </w:rPr>
        <w:t>may change once FH/GMMB</w:t>
      </w:r>
      <w:r w:rsidRPr="00591643">
        <w:rPr>
          <w:rFonts w:cs="Times New Roman"/>
        </w:rPr>
        <w:t xml:space="preserve"> begin</w:t>
      </w:r>
      <w:r w:rsidR="006F2029">
        <w:rPr>
          <w:rFonts w:cs="Times New Roman"/>
        </w:rPr>
        <w:t>s</w:t>
      </w:r>
      <w:r w:rsidRPr="00591643">
        <w:rPr>
          <w:rFonts w:cs="Times New Roman"/>
        </w:rPr>
        <w:t xml:space="preserve"> the process of identifying facilities for the </w:t>
      </w:r>
      <w:r w:rsidR="009139D0" w:rsidRPr="00591643">
        <w:rPr>
          <w:rFonts w:cs="Times New Roman"/>
        </w:rPr>
        <w:t xml:space="preserve">in-person </w:t>
      </w:r>
      <w:r w:rsidRPr="00591643">
        <w:rPr>
          <w:rFonts w:cs="Times New Roman"/>
        </w:rPr>
        <w:t>focus groups and negotiating prices for the use of these facilities.</w:t>
      </w:r>
      <w:r w:rsidR="00726A3D" w:rsidRPr="00591643">
        <w:rPr>
          <w:rFonts w:cs="Times New Roman"/>
        </w:rPr>
        <w:t xml:space="preserve"> Please note the child nutrition professionals groups will be conducted via the Internet and the internal and external partners will be conducted via the telephone.</w:t>
      </w:r>
    </w:p>
    <w:p w:rsidR="007438C6" w:rsidRPr="00591643" w:rsidRDefault="007438C6" w:rsidP="007438C6">
      <w:pPr>
        <w:spacing w:after="0"/>
        <w:rPr>
          <w:rFonts w:cs="Times New Roman"/>
        </w:rPr>
      </w:pPr>
    </w:p>
    <w:p w:rsidR="007438C6" w:rsidRPr="00591643" w:rsidRDefault="007438C6" w:rsidP="007438C6">
      <w:pPr>
        <w:rPr>
          <w:rFonts w:cs="Times New Roman"/>
          <w:b/>
        </w:rPr>
      </w:pPr>
      <w:r w:rsidRPr="00591643">
        <w:rPr>
          <w:rFonts w:cs="Times New Roman"/>
          <w:b/>
        </w:rPr>
        <w:t>Potential Sites</w:t>
      </w:r>
    </w:p>
    <w:tbl>
      <w:tblPr>
        <w:tblStyle w:val="TableGrid"/>
        <w:tblW w:w="0" w:type="auto"/>
        <w:tblLook w:val="04A0"/>
      </w:tblPr>
      <w:tblGrid>
        <w:gridCol w:w="1661"/>
        <w:gridCol w:w="3363"/>
        <w:gridCol w:w="3060"/>
      </w:tblGrid>
      <w:tr w:rsidR="007438C6" w:rsidRPr="00591643" w:rsidTr="002C137E">
        <w:tc>
          <w:tcPr>
            <w:tcW w:w="0" w:type="auto"/>
          </w:tcPr>
          <w:p w:rsidR="007438C6" w:rsidRPr="00591643" w:rsidRDefault="007438C6" w:rsidP="002C137E">
            <w:pPr>
              <w:jc w:val="center"/>
              <w:rPr>
                <w:rFonts w:cs="Times New Roman"/>
                <w:b/>
              </w:rPr>
            </w:pPr>
            <w:r w:rsidRPr="00591643">
              <w:rPr>
                <w:rFonts w:cs="Times New Roman"/>
                <w:b/>
              </w:rPr>
              <w:t>Region</w:t>
            </w:r>
          </w:p>
        </w:tc>
        <w:tc>
          <w:tcPr>
            <w:tcW w:w="0" w:type="auto"/>
          </w:tcPr>
          <w:p w:rsidR="007438C6" w:rsidRPr="00591643" w:rsidRDefault="007438C6" w:rsidP="002C137E">
            <w:pPr>
              <w:jc w:val="center"/>
              <w:rPr>
                <w:rFonts w:cs="Times New Roman"/>
                <w:b/>
              </w:rPr>
            </w:pPr>
            <w:r w:rsidRPr="00591643">
              <w:rPr>
                <w:rFonts w:cs="Times New Roman"/>
                <w:b/>
              </w:rPr>
              <w:t>Recommended Sites</w:t>
            </w:r>
          </w:p>
        </w:tc>
        <w:tc>
          <w:tcPr>
            <w:tcW w:w="0" w:type="auto"/>
          </w:tcPr>
          <w:p w:rsidR="007438C6" w:rsidRPr="00591643" w:rsidRDefault="007438C6" w:rsidP="002C137E">
            <w:pPr>
              <w:jc w:val="center"/>
              <w:rPr>
                <w:rFonts w:cs="Times New Roman"/>
                <w:b/>
              </w:rPr>
            </w:pPr>
            <w:r w:rsidRPr="00591643">
              <w:rPr>
                <w:rFonts w:cs="Times New Roman"/>
                <w:b/>
              </w:rPr>
              <w:t>Alternate Sites</w:t>
            </w:r>
          </w:p>
        </w:tc>
      </w:tr>
      <w:tr w:rsidR="007438C6" w:rsidRPr="00591643" w:rsidTr="002C137E">
        <w:tc>
          <w:tcPr>
            <w:tcW w:w="0" w:type="auto"/>
          </w:tcPr>
          <w:p w:rsidR="007438C6" w:rsidRPr="00591643" w:rsidRDefault="007438C6" w:rsidP="002C137E">
            <w:pPr>
              <w:rPr>
                <w:rFonts w:cs="Times New Roman"/>
              </w:rPr>
            </w:pPr>
            <w:r w:rsidRPr="00591643">
              <w:rPr>
                <w:rFonts w:cs="Times New Roman"/>
              </w:rPr>
              <w:t>East Region</w:t>
            </w:r>
          </w:p>
        </w:tc>
        <w:tc>
          <w:tcPr>
            <w:tcW w:w="0" w:type="auto"/>
          </w:tcPr>
          <w:p w:rsidR="007438C6" w:rsidRPr="00591643" w:rsidRDefault="007438C6" w:rsidP="002C137E">
            <w:pPr>
              <w:rPr>
                <w:rFonts w:cs="Times New Roman"/>
              </w:rPr>
            </w:pPr>
            <w:r w:rsidRPr="00591643">
              <w:rPr>
                <w:rFonts w:cs="Times New Roman"/>
              </w:rPr>
              <w:t>Washington, D.C. or Alexandria, VA</w:t>
            </w:r>
          </w:p>
        </w:tc>
        <w:tc>
          <w:tcPr>
            <w:tcW w:w="0" w:type="auto"/>
          </w:tcPr>
          <w:p w:rsidR="007438C6" w:rsidRPr="00591643" w:rsidRDefault="007438C6" w:rsidP="002C137E">
            <w:pPr>
              <w:rPr>
                <w:rFonts w:cs="Times New Roman"/>
              </w:rPr>
            </w:pPr>
            <w:r w:rsidRPr="00591643">
              <w:rPr>
                <w:rFonts w:cs="Times New Roman"/>
              </w:rPr>
              <w:t>Philadelphia, PA or Boston, MA</w:t>
            </w:r>
          </w:p>
        </w:tc>
      </w:tr>
      <w:tr w:rsidR="007438C6" w:rsidRPr="00591643" w:rsidTr="002C137E">
        <w:tc>
          <w:tcPr>
            <w:tcW w:w="0" w:type="auto"/>
          </w:tcPr>
          <w:p w:rsidR="007438C6" w:rsidRPr="00591643" w:rsidRDefault="007438C6" w:rsidP="002C137E">
            <w:pPr>
              <w:rPr>
                <w:rFonts w:cs="Times New Roman"/>
              </w:rPr>
            </w:pPr>
            <w:r w:rsidRPr="00591643">
              <w:rPr>
                <w:rFonts w:cs="Times New Roman"/>
              </w:rPr>
              <w:t>South Region</w:t>
            </w:r>
          </w:p>
        </w:tc>
        <w:tc>
          <w:tcPr>
            <w:tcW w:w="0" w:type="auto"/>
          </w:tcPr>
          <w:p w:rsidR="007438C6" w:rsidRPr="00591643" w:rsidRDefault="007438C6" w:rsidP="002C137E">
            <w:pPr>
              <w:rPr>
                <w:rFonts w:cs="Times New Roman"/>
              </w:rPr>
            </w:pPr>
            <w:r w:rsidRPr="00591643">
              <w:rPr>
                <w:rFonts w:cs="Times New Roman"/>
              </w:rPr>
              <w:t>Atlanta, GA or San Antonio, TX</w:t>
            </w:r>
          </w:p>
        </w:tc>
        <w:tc>
          <w:tcPr>
            <w:tcW w:w="0" w:type="auto"/>
          </w:tcPr>
          <w:p w:rsidR="007438C6" w:rsidRPr="00591643" w:rsidRDefault="007438C6" w:rsidP="002C137E">
            <w:pPr>
              <w:rPr>
                <w:rFonts w:cs="Times New Roman"/>
              </w:rPr>
            </w:pPr>
            <w:r w:rsidRPr="00591643">
              <w:rPr>
                <w:rFonts w:cs="Times New Roman"/>
              </w:rPr>
              <w:t>Dallas, TX or Charlotte, NC</w:t>
            </w:r>
          </w:p>
        </w:tc>
      </w:tr>
      <w:tr w:rsidR="007438C6" w:rsidRPr="00591643" w:rsidTr="002C137E">
        <w:tc>
          <w:tcPr>
            <w:tcW w:w="0" w:type="auto"/>
          </w:tcPr>
          <w:p w:rsidR="007438C6" w:rsidRPr="00591643" w:rsidRDefault="007438C6" w:rsidP="002C137E">
            <w:pPr>
              <w:rPr>
                <w:rFonts w:cs="Times New Roman"/>
              </w:rPr>
            </w:pPr>
            <w:r w:rsidRPr="00591643">
              <w:rPr>
                <w:rFonts w:cs="Times New Roman"/>
              </w:rPr>
              <w:t>Midwest Region</w:t>
            </w:r>
          </w:p>
        </w:tc>
        <w:tc>
          <w:tcPr>
            <w:tcW w:w="0" w:type="auto"/>
          </w:tcPr>
          <w:p w:rsidR="007438C6" w:rsidRPr="00591643" w:rsidRDefault="007438C6" w:rsidP="002C137E">
            <w:pPr>
              <w:rPr>
                <w:rFonts w:cs="Times New Roman"/>
              </w:rPr>
            </w:pPr>
            <w:r w:rsidRPr="00591643">
              <w:rPr>
                <w:rFonts w:cs="Times New Roman"/>
              </w:rPr>
              <w:t>Chicago, IL or Kansas City, MO</w:t>
            </w:r>
          </w:p>
        </w:tc>
        <w:tc>
          <w:tcPr>
            <w:tcW w:w="0" w:type="auto"/>
          </w:tcPr>
          <w:p w:rsidR="007438C6" w:rsidRPr="00591643" w:rsidRDefault="007438C6" w:rsidP="002C137E">
            <w:pPr>
              <w:rPr>
                <w:rFonts w:cs="Times New Roman"/>
              </w:rPr>
            </w:pPr>
            <w:r w:rsidRPr="00591643">
              <w:rPr>
                <w:rFonts w:cs="Times New Roman"/>
              </w:rPr>
              <w:t>Minneapolis, MN or Denver, CO</w:t>
            </w:r>
          </w:p>
        </w:tc>
      </w:tr>
      <w:tr w:rsidR="007438C6" w:rsidRPr="00591643" w:rsidTr="002C137E">
        <w:tc>
          <w:tcPr>
            <w:tcW w:w="0" w:type="auto"/>
          </w:tcPr>
          <w:p w:rsidR="007438C6" w:rsidRPr="00591643" w:rsidRDefault="007438C6" w:rsidP="002C137E">
            <w:pPr>
              <w:rPr>
                <w:rFonts w:cs="Times New Roman"/>
              </w:rPr>
            </w:pPr>
            <w:r w:rsidRPr="00591643">
              <w:rPr>
                <w:rFonts w:cs="Times New Roman"/>
              </w:rPr>
              <w:t>West Region</w:t>
            </w:r>
          </w:p>
        </w:tc>
        <w:tc>
          <w:tcPr>
            <w:tcW w:w="0" w:type="auto"/>
          </w:tcPr>
          <w:p w:rsidR="007438C6" w:rsidRPr="00591643" w:rsidRDefault="007438C6" w:rsidP="002C137E">
            <w:pPr>
              <w:rPr>
                <w:rFonts w:cs="Times New Roman"/>
              </w:rPr>
            </w:pPr>
            <w:r w:rsidRPr="00591643">
              <w:rPr>
                <w:rFonts w:cs="Times New Roman"/>
              </w:rPr>
              <w:t>Los Angeles, CA or Portland, OR</w:t>
            </w:r>
          </w:p>
        </w:tc>
        <w:tc>
          <w:tcPr>
            <w:tcW w:w="0" w:type="auto"/>
          </w:tcPr>
          <w:p w:rsidR="007438C6" w:rsidRPr="00591643" w:rsidRDefault="007438C6" w:rsidP="002C137E">
            <w:pPr>
              <w:rPr>
                <w:rFonts w:cs="Times New Roman"/>
              </w:rPr>
            </w:pPr>
            <w:r w:rsidRPr="00591643">
              <w:rPr>
                <w:rFonts w:cs="Times New Roman"/>
              </w:rPr>
              <w:t>Phoenix, AZ or San Diego, CA</w:t>
            </w:r>
          </w:p>
        </w:tc>
      </w:tr>
    </w:tbl>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Focus Group Sites/Facilities</w:t>
      </w:r>
    </w:p>
    <w:p w:rsidR="007438C6" w:rsidRPr="00591643" w:rsidRDefault="007438C6" w:rsidP="007438C6">
      <w:pPr>
        <w:spacing w:after="0"/>
        <w:rPr>
          <w:rFonts w:cs="Times New Roman"/>
        </w:rPr>
      </w:pPr>
      <w:r w:rsidRPr="00591643">
        <w:rPr>
          <w:rFonts w:cs="Times New Roman"/>
        </w:rPr>
        <w:t xml:space="preserve">FNS will work with FH/GMMB to determine the most appropriate markets for the </w:t>
      </w:r>
      <w:r w:rsidR="00726A3D" w:rsidRPr="00591643">
        <w:rPr>
          <w:rFonts w:cs="Times New Roman"/>
        </w:rPr>
        <w:t xml:space="preserve">focus group </w:t>
      </w:r>
      <w:r w:rsidRPr="00591643">
        <w:rPr>
          <w:rFonts w:cs="Times New Roman"/>
        </w:rPr>
        <w:t xml:space="preserve">discussions. </w:t>
      </w:r>
      <w:r w:rsidR="00525A6C">
        <w:rPr>
          <w:rFonts w:cs="Times New Roman"/>
        </w:rPr>
        <w:t xml:space="preserve"> </w:t>
      </w:r>
      <w:r w:rsidR="00F62D61">
        <w:rPr>
          <w:rFonts w:cs="Times New Roman"/>
        </w:rPr>
        <w:t>FH/GMMB’s</w:t>
      </w:r>
      <w:r w:rsidRPr="00591643">
        <w:rPr>
          <w:rFonts w:cs="Times New Roman"/>
        </w:rPr>
        <w:t xml:space="preserve"> next step will be to locate vendors that have focus group facilities within each of the desired markets/regions. </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 xml:space="preserve">For urban/suburban markets, focus groups </w:t>
      </w:r>
      <w:r w:rsidR="00525A6C">
        <w:rPr>
          <w:rFonts w:cs="Times New Roman"/>
        </w:rPr>
        <w:t xml:space="preserve">will be conducted </w:t>
      </w:r>
      <w:r w:rsidRPr="00591643">
        <w:rPr>
          <w:rFonts w:cs="Times New Roman"/>
        </w:rPr>
        <w:t>in professional focus group facilities.</w:t>
      </w:r>
      <w:r w:rsidR="00525A6C">
        <w:rPr>
          <w:rFonts w:cs="Times New Roman"/>
        </w:rPr>
        <w:t xml:space="preserve"> </w:t>
      </w:r>
      <w:r w:rsidRPr="00591643">
        <w:rPr>
          <w:rFonts w:cs="Times New Roman"/>
        </w:rPr>
        <w:t xml:space="preserve"> The facilities will consist of a focus group discussion room (meeting room with a conference table that comfortably seats eight to 12 people) and an adjoining room with a one-way mirror, from which the FNS </w:t>
      </w:r>
      <w:r w:rsidR="00525A6C">
        <w:rPr>
          <w:rFonts w:cs="Times New Roman"/>
        </w:rPr>
        <w:t xml:space="preserve">staff </w:t>
      </w:r>
      <w:r w:rsidRPr="00591643">
        <w:rPr>
          <w:rFonts w:cs="Times New Roman"/>
        </w:rPr>
        <w:t xml:space="preserve">and FH/GMMB </w:t>
      </w:r>
      <w:r w:rsidR="00525A6C">
        <w:rPr>
          <w:rFonts w:cs="Times New Roman"/>
        </w:rPr>
        <w:t>representatives</w:t>
      </w:r>
      <w:r w:rsidRPr="00591643">
        <w:rPr>
          <w:rFonts w:cs="Times New Roman"/>
        </w:rPr>
        <w:t xml:space="preserve"> can observe </w:t>
      </w:r>
      <w:r w:rsidR="00525A6C">
        <w:rPr>
          <w:rFonts w:cs="Times New Roman"/>
        </w:rPr>
        <w:t xml:space="preserve">and </w:t>
      </w:r>
      <w:r w:rsidR="003B0D9C">
        <w:rPr>
          <w:rFonts w:cs="Times New Roman"/>
        </w:rPr>
        <w:t xml:space="preserve">listen to </w:t>
      </w:r>
      <w:r w:rsidRPr="00591643">
        <w:rPr>
          <w:rFonts w:cs="Times New Roman"/>
        </w:rPr>
        <w:t>the discussion.</w:t>
      </w:r>
    </w:p>
    <w:p w:rsidR="007438C6" w:rsidRPr="00591643" w:rsidRDefault="007438C6" w:rsidP="007438C6">
      <w:pPr>
        <w:spacing w:after="0"/>
        <w:rPr>
          <w:rFonts w:cs="Times New Roman"/>
        </w:rPr>
      </w:pPr>
    </w:p>
    <w:p w:rsidR="007438C6" w:rsidRPr="00591643" w:rsidRDefault="00F62D61" w:rsidP="007438C6">
      <w:pPr>
        <w:spacing w:after="0"/>
        <w:rPr>
          <w:rFonts w:cs="Times New Roman"/>
        </w:rPr>
      </w:pPr>
      <w:r>
        <w:rPr>
          <w:rFonts w:cs="Times New Roman"/>
        </w:rPr>
        <w:t>For rural groups, FH/GMMB</w:t>
      </w:r>
      <w:r w:rsidR="007438C6" w:rsidRPr="00591643">
        <w:rPr>
          <w:rFonts w:cs="Times New Roman"/>
        </w:rPr>
        <w:t xml:space="preserve"> will locate community-based organizations and/or facilities in which to conduct the discussions such as Veterans of Foreign War (VFW) halls, hotel meeting rooms, banquet rooms of local restaurants, etc. </w:t>
      </w:r>
      <w:r w:rsidR="00525A6C">
        <w:rPr>
          <w:rFonts w:cs="Times New Roman"/>
        </w:rPr>
        <w:t xml:space="preserve"> </w:t>
      </w:r>
      <w:r w:rsidR="007438C6" w:rsidRPr="00591643">
        <w:rPr>
          <w:rFonts w:cs="Times New Roman"/>
        </w:rPr>
        <w:t xml:space="preserve">With the rural groups, </w:t>
      </w:r>
      <w:r w:rsidR="00525A6C">
        <w:rPr>
          <w:rFonts w:cs="Times New Roman"/>
        </w:rPr>
        <w:t xml:space="preserve"> </w:t>
      </w:r>
      <w:r w:rsidR="007438C6" w:rsidRPr="00591643">
        <w:rPr>
          <w:rFonts w:cs="Times New Roman"/>
        </w:rPr>
        <w:t xml:space="preserve">facilities with two rooms and </w:t>
      </w:r>
      <w:r w:rsidR="00525A6C">
        <w:rPr>
          <w:rFonts w:cs="Times New Roman"/>
        </w:rPr>
        <w:t xml:space="preserve">the </w:t>
      </w:r>
      <w:r w:rsidR="007438C6" w:rsidRPr="00591643">
        <w:rPr>
          <w:rFonts w:cs="Times New Roman"/>
        </w:rPr>
        <w:t xml:space="preserve">use </w:t>
      </w:r>
      <w:r w:rsidR="00525A6C">
        <w:rPr>
          <w:rFonts w:cs="Times New Roman"/>
        </w:rPr>
        <w:t xml:space="preserve">of </w:t>
      </w:r>
      <w:r w:rsidR="007438C6" w:rsidRPr="00591643">
        <w:rPr>
          <w:rFonts w:cs="Times New Roman"/>
        </w:rPr>
        <w:t xml:space="preserve">a closed-circuit video and television monitor </w:t>
      </w:r>
      <w:r w:rsidR="00525A6C">
        <w:rPr>
          <w:rFonts w:cs="Times New Roman"/>
        </w:rPr>
        <w:t xml:space="preserve">will be used </w:t>
      </w:r>
      <w:r w:rsidR="007438C6" w:rsidRPr="00591643">
        <w:rPr>
          <w:rFonts w:cs="Times New Roman"/>
        </w:rPr>
        <w:t xml:space="preserve">so that FNS </w:t>
      </w:r>
      <w:r w:rsidR="00525A6C">
        <w:rPr>
          <w:rFonts w:cs="Times New Roman"/>
        </w:rPr>
        <w:t xml:space="preserve">staff </w:t>
      </w:r>
      <w:r w:rsidR="007438C6" w:rsidRPr="00591643">
        <w:rPr>
          <w:rFonts w:cs="Times New Roman"/>
        </w:rPr>
        <w:t xml:space="preserve">and FH/GMMB representatives can observe </w:t>
      </w:r>
      <w:r w:rsidR="00525A6C">
        <w:rPr>
          <w:rFonts w:cs="Times New Roman"/>
        </w:rPr>
        <w:t xml:space="preserve">and </w:t>
      </w:r>
      <w:r w:rsidR="003B0D9C">
        <w:rPr>
          <w:rFonts w:cs="Times New Roman"/>
        </w:rPr>
        <w:t xml:space="preserve">listen to </w:t>
      </w:r>
      <w:r w:rsidR="007438C6" w:rsidRPr="00591643">
        <w:rPr>
          <w:rFonts w:cs="Times New Roman"/>
        </w:rPr>
        <w:t>the discussion from a room adjoining (or across</w:t>
      </w:r>
      <w:r>
        <w:rPr>
          <w:rFonts w:cs="Times New Roman"/>
        </w:rPr>
        <w:t xml:space="preserve"> from</w:t>
      </w:r>
      <w:r w:rsidR="007438C6" w:rsidRPr="00591643">
        <w:rPr>
          <w:rFonts w:cs="Times New Roman"/>
        </w:rPr>
        <w:t>) the discussion group.</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 xml:space="preserve">All focus groups will be </w:t>
      </w:r>
      <w:r w:rsidR="00D87938" w:rsidRPr="00591643">
        <w:rPr>
          <w:rFonts w:cs="Times New Roman"/>
        </w:rPr>
        <w:t>audio-recorded</w:t>
      </w:r>
      <w:r w:rsidRPr="00591643">
        <w:rPr>
          <w:rFonts w:cs="Times New Roman"/>
        </w:rPr>
        <w:t>.</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Additionally, because transportation may be a challenge for some participants, where possible, facilities that are easily accessible to public transportation (and all facilities will be handicap accessible)</w:t>
      </w:r>
      <w:r w:rsidR="003B0D9C">
        <w:rPr>
          <w:rFonts w:cs="Times New Roman"/>
        </w:rPr>
        <w:t xml:space="preserve"> will be chosen</w:t>
      </w:r>
      <w:r w:rsidRPr="00591643">
        <w:rPr>
          <w:rFonts w:cs="Times New Roman"/>
        </w:rPr>
        <w:t xml:space="preserve">. </w:t>
      </w:r>
    </w:p>
    <w:p w:rsidR="007438C6" w:rsidRPr="00591643" w:rsidRDefault="007438C6" w:rsidP="007438C6">
      <w:pPr>
        <w:spacing w:after="0"/>
        <w:rPr>
          <w:rFonts w:cs="Times New Roman"/>
        </w:rPr>
      </w:pPr>
    </w:p>
    <w:p w:rsidR="007438C6" w:rsidRPr="00591643" w:rsidRDefault="007438C6" w:rsidP="007438C6">
      <w:pPr>
        <w:rPr>
          <w:rFonts w:cs="Times New Roman"/>
        </w:rPr>
      </w:pPr>
      <w:r w:rsidRPr="00591643">
        <w:rPr>
          <w:rFonts w:cs="Times New Roman"/>
        </w:rPr>
        <w:br w:type="page"/>
      </w:r>
    </w:p>
    <w:p w:rsidR="007438C6" w:rsidRPr="00591643" w:rsidRDefault="007438C6" w:rsidP="007438C6">
      <w:pPr>
        <w:spacing w:after="0"/>
        <w:rPr>
          <w:rFonts w:cs="Times New Roman"/>
        </w:rPr>
      </w:pPr>
      <w:r w:rsidRPr="00591643">
        <w:rPr>
          <w:rFonts w:cs="Times New Roman"/>
        </w:rPr>
        <w:t>For the Web-based focus groups with child nutrition professionals, participants will participate in the focus groups from their home or office using a Web camera, which is supplied and set-up by t</w:t>
      </w:r>
      <w:r w:rsidR="00F62D61">
        <w:rPr>
          <w:rFonts w:cs="Times New Roman"/>
        </w:rPr>
        <w:t>he focus group vendor</w:t>
      </w:r>
      <w:r w:rsidRPr="00591643">
        <w:rPr>
          <w:rFonts w:cs="Times New Roman"/>
        </w:rPr>
        <w:t xml:space="preserve">. </w:t>
      </w:r>
      <w:r w:rsidR="003B0D9C">
        <w:rPr>
          <w:rFonts w:cs="Times New Roman"/>
        </w:rPr>
        <w:t xml:space="preserve"> </w:t>
      </w:r>
      <w:r w:rsidRPr="00591643">
        <w:rPr>
          <w:rFonts w:cs="Times New Roman"/>
        </w:rPr>
        <w:t xml:space="preserve">Using this advanced Web-based software, </w:t>
      </w:r>
      <w:r w:rsidRPr="00591643">
        <w:rPr>
          <w:rFonts w:cs="Times New Roman"/>
          <w:i/>
        </w:rPr>
        <w:t>QualMeeting</w:t>
      </w:r>
      <w:r w:rsidRPr="00591643">
        <w:rPr>
          <w:rFonts w:cs="Times New Roman"/>
        </w:rPr>
        <w:t>, FNS and FH/GMMB will be able to conduct</w:t>
      </w:r>
      <w:r w:rsidR="003B0D9C">
        <w:rPr>
          <w:rFonts w:cs="Times New Roman"/>
        </w:rPr>
        <w:t>,</w:t>
      </w:r>
      <w:r w:rsidRPr="00591643">
        <w:rPr>
          <w:rFonts w:cs="Times New Roman"/>
        </w:rPr>
        <w:t xml:space="preserve"> view</w:t>
      </w:r>
      <w:r w:rsidR="003B0D9C">
        <w:rPr>
          <w:rFonts w:cs="Times New Roman"/>
        </w:rPr>
        <w:t xml:space="preserve">, and listen to </w:t>
      </w:r>
      <w:r w:rsidRPr="00591643">
        <w:rPr>
          <w:rFonts w:cs="Times New Roman"/>
        </w:rPr>
        <w:t xml:space="preserve">the focus group discussions from their own computers. </w:t>
      </w:r>
      <w:r w:rsidR="003B0D9C">
        <w:rPr>
          <w:rFonts w:cs="Times New Roman"/>
        </w:rPr>
        <w:t xml:space="preserve"> </w:t>
      </w:r>
      <w:r w:rsidRPr="00591643">
        <w:rPr>
          <w:rFonts w:cs="Times New Roman"/>
        </w:rPr>
        <w:t>The focus group vendor will provide technical assistance to participants prior to and during the focus groups.</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For the telephone interviews with USDA Commodities’ internal and external partners, FH/GMMB will call participants on their preferred telephone number (home, work</w:t>
      </w:r>
      <w:r w:rsidR="003B0D9C">
        <w:rPr>
          <w:rFonts w:cs="Times New Roman"/>
        </w:rPr>
        <w:t>,</w:t>
      </w:r>
      <w:r w:rsidRPr="00591643">
        <w:rPr>
          <w:rFonts w:cs="Times New Roman"/>
        </w:rPr>
        <w:t xml:space="preserve"> or cell).</w:t>
      </w:r>
    </w:p>
    <w:p w:rsidR="007438C6" w:rsidRPr="00591643" w:rsidRDefault="007438C6" w:rsidP="007438C6">
      <w:pPr>
        <w:spacing w:after="0"/>
        <w:rPr>
          <w:rFonts w:cs="Times New Roman"/>
          <w:b/>
        </w:rPr>
      </w:pPr>
    </w:p>
    <w:p w:rsidR="007438C6" w:rsidRPr="00591643" w:rsidRDefault="007438C6" w:rsidP="007438C6">
      <w:pPr>
        <w:spacing w:after="0"/>
        <w:rPr>
          <w:rFonts w:cs="Times New Roman"/>
          <w:b/>
        </w:rPr>
      </w:pPr>
      <w:r w:rsidRPr="00591643">
        <w:rPr>
          <w:rFonts w:cs="Times New Roman"/>
          <w:b/>
        </w:rPr>
        <w:t>Identification and Recruitment of Focus Group and IDI Participants</w:t>
      </w:r>
    </w:p>
    <w:p w:rsidR="007438C6" w:rsidRPr="00591643" w:rsidRDefault="00495B73" w:rsidP="007438C6">
      <w:pPr>
        <w:spacing w:after="0"/>
        <w:rPr>
          <w:rFonts w:cs="Times New Roman"/>
        </w:rPr>
      </w:pPr>
      <w:r>
        <w:rPr>
          <w:rFonts w:cs="Times New Roman"/>
        </w:rPr>
        <w:t xml:space="preserve">Up to </w:t>
      </w:r>
      <w:r w:rsidR="007438C6" w:rsidRPr="00591643">
        <w:rPr>
          <w:rFonts w:cs="Times New Roman"/>
        </w:rPr>
        <w:t xml:space="preserve">240 individuals will participate in the </w:t>
      </w:r>
      <w:r w:rsidR="007438C6" w:rsidRPr="00591643">
        <w:rPr>
          <w:rFonts w:cs="Times New Roman"/>
          <w:u w:val="single"/>
        </w:rPr>
        <w:t>qualitative research</w:t>
      </w:r>
      <w:r w:rsidR="007438C6" w:rsidRPr="00591643">
        <w:rPr>
          <w:rFonts w:cs="Times New Roman"/>
        </w:rPr>
        <w:t xml:space="preserve"> – 18 focus groups and 40 IDIs. </w:t>
      </w:r>
    </w:p>
    <w:p w:rsidR="007438C6" w:rsidRPr="00591643" w:rsidRDefault="007438C6" w:rsidP="007438C6">
      <w:pPr>
        <w:spacing w:after="0"/>
        <w:rPr>
          <w:rFonts w:cs="Times New Roman"/>
        </w:rPr>
      </w:pPr>
    </w:p>
    <w:p w:rsidR="007438C6" w:rsidRPr="00591643" w:rsidRDefault="00F62D61" w:rsidP="007438C6">
      <w:pPr>
        <w:spacing w:after="0"/>
        <w:rPr>
          <w:rFonts w:cs="Times New Roman"/>
        </w:rPr>
      </w:pPr>
      <w:r w:rsidRPr="00F62D61">
        <w:rPr>
          <w:rFonts w:cs="Times New Roman"/>
        </w:rPr>
        <w:t>Attachments</w:t>
      </w:r>
      <w:r>
        <w:rPr>
          <w:rFonts w:cs="Times New Roman"/>
        </w:rPr>
        <w:t xml:space="preserve"> </w:t>
      </w:r>
      <w:r w:rsidR="00456499">
        <w:rPr>
          <w:rFonts w:cs="Times New Roman"/>
        </w:rPr>
        <w:t xml:space="preserve">B, </w:t>
      </w:r>
      <w:r>
        <w:rPr>
          <w:rFonts w:cs="Times New Roman"/>
        </w:rPr>
        <w:t xml:space="preserve">C, D, E and F </w:t>
      </w:r>
      <w:r w:rsidR="007438C6" w:rsidRPr="00591643">
        <w:rPr>
          <w:rFonts w:cs="Times New Roman"/>
        </w:rPr>
        <w:t>shows the recruitment screeners that the professional interview</w:t>
      </w:r>
      <w:r w:rsidR="00456499">
        <w:rPr>
          <w:rFonts w:cs="Times New Roman"/>
        </w:rPr>
        <w:t>er</w:t>
      </w:r>
      <w:r w:rsidR="007438C6" w:rsidRPr="00591643">
        <w:rPr>
          <w:rFonts w:cs="Times New Roman"/>
        </w:rPr>
        <w:t>s at the focus group facilities will use to identify and recruit qualified participants.</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Regardless of the type of facility in wh</w:t>
      </w:r>
      <w:r w:rsidR="006F2029">
        <w:rPr>
          <w:rFonts w:cs="Times New Roman"/>
        </w:rPr>
        <w:t>ich the discussions are held, FH/GMMB and USDA</w:t>
      </w:r>
      <w:r w:rsidRPr="00591643">
        <w:rPr>
          <w:rFonts w:cs="Times New Roman"/>
        </w:rPr>
        <w:t xml:space="preserve"> will adhere to the American Association for Public Opinion Research </w:t>
      </w:r>
      <w:r w:rsidRPr="00F62D61">
        <w:rPr>
          <w:rFonts w:cs="Times New Roman"/>
        </w:rPr>
        <w:t>guidelines (</w:t>
      </w:r>
      <w:r w:rsidR="00F62D61" w:rsidRPr="00F62D61">
        <w:rPr>
          <w:rFonts w:cs="Times New Roman"/>
        </w:rPr>
        <w:t>See Attachment S</w:t>
      </w:r>
      <w:r w:rsidRPr="00F62D61">
        <w:rPr>
          <w:rFonts w:cs="Times New Roman"/>
        </w:rPr>
        <w:t xml:space="preserve">). </w:t>
      </w:r>
      <w:r w:rsidR="003B0D9C" w:rsidRPr="00F62D61">
        <w:rPr>
          <w:rFonts w:cs="Times New Roman"/>
        </w:rPr>
        <w:t xml:space="preserve"> </w:t>
      </w:r>
      <w:r w:rsidRPr="00F62D61">
        <w:rPr>
          <w:rFonts w:cs="Times New Roman"/>
        </w:rPr>
        <w:t>This</w:t>
      </w:r>
      <w:r w:rsidRPr="00591643">
        <w:rPr>
          <w:rFonts w:cs="Times New Roman"/>
        </w:rPr>
        <w:t xml:space="preserve"> will ensure that the participants are comfortable and confident that the research study is being conducted with integrity.</w:t>
      </w:r>
      <w:r w:rsidR="003B0D9C">
        <w:rPr>
          <w:rFonts w:cs="Times New Roman"/>
        </w:rPr>
        <w:t xml:space="preserve"> </w:t>
      </w:r>
      <w:r w:rsidR="006F2029">
        <w:rPr>
          <w:rFonts w:cs="Times New Roman"/>
        </w:rPr>
        <w:t xml:space="preserve"> Additionally, FH/GMMB</w:t>
      </w:r>
      <w:r w:rsidRPr="00591643">
        <w:rPr>
          <w:rFonts w:cs="Times New Roman"/>
        </w:rPr>
        <w:t xml:space="preserve"> will ensure that all focus group facilities are Americans with Disabilities Act (ADA) compliant.</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Recruitment:</w:t>
      </w:r>
    </w:p>
    <w:p w:rsidR="007438C6" w:rsidRPr="00591643" w:rsidRDefault="007438C6" w:rsidP="007438C6">
      <w:pPr>
        <w:spacing w:after="0"/>
        <w:rPr>
          <w:rFonts w:cs="Times New Roman"/>
          <w:i/>
        </w:rPr>
      </w:pPr>
      <w:r w:rsidRPr="00591643">
        <w:rPr>
          <w:rFonts w:cs="Times New Roman"/>
          <w:i/>
        </w:rPr>
        <w:t>Child Nutrition Professionals</w:t>
      </w:r>
    </w:p>
    <w:p w:rsidR="007438C6" w:rsidRPr="004F3A8D" w:rsidRDefault="007438C6" w:rsidP="007438C6">
      <w:pPr>
        <w:pStyle w:val="ListParagraph"/>
        <w:numPr>
          <w:ilvl w:val="0"/>
          <w:numId w:val="13"/>
        </w:numPr>
        <w:spacing w:after="0"/>
        <w:rPr>
          <w:rFonts w:cs="Times New Roman"/>
        </w:rPr>
      </w:pPr>
      <w:r w:rsidRPr="00591643">
        <w:rPr>
          <w:rFonts w:cs="Times New Roman"/>
        </w:rPr>
        <w:t>FNS will provide a list of potential participants.</w:t>
      </w:r>
      <w:r w:rsidR="003B0D9C">
        <w:rPr>
          <w:rFonts w:cs="Times New Roman"/>
        </w:rPr>
        <w:t xml:space="preserve"> </w:t>
      </w:r>
      <w:r w:rsidR="00E65E56" w:rsidRPr="00591643">
        <w:rPr>
          <w:rFonts w:cs="Times New Roman"/>
        </w:rPr>
        <w:t xml:space="preserve"> In creating the list, USDA </w:t>
      </w:r>
      <w:r w:rsidR="003B0D9C">
        <w:rPr>
          <w:rFonts w:cs="Times New Roman"/>
        </w:rPr>
        <w:t>FNS</w:t>
      </w:r>
      <w:r w:rsidR="003B0D9C" w:rsidRPr="00591643">
        <w:rPr>
          <w:rFonts w:cs="Times New Roman"/>
        </w:rPr>
        <w:t xml:space="preserve"> </w:t>
      </w:r>
      <w:r w:rsidR="00E65E56" w:rsidRPr="00591643">
        <w:rPr>
          <w:rFonts w:cs="Times New Roman"/>
        </w:rPr>
        <w:t xml:space="preserve">will work with its external partners on pulling a representative sample of child nutrition professionals based on region, school type (e.g., public, </w:t>
      </w:r>
      <w:r w:rsidR="003C4BD6" w:rsidRPr="00591643">
        <w:rPr>
          <w:rFonts w:cs="Times New Roman"/>
        </w:rPr>
        <w:t xml:space="preserve">nonprofit </w:t>
      </w:r>
      <w:r w:rsidR="00E65E56" w:rsidRPr="00591643">
        <w:rPr>
          <w:rFonts w:cs="Times New Roman"/>
        </w:rPr>
        <w:t>private, etc.), race/ethnicity, age</w:t>
      </w:r>
      <w:r w:rsidR="003B0D9C">
        <w:rPr>
          <w:rFonts w:cs="Times New Roman"/>
        </w:rPr>
        <w:t>,</w:t>
      </w:r>
      <w:r w:rsidR="00E65E56" w:rsidRPr="00591643">
        <w:rPr>
          <w:rFonts w:cs="Times New Roman"/>
        </w:rPr>
        <w:t xml:space="preserve"> and gender. </w:t>
      </w:r>
      <w:r w:rsidR="003B0D9C">
        <w:rPr>
          <w:rFonts w:cs="Times New Roman"/>
        </w:rPr>
        <w:t xml:space="preserve"> </w:t>
      </w:r>
      <w:r w:rsidR="00E65E56" w:rsidRPr="00591643">
        <w:rPr>
          <w:rFonts w:cs="Times New Roman"/>
        </w:rPr>
        <w:t xml:space="preserve">USDA </w:t>
      </w:r>
      <w:r w:rsidR="003B0D9C">
        <w:rPr>
          <w:rFonts w:cs="Times New Roman"/>
        </w:rPr>
        <w:t>FNS</w:t>
      </w:r>
      <w:r w:rsidR="00E65E56" w:rsidRPr="00591643">
        <w:rPr>
          <w:rFonts w:cs="Times New Roman"/>
        </w:rPr>
        <w:t xml:space="preserve"> will compile a list of more than 1,000 names. </w:t>
      </w:r>
      <w:r w:rsidR="003B0D9C">
        <w:rPr>
          <w:rFonts w:cs="Times New Roman"/>
        </w:rPr>
        <w:t xml:space="preserve"> </w:t>
      </w:r>
      <w:r w:rsidR="006F2029">
        <w:rPr>
          <w:rFonts w:cs="Times New Roman"/>
        </w:rPr>
        <w:t>However, FH/GMMB</w:t>
      </w:r>
      <w:r w:rsidR="00E65E56" w:rsidRPr="00591643">
        <w:rPr>
          <w:rFonts w:cs="Times New Roman"/>
        </w:rPr>
        <w:t xml:space="preserve"> will not exceed 500 completes, which is reflected in </w:t>
      </w:r>
      <w:r w:rsidR="00F60C64">
        <w:rPr>
          <w:rFonts w:cs="Times New Roman"/>
        </w:rPr>
        <w:t>the</w:t>
      </w:r>
      <w:r w:rsidR="00E65E56" w:rsidRPr="004F3A8D">
        <w:rPr>
          <w:rFonts w:cs="Times New Roman"/>
        </w:rPr>
        <w:t xml:space="preserve"> burden hours.</w:t>
      </w:r>
    </w:p>
    <w:p w:rsidR="007438C6" w:rsidRPr="004F3A8D" w:rsidRDefault="007438C6" w:rsidP="007438C6">
      <w:pPr>
        <w:pStyle w:val="ListParagraph"/>
        <w:numPr>
          <w:ilvl w:val="0"/>
          <w:numId w:val="13"/>
        </w:numPr>
        <w:spacing w:after="0"/>
        <w:rPr>
          <w:rFonts w:cs="Times New Roman"/>
        </w:rPr>
      </w:pPr>
      <w:r w:rsidRPr="004F3A8D">
        <w:rPr>
          <w:rFonts w:cs="Times New Roman"/>
        </w:rPr>
        <w:t>Professional interviewers will conduct the screening and recruiting interviews by telephone by using a pre-</w:t>
      </w:r>
      <w:r w:rsidRPr="00F62D61">
        <w:rPr>
          <w:rFonts w:cs="Times New Roman"/>
        </w:rPr>
        <w:t>approved script</w:t>
      </w:r>
      <w:r w:rsidR="00BC4044" w:rsidRPr="00F62D61">
        <w:rPr>
          <w:rFonts w:cs="Times New Roman"/>
        </w:rPr>
        <w:t xml:space="preserve"> (</w:t>
      </w:r>
      <w:r w:rsidR="00245620" w:rsidRPr="00F62D61">
        <w:rPr>
          <w:rFonts w:cs="Times New Roman"/>
        </w:rPr>
        <w:t>see Attachment C).</w:t>
      </w:r>
      <w:r w:rsidR="003B0D9C" w:rsidRPr="00F62D61">
        <w:rPr>
          <w:rFonts w:cs="Times New Roman"/>
        </w:rPr>
        <w:t xml:space="preserve"> </w:t>
      </w:r>
      <w:r w:rsidRPr="00F62D61">
        <w:rPr>
          <w:rFonts w:cs="Times New Roman"/>
        </w:rPr>
        <w:t xml:space="preserve"> Supervisors</w:t>
      </w:r>
      <w:r w:rsidRPr="004F3A8D">
        <w:rPr>
          <w:rFonts w:cs="Times New Roman"/>
        </w:rPr>
        <w:t xml:space="preserve"> will monitor their work to ensure quality control.</w:t>
      </w:r>
    </w:p>
    <w:p w:rsidR="007438C6" w:rsidRPr="004F3A8D" w:rsidRDefault="007438C6" w:rsidP="007438C6">
      <w:pPr>
        <w:pStyle w:val="ListParagraph"/>
        <w:numPr>
          <w:ilvl w:val="0"/>
          <w:numId w:val="13"/>
        </w:numPr>
        <w:spacing w:after="0"/>
        <w:rPr>
          <w:rFonts w:cs="Times New Roman"/>
        </w:rPr>
      </w:pPr>
      <w:r w:rsidRPr="004F3A8D">
        <w:rPr>
          <w:rFonts w:cs="Times New Roman"/>
        </w:rPr>
        <w:t>FH/GMMB will review the completed recruitment screeners to ensure that those recruited meet all the required specifications.</w:t>
      </w:r>
    </w:p>
    <w:p w:rsidR="007438C6" w:rsidRPr="004F3A8D" w:rsidRDefault="007438C6" w:rsidP="007438C6">
      <w:pPr>
        <w:pStyle w:val="ListParagraph"/>
        <w:numPr>
          <w:ilvl w:val="0"/>
          <w:numId w:val="13"/>
        </w:numPr>
        <w:spacing w:after="0"/>
        <w:rPr>
          <w:rFonts w:cs="Times New Roman"/>
        </w:rPr>
      </w:pPr>
      <w:r w:rsidRPr="004F3A8D">
        <w:rPr>
          <w:rFonts w:cs="Times New Roman"/>
        </w:rPr>
        <w:t xml:space="preserve">The focus group </w:t>
      </w:r>
      <w:r w:rsidR="00F62D61">
        <w:rPr>
          <w:rFonts w:cs="Times New Roman"/>
        </w:rPr>
        <w:t>staff</w:t>
      </w:r>
      <w:r w:rsidRPr="004F3A8D">
        <w:rPr>
          <w:rFonts w:cs="Times New Roman"/>
        </w:rPr>
        <w:t xml:space="preserve"> will mail a letter to those </w:t>
      </w:r>
      <w:r w:rsidRPr="00F62D61">
        <w:rPr>
          <w:rFonts w:cs="Times New Roman"/>
        </w:rPr>
        <w:t>recruited</w:t>
      </w:r>
      <w:r w:rsidR="00BC4044" w:rsidRPr="00F62D61">
        <w:rPr>
          <w:rFonts w:cs="Times New Roman"/>
        </w:rPr>
        <w:t xml:space="preserve"> (</w:t>
      </w:r>
      <w:r w:rsidR="00245620" w:rsidRPr="00F62D61">
        <w:rPr>
          <w:rFonts w:cs="Times New Roman"/>
        </w:rPr>
        <w:t>see Attachment G</w:t>
      </w:r>
      <w:r w:rsidR="00BC4044" w:rsidRPr="00F62D61">
        <w:rPr>
          <w:rFonts w:cs="Times New Roman"/>
        </w:rPr>
        <w:t>)</w:t>
      </w:r>
      <w:r w:rsidRPr="00F62D61">
        <w:rPr>
          <w:rFonts w:cs="Times New Roman"/>
        </w:rPr>
        <w:t>.</w:t>
      </w:r>
      <w:r w:rsidRPr="004F3A8D">
        <w:rPr>
          <w:rFonts w:cs="Times New Roman"/>
        </w:rPr>
        <w:t xml:space="preserve"> </w:t>
      </w:r>
      <w:r w:rsidR="003B0D9C">
        <w:rPr>
          <w:rFonts w:cs="Times New Roman"/>
        </w:rPr>
        <w:t xml:space="preserve"> </w:t>
      </w:r>
      <w:r w:rsidRPr="004F3A8D">
        <w:rPr>
          <w:rFonts w:cs="Times New Roman"/>
        </w:rPr>
        <w:t>T</w:t>
      </w:r>
      <w:r w:rsidR="001F7E57">
        <w:rPr>
          <w:rFonts w:cs="Times New Roman"/>
        </w:rPr>
        <w:t>his letter will confirm</w:t>
      </w:r>
      <w:r w:rsidR="00C01B8D">
        <w:rPr>
          <w:rFonts w:cs="Times New Roman"/>
        </w:rPr>
        <w:t xml:space="preserve"> logistical details such as the</w:t>
      </w:r>
      <w:r w:rsidR="001F7E57">
        <w:rPr>
          <w:rFonts w:cs="Times New Roman"/>
        </w:rPr>
        <w:t xml:space="preserve"> date,</w:t>
      </w:r>
      <w:r w:rsidRPr="004F3A8D">
        <w:rPr>
          <w:rFonts w:cs="Times New Roman"/>
        </w:rPr>
        <w:t xml:space="preserve"> time</w:t>
      </w:r>
      <w:r w:rsidR="003B0D9C">
        <w:rPr>
          <w:rFonts w:cs="Times New Roman"/>
        </w:rPr>
        <w:t>,</w:t>
      </w:r>
      <w:r w:rsidR="001F7E57">
        <w:rPr>
          <w:rFonts w:cs="Times New Roman"/>
        </w:rPr>
        <w:t xml:space="preserve"> and l</w:t>
      </w:r>
      <w:r w:rsidR="00C01B8D">
        <w:rPr>
          <w:rFonts w:cs="Times New Roman"/>
        </w:rPr>
        <w:t>ocation</w:t>
      </w:r>
      <w:r w:rsidRPr="004F3A8D">
        <w:rPr>
          <w:rFonts w:cs="Times New Roman"/>
        </w:rPr>
        <w:t xml:space="preserve"> of the </w:t>
      </w:r>
      <w:r w:rsidR="00C01B8D">
        <w:rPr>
          <w:rFonts w:cs="Times New Roman"/>
        </w:rPr>
        <w:t xml:space="preserve">focus group. </w:t>
      </w:r>
      <w:r w:rsidR="003B0D9C">
        <w:rPr>
          <w:rFonts w:cs="Times New Roman"/>
        </w:rPr>
        <w:t xml:space="preserve"> </w:t>
      </w:r>
      <w:r w:rsidRPr="004F3A8D">
        <w:rPr>
          <w:rFonts w:cs="Times New Roman"/>
        </w:rPr>
        <w:t xml:space="preserve">The focus group vendor will provide technical support before and during the focus group discussions. </w:t>
      </w:r>
    </w:p>
    <w:p w:rsidR="007438C6" w:rsidRPr="00DA5415" w:rsidRDefault="007438C6" w:rsidP="007438C6">
      <w:pPr>
        <w:pStyle w:val="ListParagraph"/>
        <w:numPr>
          <w:ilvl w:val="0"/>
          <w:numId w:val="13"/>
        </w:numPr>
        <w:spacing w:after="0"/>
        <w:rPr>
          <w:rFonts w:cs="Times New Roman"/>
        </w:rPr>
      </w:pPr>
      <w:r w:rsidRPr="004F3A8D">
        <w:rPr>
          <w:rFonts w:cs="Times New Roman"/>
        </w:rPr>
        <w:t xml:space="preserve">The focus group </w:t>
      </w:r>
      <w:r w:rsidR="00F62D61">
        <w:rPr>
          <w:rFonts w:cs="Times New Roman"/>
        </w:rPr>
        <w:t>staff</w:t>
      </w:r>
      <w:r w:rsidRPr="004F3A8D">
        <w:rPr>
          <w:rFonts w:cs="Times New Roman"/>
        </w:rPr>
        <w:t xml:space="preserve"> will also make a reminder telephone call to all participants the day before the discussion group</w:t>
      </w:r>
      <w:r w:rsidR="00BC4044" w:rsidRPr="004F3A8D">
        <w:rPr>
          <w:rFonts w:cs="Times New Roman"/>
        </w:rPr>
        <w:t xml:space="preserve"> (</w:t>
      </w:r>
      <w:r w:rsidR="00245620" w:rsidRPr="00DA5415">
        <w:rPr>
          <w:rFonts w:cs="Times New Roman"/>
        </w:rPr>
        <w:t>see Attachment H</w:t>
      </w:r>
      <w:r w:rsidR="00BC4044" w:rsidRPr="00DA5415">
        <w:rPr>
          <w:rFonts w:cs="Times New Roman"/>
        </w:rPr>
        <w:t>)</w:t>
      </w:r>
      <w:r w:rsidRPr="00DA5415">
        <w:rPr>
          <w:rFonts w:cs="Times New Roman"/>
        </w:rPr>
        <w:t>.</w:t>
      </w:r>
    </w:p>
    <w:p w:rsidR="007438C6" w:rsidRPr="00591643" w:rsidRDefault="007438C6" w:rsidP="007438C6">
      <w:pPr>
        <w:rPr>
          <w:rFonts w:cs="Times New Roman"/>
        </w:rPr>
      </w:pPr>
    </w:p>
    <w:p w:rsidR="00DA5415" w:rsidRDefault="00DA5415" w:rsidP="007438C6">
      <w:pPr>
        <w:spacing w:after="0"/>
        <w:rPr>
          <w:rFonts w:cs="Times New Roman"/>
          <w:i/>
        </w:rPr>
      </w:pPr>
    </w:p>
    <w:p w:rsidR="0026353B" w:rsidRDefault="0026353B" w:rsidP="007438C6">
      <w:pPr>
        <w:spacing w:after="0"/>
        <w:rPr>
          <w:rFonts w:cs="Times New Roman"/>
          <w:i/>
        </w:rPr>
      </w:pPr>
    </w:p>
    <w:p w:rsidR="007438C6" w:rsidRPr="00591643" w:rsidRDefault="007438C6" w:rsidP="007438C6">
      <w:pPr>
        <w:spacing w:after="0"/>
        <w:rPr>
          <w:rFonts w:cs="Times New Roman"/>
          <w:i/>
        </w:rPr>
      </w:pPr>
      <w:r w:rsidRPr="00591643">
        <w:rPr>
          <w:rFonts w:cs="Times New Roman"/>
          <w:i/>
        </w:rPr>
        <w:t>Teachers, Administrators</w:t>
      </w:r>
      <w:r w:rsidR="003B0D9C">
        <w:rPr>
          <w:rFonts w:cs="Times New Roman"/>
          <w:i/>
        </w:rPr>
        <w:t>,</w:t>
      </w:r>
      <w:r w:rsidRPr="00591643">
        <w:rPr>
          <w:rFonts w:cs="Times New Roman"/>
          <w:i/>
        </w:rPr>
        <w:t xml:space="preserve"> and Parents/Guardians</w:t>
      </w:r>
    </w:p>
    <w:p w:rsidR="007438C6" w:rsidRPr="00DA5415" w:rsidRDefault="007438C6" w:rsidP="007438C6">
      <w:pPr>
        <w:pStyle w:val="ListParagraph"/>
        <w:numPr>
          <w:ilvl w:val="0"/>
          <w:numId w:val="14"/>
        </w:numPr>
        <w:spacing w:after="0"/>
        <w:rPr>
          <w:rFonts w:cs="Times New Roman"/>
        </w:rPr>
      </w:pPr>
      <w:r w:rsidRPr="00DA5415">
        <w:rPr>
          <w:rFonts w:cs="Times New Roman"/>
        </w:rPr>
        <w:t xml:space="preserve">The focus group </w:t>
      </w:r>
      <w:r w:rsidR="00DA5415" w:rsidRPr="00DA5415">
        <w:rPr>
          <w:rFonts w:cs="Times New Roman"/>
        </w:rPr>
        <w:t>vendor will use its</w:t>
      </w:r>
      <w:r w:rsidRPr="00DA5415">
        <w:rPr>
          <w:rFonts w:cs="Times New Roman"/>
        </w:rPr>
        <w:t xml:space="preserve"> own database of individuals</w:t>
      </w:r>
      <w:r w:rsidR="003B0D9C" w:rsidRPr="00DA5415">
        <w:rPr>
          <w:rFonts w:cs="Times New Roman"/>
        </w:rPr>
        <w:t>,</w:t>
      </w:r>
      <w:r w:rsidRPr="00DA5415">
        <w:rPr>
          <w:rFonts w:cs="Times New Roman"/>
        </w:rPr>
        <w:t xml:space="preserve"> as well as cold-calling methods to identify which participants to contact</w:t>
      </w:r>
      <w:r w:rsidR="00BC4044" w:rsidRPr="00DA5415">
        <w:rPr>
          <w:rFonts w:cs="Times New Roman"/>
        </w:rPr>
        <w:t xml:space="preserve"> </w:t>
      </w:r>
      <w:r w:rsidR="00456499">
        <w:rPr>
          <w:rFonts w:cs="Times New Roman"/>
        </w:rPr>
        <w:t>(s</w:t>
      </w:r>
      <w:r w:rsidR="00245620" w:rsidRPr="00DA5415">
        <w:rPr>
          <w:rFonts w:cs="Times New Roman"/>
        </w:rPr>
        <w:t>ee Attachments D, E and F f</w:t>
      </w:r>
      <w:r w:rsidR="00F60C64">
        <w:rPr>
          <w:rFonts w:cs="Times New Roman"/>
        </w:rPr>
        <w:t>or a detailed description of the</w:t>
      </w:r>
      <w:r w:rsidR="00245620" w:rsidRPr="00DA5415">
        <w:rPr>
          <w:rFonts w:cs="Times New Roman"/>
        </w:rPr>
        <w:t xml:space="preserve"> methodology, which will ensure a broad mix of representatives).</w:t>
      </w:r>
    </w:p>
    <w:p w:rsidR="007438C6" w:rsidRPr="00DA5415" w:rsidRDefault="007438C6" w:rsidP="007438C6">
      <w:pPr>
        <w:pStyle w:val="ListParagraph"/>
        <w:numPr>
          <w:ilvl w:val="0"/>
          <w:numId w:val="14"/>
        </w:numPr>
        <w:spacing w:after="0"/>
        <w:rPr>
          <w:rFonts w:cs="Times New Roman"/>
        </w:rPr>
      </w:pPr>
      <w:r w:rsidRPr="00DA5415">
        <w:rPr>
          <w:rFonts w:cs="Times New Roman"/>
        </w:rPr>
        <w:t>Professional interviewers will conduct the screening and recruiting interviews by telephone</w:t>
      </w:r>
      <w:r w:rsidR="003B0D9C" w:rsidRPr="00DA5415">
        <w:rPr>
          <w:rFonts w:cs="Times New Roman"/>
        </w:rPr>
        <w:t xml:space="preserve">, </w:t>
      </w:r>
      <w:r w:rsidRPr="00DA5415">
        <w:rPr>
          <w:rFonts w:cs="Times New Roman"/>
        </w:rPr>
        <w:t>using a pre-approved script</w:t>
      </w:r>
      <w:r w:rsidR="00BC4044" w:rsidRPr="00DA5415">
        <w:rPr>
          <w:rFonts w:cs="Times New Roman"/>
        </w:rPr>
        <w:t xml:space="preserve"> </w:t>
      </w:r>
      <w:r w:rsidR="00245620" w:rsidRPr="00DA5415">
        <w:rPr>
          <w:rFonts w:cs="Times New Roman"/>
        </w:rPr>
        <w:t>(see Attachments D, E and F</w:t>
      </w:r>
      <w:r w:rsidR="00BC4044" w:rsidRPr="00DA5415">
        <w:rPr>
          <w:rFonts w:cs="Times New Roman"/>
        </w:rPr>
        <w:t>)</w:t>
      </w:r>
      <w:r w:rsidRPr="00DA5415">
        <w:rPr>
          <w:rFonts w:cs="Times New Roman"/>
        </w:rPr>
        <w:t xml:space="preserve">. </w:t>
      </w:r>
      <w:r w:rsidR="003B0D9C" w:rsidRPr="00DA5415">
        <w:rPr>
          <w:rFonts w:cs="Times New Roman"/>
        </w:rPr>
        <w:t xml:space="preserve"> </w:t>
      </w:r>
      <w:r w:rsidRPr="00DA5415">
        <w:rPr>
          <w:rFonts w:cs="Times New Roman"/>
        </w:rPr>
        <w:t xml:space="preserve">Supervisors will monitor </w:t>
      </w:r>
      <w:r w:rsidR="00DA5415" w:rsidRPr="00DA5415">
        <w:rPr>
          <w:rFonts w:cs="Times New Roman"/>
        </w:rPr>
        <w:t>interviewers’</w:t>
      </w:r>
      <w:r w:rsidRPr="00DA5415">
        <w:rPr>
          <w:rFonts w:cs="Times New Roman"/>
        </w:rPr>
        <w:t xml:space="preserve"> work to ensure quality control.</w:t>
      </w:r>
    </w:p>
    <w:p w:rsidR="007438C6" w:rsidRPr="00DA5415" w:rsidRDefault="007438C6" w:rsidP="007438C6">
      <w:pPr>
        <w:pStyle w:val="ListParagraph"/>
        <w:numPr>
          <w:ilvl w:val="0"/>
          <w:numId w:val="14"/>
        </w:numPr>
        <w:spacing w:after="0"/>
        <w:rPr>
          <w:rFonts w:cs="Times New Roman"/>
        </w:rPr>
      </w:pPr>
      <w:r w:rsidRPr="00DA5415">
        <w:rPr>
          <w:rFonts w:cs="Times New Roman"/>
        </w:rPr>
        <w:t>FH/GMMB will review the completed recruitment screeners to ensure that those recruited meet all of the required specifications.</w:t>
      </w:r>
    </w:p>
    <w:p w:rsidR="007438C6" w:rsidRPr="00DA5415" w:rsidRDefault="007438C6" w:rsidP="007438C6">
      <w:pPr>
        <w:pStyle w:val="ListParagraph"/>
        <w:numPr>
          <w:ilvl w:val="0"/>
          <w:numId w:val="14"/>
        </w:numPr>
        <w:spacing w:after="0"/>
        <w:rPr>
          <w:rFonts w:cs="Times New Roman"/>
        </w:rPr>
      </w:pPr>
      <w:r w:rsidRPr="00DA5415">
        <w:rPr>
          <w:rFonts w:cs="Times New Roman"/>
        </w:rPr>
        <w:t xml:space="preserve">The focus group </w:t>
      </w:r>
      <w:r w:rsidR="00DA5415" w:rsidRPr="00DA5415">
        <w:rPr>
          <w:rFonts w:cs="Times New Roman"/>
        </w:rPr>
        <w:t>staff</w:t>
      </w:r>
      <w:r w:rsidRPr="00DA5415">
        <w:rPr>
          <w:rFonts w:cs="Times New Roman"/>
        </w:rPr>
        <w:t xml:space="preserve"> will mail a letter to those recruited</w:t>
      </w:r>
      <w:r w:rsidR="00BC4044" w:rsidRPr="00DA5415">
        <w:rPr>
          <w:rFonts w:cs="Times New Roman"/>
        </w:rPr>
        <w:t xml:space="preserve"> (</w:t>
      </w:r>
      <w:r w:rsidR="00245620" w:rsidRPr="00DA5415">
        <w:rPr>
          <w:rFonts w:cs="Times New Roman"/>
        </w:rPr>
        <w:t>see Attachment G</w:t>
      </w:r>
      <w:r w:rsidR="00BC4044" w:rsidRPr="00DA5415">
        <w:rPr>
          <w:rFonts w:cs="Times New Roman"/>
        </w:rPr>
        <w:t>)</w:t>
      </w:r>
      <w:r w:rsidRPr="00DA5415">
        <w:rPr>
          <w:rFonts w:cs="Times New Roman"/>
        </w:rPr>
        <w:t xml:space="preserve">. </w:t>
      </w:r>
      <w:r w:rsidR="003B0D9C" w:rsidRPr="00DA5415">
        <w:rPr>
          <w:rFonts w:cs="Times New Roman"/>
        </w:rPr>
        <w:t xml:space="preserve"> </w:t>
      </w:r>
      <w:r w:rsidRPr="00DA5415">
        <w:rPr>
          <w:rFonts w:cs="Times New Roman"/>
        </w:rPr>
        <w:t>This letter will confirm date, time</w:t>
      </w:r>
      <w:r w:rsidR="003B0D9C" w:rsidRPr="00DA5415">
        <w:rPr>
          <w:rFonts w:cs="Times New Roman"/>
        </w:rPr>
        <w:t>,</w:t>
      </w:r>
      <w:r w:rsidRPr="00DA5415">
        <w:rPr>
          <w:rFonts w:cs="Times New Roman"/>
        </w:rPr>
        <w:t xml:space="preserve"> and location of the focus group, as well as provide directions. </w:t>
      </w:r>
      <w:r w:rsidR="003B0D9C" w:rsidRPr="00DA5415">
        <w:rPr>
          <w:rFonts w:cs="Times New Roman"/>
        </w:rPr>
        <w:t xml:space="preserve"> </w:t>
      </w:r>
      <w:r w:rsidR="00DA5415" w:rsidRPr="00DA5415">
        <w:rPr>
          <w:rFonts w:cs="Times New Roman"/>
        </w:rPr>
        <w:t>Focus group staff</w:t>
      </w:r>
      <w:r w:rsidRPr="00DA5415">
        <w:rPr>
          <w:rFonts w:cs="Times New Roman"/>
        </w:rPr>
        <w:t xml:space="preserve"> will also make a reminder telephone call to all participants the day before the discussion groups</w:t>
      </w:r>
      <w:r w:rsidR="00BC4044" w:rsidRPr="00DA5415">
        <w:rPr>
          <w:rFonts w:cs="Times New Roman"/>
        </w:rPr>
        <w:t xml:space="preserve"> (</w:t>
      </w:r>
      <w:r w:rsidR="00245620" w:rsidRPr="00DA5415">
        <w:rPr>
          <w:rFonts w:cs="Times New Roman"/>
        </w:rPr>
        <w:t>see Attachment H).</w:t>
      </w:r>
    </w:p>
    <w:p w:rsidR="007438C6" w:rsidRPr="00591643" w:rsidRDefault="007438C6" w:rsidP="007438C6">
      <w:pPr>
        <w:spacing w:after="0"/>
        <w:rPr>
          <w:rFonts w:cs="Times New Roman"/>
        </w:rPr>
      </w:pPr>
    </w:p>
    <w:p w:rsidR="007438C6" w:rsidRPr="00591643" w:rsidRDefault="007438C6" w:rsidP="007438C6">
      <w:pPr>
        <w:spacing w:after="0"/>
        <w:rPr>
          <w:rFonts w:cs="Times New Roman"/>
          <w:i/>
        </w:rPr>
      </w:pPr>
      <w:r w:rsidRPr="00591643">
        <w:rPr>
          <w:rFonts w:cs="Times New Roman"/>
          <w:i/>
        </w:rPr>
        <w:t>Internal and External Partners</w:t>
      </w:r>
    </w:p>
    <w:p w:rsidR="007438C6" w:rsidRPr="00591643" w:rsidRDefault="007438C6" w:rsidP="007438C6">
      <w:pPr>
        <w:pStyle w:val="ListParagraph"/>
        <w:numPr>
          <w:ilvl w:val="0"/>
          <w:numId w:val="15"/>
        </w:numPr>
        <w:spacing w:after="0"/>
        <w:rPr>
          <w:rFonts w:cs="Times New Roman"/>
        </w:rPr>
      </w:pPr>
      <w:r w:rsidRPr="00591643">
        <w:rPr>
          <w:rFonts w:cs="Times New Roman"/>
        </w:rPr>
        <w:t>FNS will provide a list of potential participants</w:t>
      </w:r>
      <w:r w:rsidR="003B0D9C">
        <w:rPr>
          <w:rFonts w:cs="Times New Roman"/>
        </w:rPr>
        <w:t xml:space="preserve"> to FH/GMMB</w:t>
      </w:r>
      <w:r w:rsidRPr="00591643">
        <w:rPr>
          <w:rFonts w:cs="Times New Roman"/>
        </w:rPr>
        <w:t xml:space="preserve">. </w:t>
      </w:r>
      <w:r w:rsidR="003B0D9C">
        <w:rPr>
          <w:rFonts w:cs="Times New Roman"/>
        </w:rPr>
        <w:t xml:space="preserve"> </w:t>
      </w:r>
      <w:r w:rsidRPr="00591643">
        <w:rPr>
          <w:rFonts w:cs="Times New Roman"/>
        </w:rPr>
        <w:t xml:space="preserve">Prior to FH/GMMB recruiting potential participants, FNS will </w:t>
      </w:r>
      <w:r w:rsidR="00737AF5">
        <w:rPr>
          <w:rFonts w:cs="Times New Roman"/>
        </w:rPr>
        <w:t>notify its partners to inform</w:t>
      </w:r>
      <w:r w:rsidRPr="00591643">
        <w:rPr>
          <w:rFonts w:cs="Times New Roman"/>
        </w:rPr>
        <w:t xml:space="preserve"> them about the research project and the upcoming telephone interviews.</w:t>
      </w:r>
    </w:p>
    <w:p w:rsidR="007438C6" w:rsidRPr="004F3A8D" w:rsidRDefault="007438C6" w:rsidP="007438C6">
      <w:pPr>
        <w:pStyle w:val="ListParagraph"/>
        <w:numPr>
          <w:ilvl w:val="0"/>
          <w:numId w:val="15"/>
        </w:numPr>
        <w:spacing w:after="0"/>
        <w:rPr>
          <w:rFonts w:cs="Times New Roman"/>
        </w:rPr>
      </w:pPr>
      <w:r w:rsidRPr="00591643">
        <w:rPr>
          <w:rFonts w:cs="Times New Roman"/>
        </w:rPr>
        <w:t>FH/GMMB professionals will call the potential participants, invite them to participate in the interview</w:t>
      </w:r>
      <w:r w:rsidR="003B0D9C">
        <w:rPr>
          <w:rFonts w:cs="Times New Roman"/>
        </w:rPr>
        <w:t>,</w:t>
      </w:r>
      <w:r w:rsidRPr="00591643">
        <w:rPr>
          <w:rFonts w:cs="Times New Roman"/>
        </w:rPr>
        <w:t xml:space="preserve"> and schedule a time to conduct the interview. </w:t>
      </w:r>
      <w:r w:rsidR="003B0D9C">
        <w:rPr>
          <w:rFonts w:cs="Times New Roman"/>
        </w:rPr>
        <w:t xml:space="preserve"> </w:t>
      </w:r>
      <w:r w:rsidRPr="00591643">
        <w:rPr>
          <w:rFonts w:cs="Times New Roman"/>
        </w:rPr>
        <w:t xml:space="preserve">Interviewers will follow a pre-approved script. </w:t>
      </w:r>
      <w:r w:rsidR="003B0D9C">
        <w:rPr>
          <w:rFonts w:cs="Times New Roman"/>
        </w:rPr>
        <w:t xml:space="preserve"> </w:t>
      </w:r>
      <w:r w:rsidR="00DA5415">
        <w:rPr>
          <w:rFonts w:cs="Times New Roman"/>
        </w:rPr>
        <w:t>Supervisors will monitor the interviewers’</w:t>
      </w:r>
      <w:r w:rsidRPr="00591643">
        <w:rPr>
          <w:rFonts w:cs="Times New Roman"/>
        </w:rPr>
        <w:t xml:space="preserve"> work to ensure </w:t>
      </w:r>
      <w:r w:rsidRPr="004F3A8D">
        <w:rPr>
          <w:rFonts w:cs="Times New Roman"/>
        </w:rPr>
        <w:t>quality control</w:t>
      </w:r>
      <w:r w:rsidR="00BC4044" w:rsidRPr="004F3A8D">
        <w:rPr>
          <w:rFonts w:cs="Times New Roman"/>
        </w:rPr>
        <w:t xml:space="preserve"> (see Attachment B)</w:t>
      </w:r>
      <w:r w:rsidRPr="004F3A8D">
        <w:rPr>
          <w:rFonts w:cs="Times New Roman"/>
        </w:rPr>
        <w:t>.</w:t>
      </w:r>
    </w:p>
    <w:p w:rsidR="007438C6" w:rsidRPr="00591643" w:rsidRDefault="007438C6" w:rsidP="007438C6">
      <w:pPr>
        <w:pStyle w:val="ListParagraph"/>
        <w:numPr>
          <w:ilvl w:val="0"/>
          <w:numId w:val="15"/>
        </w:numPr>
        <w:spacing w:after="0"/>
        <w:rPr>
          <w:rFonts w:cs="Times New Roman"/>
        </w:rPr>
      </w:pPr>
      <w:r w:rsidRPr="004F3A8D">
        <w:rPr>
          <w:rFonts w:cs="Times New Roman"/>
        </w:rPr>
        <w:t>FH/GMMB interviewers will collect participants’ e-mail addresses and ask them to be at a computer</w:t>
      </w:r>
      <w:r w:rsidRPr="00591643">
        <w:rPr>
          <w:rFonts w:cs="Times New Roman"/>
        </w:rPr>
        <w:t xml:space="preserve"> with Internet access at the time of the interview in order to view creative concepts</w:t>
      </w:r>
      <w:r w:rsidR="00456499">
        <w:rPr>
          <w:rFonts w:cs="Times New Roman"/>
        </w:rPr>
        <w:t xml:space="preserve"> (s</w:t>
      </w:r>
      <w:r w:rsidR="00AA51FC">
        <w:rPr>
          <w:rFonts w:cs="Times New Roman"/>
        </w:rPr>
        <w:t>ee Attachment I)</w:t>
      </w:r>
      <w:r w:rsidRPr="00591643">
        <w:rPr>
          <w:rFonts w:cs="Times New Roman"/>
        </w:rPr>
        <w:t>, which will be e-mailed to them prior</w:t>
      </w:r>
      <w:r w:rsidR="007423EB">
        <w:rPr>
          <w:rFonts w:cs="Times New Roman"/>
        </w:rPr>
        <w:t xml:space="preserve"> to the start of the interview, and which will also serve as a reminder.</w:t>
      </w:r>
    </w:p>
    <w:p w:rsidR="001B4E8C" w:rsidRDefault="001B4E8C" w:rsidP="001B4E8C">
      <w:pPr>
        <w:pStyle w:val="ListParagraph"/>
        <w:spacing w:after="0"/>
        <w:ind w:left="360"/>
        <w:rPr>
          <w:rFonts w:cs="Times New Roman"/>
        </w:rPr>
      </w:pPr>
    </w:p>
    <w:p w:rsidR="007438C6" w:rsidRPr="003B0D9C" w:rsidRDefault="004F3A8D" w:rsidP="007438C6">
      <w:pPr>
        <w:spacing w:after="0"/>
        <w:rPr>
          <w:rFonts w:cs="Times New Roman"/>
          <w:b/>
        </w:rPr>
      </w:pPr>
      <w:r w:rsidRPr="003B0D9C">
        <w:rPr>
          <w:rFonts w:cs="Times New Roman"/>
          <w:b/>
        </w:rPr>
        <w:t>Participant Reimbursement:</w:t>
      </w:r>
    </w:p>
    <w:p w:rsidR="007438C6" w:rsidRPr="00591643" w:rsidRDefault="007438C6" w:rsidP="007438C6">
      <w:pPr>
        <w:spacing w:after="0"/>
        <w:rPr>
          <w:rFonts w:cs="Times New Roman"/>
          <w:i/>
        </w:rPr>
      </w:pPr>
      <w:r w:rsidRPr="003B0D9C">
        <w:rPr>
          <w:rFonts w:cs="Times New Roman"/>
          <w:i/>
        </w:rPr>
        <w:t>Focus Group Participants – Child Nutrition Professionals, Teachers, A</w:t>
      </w:r>
      <w:r w:rsidRPr="00591643">
        <w:rPr>
          <w:rFonts w:cs="Times New Roman"/>
          <w:i/>
        </w:rPr>
        <w:t>dministrators</w:t>
      </w:r>
      <w:r w:rsidR="003B0D9C">
        <w:rPr>
          <w:rFonts w:cs="Times New Roman"/>
          <w:i/>
        </w:rPr>
        <w:t>,</w:t>
      </w:r>
      <w:r w:rsidRPr="00591643">
        <w:rPr>
          <w:rFonts w:cs="Times New Roman"/>
          <w:i/>
        </w:rPr>
        <w:t xml:space="preserve"> and Parents/Guardians</w:t>
      </w:r>
    </w:p>
    <w:p w:rsidR="007438C6" w:rsidRPr="00591643" w:rsidRDefault="007438C6" w:rsidP="007438C6">
      <w:pPr>
        <w:pStyle w:val="ListParagraph"/>
        <w:numPr>
          <w:ilvl w:val="0"/>
          <w:numId w:val="16"/>
        </w:numPr>
        <w:spacing w:after="0"/>
        <w:rPr>
          <w:rFonts w:cs="Times New Roman"/>
        </w:rPr>
      </w:pPr>
      <w:r w:rsidRPr="00591643">
        <w:rPr>
          <w:rFonts w:cs="Times New Roman"/>
        </w:rPr>
        <w:t>At the end of the discussion, participants will receive a reimburse</w:t>
      </w:r>
      <w:r w:rsidR="004F3A8D">
        <w:rPr>
          <w:rFonts w:cs="Times New Roman"/>
        </w:rPr>
        <w:t>ment</w:t>
      </w:r>
      <w:r w:rsidRPr="00591643">
        <w:rPr>
          <w:rFonts w:cs="Times New Roman"/>
        </w:rPr>
        <w:t xml:space="preserve"> for their expenses ($50 to $75), depending on the market. </w:t>
      </w:r>
      <w:r w:rsidR="007E74AE">
        <w:rPr>
          <w:rFonts w:cs="Times New Roman"/>
        </w:rPr>
        <w:t xml:space="preserve"> </w:t>
      </w:r>
      <w:r w:rsidR="00AA51FC">
        <w:rPr>
          <w:rFonts w:cs="Times New Roman"/>
        </w:rPr>
        <w:t>The focus group staff</w:t>
      </w:r>
      <w:r w:rsidRPr="00591643">
        <w:rPr>
          <w:rFonts w:cs="Times New Roman"/>
        </w:rPr>
        <w:t xml:space="preserve"> will ask participants to sign a form acknowledging receipt of the </w:t>
      </w:r>
      <w:r w:rsidR="007E74AE">
        <w:rPr>
          <w:rFonts w:cs="Times New Roman"/>
        </w:rPr>
        <w:t>reimbursement</w:t>
      </w:r>
      <w:r w:rsidRPr="00591643">
        <w:rPr>
          <w:rFonts w:cs="Times New Roman"/>
        </w:rPr>
        <w:t xml:space="preserve">. </w:t>
      </w:r>
      <w:r w:rsidR="007E74AE">
        <w:rPr>
          <w:rFonts w:cs="Times New Roman"/>
        </w:rPr>
        <w:t xml:space="preserve"> </w:t>
      </w:r>
      <w:r w:rsidRPr="00591643">
        <w:rPr>
          <w:rFonts w:cs="Times New Roman"/>
        </w:rPr>
        <w:t xml:space="preserve">The recipients can use this money in any way they wish (for example, they can reimburse a child care provider who watched their child during </w:t>
      </w:r>
      <w:r w:rsidR="00456499">
        <w:rPr>
          <w:rFonts w:cs="Times New Roman"/>
        </w:rPr>
        <w:t xml:space="preserve">the focus group </w:t>
      </w:r>
      <w:r w:rsidRPr="00591643">
        <w:rPr>
          <w:rFonts w:cs="Times New Roman"/>
        </w:rPr>
        <w:t>discussion, pay for parking</w:t>
      </w:r>
      <w:r w:rsidR="007E74AE">
        <w:rPr>
          <w:rFonts w:cs="Times New Roman"/>
        </w:rPr>
        <w:t>,</w:t>
      </w:r>
      <w:r w:rsidRPr="00591643">
        <w:rPr>
          <w:rFonts w:cs="Times New Roman"/>
        </w:rPr>
        <w:t xml:space="preserve"> or in the case of the child nutrition professionals, apply the amount towards their telephone bill). </w:t>
      </w:r>
      <w:r w:rsidR="007E74AE">
        <w:rPr>
          <w:rFonts w:cs="Times New Roman"/>
        </w:rPr>
        <w:t xml:space="preserve"> </w:t>
      </w:r>
      <w:r w:rsidRPr="00591643">
        <w:rPr>
          <w:rFonts w:cs="Times New Roman"/>
        </w:rPr>
        <w:t xml:space="preserve">The actual amount of reimbursement may vary due to area – rural or </w:t>
      </w:r>
      <w:r w:rsidR="007E74AE">
        <w:rPr>
          <w:rFonts w:cs="Times New Roman"/>
        </w:rPr>
        <w:t>suburban/</w:t>
      </w:r>
      <w:r w:rsidRPr="00591643">
        <w:rPr>
          <w:rFonts w:cs="Times New Roman"/>
        </w:rPr>
        <w:t>urban – and proximity to focus group site.</w:t>
      </w:r>
      <w:r w:rsidR="007E74AE">
        <w:rPr>
          <w:rFonts w:cs="Times New Roman"/>
        </w:rPr>
        <w:t xml:space="preserve"> </w:t>
      </w:r>
      <w:r w:rsidRPr="00591643">
        <w:rPr>
          <w:rFonts w:cs="Times New Roman"/>
        </w:rPr>
        <w:t xml:space="preserve"> For example, if participants are asked to drive a long distance, they may receive a larger </w:t>
      </w:r>
      <w:r w:rsidR="007E74AE">
        <w:rPr>
          <w:rFonts w:cs="Times New Roman"/>
        </w:rPr>
        <w:t>reimbursement</w:t>
      </w:r>
      <w:r w:rsidRPr="00591643">
        <w:rPr>
          <w:rFonts w:cs="Times New Roman"/>
        </w:rPr>
        <w:t>.</w:t>
      </w:r>
    </w:p>
    <w:p w:rsidR="007438C6" w:rsidRDefault="007438C6" w:rsidP="007438C6">
      <w:pPr>
        <w:spacing w:after="0"/>
        <w:rPr>
          <w:rFonts w:cs="Times New Roman"/>
        </w:rPr>
      </w:pPr>
    </w:p>
    <w:p w:rsidR="007E74AE" w:rsidRPr="00591643" w:rsidRDefault="007E74AE" w:rsidP="007438C6">
      <w:pPr>
        <w:spacing w:after="0"/>
        <w:rPr>
          <w:rFonts w:cs="Times New Roman"/>
        </w:rPr>
      </w:pPr>
    </w:p>
    <w:p w:rsidR="00AA51FC" w:rsidRDefault="00AA51FC" w:rsidP="007438C6">
      <w:pPr>
        <w:spacing w:after="0"/>
        <w:rPr>
          <w:rFonts w:cs="Times New Roman"/>
          <w:i/>
        </w:rPr>
      </w:pPr>
    </w:p>
    <w:p w:rsidR="00B745EB" w:rsidRDefault="00B745EB" w:rsidP="007438C6">
      <w:pPr>
        <w:spacing w:after="0"/>
        <w:rPr>
          <w:rFonts w:cs="Times New Roman"/>
          <w:i/>
        </w:rPr>
      </w:pPr>
    </w:p>
    <w:p w:rsidR="00B745EB" w:rsidRDefault="00B745EB" w:rsidP="007438C6">
      <w:pPr>
        <w:spacing w:after="0"/>
        <w:rPr>
          <w:rFonts w:cs="Times New Roman"/>
          <w:i/>
        </w:rPr>
      </w:pPr>
    </w:p>
    <w:p w:rsidR="007438C6" w:rsidRPr="00591643" w:rsidRDefault="007438C6" w:rsidP="007438C6">
      <w:pPr>
        <w:spacing w:after="0"/>
        <w:rPr>
          <w:rFonts w:cs="Times New Roman"/>
          <w:i/>
        </w:rPr>
      </w:pPr>
      <w:r w:rsidRPr="00591643">
        <w:rPr>
          <w:rFonts w:cs="Times New Roman"/>
          <w:i/>
        </w:rPr>
        <w:t>IDI Participants – Internal and External Partners</w:t>
      </w:r>
    </w:p>
    <w:p w:rsidR="007438C6" w:rsidRPr="00591643" w:rsidRDefault="007438C6" w:rsidP="007438C6">
      <w:pPr>
        <w:pStyle w:val="ListParagraph"/>
        <w:numPr>
          <w:ilvl w:val="0"/>
          <w:numId w:val="16"/>
        </w:numPr>
        <w:spacing w:after="0"/>
        <w:rPr>
          <w:rFonts w:cs="Times New Roman"/>
        </w:rPr>
      </w:pPr>
      <w:r w:rsidRPr="00591643">
        <w:rPr>
          <w:rFonts w:cs="Times New Roman"/>
        </w:rPr>
        <w:t xml:space="preserve">Since these individuals have a professional interest in USDA Commodities, IDI participants will not receive any type of reimbursement for their expenses. </w:t>
      </w:r>
      <w:r w:rsidR="007E74AE">
        <w:rPr>
          <w:rFonts w:cs="Times New Roman"/>
        </w:rPr>
        <w:t xml:space="preserve"> </w:t>
      </w:r>
      <w:r w:rsidRPr="00591643">
        <w:rPr>
          <w:rFonts w:cs="Times New Roman"/>
        </w:rPr>
        <w:t>However, efforts will be made to conduct the discussions during normal business hours and FH/GMMB will place the long-distance call to these professionals and incur the costs.</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Participation:</w:t>
      </w:r>
    </w:p>
    <w:p w:rsidR="007438C6" w:rsidRPr="00591643" w:rsidRDefault="00FF0F46" w:rsidP="007438C6">
      <w:pPr>
        <w:spacing w:after="0"/>
        <w:rPr>
          <w:rFonts w:cs="Times New Roman"/>
          <w:i/>
        </w:rPr>
      </w:pPr>
      <w:r w:rsidRPr="00591643">
        <w:rPr>
          <w:rFonts w:cs="Times New Roman"/>
          <w:i/>
        </w:rPr>
        <w:t xml:space="preserve">In-Person </w:t>
      </w:r>
      <w:r w:rsidR="007438C6" w:rsidRPr="00591643">
        <w:rPr>
          <w:rFonts w:cs="Times New Roman"/>
          <w:i/>
        </w:rPr>
        <w:t>Focus Groups Only</w:t>
      </w:r>
    </w:p>
    <w:p w:rsidR="007438C6" w:rsidRPr="00591643" w:rsidRDefault="007438C6" w:rsidP="007438C6">
      <w:pPr>
        <w:pStyle w:val="ListParagraph"/>
        <w:numPr>
          <w:ilvl w:val="0"/>
          <w:numId w:val="16"/>
        </w:numPr>
        <w:spacing w:after="0"/>
        <w:rPr>
          <w:rFonts w:cs="Times New Roman"/>
        </w:rPr>
      </w:pPr>
      <w:r w:rsidRPr="00591643">
        <w:rPr>
          <w:rFonts w:cs="Times New Roman"/>
        </w:rPr>
        <w:t xml:space="preserve">A professional host/hostess will greet the participants (and observers) and escort them to the appropriate room. </w:t>
      </w:r>
      <w:r w:rsidR="007E74AE">
        <w:rPr>
          <w:rFonts w:cs="Times New Roman"/>
        </w:rPr>
        <w:t xml:space="preserve"> </w:t>
      </w:r>
      <w:r w:rsidRPr="00591643">
        <w:rPr>
          <w:rFonts w:cs="Times New Roman"/>
        </w:rPr>
        <w:t>The host/hostess will be available throughout the discussion to help answer questions, deliver messages</w:t>
      </w:r>
      <w:r w:rsidR="007E74AE">
        <w:rPr>
          <w:rFonts w:cs="Times New Roman"/>
        </w:rPr>
        <w:t>,</w:t>
      </w:r>
      <w:r w:rsidRPr="00591643">
        <w:rPr>
          <w:rFonts w:cs="Times New Roman"/>
        </w:rPr>
        <w:t xml:space="preserve"> and address any other issues that arise.</w:t>
      </w:r>
    </w:p>
    <w:p w:rsidR="007438C6" w:rsidRPr="00B745EB" w:rsidRDefault="007438C6" w:rsidP="007438C6">
      <w:pPr>
        <w:pStyle w:val="ListParagraph"/>
        <w:numPr>
          <w:ilvl w:val="0"/>
          <w:numId w:val="16"/>
        </w:numPr>
        <w:spacing w:after="0"/>
        <w:rPr>
          <w:rFonts w:cs="Times New Roman"/>
        </w:rPr>
      </w:pPr>
      <w:r w:rsidRPr="00591643">
        <w:rPr>
          <w:rFonts w:cs="Times New Roman"/>
        </w:rPr>
        <w:t xml:space="preserve">Those recruited, as well as observers from FNS and FH/GMMB, will </w:t>
      </w:r>
      <w:r w:rsidRPr="004F3A8D">
        <w:rPr>
          <w:rFonts w:cs="Times New Roman"/>
        </w:rPr>
        <w:t xml:space="preserve">be asked to confirm their identity by </w:t>
      </w:r>
      <w:r w:rsidRPr="00B745EB">
        <w:rPr>
          <w:rFonts w:cs="Times New Roman"/>
        </w:rPr>
        <w:t>showing their identification upon arriving to the focus group facility.</w:t>
      </w:r>
    </w:p>
    <w:p w:rsidR="007438C6" w:rsidRPr="00B745EB" w:rsidRDefault="007438C6" w:rsidP="007438C6">
      <w:pPr>
        <w:pStyle w:val="ListParagraph"/>
        <w:numPr>
          <w:ilvl w:val="0"/>
          <w:numId w:val="16"/>
        </w:numPr>
        <w:spacing w:after="0"/>
        <w:rPr>
          <w:rFonts w:cs="Times New Roman"/>
        </w:rPr>
      </w:pPr>
      <w:r w:rsidRPr="00B745EB">
        <w:rPr>
          <w:rFonts w:cs="Times New Roman"/>
        </w:rPr>
        <w:t xml:space="preserve">The participants will be re-screened upon arriving at the facility to ensure that they qualify for the discussion. </w:t>
      </w:r>
      <w:r w:rsidR="007E74AE" w:rsidRPr="00B745EB">
        <w:rPr>
          <w:rFonts w:cs="Times New Roman"/>
        </w:rPr>
        <w:t xml:space="preserve"> </w:t>
      </w:r>
      <w:r w:rsidRPr="00B745EB">
        <w:rPr>
          <w:rFonts w:cs="Times New Roman"/>
        </w:rPr>
        <w:t xml:space="preserve">The burden hours account for 10 minutes for participants to be re-screened </w:t>
      </w:r>
      <w:r w:rsidR="005F1A28" w:rsidRPr="00B745EB">
        <w:rPr>
          <w:rFonts w:cs="Times New Roman"/>
        </w:rPr>
        <w:t>(</w:t>
      </w:r>
      <w:r w:rsidR="00B745EB" w:rsidRPr="00B745EB">
        <w:rPr>
          <w:rFonts w:cs="Times New Roman"/>
        </w:rPr>
        <w:t>see Attachments D, E and F</w:t>
      </w:r>
      <w:r w:rsidR="00245620" w:rsidRPr="00B745EB">
        <w:rPr>
          <w:rFonts w:cs="Times New Roman"/>
        </w:rPr>
        <w:t>) and fill out paperwork prior to the start of the discussions (see Handout A in Attachments K, L and M).</w:t>
      </w:r>
    </w:p>
    <w:p w:rsidR="007438C6" w:rsidRPr="004F3A8D" w:rsidRDefault="007438C6" w:rsidP="007438C6">
      <w:pPr>
        <w:pStyle w:val="ListParagraph"/>
        <w:numPr>
          <w:ilvl w:val="0"/>
          <w:numId w:val="16"/>
        </w:numPr>
        <w:spacing w:after="0"/>
        <w:rPr>
          <w:rFonts w:cs="Times New Roman"/>
        </w:rPr>
      </w:pPr>
      <w:r w:rsidRPr="004F3A8D">
        <w:rPr>
          <w:rFonts w:cs="Times New Roman"/>
        </w:rPr>
        <w:t>Depending on the time of day, a light meal and/or snacks will be provided to</w:t>
      </w:r>
      <w:r w:rsidR="00B745EB">
        <w:rPr>
          <w:rFonts w:cs="Times New Roman"/>
        </w:rPr>
        <w:t xml:space="preserve"> the participants and observers at no cost to participants/observers.</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Confidentiality:</w:t>
      </w:r>
    </w:p>
    <w:p w:rsidR="007438C6" w:rsidRPr="00591643" w:rsidRDefault="007438C6" w:rsidP="007438C6">
      <w:pPr>
        <w:pStyle w:val="ListParagraph"/>
        <w:numPr>
          <w:ilvl w:val="0"/>
          <w:numId w:val="17"/>
        </w:numPr>
        <w:spacing w:after="0"/>
        <w:rPr>
          <w:rFonts w:cs="Times New Roman"/>
        </w:rPr>
      </w:pPr>
      <w:r w:rsidRPr="00591643">
        <w:rPr>
          <w:rFonts w:cs="Times New Roman"/>
        </w:rPr>
        <w:t xml:space="preserve">The participants (both focus groups and IDIs) will be informed of confidentiality and privacy act provisions before participating in the discussion or interview. </w:t>
      </w:r>
      <w:r w:rsidR="007E74AE">
        <w:rPr>
          <w:rFonts w:cs="Times New Roman"/>
        </w:rPr>
        <w:t xml:space="preserve"> </w:t>
      </w:r>
      <w:r w:rsidRPr="00591643">
        <w:rPr>
          <w:rFonts w:cs="Times New Roman"/>
        </w:rPr>
        <w:t>The participants will be told the length of time the discussion or interview will require of them</w:t>
      </w:r>
      <w:r w:rsidR="007E74AE">
        <w:rPr>
          <w:rFonts w:cs="Times New Roman"/>
        </w:rPr>
        <w:t>,</w:t>
      </w:r>
      <w:r w:rsidRPr="00591643">
        <w:rPr>
          <w:rFonts w:cs="Times New Roman"/>
        </w:rPr>
        <w:t xml:space="preserve"> both during the screening/recruiting process and immediately before beginning the discussion. </w:t>
      </w:r>
    </w:p>
    <w:p w:rsidR="007438C6" w:rsidRPr="00591643" w:rsidRDefault="007438C6" w:rsidP="007438C6">
      <w:pPr>
        <w:pStyle w:val="ListParagraph"/>
        <w:numPr>
          <w:ilvl w:val="0"/>
          <w:numId w:val="17"/>
        </w:numPr>
        <w:spacing w:after="0"/>
        <w:rPr>
          <w:rFonts w:cs="Times New Roman"/>
        </w:rPr>
      </w:pPr>
      <w:r w:rsidRPr="00591643">
        <w:rPr>
          <w:rFonts w:cs="Times New Roman"/>
        </w:rPr>
        <w:t>The identity of focus group and IDI participants will remain confidential, and the participants will be assured that their names will never appear in any report to the USDA.</w:t>
      </w:r>
    </w:p>
    <w:p w:rsidR="007438C6" w:rsidRPr="00591643" w:rsidRDefault="007438C6" w:rsidP="007438C6">
      <w:pPr>
        <w:pStyle w:val="ListParagraph"/>
        <w:numPr>
          <w:ilvl w:val="0"/>
          <w:numId w:val="17"/>
        </w:numPr>
        <w:spacing w:after="0"/>
        <w:rPr>
          <w:rFonts w:cs="Times New Roman"/>
        </w:rPr>
      </w:pPr>
      <w:r w:rsidRPr="00591643">
        <w:rPr>
          <w:rFonts w:cs="Times New Roman"/>
        </w:rPr>
        <w:t>The USDA’s sponsorship of the research will be revealed to the participants during the recruiting process</w:t>
      </w:r>
      <w:r w:rsidR="007E74AE">
        <w:rPr>
          <w:rFonts w:cs="Times New Roman"/>
        </w:rPr>
        <w:t>,</w:t>
      </w:r>
      <w:r w:rsidRPr="00591643">
        <w:rPr>
          <w:rFonts w:cs="Times New Roman"/>
        </w:rPr>
        <w:t xml:space="preserve"> as well as the beginning of the focus group discussions/interviews. </w:t>
      </w:r>
      <w:r w:rsidR="007E74AE">
        <w:rPr>
          <w:rFonts w:cs="Times New Roman"/>
        </w:rPr>
        <w:t xml:space="preserve"> </w:t>
      </w:r>
      <w:r w:rsidRPr="00591643">
        <w:rPr>
          <w:rFonts w:cs="Times New Roman"/>
        </w:rPr>
        <w:t>The OMB control number will also be provided.</w:t>
      </w:r>
    </w:p>
    <w:p w:rsidR="007438C6" w:rsidRPr="00591643" w:rsidRDefault="007438C6" w:rsidP="007438C6">
      <w:pPr>
        <w:spacing w:after="0"/>
        <w:rPr>
          <w:rFonts w:cs="Times New Roman"/>
        </w:rPr>
      </w:pPr>
    </w:p>
    <w:p w:rsidR="007438C6" w:rsidRPr="00591643" w:rsidRDefault="007438C6" w:rsidP="007438C6">
      <w:pPr>
        <w:rPr>
          <w:rFonts w:cs="Times New Roman"/>
          <w:b/>
        </w:rPr>
      </w:pPr>
      <w:r w:rsidRPr="00591643">
        <w:rPr>
          <w:rFonts w:cs="Times New Roman"/>
          <w:b/>
        </w:rPr>
        <w:br w:type="page"/>
      </w:r>
    </w:p>
    <w:p w:rsidR="007438C6" w:rsidRPr="00591643" w:rsidRDefault="007438C6" w:rsidP="007438C6">
      <w:pPr>
        <w:spacing w:after="0"/>
        <w:rPr>
          <w:rFonts w:cs="Times New Roman"/>
          <w:b/>
        </w:rPr>
      </w:pPr>
      <w:r w:rsidRPr="00591643">
        <w:rPr>
          <w:rFonts w:cs="Times New Roman"/>
          <w:b/>
        </w:rPr>
        <w:t>Pretest of Discussion Guides and Interview Scripts</w:t>
      </w:r>
    </w:p>
    <w:p w:rsidR="007438C6" w:rsidRPr="00591643" w:rsidRDefault="007438C6" w:rsidP="007438C6">
      <w:pPr>
        <w:spacing w:after="0"/>
        <w:rPr>
          <w:rFonts w:cs="Times New Roman"/>
        </w:rPr>
      </w:pPr>
      <w:r w:rsidRPr="00591643">
        <w:rPr>
          <w:rFonts w:cs="Times New Roman"/>
        </w:rPr>
        <w:t>A moderator’s guide or interview script has been developed for each audience (</w:t>
      </w:r>
      <w:r w:rsidRPr="00AA51FC">
        <w:rPr>
          <w:rFonts w:cs="Times New Roman"/>
        </w:rPr>
        <w:t xml:space="preserve">see </w:t>
      </w:r>
      <w:r w:rsidR="00760EBB">
        <w:rPr>
          <w:rFonts w:cs="Times New Roman"/>
        </w:rPr>
        <w:t>Attachments I, J, K, L</w:t>
      </w:r>
      <w:r w:rsidR="00C15B90">
        <w:rPr>
          <w:rFonts w:cs="Times New Roman"/>
        </w:rPr>
        <w:t>, M</w:t>
      </w:r>
      <w:r w:rsidR="00245620" w:rsidRPr="00AA51FC">
        <w:rPr>
          <w:rFonts w:cs="Times New Roman"/>
        </w:rPr>
        <w:t>)</w:t>
      </w:r>
      <w:r w:rsidR="007E74AE" w:rsidRPr="00AA51FC">
        <w:rPr>
          <w:rFonts w:cs="Times New Roman"/>
        </w:rPr>
        <w:t>.</w:t>
      </w:r>
      <w:r w:rsidRPr="00591643">
        <w:rPr>
          <w:rFonts w:cs="Times New Roman"/>
        </w:rPr>
        <w:t xml:space="preserve"> </w:t>
      </w:r>
      <w:r w:rsidR="007E74AE">
        <w:rPr>
          <w:rFonts w:cs="Times New Roman"/>
        </w:rPr>
        <w:t xml:space="preserve"> </w:t>
      </w:r>
      <w:r w:rsidRPr="00591643">
        <w:rPr>
          <w:rFonts w:cs="Times New Roman"/>
        </w:rPr>
        <w:t>FH/GMMB will test the research instruments in ord</w:t>
      </w:r>
      <w:r w:rsidR="00F60C64">
        <w:rPr>
          <w:rFonts w:cs="Times New Roman"/>
        </w:rPr>
        <w:t xml:space="preserve">er to assess the clarity of the </w:t>
      </w:r>
      <w:r w:rsidRPr="00591643">
        <w:rPr>
          <w:rFonts w:cs="Times New Roman"/>
        </w:rPr>
        <w:t xml:space="preserve">questions and their relevance to the target audiences. </w:t>
      </w:r>
      <w:r w:rsidR="007E74AE">
        <w:rPr>
          <w:rFonts w:cs="Times New Roman"/>
        </w:rPr>
        <w:t xml:space="preserve"> </w:t>
      </w:r>
      <w:r w:rsidRPr="00591643">
        <w:rPr>
          <w:rFonts w:cs="Times New Roman"/>
        </w:rPr>
        <w:t>The pretest will be conducted with no more than nine participants (one to two per audience); therefore</w:t>
      </w:r>
      <w:r w:rsidR="007E74AE">
        <w:rPr>
          <w:rFonts w:cs="Times New Roman"/>
        </w:rPr>
        <w:t>,</w:t>
      </w:r>
      <w:r w:rsidRPr="00591643">
        <w:rPr>
          <w:rFonts w:cs="Times New Roman"/>
        </w:rPr>
        <w:t xml:space="preserve"> the time required for the pretest is not included in the burden hours. </w:t>
      </w:r>
      <w:r w:rsidR="007E74AE">
        <w:rPr>
          <w:rFonts w:cs="Times New Roman"/>
        </w:rPr>
        <w:t xml:space="preserve"> </w:t>
      </w:r>
      <w:r w:rsidRPr="00591643">
        <w:rPr>
          <w:rFonts w:cs="Times New Roman"/>
        </w:rPr>
        <w:t>This exercise will also determi</w:t>
      </w:r>
      <w:r w:rsidR="003C4BD6" w:rsidRPr="00591643">
        <w:rPr>
          <w:rFonts w:cs="Times New Roman"/>
        </w:rPr>
        <w:t xml:space="preserve">ne how well </w:t>
      </w:r>
      <w:r w:rsidRPr="00591643">
        <w:rPr>
          <w:rFonts w:cs="Times New Roman"/>
        </w:rPr>
        <w:t>the guide/script</w:t>
      </w:r>
      <w:r w:rsidR="003C4BD6" w:rsidRPr="00591643">
        <w:rPr>
          <w:rFonts w:cs="Times New Roman"/>
        </w:rPr>
        <w:t xml:space="preserve"> is organized and</w:t>
      </w:r>
      <w:r w:rsidRPr="00591643">
        <w:rPr>
          <w:rFonts w:cs="Times New Roman"/>
        </w:rPr>
        <w:t xml:space="preserve"> flows from </w:t>
      </w:r>
      <w:r w:rsidR="003C4BD6" w:rsidRPr="00591643">
        <w:rPr>
          <w:rFonts w:cs="Times New Roman"/>
        </w:rPr>
        <w:t xml:space="preserve">one </w:t>
      </w:r>
      <w:r w:rsidRPr="00591643">
        <w:rPr>
          <w:rFonts w:cs="Times New Roman"/>
        </w:rPr>
        <w:t xml:space="preserve">question to another. </w:t>
      </w:r>
      <w:r w:rsidR="006F2029">
        <w:rPr>
          <w:rFonts w:cs="Times New Roman"/>
        </w:rPr>
        <w:t xml:space="preserve"> FH/GMMB</w:t>
      </w:r>
      <w:r w:rsidRPr="00591643">
        <w:rPr>
          <w:rFonts w:cs="Times New Roman"/>
        </w:rPr>
        <w:t xml:space="preserve"> </w:t>
      </w:r>
      <w:r w:rsidR="008B2047" w:rsidRPr="00591643">
        <w:rPr>
          <w:rFonts w:cs="Times New Roman"/>
        </w:rPr>
        <w:t xml:space="preserve">will </w:t>
      </w:r>
      <w:r w:rsidRPr="00591643">
        <w:rPr>
          <w:rFonts w:cs="Times New Roman"/>
        </w:rPr>
        <w:t xml:space="preserve">implement this test by having professional research staff members conduct in-depth, one-on-one interviews (either in person or by telephone) with one to two members of each target audience. </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During the pretest interviews, the professional research staff members who conduct the interviews will take notes and evaluate each question within the guide/script based on:</w:t>
      </w:r>
    </w:p>
    <w:p w:rsidR="007438C6" w:rsidRPr="00591643" w:rsidRDefault="007438C6" w:rsidP="007438C6">
      <w:pPr>
        <w:pStyle w:val="ListParagraph"/>
        <w:numPr>
          <w:ilvl w:val="0"/>
          <w:numId w:val="18"/>
        </w:numPr>
        <w:spacing w:after="0"/>
        <w:rPr>
          <w:rFonts w:cs="Times New Roman"/>
        </w:rPr>
      </w:pPr>
      <w:r w:rsidRPr="00591643">
        <w:rPr>
          <w:rFonts w:cs="Times New Roman"/>
        </w:rPr>
        <w:t>How clear or easy it is for participants to understand (i.e., where appropriate, we can include questions during the pretest to assess participants’ cognitive understanding of key questions).</w:t>
      </w:r>
    </w:p>
    <w:p w:rsidR="007438C6" w:rsidRPr="00591643" w:rsidRDefault="007438C6" w:rsidP="007438C6">
      <w:pPr>
        <w:pStyle w:val="ListParagraph"/>
        <w:numPr>
          <w:ilvl w:val="0"/>
          <w:numId w:val="18"/>
        </w:numPr>
        <w:spacing w:after="0"/>
        <w:rPr>
          <w:rFonts w:cs="Times New Roman"/>
        </w:rPr>
      </w:pPr>
      <w:r w:rsidRPr="00591643">
        <w:rPr>
          <w:rFonts w:cs="Times New Roman"/>
        </w:rPr>
        <w:t>The extent to which the question is relevant and meaningful to respondents.</w:t>
      </w:r>
    </w:p>
    <w:p w:rsidR="007438C6" w:rsidRPr="00591643" w:rsidRDefault="007438C6" w:rsidP="007438C6">
      <w:pPr>
        <w:pStyle w:val="ListParagraph"/>
        <w:numPr>
          <w:ilvl w:val="0"/>
          <w:numId w:val="18"/>
        </w:numPr>
        <w:spacing w:after="0"/>
        <w:rPr>
          <w:rFonts w:cs="Times New Roman"/>
        </w:rPr>
      </w:pPr>
      <w:r w:rsidRPr="00591643">
        <w:rPr>
          <w:rFonts w:cs="Times New Roman"/>
        </w:rPr>
        <w:t>How well one question flows to the next.</w:t>
      </w:r>
    </w:p>
    <w:p w:rsidR="007438C6" w:rsidRPr="00591643" w:rsidRDefault="007438C6" w:rsidP="007438C6">
      <w:pPr>
        <w:pStyle w:val="ListParagraph"/>
        <w:spacing w:after="0"/>
        <w:ind w:left="360"/>
        <w:rPr>
          <w:rFonts w:cs="Times New Roman"/>
        </w:rPr>
      </w:pPr>
    </w:p>
    <w:p w:rsidR="007438C6" w:rsidRPr="00591643" w:rsidRDefault="006F2029" w:rsidP="007438C6">
      <w:pPr>
        <w:spacing w:after="0"/>
        <w:rPr>
          <w:rFonts w:cs="Times New Roman"/>
        </w:rPr>
      </w:pPr>
      <w:r>
        <w:rPr>
          <w:rFonts w:cs="Times New Roman"/>
        </w:rPr>
        <w:t>FH/GMMB</w:t>
      </w:r>
      <w:r w:rsidR="007438C6" w:rsidRPr="00591643">
        <w:rPr>
          <w:rFonts w:cs="Times New Roman"/>
        </w:rPr>
        <w:t xml:space="preserve"> estimate</w:t>
      </w:r>
      <w:r>
        <w:rPr>
          <w:rFonts w:cs="Times New Roman"/>
        </w:rPr>
        <w:t>s</w:t>
      </w:r>
      <w:r w:rsidR="007438C6" w:rsidRPr="00591643">
        <w:rPr>
          <w:rFonts w:cs="Times New Roman"/>
        </w:rPr>
        <w:t xml:space="preserve"> that these interviews will take between 30 and 45 minutes to complete, and we will reimburse participants (approximately $25 to $50) for their expenses.</w:t>
      </w:r>
      <w:r w:rsidR="00C15B90">
        <w:rPr>
          <w:rFonts w:cs="Times New Roman"/>
        </w:rPr>
        <w:t xml:space="preserve"> </w:t>
      </w:r>
      <w:r w:rsidR="007438C6" w:rsidRPr="00591643">
        <w:rPr>
          <w:rFonts w:cs="Times New Roman"/>
        </w:rPr>
        <w:t xml:space="preserve">The actual length of the interview will vary depending on how engaged and responsive the participants are (e.g., some will be more talkative than others) and the extent to which participants ask for clarification or more information. </w:t>
      </w:r>
      <w:r w:rsidR="007E74AE">
        <w:rPr>
          <w:rFonts w:cs="Times New Roman"/>
        </w:rPr>
        <w:t xml:space="preserve"> </w:t>
      </w:r>
      <w:r w:rsidR="007438C6" w:rsidRPr="00591643">
        <w:rPr>
          <w:rFonts w:cs="Times New Roman"/>
        </w:rPr>
        <w:t xml:space="preserve">The actual amount of the reimbursement will depend on the location of the interview – rural or </w:t>
      </w:r>
      <w:r w:rsidR="007E74AE">
        <w:rPr>
          <w:rFonts w:cs="Times New Roman"/>
        </w:rPr>
        <w:t>suburban/</w:t>
      </w:r>
      <w:r w:rsidR="007438C6" w:rsidRPr="00591643">
        <w:rPr>
          <w:rFonts w:cs="Times New Roman"/>
        </w:rPr>
        <w:t xml:space="preserve">urban. </w:t>
      </w:r>
      <w:r w:rsidR="007E74AE">
        <w:rPr>
          <w:rFonts w:cs="Times New Roman"/>
        </w:rPr>
        <w:t xml:space="preserve">  </w:t>
      </w:r>
      <w:r w:rsidR="00C15B90">
        <w:rPr>
          <w:rFonts w:cs="Times New Roman"/>
        </w:rPr>
        <w:t>In addition, the reimbursement range cited here is slightly less than what is presented for the focus groups because the pretest is only 45 minutes, instead of a full 2 hours.</w:t>
      </w:r>
      <w:r w:rsidR="00C15B90" w:rsidRPr="00591643">
        <w:rPr>
          <w:rFonts w:cs="Times New Roman"/>
        </w:rPr>
        <w:t xml:space="preserve"> </w:t>
      </w:r>
      <w:r>
        <w:rPr>
          <w:rFonts w:cs="Times New Roman"/>
        </w:rPr>
        <w:t>While FH/GMMB</w:t>
      </w:r>
      <w:r w:rsidR="00FF0F46" w:rsidRPr="00591643">
        <w:rPr>
          <w:rFonts w:cs="Times New Roman"/>
        </w:rPr>
        <w:t xml:space="preserve"> do</w:t>
      </w:r>
      <w:r>
        <w:rPr>
          <w:rFonts w:cs="Times New Roman"/>
        </w:rPr>
        <w:t>es</w:t>
      </w:r>
      <w:r w:rsidR="00FF0F46" w:rsidRPr="00591643">
        <w:rPr>
          <w:rFonts w:cs="Times New Roman"/>
        </w:rPr>
        <w:t xml:space="preserve"> not anticipate making any significant changes</w:t>
      </w:r>
      <w:r>
        <w:rPr>
          <w:rFonts w:cs="Times New Roman"/>
        </w:rPr>
        <w:t xml:space="preserve"> to the research instruments, FH/GMMB will resubmit to OMB should any significant changes need to be made.</w:t>
      </w:r>
    </w:p>
    <w:p w:rsidR="00BC4044" w:rsidRDefault="00BC4044" w:rsidP="007438C6">
      <w:pPr>
        <w:spacing w:after="0"/>
        <w:rPr>
          <w:rFonts w:cs="Times New Roman"/>
          <w:b/>
        </w:rPr>
      </w:pPr>
    </w:p>
    <w:p w:rsidR="007438C6" w:rsidRPr="00591643" w:rsidRDefault="007438C6" w:rsidP="007438C6">
      <w:pPr>
        <w:spacing w:after="0"/>
        <w:rPr>
          <w:rFonts w:cs="Times New Roman"/>
          <w:b/>
        </w:rPr>
      </w:pPr>
      <w:r w:rsidRPr="00591643">
        <w:rPr>
          <w:rFonts w:cs="Times New Roman"/>
          <w:b/>
        </w:rPr>
        <w:t>Focus Group Moderating/IDI Interviewing</w:t>
      </w:r>
    </w:p>
    <w:p w:rsidR="007438C6" w:rsidRPr="00591643" w:rsidRDefault="007438C6" w:rsidP="007438C6">
      <w:pPr>
        <w:pStyle w:val="ListParagraph"/>
        <w:numPr>
          <w:ilvl w:val="0"/>
          <w:numId w:val="19"/>
        </w:numPr>
        <w:spacing w:after="0"/>
        <w:rPr>
          <w:rFonts w:cs="Times New Roman"/>
        </w:rPr>
      </w:pPr>
      <w:r w:rsidRPr="00591643">
        <w:rPr>
          <w:rFonts w:cs="Times New Roman"/>
        </w:rPr>
        <w:t>The focus group moderators and IDI interviewers will be professionally trained and experienced in leading discussions with a v</w:t>
      </w:r>
      <w:r w:rsidR="00C15B90">
        <w:rPr>
          <w:rFonts w:cs="Times New Roman"/>
        </w:rPr>
        <w:t>ariety of consumers, and who understand</w:t>
      </w:r>
      <w:r w:rsidRPr="00591643">
        <w:rPr>
          <w:rFonts w:cs="Times New Roman"/>
        </w:rPr>
        <w:t xml:space="preserve"> how to build trust and confidence in participants.</w:t>
      </w:r>
    </w:p>
    <w:p w:rsidR="007438C6" w:rsidRPr="00591643" w:rsidRDefault="007438C6" w:rsidP="007438C6">
      <w:pPr>
        <w:pStyle w:val="ListParagraph"/>
        <w:numPr>
          <w:ilvl w:val="0"/>
          <w:numId w:val="19"/>
        </w:numPr>
        <w:spacing w:after="0"/>
        <w:rPr>
          <w:rFonts w:cs="Times New Roman"/>
        </w:rPr>
      </w:pPr>
      <w:r w:rsidRPr="00591643">
        <w:rPr>
          <w:rFonts w:cs="Times New Roman"/>
        </w:rPr>
        <w:t>The responsibilities of the moderator/interviewers are to lead the discussion by ensuring that he/she asks all of the questions outlined in the discussion guide/interview script, encourages open and insightful discussion among all participants, minimizes any negative effects of uncooperative participants, and ensures that the feedback from participants is probed and explored.</w:t>
      </w:r>
    </w:p>
    <w:p w:rsidR="007438C6" w:rsidRPr="00591643" w:rsidRDefault="007438C6" w:rsidP="007438C6">
      <w:pPr>
        <w:rPr>
          <w:rFonts w:cs="Times New Roman"/>
        </w:rPr>
      </w:pPr>
      <w:r w:rsidRPr="00591643">
        <w:rPr>
          <w:rFonts w:cs="Times New Roman"/>
        </w:rPr>
        <w:br w:type="page"/>
      </w:r>
    </w:p>
    <w:p w:rsidR="007438C6" w:rsidRPr="00591643" w:rsidRDefault="007438C6" w:rsidP="007438C6">
      <w:pPr>
        <w:pStyle w:val="ListParagraph"/>
        <w:numPr>
          <w:ilvl w:val="0"/>
          <w:numId w:val="19"/>
        </w:numPr>
        <w:spacing w:after="0"/>
        <w:rPr>
          <w:rFonts w:cs="Times New Roman"/>
        </w:rPr>
      </w:pPr>
      <w:r w:rsidRPr="00591643">
        <w:rPr>
          <w:rFonts w:cs="Times New Roman"/>
        </w:rPr>
        <w:t xml:space="preserve">For the focus groups, there will be a note-taker present who will observe the discussions and summarize the participants’ feedback. </w:t>
      </w:r>
      <w:r w:rsidR="007E74AE">
        <w:rPr>
          <w:rFonts w:cs="Times New Roman"/>
        </w:rPr>
        <w:t xml:space="preserve"> </w:t>
      </w:r>
      <w:r w:rsidRPr="00591643">
        <w:rPr>
          <w:rFonts w:cs="Times New Roman"/>
        </w:rPr>
        <w:t>The note-taker will also respond to questions or inquiries about the discussion and ensure that questions are forwarded to the moderator.</w:t>
      </w:r>
    </w:p>
    <w:p w:rsidR="007438C6" w:rsidRPr="00591643" w:rsidRDefault="007438C6" w:rsidP="007438C6">
      <w:pPr>
        <w:pStyle w:val="ListParagraph"/>
        <w:numPr>
          <w:ilvl w:val="0"/>
          <w:numId w:val="19"/>
        </w:numPr>
        <w:spacing w:after="0"/>
        <w:rPr>
          <w:rFonts w:cs="Times New Roman"/>
        </w:rPr>
      </w:pPr>
      <w:r w:rsidRPr="00591643">
        <w:rPr>
          <w:rFonts w:cs="Times New Roman"/>
        </w:rPr>
        <w:t>For the IDIs, the interviewer will take notes during the discussion as well as digitally record it (upon the participant’s permission) for future reference.</w:t>
      </w:r>
    </w:p>
    <w:p w:rsidR="007438C6" w:rsidRPr="00591643" w:rsidRDefault="007438C6" w:rsidP="007438C6">
      <w:pPr>
        <w:pStyle w:val="ListParagraph"/>
        <w:numPr>
          <w:ilvl w:val="0"/>
          <w:numId w:val="19"/>
        </w:numPr>
        <w:spacing w:after="0"/>
        <w:rPr>
          <w:rFonts w:cs="Times New Roman"/>
        </w:rPr>
      </w:pPr>
      <w:r w:rsidRPr="00591643">
        <w:rPr>
          <w:rFonts w:cs="Times New Roman"/>
        </w:rPr>
        <w:t xml:space="preserve">All discussions will be </w:t>
      </w:r>
      <w:r w:rsidR="00D87938" w:rsidRPr="00591643">
        <w:rPr>
          <w:rFonts w:cs="Times New Roman"/>
        </w:rPr>
        <w:t>audio-recorded</w:t>
      </w:r>
      <w:r w:rsidRPr="00591643">
        <w:rPr>
          <w:rFonts w:cs="Times New Roman"/>
        </w:rPr>
        <w:t xml:space="preserve"> for future reference and permission will also be secured from participants at the beginning of the focus group discussions/interviews. </w:t>
      </w:r>
      <w:r w:rsidR="007E74AE">
        <w:rPr>
          <w:rFonts w:cs="Times New Roman"/>
        </w:rPr>
        <w:t xml:space="preserve"> </w:t>
      </w:r>
      <w:r w:rsidRPr="00591643">
        <w:rPr>
          <w:rFonts w:cs="Times New Roman"/>
        </w:rPr>
        <w:t xml:space="preserve">For the focus groups, if participants are not willing to be </w:t>
      </w:r>
      <w:r w:rsidR="00D87938" w:rsidRPr="00591643">
        <w:rPr>
          <w:rFonts w:cs="Times New Roman"/>
        </w:rPr>
        <w:t>audio-recorded</w:t>
      </w:r>
      <w:r w:rsidRPr="00591643">
        <w:rPr>
          <w:rFonts w:cs="Times New Roman"/>
        </w:rPr>
        <w:t xml:space="preserve">, they will be excused from the discussion. </w:t>
      </w:r>
      <w:r w:rsidR="007E74AE">
        <w:rPr>
          <w:rFonts w:cs="Times New Roman"/>
        </w:rPr>
        <w:t xml:space="preserve"> </w:t>
      </w:r>
      <w:r w:rsidRPr="00591643">
        <w:rPr>
          <w:rFonts w:cs="Times New Roman"/>
        </w:rPr>
        <w:t xml:space="preserve">Note: </w:t>
      </w:r>
      <w:r w:rsidR="007E74AE">
        <w:rPr>
          <w:rFonts w:cs="Times New Roman"/>
        </w:rPr>
        <w:t xml:space="preserve"> </w:t>
      </w:r>
      <w:r w:rsidRPr="00591643">
        <w:rPr>
          <w:rFonts w:cs="Times New Roman"/>
        </w:rPr>
        <w:t xml:space="preserve">If more than 12 individuals show </w:t>
      </w:r>
      <w:r w:rsidR="006F2029">
        <w:rPr>
          <w:rFonts w:cs="Times New Roman"/>
        </w:rPr>
        <w:t>up for the discussion groups, FH/GMMB</w:t>
      </w:r>
      <w:r w:rsidRPr="00591643">
        <w:rPr>
          <w:rFonts w:cs="Times New Roman"/>
        </w:rPr>
        <w:t xml:space="preserve"> will put the remaining participants on hold for 15 minu</w:t>
      </w:r>
      <w:r w:rsidR="0064267F">
        <w:rPr>
          <w:rFonts w:cs="Times New Roman"/>
        </w:rPr>
        <w:t xml:space="preserve">tes. </w:t>
      </w:r>
      <w:r w:rsidR="007E74AE">
        <w:rPr>
          <w:rFonts w:cs="Times New Roman"/>
        </w:rPr>
        <w:t xml:space="preserve"> </w:t>
      </w:r>
      <w:r w:rsidR="0064267F" w:rsidRPr="0064267F">
        <w:rPr>
          <w:rFonts w:cs="Times New Roman"/>
          <w:color w:val="000000" w:themeColor="text1"/>
        </w:rPr>
        <w:t>A</w:t>
      </w:r>
      <w:r w:rsidR="005E5BE5" w:rsidRPr="0064267F">
        <w:rPr>
          <w:color w:val="000000" w:themeColor="text1"/>
        </w:rPr>
        <w:t xml:space="preserve">fter 15 </w:t>
      </w:r>
      <w:r w:rsidR="00760EBB" w:rsidRPr="0064267F">
        <w:rPr>
          <w:color w:val="000000" w:themeColor="text1"/>
        </w:rPr>
        <w:t>minutes, if</w:t>
      </w:r>
      <w:r w:rsidR="005E5BE5" w:rsidRPr="0064267F">
        <w:rPr>
          <w:color w:val="000000" w:themeColor="text1"/>
        </w:rPr>
        <w:t xml:space="preserve"> these participants are not included in the gro</w:t>
      </w:r>
      <w:r w:rsidR="0064267F" w:rsidRPr="0064267F">
        <w:rPr>
          <w:color w:val="000000" w:themeColor="text1"/>
        </w:rPr>
        <w:t>up, they will receive a reimbursement</w:t>
      </w:r>
      <w:r w:rsidR="005E5BE5" w:rsidRPr="0064267F">
        <w:rPr>
          <w:color w:val="000000" w:themeColor="text1"/>
        </w:rPr>
        <w:t xml:space="preserve"> for the</w:t>
      </w:r>
      <w:r w:rsidR="007E74AE">
        <w:rPr>
          <w:color w:val="000000" w:themeColor="text1"/>
        </w:rPr>
        <w:t>ir</w:t>
      </w:r>
      <w:r w:rsidR="005E5BE5" w:rsidRPr="0064267F">
        <w:rPr>
          <w:color w:val="000000" w:themeColor="text1"/>
        </w:rPr>
        <w:t xml:space="preserve"> time and </w:t>
      </w:r>
      <w:r w:rsidR="0064267F" w:rsidRPr="0064267F">
        <w:rPr>
          <w:color w:val="000000" w:themeColor="text1"/>
        </w:rPr>
        <w:t xml:space="preserve">will be </w:t>
      </w:r>
      <w:r w:rsidR="005E5BE5" w:rsidRPr="0064267F">
        <w:rPr>
          <w:color w:val="000000" w:themeColor="text1"/>
        </w:rPr>
        <w:t>allowed to leave</w:t>
      </w:r>
      <w:r w:rsidRPr="0064267F">
        <w:rPr>
          <w:rFonts w:cs="Times New Roman"/>
          <w:color w:val="000000" w:themeColor="text1"/>
        </w:rPr>
        <w:t>.</w:t>
      </w:r>
      <w:r w:rsidR="007E74AE">
        <w:rPr>
          <w:rFonts w:cs="Times New Roman"/>
          <w:color w:val="000000" w:themeColor="text1"/>
        </w:rPr>
        <w:t xml:space="preserve"> </w:t>
      </w:r>
      <w:r w:rsidRPr="0064267F">
        <w:rPr>
          <w:rFonts w:cs="Times New Roman"/>
          <w:color w:val="000000" w:themeColor="text1"/>
        </w:rPr>
        <w:t xml:space="preserve"> For the in-depth telephone interviews, if participants are not willing to be </w:t>
      </w:r>
      <w:r w:rsidR="00D87938" w:rsidRPr="0064267F">
        <w:rPr>
          <w:rFonts w:cs="Times New Roman"/>
          <w:color w:val="000000" w:themeColor="text1"/>
        </w:rPr>
        <w:t>audio-recorded</w:t>
      </w:r>
      <w:r w:rsidRPr="0064267F">
        <w:rPr>
          <w:rFonts w:cs="Times New Roman"/>
          <w:color w:val="000000" w:themeColor="text1"/>
        </w:rPr>
        <w:t>, FH/GMMB</w:t>
      </w:r>
      <w:r w:rsidRPr="00591643">
        <w:rPr>
          <w:rFonts w:cs="Times New Roman"/>
        </w:rPr>
        <w:t xml:space="preserve"> interviewers will turn off the recorder and take handwritten notes.</w:t>
      </w:r>
    </w:p>
    <w:p w:rsidR="007438C6" w:rsidRPr="00591643" w:rsidRDefault="007438C6" w:rsidP="007438C6">
      <w:pPr>
        <w:pStyle w:val="ListParagraph"/>
        <w:numPr>
          <w:ilvl w:val="0"/>
          <w:numId w:val="19"/>
        </w:numPr>
        <w:spacing w:after="0"/>
        <w:rPr>
          <w:rFonts w:cs="Times New Roman"/>
        </w:rPr>
      </w:pPr>
      <w:r w:rsidRPr="00591643">
        <w:rPr>
          <w:rFonts w:cs="Times New Roman"/>
        </w:rPr>
        <w:t>All discussions will be conducted in English.</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Discussion Length</w:t>
      </w:r>
    </w:p>
    <w:p w:rsidR="007438C6" w:rsidRPr="00591643" w:rsidRDefault="007438C6" w:rsidP="007438C6">
      <w:pPr>
        <w:spacing w:after="0"/>
        <w:rPr>
          <w:rFonts w:cs="Times New Roman"/>
          <w:i/>
        </w:rPr>
      </w:pPr>
      <w:r w:rsidRPr="00591643">
        <w:rPr>
          <w:rFonts w:cs="Times New Roman"/>
          <w:i/>
        </w:rPr>
        <w:t>Focus Groups</w:t>
      </w:r>
    </w:p>
    <w:p w:rsidR="00F1387C" w:rsidRPr="00B40EC8" w:rsidRDefault="00D87938" w:rsidP="007438C6">
      <w:pPr>
        <w:spacing w:after="0"/>
        <w:rPr>
          <w:rFonts w:cs="Times New Roman"/>
        </w:rPr>
      </w:pPr>
      <w:r w:rsidRPr="00591643">
        <w:rPr>
          <w:rFonts w:cs="Times New Roman"/>
        </w:rPr>
        <w:t xml:space="preserve">Traditional: </w:t>
      </w:r>
      <w:r w:rsidR="007E74AE">
        <w:rPr>
          <w:rFonts w:cs="Times New Roman"/>
        </w:rPr>
        <w:t xml:space="preserve"> </w:t>
      </w:r>
      <w:r w:rsidRPr="00591643">
        <w:rPr>
          <w:rFonts w:cs="Times New Roman"/>
        </w:rPr>
        <w:t>Each</w:t>
      </w:r>
      <w:r w:rsidR="007438C6" w:rsidRPr="00591643">
        <w:rPr>
          <w:rFonts w:cs="Times New Roman"/>
        </w:rPr>
        <w:t xml:space="preserve"> traditional </w:t>
      </w:r>
      <w:r w:rsidR="009139D0" w:rsidRPr="00591643">
        <w:rPr>
          <w:rFonts w:cs="Times New Roman"/>
        </w:rPr>
        <w:t xml:space="preserve">in-person </w:t>
      </w:r>
      <w:r w:rsidR="007438C6" w:rsidRPr="00591643">
        <w:rPr>
          <w:rFonts w:cs="Times New Roman"/>
        </w:rPr>
        <w:t xml:space="preserve">focus group will take 120 minutes to conduct and include </w:t>
      </w:r>
      <w:r w:rsidR="007E74AE">
        <w:rPr>
          <w:rFonts w:cs="Times New Roman"/>
        </w:rPr>
        <w:t>8</w:t>
      </w:r>
      <w:r w:rsidR="007438C6" w:rsidRPr="00591643">
        <w:rPr>
          <w:rFonts w:cs="Times New Roman"/>
        </w:rPr>
        <w:t xml:space="preserve"> to 12 pre-screened </w:t>
      </w:r>
      <w:r w:rsidR="007438C6" w:rsidRPr="00B40EC8">
        <w:rPr>
          <w:rFonts w:cs="Times New Roman"/>
        </w:rPr>
        <w:t>individuals</w:t>
      </w:r>
      <w:r w:rsidR="001173C4" w:rsidRPr="00B40EC8">
        <w:rPr>
          <w:rFonts w:cs="Times New Roman"/>
        </w:rPr>
        <w:t xml:space="preserve"> (please note that actual burden hours for the traditional focus groups are estimated to be 140 minutes, which includes time to screen participants and fill out paperwork prior to the group)</w:t>
      </w:r>
      <w:r w:rsidR="007438C6" w:rsidRPr="00B40EC8">
        <w:rPr>
          <w:rFonts w:cs="Times New Roman"/>
        </w:rPr>
        <w:t xml:space="preserve">. </w:t>
      </w:r>
      <w:r w:rsidR="007E74AE" w:rsidRPr="00B40EC8">
        <w:rPr>
          <w:rFonts w:cs="Times New Roman"/>
        </w:rPr>
        <w:t xml:space="preserve"> </w:t>
      </w:r>
      <w:r w:rsidR="00F1387C" w:rsidRPr="00B40EC8">
        <w:rPr>
          <w:rFonts w:cs="Times New Roman"/>
        </w:rPr>
        <w:t xml:space="preserve">During the traditional, </w:t>
      </w:r>
      <w:r w:rsidR="009139D0" w:rsidRPr="00B40EC8">
        <w:rPr>
          <w:rFonts w:cs="Times New Roman"/>
        </w:rPr>
        <w:t>in-person</w:t>
      </w:r>
      <w:r w:rsidR="00F1387C" w:rsidRPr="00B40EC8">
        <w:rPr>
          <w:rFonts w:cs="Times New Roman"/>
        </w:rPr>
        <w:t xml:space="preserve"> focus groups, the moderator will take a brief </w:t>
      </w:r>
      <w:r w:rsidR="007E74AE" w:rsidRPr="00B40EC8">
        <w:rPr>
          <w:rFonts w:cs="Times New Roman"/>
        </w:rPr>
        <w:t>2</w:t>
      </w:r>
      <w:r w:rsidR="00F1387C" w:rsidRPr="00B40EC8">
        <w:rPr>
          <w:rFonts w:cs="Times New Roman"/>
        </w:rPr>
        <w:t xml:space="preserve"> to </w:t>
      </w:r>
      <w:r w:rsidR="007E74AE" w:rsidRPr="00B40EC8">
        <w:rPr>
          <w:rFonts w:cs="Times New Roman"/>
        </w:rPr>
        <w:t xml:space="preserve">5 </w:t>
      </w:r>
      <w:r w:rsidR="00F1387C" w:rsidRPr="00B40EC8">
        <w:rPr>
          <w:rFonts w:cs="Times New Roman"/>
        </w:rPr>
        <w:t xml:space="preserve">minute break at the discussion’s midpoint or toward the discussion’s end. </w:t>
      </w:r>
      <w:r w:rsidR="003672E2" w:rsidRPr="00B40EC8">
        <w:rPr>
          <w:rFonts w:cs="Times New Roman"/>
        </w:rPr>
        <w:t xml:space="preserve"> </w:t>
      </w:r>
      <w:r w:rsidR="00F1387C" w:rsidRPr="00B40EC8">
        <w:rPr>
          <w:rFonts w:cs="Times New Roman"/>
        </w:rPr>
        <w:t>This will allow him/</w:t>
      </w:r>
      <w:r w:rsidR="00C15B90" w:rsidRPr="00B40EC8">
        <w:rPr>
          <w:rFonts w:cs="Times New Roman"/>
        </w:rPr>
        <w:t>her to visit with the observers and collect any questions they may want clarified.</w:t>
      </w:r>
    </w:p>
    <w:p w:rsidR="00F1387C" w:rsidRPr="00B40EC8" w:rsidRDefault="00F1387C" w:rsidP="007438C6">
      <w:pPr>
        <w:spacing w:after="0"/>
        <w:rPr>
          <w:rFonts w:cs="Times New Roman"/>
        </w:rPr>
      </w:pPr>
    </w:p>
    <w:p w:rsidR="007438C6" w:rsidRPr="00B40EC8" w:rsidRDefault="00F1387C" w:rsidP="007438C6">
      <w:pPr>
        <w:spacing w:after="0"/>
        <w:rPr>
          <w:rFonts w:cs="Times New Roman"/>
        </w:rPr>
      </w:pPr>
      <w:r w:rsidRPr="00B40EC8">
        <w:rPr>
          <w:rFonts w:cs="Times New Roman"/>
        </w:rPr>
        <w:t xml:space="preserve">Web-based: </w:t>
      </w:r>
      <w:r w:rsidR="003672E2" w:rsidRPr="00B40EC8">
        <w:rPr>
          <w:rFonts w:cs="Times New Roman"/>
        </w:rPr>
        <w:t xml:space="preserve"> </w:t>
      </w:r>
      <w:r w:rsidR="007438C6" w:rsidRPr="00B40EC8">
        <w:rPr>
          <w:rFonts w:cs="Times New Roman"/>
        </w:rPr>
        <w:t>Each Web-based focus group will take 90 minutes to conduct and include six to eight pre-screened individuals</w:t>
      </w:r>
      <w:r w:rsidR="001173C4" w:rsidRPr="00B40EC8">
        <w:rPr>
          <w:rFonts w:cs="Times New Roman"/>
        </w:rPr>
        <w:t xml:space="preserve"> (please note that actual burden hours for the Web-based focus groups are estimated to be 105 minutes, which includes time to screen participants). </w:t>
      </w:r>
      <w:r w:rsidR="003672E2" w:rsidRPr="00B40EC8">
        <w:rPr>
          <w:rFonts w:cs="Times New Roman"/>
        </w:rPr>
        <w:t xml:space="preserve"> </w:t>
      </w:r>
      <w:r w:rsidR="007438C6" w:rsidRPr="00B40EC8">
        <w:rPr>
          <w:rFonts w:cs="Times New Roman"/>
        </w:rPr>
        <w:t>During the focus groups, those who are observing can submit handwritten notes or electronic messages to the moderator by way of the host/hostess, note-taker</w:t>
      </w:r>
      <w:r w:rsidR="003672E2" w:rsidRPr="00B40EC8">
        <w:rPr>
          <w:rFonts w:cs="Times New Roman"/>
        </w:rPr>
        <w:t>,</w:t>
      </w:r>
      <w:r w:rsidR="007438C6" w:rsidRPr="00B40EC8">
        <w:rPr>
          <w:rFonts w:cs="Times New Roman"/>
        </w:rPr>
        <w:t xml:space="preserve"> or Internet. </w:t>
      </w:r>
      <w:r w:rsidR="003672E2" w:rsidRPr="00B40EC8">
        <w:rPr>
          <w:rFonts w:cs="Times New Roman"/>
        </w:rPr>
        <w:t xml:space="preserve"> </w:t>
      </w:r>
      <w:r w:rsidR="007438C6" w:rsidRPr="00B40EC8">
        <w:rPr>
          <w:rFonts w:cs="Times New Roman"/>
        </w:rPr>
        <w:t xml:space="preserve">The moderator will review the notes and incorporate appropriate questions/comments from the observers during the discussion. </w:t>
      </w:r>
      <w:r w:rsidR="003672E2" w:rsidRPr="00B40EC8">
        <w:rPr>
          <w:rFonts w:cs="Times New Roman"/>
        </w:rPr>
        <w:t xml:space="preserve"> </w:t>
      </w:r>
      <w:r w:rsidR="007438C6" w:rsidRPr="00B40EC8">
        <w:rPr>
          <w:rFonts w:cs="Times New Roman"/>
        </w:rPr>
        <w:t xml:space="preserve">However, a new set of questions will not be added to the discussion guide. </w:t>
      </w:r>
      <w:r w:rsidR="003672E2" w:rsidRPr="00B40EC8">
        <w:rPr>
          <w:rFonts w:cs="Times New Roman"/>
        </w:rPr>
        <w:t xml:space="preserve"> </w:t>
      </w:r>
      <w:r w:rsidR="007438C6" w:rsidRPr="00B40EC8">
        <w:rPr>
          <w:rFonts w:cs="Times New Roman"/>
        </w:rPr>
        <w:t>The moderator will simply probe to gain a better understanding of participants’ opinions and positions.</w:t>
      </w:r>
      <w:r w:rsidR="00595B98" w:rsidRPr="00B40EC8">
        <w:rPr>
          <w:rFonts w:cs="Times New Roman"/>
        </w:rPr>
        <w:t xml:space="preserve"> </w:t>
      </w:r>
    </w:p>
    <w:p w:rsidR="00595B98" w:rsidRPr="00B40EC8" w:rsidRDefault="00595B98" w:rsidP="007438C6">
      <w:pPr>
        <w:spacing w:after="0"/>
        <w:rPr>
          <w:rFonts w:cs="Times New Roman"/>
          <w:i/>
        </w:rPr>
      </w:pPr>
    </w:p>
    <w:p w:rsidR="007438C6" w:rsidRPr="00B40EC8" w:rsidRDefault="007438C6" w:rsidP="007438C6">
      <w:pPr>
        <w:spacing w:after="0"/>
        <w:rPr>
          <w:rFonts w:cs="Times New Roman"/>
          <w:i/>
        </w:rPr>
      </w:pPr>
      <w:r w:rsidRPr="00B40EC8">
        <w:rPr>
          <w:rFonts w:cs="Times New Roman"/>
          <w:i/>
        </w:rPr>
        <w:t>IDIs</w:t>
      </w:r>
    </w:p>
    <w:p w:rsidR="007438C6" w:rsidRPr="00591643" w:rsidRDefault="007438C6" w:rsidP="007438C6">
      <w:pPr>
        <w:spacing w:after="0"/>
        <w:rPr>
          <w:rFonts w:cs="Times New Roman"/>
        </w:rPr>
      </w:pPr>
      <w:r w:rsidRPr="00B40EC8">
        <w:rPr>
          <w:rFonts w:cs="Times New Roman"/>
        </w:rPr>
        <w:t>Each IDI will take approximately 45 minutes to conduct</w:t>
      </w:r>
      <w:r w:rsidR="001173C4" w:rsidRPr="00B40EC8">
        <w:rPr>
          <w:rFonts w:cs="Times New Roman"/>
        </w:rPr>
        <w:t xml:space="preserve"> (please note that actual burden hours for the in-depth interviews are estimated to be 60 minutes, which includes time to screen participants).</w:t>
      </w:r>
      <w:r w:rsidR="001173C4" w:rsidRPr="00591643">
        <w:rPr>
          <w:rFonts w:cs="Times New Roman"/>
        </w:rPr>
        <w:t xml:space="preserve"> </w:t>
      </w:r>
      <w:r w:rsidR="001173C4">
        <w:rPr>
          <w:rFonts w:cs="Times New Roman"/>
        </w:rPr>
        <w:t xml:space="preserve"> </w:t>
      </w:r>
      <w:r w:rsidRPr="00591643">
        <w:rPr>
          <w:rFonts w:cs="Times New Roman"/>
        </w:rPr>
        <w:t xml:space="preserve"> </w:t>
      </w:r>
    </w:p>
    <w:p w:rsidR="00112E90" w:rsidRPr="00591643" w:rsidRDefault="00112E90" w:rsidP="007438C6">
      <w:pPr>
        <w:rPr>
          <w:rFonts w:cs="Times New Roman"/>
        </w:rPr>
      </w:pPr>
    </w:p>
    <w:p w:rsidR="007438C6" w:rsidRPr="00591643" w:rsidRDefault="007438C6" w:rsidP="007438C6">
      <w:pPr>
        <w:rPr>
          <w:rFonts w:cs="Times New Roman"/>
        </w:rPr>
      </w:pPr>
      <w:r w:rsidRPr="00591643">
        <w:rPr>
          <w:rFonts w:cs="Times New Roman"/>
        </w:rPr>
        <w:br w:type="page"/>
      </w:r>
    </w:p>
    <w:p w:rsidR="007438C6" w:rsidRPr="00591643" w:rsidRDefault="007438C6" w:rsidP="007438C6">
      <w:pPr>
        <w:spacing w:after="0"/>
        <w:rPr>
          <w:rFonts w:cs="Times New Roman"/>
          <w:b/>
        </w:rPr>
      </w:pPr>
      <w:r w:rsidRPr="00591643">
        <w:rPr>
          <w:rFonts w:cs="Times New Roman"/>
          <w:b/>
        </w:rPr>
        <w:t>Burden Hours</w:t>
      </w:r>
    </w:p>
    <w:p w:rsidR="007438C6" w:rsidRPr="00591643" w:rsidRDefault="007438C6" w:rsidP="007438C6">
      <w:pPr>
        <w:spacing w:after="0"/>
        <w:rPr>
          <w:rFonts w:cs="Times New Roman"/>
        </w:rPr>
      </w:pPr>
      <w:r w:rsidRPr="00591643">
        <w:rPr>
          <w:rFonts w:cs="Times New Roman"/>
        </w:rPr>
        <w:t>Estimated burden hours take into account the amount of time required for participants to be screened, fill out relevant paperwork prior to the start of the group, and the time required to participate in the discussion (this also takes into account the screening process).</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Estimated Burden Hours Associated with 18 focus groups and 40 IDIs</w:t>
      </w:r>
    </w:p>
    <w:tbl>
      <w:tblPr>
        <w:tblW w:w="9476" w:type="dxa"/>
        <w:tblInd w:w="93" w:type="dxa"/>
        <w:tblLook w:val="04A0"/>
      </w:tblPr>
      <w:tblGrid>
        <w:gridCol w:w="2342"/>
        <w:gridCol w:w="1523"/>
        <w:gridCol w:w="1430"/>
        <w:gridCol w:w="1367"/>
        <w:gridCol w:w="1268"/>
        <w:gridCol w:w="1546"/>
      </w:tblGrid>
      <w:tr w:rsidR="007438C6" w:rsidRPr="00591643" w:rsidTr="00FF0F46">
        <w:trPr>
          <w:trHeight w:val="377"/>
        </w:trPr>
        <w:tc>
          <w:tcPr>
            <w:tcW w:w="9476" w:type="dxa"/>
            <w:gridSpan w:val="6"/>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7438C6" w:rsidRPr="00591643" w:rsidRDefault="007438C6" w:rsidP="007438C6">
            <w:pPr>
              <w:spacing w:after="0" w:line="240" w:lineRule="auto"/>
              <w:rPr>
                <w:rFonts w:eastAsia="Times New Roman" w:cs="Times New Roman"/>
                <w:b/>
                <w:bCs/>
                <w:color w:val="FFFFFF"/>
              </w:rPr>
            </w:pPr>
            <w:r w:rsidRPr="00591643">
              <w:rPr>
                <w:rFonts w:eastAsia="Times New Roman" w:cs="Times New Roman"/>
                <w:b/>
                <w:bCs/>
                <w:color w:val="FFFFFF"/>
              </w:rPr>
              <w:t>Affected Public: USDA Commodities Program Messengers</w:t>
            </w:r>
          </w:p>
        </w:tc>
      </w:tr>
      <w:tr w:rsidR="007438C6" w:rsidRPr="00591643" w:rsidTr="00FF0F46">
        <w:trPr>
          <w:trHeight w:val="1131"/>
        </w:trPr>
        <w:tc>
          <w:tcPr>
            <w:tcW w:w="2342" w:type="dxa"/>
            <w:tcBorders>
              <w:top w:val="nil"/>
              <w:left w:val="single" w:sz="4" w:space="0" w:color="auto"/>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Type of Respondent</w:t>
            </w:r>
          </w:p>
        </w:tc>
        <w:tc>
          <w:tcPr>
            <w:tcW w:w="1523"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Number of Respondents</w:t>
            </w:r>
          </w:p>
        </w:tc>
        <w:tc>
          <w:tcPr>
            <w:tcW w:w="1430"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Number of Responses Annually Per Respondent</w:t>
            </w:r>
          </w:p>
        </w:tc>
        <w:tc>
          <w:tcPr>
            <w:tcW w:w="1367"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Total Annual Responses</w:t>
            </w:r>
          </w:p>
        </w:tc>
        <w:tc>
          <w:tcPr>
            <w:tcW w:w="1268"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Estimate of Burden Hours Per Response</w:t>
            </w:r>
          </w:p>
        </w:tc>
        <w:tc>
          <w:tcPr>
            <w:tcW w:w="1546"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Total Burden Hours</w:t>
            </w:r>
          </w:p>
        </w:tc>
      </w:tr>
      <w:tr w:rsidR="007438C6" w:rsidRPr="00591643" w:rsidTr="00FF0F46">
        <w:trPr>
          <w:trHeight w:val="283"/>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color w:val="000000"/>
              </w:rPr>
            </w:pPr>
            <w:r w:rsidRPr="00591643">
              <w:rPr>
                <w:rFonts w:eastAsia="Times New Roman" w:cs="Times New Roman"/>
                <w:color w:val="000000"/>
              </w:rPr>
              <w:t>Child Nutrition Professionals</w:t>
            </w:r>
          </w:p>
        </w:tc>
        <w:tc>
          <w:tcPr>
            <w:tcW w:w="1523"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32</w:t>
            </w:r>
          </w:p>
        </w:tc>
        <w:tc>
          <w:tcPr>
            <w:tcW w:w="143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67"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32</w:t>
            </w:r>
          </w:p>
        </w:tc>
        <w:tc>
          <w:tcPr>
            <w:tcW w:w="1268"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1.75</w:t>
            </w:r>
          </w:p>
        </w:tc>
        <w:tc>
          <w:tcPr>
            <w:tcW w:w="1546"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56</w:t>
            </w:r>
          </w:p>
        </w:tc>
      </w:tr>
      <w:tr w:rsidR="007438C6" w:rsidRPr="00591643" w:rsidTr="00FF0F46">
        <w:trPr>
          <w:trHeight w:val="283"/>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color w:val="000000"/>
              </w:rPr>
            </w:pPr>
            <w:r w:rsidRPr="00591643">
              <w:rPr>
                <w:rFonts w:eastAsia="Times New Roman" w:cs="Times New Roman"/>
                <w:color w:val="000000"/>
              </w:rPr>
              <w:t>K through 12 Teachers</w:t>
            </w:r>
          </w:p>
        </w:tc>
        <w:tc>
          <w:tcPr>
            <w:tcW w:w="1523"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48</w:t>
            </w:r>
          </w:p>
        </w:tc>
        <w:tc>
          <w:tcPr>
            <w:tcW w:w="143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67"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48</w:t>
            </w:r>
          </w:p>
        </w:tc>
        <w:tc>
          <w:tcPr>
            <w:tcW w:w="1268"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2.338</w:t>
            </w:r>
          </w:p>
        </w:tc>
        <w:tc>
          <w:tcPr>
            <w:tcW w:w="1546"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112.224</w:t>
            </w:r>
          </w:p>
        </w:tc>
      </w:tr>
      <w:tr w:rsidR="007438C6" w:rsidRPr="00591643" w:rsidTr="00FF0F46">
        <w:trPr>
          <w:trHeight w:val="283"/>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color w:val="000000"/>
              </w:rPr>
            </w:pPr>
            <w:r w:rsidRPr="00591643">
              <w:rPr>
                <w:rFonts w:eastAsia="Times New Roman" w:cs="Times New Roman"/>
                <w:color w:val="000000"/>
              </w:rPr>
              <w:t>K through 12 Administrators</w:t>
            </w:r>
          </w:p>
        </w:tc>
        <w:tc>
          <w:tcPr>
            <w:tcW w:w="1523"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48</w:t>
            </w:r>
          </w:p>
        </w:tc>
        <w:tc>
          <w:tcPr>
            <w:tcW w:w="143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67"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48</w:t>
            </w:r>
          </w:p>
        </w:tc>
        <w:tc>
          <w:tcPr>
            <w:tcW w:w="1268"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2.338</w:t>
            </w:r>
          </w:p>
        </w:tc>
        <w:tc>
          <w:tcPr>
            <w:tcW w:w="1546"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112.224</w:t>
            </w:r>
          </w:p>
        </w:tc>
      </w:tr>
      <w:tr w:rsidR="007438C6" w:rsidRPr="00B40EC8" w:rsidTr="00FF0F46">
        <w:trPr>
          <w:trHeight w:val="283"/>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rPr>
                <w:rFonts w:eastAsia="Times New Roman" w:cs="Times New Roman"/>
                <w:color w:val="000000"/>
              </w:rPr>
            </w:pPr>
            <w:r w:rsidRPr="00B40EC8">
              <w:rPr>
                <w:rFonts w:eastAsia="Times New Roman" w:cs="Times New Roman"/>
                <w:color w:val="000000"/>
              </w:rPr>
              <w:t>Internal Partners</w:t>
            </w:r>
            <w:r w:rsidR="001173C4" w:rsidRPr="00B40EC8">
              <w:rPr>
                <w:rFonts w:eastAsia="Times New Roman" w:cs="Times New Roman"/>
                <w:color w:val="000000"/>
              </w:rPr>
              <w:t xml:space="preserve"> (Federal employees)**</w:t>
            </w:r>
          </w:p>
        </w:tc>
        <w:tc>
          <w:tcPr>
            <w:tcW w:w="1523" w:type="dxa"/>
            <w:tcBorders>
              <w:top w:val="nil"/>
              <w:left w:val="nil"/>
              <w:bottom w:val="single" w:sz="4" w:space="0" w:color="auto"/>
              <w:right w:val="single" w:sz="4" w:space="0" w:color="auto"/>
            </w:tcBorders>
            <w:shd w:val="clear" w:color="auto" w:fill="auto"/>
            <w:noWrap/>
            <w:vAlign w:val="bottom"/>
            <w:hideMark/>
          </w:tcPr>
          <w:p w:rsidR="007438C6" w:rsidRPr="00B40EC8" w:rsidRDefault="001173C4" w:rsidP="002C137E">
            <w:pPr>
              <w:spacing w:after="0" w:line="240" w:lineRule="auto"/>
              <w:jc w:val="center"/>
              <w:rPr>
                <w:rFonts w:eastAsia="Times New Roman" w:cs="Times New Roman"/>
                <w:color w:val="000000"/>
              </w:rPr>
            </w:pPr>
            <w:r w:rsidRPr="00B40EC8">
              <w:rPr>
                <w:rFonts w:eastAsia="Times New Roman" w:cs="Times New Roman"/>
                <w:color w:val="000000"/>
              </w:rPr>
              <w:t>20</w:t>
            </w:r>
          </w:p>
        </w:tc>
        <w:tc>
          <w:tcPr>
            <w:tcW w:w="1430" w:type="dxa"/>
            <w:tcBorders>
              <w:top w:val="nil"/>
              <w:left w:val="nil"/>
              <w:bottom w:val="single" w:sz="4" w:space="0" w:color="auto"/>
              <w:right w:val="single" w:sz="4" w:space="0" w:color="auto"/>
            </w:tcBorders>
            <w:shd w:val="clear" w:color="auto" w:fill="auto"/>
            <w:noWrap/>
            <w:vAlign w:val="bottom"/>
            <w:hideMark/>
          </w:tcPr>
          <w:p w:rsidR="007438C6" w:rsidRPr="00B40EC8" w:rsidRDefault="001173C4" w:rsidP="002C137E">
            <w:pPr>
              <w:spacing w:after="0" w:line="240" w:lineRule="auto"/>
              <w:jc w:val="center"/>
              <w:rPr>
                <w:rFonts w:eastAsia="Times New Roman" w:cs="Times New Roman"/>
                <w:color w:val="000000"/>
              </w:rPr>
            </w:pPr>
            <w:r w:rsidRPr="00B40EC8">
              <w:rPr>
                <w:rFonts w:eastAsia="Times New Roman" w:cs="Times New Roman"/>
                <w:color w:val="000000"/>
              </w:rPr>
              <w:t>1</w:t>
            </w:r>
          </w:p>
        </w:tc>
        <w:tc>
          <w:tcPr>
            <w:tcW w:w="1367" w:type="dxa"/>
            <w:tcBorders>
              <w:top w:val="nil"/>
              <w:left w:val="nil"/>
              <w:bottom w:val="single" w:sz="4" w:space="0" w:color="auto"/>
              <w:right w:val="single" w:sz="4" w:space="0" w:color="auto"/>
            </w:tcBorders>
            <w:shd w:val="clear" w:color="auto" w:fill="auto"/>
            <w:noWrap/>
            <w:vAlign w:val="bottom"/>
            <w:hideMark/>
          </w:tcPr>
          <w:p w:rsidR="007438C6" w:rsidRPr="00B40EC8" w:rsidRDefault="001173C4" w:rsidP="002C137E">
            <w:pPr>
              <w:spacing w:after="0" w:line="240" w:lineRule="auto"/>
              <w:jc w:val="center"/>
              <w:rPr>
                <w:rFonts w:eastAsia="Times New Roman" w:cs="Times New Roman"/>
                <w:color w:val="000000"/>
              </w:rPr>
            </w:pPr>
            <w:r w:rsidRPr="00B40EC8">
              <w:rPr>
                <w:rFonts w:eastAsia="Times New Roman" w:cs="Times New Roman"/>
                <w:color w:val="000000"/>
              </w:rPr>
              <w:t>20</w:t>
            </w:r>
          </w:p>
        </w:tc>
        <w:tc>
          <w:tcPr>
            <w:tcW w:w="1268" w:type="dxa"/>
            <w:tcBorders>
              <w:top w:val="nil"/>
              <w:left w:val="nil"/>
              <w:bottom w:val="single" w:sz="4" w:space="0" w:color="auto"/>
              <w:right w:val="single" w:sz="4" w:space="0" w:color="auto"/>
            </w:tcBorders>
            <w:shd w:val="clear" w:color="auto" w:fill="auto"/>
            <w:noWrap/>
            <w:vAlign w:val="bottom"/>
            <w:hideMark/>
          </w:tcPr>
          <w:p w:rsidR="007438C6" w:rsidRPr="00B40EC8" w:rsidRDefault="001173C4" w:rsidP="002C137E">
            <w:pPr>
              <w:spacing w:after="0" w:line="240" w:lineRule="auto"/>
              <w:jc w:val="center"/>
              <w:rPr>
                <w:rFonts w:eastAsia="Times New Roman" w:cs="Times New Roman"/>
                <w:color w:val="000000"/>
              </w:rPr>
            </w:pPr>
            <w:r w:rsidRPr="00B40EC8">
              <w:rPr>
                <w:rFonts w:eastAsia="Times New Roman" w:cs="Times New Roman"/>
                <w:color w:val="000000"/>
              </w:rPr>
              <w:t>0</w:t>
            </w:r>
          </w:p>
        </w:tc>
        <w:tc>
          <w:tcPr>
            <w:tcW w:w="1546" w:type="dxa"/>
            <w:tcBorders>
              <w:top w:val="nil"/>
              <w:left w:val="nil"/>
              <w:bottom w:val="single" w:sz="4" w:space="0" w:color="auto"/>
              <w:right w:val="single" w:sz="4" w:space="0" w:color="auto"/>
            </w:tcBorders>
            <w:shd w:val="clear" w:color="auto" w:fill="auto"/>
            <w:noWrap/>
            <w:vAlign w:val="bottom"/>
            <w:hideMark/>
          </w:tcPr>
          <w:p w:rsidR="007438C6" w:rsidRPr="00B40EC8" w:rsidRDefault="001173C4" w:rsidP="002C137E">
            <w:pPr>
              <w:spacing w:after="0" w:line="240" w:lineRule="auto"/>
              <w:jc w:val="center"/>
              <w:rPr>
                <w:rFonts w:eastAsia="Times New Roman" w:cs="Times New Roman"/>
                <w:color w:val="000000"/>
              </w:rPr>
            </w:pPr>
            <w:r w:rsidRPr="00B40EC8">
              <w:rPr>
                <w:rFonts w:eastAsia="Times New Roman" w:cs="Times New Roman"/>
                <w:color w:val="000000"/>
              </w:rPr>
              <w:t>0</w:t>
            </w:r>
          </w:p>
        </w:tc>
      </w:tr>
      <w:tr w:rsidR="007438C6" w:rsidRPr="00B40EC8" w:rsidTr="00FF0F46">
        <w:trPr>
          <w:trHeight w:val="283"/>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rPr>
                <w:rFonts w:eastAsia="Times New Roman" w:cs="Times New Roman"/>
                <w:color w:val="000000"/>
              </w:rPr>
            </w:pPr>
            <w:r w:rsidRPr="00B40EC8">
              <w:rPr>
                <w:rFonts w:eastAsia="Times New Roman" w:cs="Times New Roman"/>
                <w:color w:val="000000"/>
              </w:rPr>
              <w:t>External Partners</w:t>
            </w:r>
          </w:p>
        </w:tc>
        <w:tc>
          <w:tcPr>
            <w:tcW w:w="1523"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20</w:t>
            </w:r>
          </w:p>
        </w:tc>
        <w:tc>
          <w:tcPr>
            <w:tcW w:w="1430"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1</w:t>
            </w:r>
          </w:p>
        </w:tc>
        <w:tc>
          <w:tcPr>
            <w:tcW w:w="1367"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20</w:t>
            </w:r>
          </w:p>
        </w:tc>
        <w:tc>
          <w:tcPr>
            <w:tcW w:w="1268"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1</w:t>
            </w:r>
          </w:p>
        </w:tc>
        <w:tc>
          <w:tcPr>
            <w:tcW w:w="1546"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20</w:t>
            </w:r>
          </w:p>
        </w:tc>
      </w:tr>
      <w:tr w:rsidR="007438C6" w:rsidRPr="00B40EC8" w:rsidTr="00FF0F46">
        <w:trPr>
          <w:trHeight w:val="283"/>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rPr>
                <w:rFonts w:eastAsia="Times New Roman" w:cs="Times New Roman"/>
                <w:color w:val="000000"/>
              </w:rPr>
            </w:pPr>
            <w:r w:rsidRPr="00B40EC8">
              <w:rPr>
                <w:rFonts w:eastAsia="Times New Roman" w:cs="Times New Roman"/>
                <w:color w:val="000000"/>
              </w:rPr>
              <w:t>Parents/Guardians</w:t>
            </w:r>
          </w:p>
        </w:tc>
        <w:tc>
          <w:tcPr>
            <w:tcW w:w="1523"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72</w:t>
            </w:r>
          </w:p>
        </w:tc>
        <w:tc>
          <w:tcPr>
            <w:tcW w:w="1430"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1</w:t>
            </w:r>
          </w:p>
        </w:tc>
        <w:tc>
          <w:tcPr>
            <w:tcW w:w="1367"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72</w:t>
            </w:r>
          </w:p>
        </w:tc>
        <w:tc>
          <w:tcPr>
            <w:tcW w:w="1268"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2.338</w:t>
            </w:r>
          </w:p>
        </w:tc>
        <w:tc>
          <w:tcPr>
            <w:tcW w:w="1546"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168.336</w:t>
            </w:r>
          </w:p>
        </w:tc>
      </w:tr>
      <w:tr w:rsidR="007438C6" w:rsidRPr="00B40EC8" w:rsidTr="00FF0F46">
        <w:trPr>
          <w:trHeight w:val="283"/>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rPr>
                <w:rFonts w:eastAsia="Times New Roman" w:cs="Times New Roman"/>
                <w:i/>
                <w:iCs/>
                <w:color w:val="000000"/>
              </w:rPr>
            </w:pPr>
            <w:r w:rsidRPr="00B40EC8">
              <w:rPr>
                <w:rFonts w:eastAsia="Times New Roman" w:cs="Times New Roman"/>
                <w:i/>
                <w:iCs/>
                <w:color w:val="000000"/>
              </w:rPr>
              <w:t>Non-Response</w:t>
            </w:r>
            <w:r w:rsidR="00FF0F46" w:rsidRPr="00B40EC8">
              <w:rPr>
                <w:rFonts w:eastAsia="Times New Roman" w:cs="Times New Roman"/>
                <w:i/>
                <w:iCs/>
                <w:color w:val="000000"/>
              </w:rPr>
              <w:t>*</w:t>
            </w:r>
          </w:p>
        </w:tc>
        <w:tc>
          <w:tcPr>
            <w:tcW w:w="1523"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24</w:t>
            </w:r>
          </w:p>
        </w:tc>
        <w:tc>
          <w:tcPr>
            <w:tcW w:w="1430"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1</w:t>
            </w:r>
          </w:p>
        </w:tc>
        <w:tc>
          <w:tcPr>
            <w:tcW w:w="1367"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24</w:t>
            </w:r>
          </w:p>
        </w:tc>
        <w:tc>
          <w:tcPr>
            <w:tcW w:w="1268"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0.0334</w:t>
            </w:r>
          </w:p>
        </w:tc>
        <w:tc>
          <w:tcPr>
            <w:tcW w:w="1546" w:type="dxa"/>
            <w:tcBorders>
              <w:top w:val="nil"/>
              <w:left w:val="nil"/>
              <w:bottom w:val="single" w:sz="4" w:space="0" w:color="auto"/>
              <w:right w:val="single" w:sz="4" w:space="0" w:color="auto"/>
            </w:tcBorders>
            <w:shd w:val="clear" w:color="auto" w:fill="auto"/>
            <w:noWrap/>
            <w:vAlign w:val="bottom"/>
            <w:hideMark/>
          </w:tcPr>
          <w:p w:rsidR="007438C6" w:rsidRPr="00B40EC8" w:rsidRDefault="007438C6" w:rsidP="002C137E">
            <w:pPr>
              <w:spacing w:after="0" w:line="240" w:lineRule="auto"/>
              <w:jc w:val="center"/>
              <w:rPr>
                <w:rFonts w:eastAsia="Times New Roman" w:cs="Times New Roman"/>
                <w:color w:val="000000"/>
              </w:rPr>
            </w:pPr>
            <w:r w:rsidRPr="00B40EC8">
              <w:rPr>
                <w:rFonts w:eastAsia="Times New Roman" w:cs="Times New Roman"/>
                <w:color w:val="000000"/>
              </w:rPr>
              <w:t>0.8016</w:t>
            </w:r>
          </w:p>
        </w:tc>
      </w:tr>
      <w:tr w:rsidR="007438C6" w:rsidRPr="00B40EC8" w:rsidTr="00FF0F46">
        <w:trPr>
          <w:trHeight w:val="283"/>
        </w:trPr>
        <w:tc>
          <w:tcPr>
            <w:tcW w:w="2342" w:type="dxa"/>
            <w:tcBorders>
              <w:top w:val="nil"/>
              <w:left w:val="single" w:sz="4" w:space="0" w:color="auto"/>
              <w:bottom w:val="single" w:sz="4" w:space="0" w:color="auto"/>
              <w:right w:val="single" w:sz="4" w:space="0" w:color="auto"/>
            </w:tcBorders>
            <w:shd w:val="clear" w:color="000000" w:fill="BFBFBF"/>
            <w:noWrap/>
            <w:vAlign w:val="bottom"/>
            <w:hideMark/>
          </w:tcPr>
          <w:p w:rsidR="007438C6" w:rsidRPr="00B40EC8" w:rsidRDefault="007438C6" w:rsidP="002C137E">
            <w:pPr>
              <w:spacing w:after="0" w:line="240" w:lineRule="auto"/>
              <w:rPr>
                <w:rFonts w:eastAsia="Times New Roman" w:cs="Times New Roman"/>
                <w:b/>
                <w:color w:val="000000"/>
              </w:rPr>
            </w:pPr>
            <w:r w:rsidRPr="00B40EC8">
              <w:rPr>
                <w:rFonts w:eastAsia="Times New Roman" w:cs="Times New Roman"/>
                <w:b/>
                <w:color w:val="000000"/>
              </w:rPr>
              <w:t>TOTAL</w:t>
            </w:r>
          </w:p>
        </w:tc>
        <w:tc>
          <w:tcPr>
            <w:tcW w:w="1523" w:type="dxa"/>
            <w:tcBorders>
              <w:top w:val="nil"/>
              <w:left w:val="nil"/>
              <w:bottom w:val="single" w:sz="4" w:space="0" w:color="auto"/>
              <w:right w:val="single" w:sz="4" w:space="0" w:color="auto"/>
            </w:tcBorders>
            <w:shd w:val="clear" w:color="000000" w:fill="BFBFBF"/>
            <w:noWrap/>
            <w:vAlign w:val="bottom"/>
            <w:hideMark/>
          </w:tcPr>
          <w:p w:rsidR="007438C6" w:rsidRPr="00B40EC8" w:rsidRDefault="007438C6" w:rsidP="002C137E">
            <w:pPr>
              <w:spacing w:after="0" w:line="240" w:lineRule="auto"/>
              <w:jc w:val="center"/>
              <w:rPr>
                <w:rFonts w:eastAsia="Times New Roman" w:cs="Times New Roman"/>
                <w:b/>
                <w:color w:val="000000"/>
              </w:rPr>
            </w:pPr>
            <w:r w:rsidRPr="00B40EC8">
              <w:rPr>
                <w:rFonts w:eastAsia="Times New Roman" w:cs="Times New Roman"/>
                <w:b/>
                <w:color w:val="000000"/>
              </w:rPr>
              <w:t>2</w:t>
            </w:r>
            <w:r w:rsidR="001173C4" w:rsidRPr="00B40EC8">
              <w:rPr>
                <w:rFonts w:eastAsia="Times New Roman" w:cs="Times New Roman"/>
                <w:b/>
                <w:color w:val="000000"/>
              </w:rPr>
              <w:t>6</w:t>
            </w:r>
            <w:r w:rsidR="003C4BD6" w:rsidRPr="00B40EC8">
              <w:rPr>
                <w:rFonts w:eastAsia="Times New Roman" w:cs="Times New Roman"/>
                <w:b/>
                <w:color w:val="000000"/>
              </w:rPr>
              <w:t>4</w:t>
            </w:r>
          </w:p>
        </w:tc>
        <w:tc>
          <w:tcPr>
            <w:tcW w:w="1430" w:type="dxa"/>
            <w:tcBorders>
              <w:top w:val="nil"/>
              <w:left w:val="nil"/>
              <w:bottom w:val="single" w:sz="4" w:space="0" w:color="auto"/>
              <w:right w:val="single" w:sz="4" w:space="0" w:color="auto"/>
            </w:tcBorders>
            <w:shd w:val="clear" w:color="000000" w:fill="BFBFBF"/>
            <w:noWrap/>
            <w:vAlign w:val="bottom"/>
            <w:hideMark/>
          </w:tcPr>
          <w:p w:rsidR="007438C6" w:rsidRPr="00B40EC8" w:rsidRDefault="007438C6" w:rsidP="002C137E">
            <w:pPr>
              <w:spacing w:after="0" w:line="240" w:lineRule="auto"/>
              <w:jc w:val="center"/>
              <w:rPr>
                <w:rFonts w:eastAsia="Times New Roman" w:cs="Times New Roman"/>
                <w:b/>
                <w:color w:val="000000"/>
              </w:rPr>
            </w:pPr>
            <w:r w:rsidRPr="00B40EC8">
              <w:rPr>
                <w:rFonts w:eastAsia="Times New Roman" w:cs="Times New Roman"/>
                <w:b/>
                <w:color w:val="000000"/>
              </w:rPr>
              <w:t> </w:t>
            </w:r>
          </w:p>
        </w:tc>
        <w:tc>
          <w:tcPr>
            <w:tcW w:w="1367" w:type="dxa"/>
            <w:tcBorders>
              <w:top w:val="nil"/>
              <w:left w:val="nil"/>
              <w:bottom w:val="single" w:sz="4" w:space="0" w:color="auto"/>
              <w:right w:val="single" w:sz="4" w:space="0" w:color="auto"/>
            </w:tcBorders>
            <w:shd w:val="clear" w:color="000000" w:fill="BFBFBF"/>
            <w:noWrap/>
            <w:vAlign w:val="bottom"/>
            <w:hideMark/>
          </w:tcPr>
          <w:p w:rsidR="007438C6" w:rsidRPr="00B40EC8" w:rsidRDefault="007438C6" w:rsidP="002C137E">
            <w:pPr>
              <w:spacing w:after="0" w:line="240" w:lineRule="auto"/>
              <w:jc w:val="center"/>
              <w:rPr>
                <w:rFonts w:eastAsia="Times New Roman" w:cs="Times New Roman"/>
                <w:b/>
                <w:color w:val="000000"/>
              </w:rPr>
            </w:pPr>
            <w:r w:rsidRPr="00B40EC8">
              <w:rPr>
                <w:rFonts w:eastAsia="Times New Roman" w:cs="Times New Roman"/>
                <w:b/>
                <w:color w:val="000000"/>
              </w:rPr>
              <w:t> </w:t>
            </w:r>
          </w:p>
        </w:tc>
        <w:tc>
          <w:tcPr>
            <w:tcW w:w="1268" w:type="dxa"/>
            <w:tcBorders>
              <w:top w:val="nil"/>
              <w:left w:val="nil"/>
              <w:bottom w:val="single" w:sz="4" w:space="0" w:color="auto"/>
              <w:right w:val="single" w:sz="4" w:space="0" w:color="auto"/>
            </w:tcBorders>
            <w:shd w:val="clear" w:color="000000" w:fill="BFBFBF"/>
            <w:noWrap/>
            <w:vAlign w:val="bottom"/>
            <w:hideMark/>
          </w:tcPr>
          <w:p w:rsidR="007438C6" w:rsidRPr="00B40EC8" w:rsidRDefault="007438C6" w:rsidP="002C137E">
            <w:pPr>
              <w:spacing w:after="0" w:line="240" w:lineRule="auto"/>
              <w:jc w:val="center"/>
              <w:rPr>
                <w:rFonts w:eastAsia="Times New Roman" w:cs="Times New Roman"/>
                <w:b/>
                <w:color w:val="000000"/>
              </w:rPr>
            </w:pPr>
            <w:r w:rsidRPr="00B40EC8">
              <w:rPr>
                <w:rFonts w:eastAsia="Times New Roman" w:cs="Times New Roman"/>
                <w:b/>
                <w:color w:val="000000"/>
              </w:rPr>
              <w:t> </w:t>
            </w:r>
          </w:p>
        </w:tc>
        <w:tc>
          <w:tcPr>
            <w:tcW w:w="1546" w:type="dxa"/>
            <w:tcBorders>
              <w:top w:val="nil"/>
              <w:left w:val="nil"/>
              <w:bottom w:val="single" w:sz="4" w:space="0" w:color="auto"/>
              <w:right w:val="single" w:sz="4" w:space="0" w:color="auto"/>
            </w:tcBorders>
            <w:shd w:val="clear" w:color="000000" w:fill="BFBFBF"/>
            <w:noWrap/>
            <w:vAlign w:val="bottom"/>
            <w:hideMark/>
          </w:tcPr>
          <w:p w:rsidR="007438C6" w:rsidRPr="00B40EC8" w:rsidRDefault="007438C6" w:rsidP="001173C4">
            <w:pPr>
              <w:spacing w:after="0" w:line="240" w:lineRule="auto"/>
              <w:jc w:val="center"/>
              <w:rPr>
                <w:rFonts w:eastAsia="Times New Roman" w:cs="Times New Roman"/>
                <w:b/>
                <w:bCs/>
                <w:color w:val="000000"/>
              </w:rPr>
            </w:pPr>
            <w:r w:rsidRPr="00B40EC8">
              <w:rPr>
                <w:rFonts w:eastAsia="Times New Roman" w:cs="Times New Roman"/>
                <w:b/>
                <w:bCs/>
                <w:color w:val="000000"/>
              </w:rPr>
              <w:t>4</w:t>
            </w:r>
            <w:r w:rsidR="001173C4" w:rsidRPr="00B40EC8">
              <w:rPr>
                <w:rFonts w:eastAsia="Times New Roman" w:cs="Times New Roman"/>
                <w:b/>
                <w:bCs/>
                <w:color w:val="000000"/>
              </w:rPr>
              <w:t>6</w:t>
            </w:r>
            <w:r w:rsidR="00FF0F46" w:rsidRPr="00B40EC8">
              <w:rPr>
                <w:rFonts w:eastAsia="Times New Roman" w:cs="Times New Roman"/>
                <w:b/>
                <w:bCs/>
                <w:color w:val="000000"/>
              </w:rPr>
              <w:t>9</w:t>
            </w:r>
            <w:r w:rsidRPr="00B40EC8">
              <w:rPr>
                <w:rFonts w:eastAsia="Times New Roman" w:cs="Times New Roman"/>
                <w:b/>
                <w:bCs/>
                <w:color w:val="000000"/>
              </w:rPr>
              <w:t>.59</w:t>
            </w:r>
          </w:p>
        </w:tc>
      </w:tr>
    </w:tbl>
    <w:p w:rsidR="007438C6" w:rsidRPr="00B40EC8" w:rsidRDefault="00FF0F46" w:rsidP="007438C6">
      <w:pPr>
        <w:spacing w:after="0"/>
        <w:rPr>
          <w:rFonts w:cs="Times New Roman"/>
          <w:sz w:val="18"/>
          <w:szCs w:val="18"/>
        </w:rPr>
      </w:pPr>
      <w:r w:rsidRPr="00B40EC8">
        <w:rPr>
          <w:rFonts w:cs="Times New Roman"/>
          <w:sz w:val="18"/>
          <w:szCs w:val="18"/>
        </w:rPr>
        <w:t>*This reflects those individuals who were screened to participate in the research but do not show up and actually participate in the discussions.</w:t>
      </w:r>
    </w:p>
    <w:p w:rsidR="001173C4" w:rsidRPr="00591643" w:rsidRDefault="001173C4" w:rsidP="007438C6">
      <w:pPr>
        <w:spacing w:after="0"/>
        <w:rPr>
          <w:rFonts w:cs="Times New Roman"/>
          <w:sz w:val="18"/>
          <w:szCs w:val="18"/>
        </w:rPr>
      </w:pPr>
      <w:r w:rsidRPr="00B40EC8">
        <w:rPr>
          <w:rFonts w:cs="Times New Roman"/>
          <w:sz w:val="18"/>
          <w:szCs w:val="18"/>
        </w:rPr>
        <w:t>**Research with Federal employees do</w:t>
      </w:r>
      <w:r w:rsidR="008F3A25" w:rsidRPr="00B40EC8">
        <w:rPr>
          <w:rFonts w:cs="Times New Roman"/>
          <w:sz w:val="18"/>
          <w:szCs w:val="18"/>
        </w:rPr>
        <w:t>es</w:t>
      </w:r>
      <w:r w:rsidRPr="00B40EC8">
        <w:rPr>
          <w:rFonts w:cs="Times New Roman"/>
          <w:sz w:val="18"/>
          <w:szCs w:val="18"/>
        </w:rPr>
        <w:t xml:space="preserve"> not count toward burden hours.</w:t>
      </w:r>
    </w:p>
    <w:p w:rsidR="003672E2" w:rsidRDefault="003672E2" w:rsidP="007438C6">
      <w:pPr>
        <w:spacing w:after="0"/>
        <w:rPr>
          <w:rFonts w:cs="Times New Roman"/>
          <w:b/>
        </w:rPr>
      </w:pPr>
    </w:p>
    <w:p w:rsidR="007438C6" w:rsidRPr="00591643" w:rsidRDefault="007438C6" w:rsidP="007438C6">
      <w:pPr>
        <w:spacing w:after="0"/>
        <w:rPr>
          <w:rFonts w:cs="Times New Roman"/>
          <w:b/>
        </w:rPr>
      </w:pPr>
      <w:r w:rsidRPr="00591643">
        <w:rPr>
          <w:rFonts w:cs="Times New Roman"/>
          <w:b/>
        </w:rPr>
        <w:t>Time Frame</w:t>
      </w:r>
    </w:p>
    <w:p w:rsidR="007438C6" w:rsidRPr="00591643" w:rsidRDefault="006F2029" w:rsidP="007438C6">
      <w:pPr>
        <w:spacing w:after="0"/>
        <w:rPr>
          <w:rFonts w:cs="Times New Roman"/>
        </w:rPr>
      </w:pPr>
      <w:r>
        <w:rPr>
          <w:rFonts w:cs="Times New Roman"/>
        </w:rPr>
        <w:t xml:space="preserve">FH/GMMB </w:t>
      </w:r>
      <w:r w:rsidR="007438C6" w:rsidRPr="00591643">
        <w:rPr>
          <w:rFonts w:cs="Times New Roman"/>
        </w:rPr>
        <w:t>will conduct the focus groups and IDIs over a period of approximately six to eight business weeks and the discussions/interviews will be held on weekdays, depending on the availability of the stakeholder group</w:t>
      </w:r>
      <w:r w:rsidR="003672E2">
        <w:rPr>
          <w:rFonts w:cs="Times New Roman"/>
        </w:rPr>
        <w:t>s</w:t>
      </w:r>
      <w:r w:rsidR="007438C6" w:rsidRPr="00591643">
        <w:rPr>
          <w:rFonts w:cs="Times New Roman"/>
        </w:rPr>
        <w:t>.</w:t>
      </w:r>
    </w:p>
    <w:p w:rsidR="007438C6" w:rsidRPr="00591643" w:rsidRDefault="007438C6" w:rsidP="007438C6">
      <w:pPr>
        <w:spacing w:after="0"/>
        <w:rPr>
          <w:rFonts w:cs="Times New Roman"/>
        </w:rPr>
      </w:pPr>
    </w:p>
    <w:p w:rsidR="007438C6" w:rsidRPr="00591643" w:rsidRDefault="007438C6" w:rsidP="007438C6">
      <w:pPr>
        <w:pStyle w:val="ListParagraph"/>
        <w:numPr>
          <w:ilvl w:val="0"/>
          <w:numId w:val="20"/>
        </w:numPr>
        <w:spacing w:after="0"/>
        <w:rPr>
          <w:rFonts w:cs="Times New Roman"/>
        </w:rPr>
      </w:pPr>
      <w:r w:rsidRPr="00591643">
        <w:rPr>
          <w:rFonts w:cs="Times New Roman"/>
          <w:b/>
        </w:rPr>
        <w:t xml:space="preserve">Child Nutrition Professionals. </w:t>
      </w:r>
      <w:r w:rsidR="003672E2">
        <w:rPr>
          <w:rFonts w:cs="Times New Roman"/>
          <w:b/>
        </w:rPr>
        <w:t xml:space="preserve"> </w:t>
      </w:r>
      <w:r w:rsidRPr="00591643">
        <w:rPr>
          <w:rFonts w:cs="Times New Roman"/>
        </w:rPr>
        <w:t xml:space="preserve">These discussions will be held on a weekday (Monday through Thursday), depending on the availability of the participants. </w:t>
      </w:r>
    </w:p>
    <w:p w:rsidR="007438C6" w:rsidRPr="00591643" w:rsidRDefault="007438C6" w:rsidP="007438C6">
      <w:pPr>
        <w:pStyle w:val="ListParagraph"/>
        <w:numPr>
          <w:ilvl w:val="0"/>
          <w:numId w:val="20"/>
        </w:numPr>
        <w:spacing w:after="0"/>
        <w:rPr>
          <w:rFonts w:cs="Times New Roman"/>
        </w:rPr>
      </w:pPr>
      <w:r w:rsidRPr="00591643">
        <w:rPr>
          <w:rFonts w:cs="Times New Roman"/>
          <w:b/>
        </w:rPr>
        <w:t>Teachers.</w:t>
      </w:r>
      <w:r w:rsidRPr="00591643">
        <w:rPr>
          <w:rFonts w:cs="Times New Roman"/>
        </w:rPr>
        <w:t xml:space="preserve"> </w:t>
      </w:r>
      <w:r w:rsidR="003672E2">
        <w:rPr>
          <w:rFonts w:cs="Times New Roman"/>
        </w:rPr>
        <w:t xml:space="preserve"> </w:t>
      </w:r>
      <w:r w:rsidRPr="00591643">
        <w:rPr>
          <w:rFonts w:cs="Times New Roman"/>
        </w:rPr>
        <w:t>These discussions will be held on a weekday (Monday through Thursday) evening hours.</w:t>
      </w:r>
    </w:p>
    <w:p w:rsidR="007438C6" w:rsidRPr="00591643" w:rsidRDefault="007438C6" w:rsidP="007438C6">
      <w:pPr>
        <w:pStyle w:val="ListParagraph"/>
        <w:numPr>
          <w:ilvl w:val="0"/>
          <w:numId w:val="20"/>
        </w:numPr>
        <w:spacing w:after="0"/>
        <w:rPr>
          <w:rFonts w:cs="Times New Roman"/>
        </w:rPr>
      </w:pPr>
      <w:r w:rsidRPr="00591643">
        <w:rPr>
          <w:rFonts w:cs="Times New Roman"/>
          <w:b/>
        </w:rPr>
        <w:t>Administrators.</w:t>
      </w:r>
      <w:r w:rsidRPr="00591643">
        <w:rPr>
          <w:rFonts w:cs="Times New Roman"/>
        </w:rPr>
        <w:t xml:space="preserve"> </w:t>
      </w:r>
      <w:r w:rsidR="003672E2">
        <w:rPr>
          <w:rFonts w:cs="Times New Roman"/>
        </w:rPr>
        <w:t xml:space="preserve"> </w:t>
      </w:r>
      <w:r w:rsidRPr="00591643">
        <w:rPr>
          <w:rFonts w:cs="Times New Roman"/>
        </w:rPr>
        <w:t>These discussions will be held on a weekday (Monday through Thursday) evening or daytime hours, depending on the availability of the participants.</w:t>
      </w:r>
    </w:p>
    <w:p w:rsidR="007438C6" w:rsidRPr="00591643" w:rsidRDefault="007438C6" w:rsidP="007438C6">
      <w:pPr>
        <w:pStyle w:val="ListParagraph"/>
        <w:numPr>
          <w:ilvl w:val="0"/>
          <w:numId w:val="20"/>
        </w:numPr>
        <w:spacing w:after="0"/>
        <w:rPr>
          <w:rFonts w:cs="Times New Roman"/>
        </w:rPr>
      </w:pPr>
      <w:r w:rsidRPr="00591643">
        <w:rPr>
          <w:rFonts w:cs="Times New Roman"/>
          <w:b/>
        </w:rPr>
        <w:t>Internal and External Partners.</w:t>
      </w:r>
      <w:r w:rsidRPr="00591643">
        <w:rPr>
          <w:rFonts w:cs="Times New Roman"/>
        </w:rPr>
        <w:t xml:space="preserve"> </w:t>
      </w:r>
      <w:r w:rsidR="003672E2">
        <w:rPr>
          <w:rFonts w:cs="Times New Roman"/>
        </w:rPr>
        <w:t xml:space="preserve"> </w:t>
      </w:r>
      <w:r w:rsidRPr="00591643">
        <w:rPr>
          <w:rFonts w:cs="Times New Roman"/>
        </w:rPr>
        <w:t>These interviews will be held on a weekday (Monday through Thursday) evening or daytime hours, depending on the availability of participants.</w:t>
      </w:r>
    </w:p>
    <w:p w:rsidR="007438C6" w:rsidRPr="00591643" w:rsidRDefault="007438C6" w:rsidP="007438C6">
      <w:pPr>
        <w:pStyle w:val="ListParagraph"/>
        <w:numPr>
          <w:ilvl w:val="0"/>
          <w:numId w:val="20"/>
        </w:numPr>
        <w:spacing w:after="0"/>
        <w:rPr>
          <w:rFonts w:cs="Times New Roman"/>
        </w:rPr>
      </w:pPr>
      <w:r w:rsidRPr="00591643">
        <w:rPr>
          <w:rFonts w:cs="Times New Roman"/>
          <w:b/>
        </w:rPr>
        <w:t>Parents/Guardians.</w:t>
      </w:r>
      <w:r w:rsidRPr="00591643">
        <w:rPr>
          <w:rFonts w:cs="Times New Roman"/>
        </w:rPr>
        <w:t xml:space="preserve"> </w:t>
      </w:r>
      <w:r w:rsidR="003672E2">
        <w:rPr>
          <w:rFonts w:cs="Times New Roman"/>
        </w:rPr>
        <w:t xml:space="preserve"> </w:t>
      </w:r>
      <w:r w:rsidRPr="00591643">
        <w:rPr>
          <w:rFonts w:cs="Times New Roman"/>
        </w:rPr>
        <w:t xml:space="preserve">These discussions will be held on a weekday (Monday through Thursday) evening hours to accommodate </w:t>
      </w:r>
      <w:r w:rsidR="003672E2">
        <w:rPr>
          <w:rFonts w:cs="Times New Roman"/>
        </w:rPr>
        <w:t xml:space="preserve">participants’ </w:t>
      </w:r>
      <w:r w:rsidRPr="00591643">
        <w:rPr>
          <w:rFonts w:cs="Times New Roman"/>
        </w:rPr>
        <w:t>work schedules.</w:t>
      </w:r>
    </w:p>
    <w:p w:rsidR="007438C6" w:rsidRPr="00591643" w:rsidRDefault="007438C6" w:rsidP="007438C6">
      <w:pPr>
        <w:spacing w:after="0"/>
        <w:rPr>
          <w:rFonts w:cs="Times New Roman"/>
        </w:rPr>
      </w:pPr>
    </w:p>
    <w:p w:rsidR="001766A3" w:rsidRPr="00591643" w:rsidRDefault="006F2029" w:rsidP="001766A3">
      <w:pPr>
        <w:spacing w:after="0"/>
        <w:rPr>
          <w:rFonts w:cs="Times New Roman"/>
        </w:rPr>
      </w:pPr>
      <w:r>
        <w:rPr>
          <w:rFonts w:cs="Times New Roman"/>
        </w:rPr>
        <w:t>An example of how FH/GMMB</w:t>
      </w:r>
      <w:r w:rsidR="007438C6" w:rsidRPr="00591643">
        <w:rPr>
          <w:rFonts w:cs="Times New Roman"/>
        </w:rPr>
        <w:t xml:space="preserve"> may schedule the groups/interv</w:t>
      </w:r>
      <w:r w:rsidR="00760EBB">
        <w:rPr>
          <w:rFonts w:cs="Times New Roman"/>
        </w:rPr>
        <w:t>iews is shown in the table that follows</w:t>
      </w:r>
      <w:r w:rsidR="003672E2">
        <w:rPr>
          <w:rFonts w:cs="Times New Roman"/>
        </w:rPr>
        <w:t>.  P</w:t>
      </w:r>
      <w:r w:rsidR="007438C6" w:rsidRPr="00591643">
        <w:rPr>
          <w:rFonts w:cs="Times New Roman"/>
        </w:rPr>
        <w:t xml:space="preserve">lease note that this does not </w:t>
      </w:r>
      <w:r w:rsidR="007438C6" w:rsidRPr="004F3A8D">
        <w:rPr>
          <w:rFonts w:cs="Times New Roman"/>
        </w:rPr>
        <w:t>include the time required for the pretest</w:t>
      </w:r>
      <w:r w:rsidR="00D87938" w:rsidRPr="004F3A8D">
        <w:rPr>
          <w:rFonts w:cs="Times New Roman"/>
        </w:rPr>
        <w:t>.</w:t>
      </w:r>
      <w:r w:rsidR="007438C6" w:rsidRPr="004F3A8D">
        <w:rPr>
          <w:rFonts w:cs="Times New Roman"/>
        </w:rPr>
        <w:t xml:space="preserve"> </w:t>
      </w:r>
      <w:r w:rsidR="003672E2">
        <w:rPr>
          <w:rFonts w:cs="Times New Roman"/>
        </w:rPr>
        <w:t xml:space="preserve"> </w:t>
      </w:r>
      <w:r w:rsidR="00FF0F46" w:rsidRPr="004F3A8D">
        <w:rPr>
          <w:rFonts w:cs="Times New Roman"/>
        </w:rPr>
        <w:t xml:space="preserve">As previously mentioned, </w:t>
      </w:r>
      <w:r w:rsidR="007438C6" w:rsidRPr="004F3A8D">
        <w:rPr>
          <w:rFonts w:cs="Times New Roman"/>
        </w:rPr>
        <w:t>a pretest of the survey instruments</w:t>
      </w:r>
      <w:r w:rsidR="003672E2">
        <w:rPr>
          <w:rFonts w:cs="Times New Roman"/>
        </w:rPr>
        <w:t xml:space="preserve"> will be conducted</w:t>
      </w:r>
      <w:r w:rsidR="00FF0F46" w:rsidRPr="004F3A8D">
        <w:rPr>
          <w:rFonts w:cs="Times New Roman"/>
        </w:rPr>
        <w:t>.</w:t>
      </w:r>
      <w:r w:rsidR="00702E1A" w:rsidRPr="004F3A8D">
        <w:rPr>
          <w:rFonts w:cs="Times New Roman"/>
        </w:rPr>
        <w:t xml:space="preserve"> </w:t>
      </w:r>
      <w:r>
        <w:rPr>
          <w:rFonts w:cs="Times New Roman"/>
        </w:rPr>
        <w:t xml:space="preserve"> While FH/GMMB</w:t>
      </w:r>
      <w:r w:rsidR="001766A3" w:rsidRPr="004F3A8D">
        <w:rPr>
          <w:rFonts w:cs="Times New Roman"/>
        </w:rPr>
        <w:t xml:space="preserve"> do</w:t>
      </w:r>
      <w:r>
        <w:rPr>
          <w:rFonts w:cs="Times New Roman"/>
        </w:rPr>
        <w:t>es</w:t>
      </w:r>
      <w:r w:rsidR="001766A3" w:rsidRPr="004F3A8D">
        <w:rPr>
          <w:rFonts w:cs="Times New Roman"/>
        </w:rPr>
        <w:t xml:space="preserve"> not anticipate making any significant changes</w:t>
      </w:r>
      <w:r>
        <w:rPr>
          <w:rFonts w:cs="Times New Roman"/>
        </w:rPr>
        <w:t xml:space="preserve"> to the research instruments, FH/GMMB</w:t>
      </w:r>
      <w:r w:rsidR="001766A3" w:rsidRPr="004F3A8D">
        <w:rPr>
          <w:rFonts w:cs="Times New Roman"/>
        </w:rPr>
        <w:t xml:space="preserve"> will resubmit to OMB should </w:t>
      </w:r>
      <w:r>
        <w:rPr>
          <w:rFonts w:cs="Times New Roman"/>
        </w:rPr>
        <w:t>any significant changes need to be made.</w:t>
      </w:r>
    </w:p>
    <w:p w:rsidR="007438C6" w:rsidRPr="00591643" w:rsidRDefault="007438C6" w:rsidP="007438C6">
      <w:pPr>
        <w:spacing w:after="0"/>
        <w:rPr>
          <w:rFonts w:cs="Times New Roman"/>
        </w:rPr>
      </w:pPr>
    </w:p>
    <w:tbl>
      <w:tblPr>
        <w:tblStyle w:val="TableGrid"/>
        <w:tblW w:w="0" w:type="auto"/>
        <w:tblLook w:val="04A0"/>
      </w:tblPr>
      <w:tblGrid>
        <w:gridCol w:w="3192"/>
        <w:gridCol w:w="3192"/>
      </w:tblGrid>
      <w:tr w:rsidR="007438C6" w:rsidRPr="00591643" w:rsidTr="002C137E">
        <w:tc>
          <w:tcPr>
            <w:tcW w:w="3192" w:type="dxa"/>
            <w:shd w:val="clear" w:color="auto" w:fill="000000" w:themeFill="text1"/>
          </w:tcPr>
          <w:p w:rsidR="007438C6" w:rsidRPr="00591643" w:rsidRDefault="007438C6" w:rsidP="002C137E">
            <w:pPr>
              <w:jc w:val="center"/>
              <w:rPr>
                <w:rFonts w:cs="Times New Roman"/>
                <w:b/>
              </w:rPr>
            </w:pPr>
            <w:r w:rsidRPr="00591643">
              <w:rPr>
                <w:rFonts w:cs="Times New Roman"/>
                <w:b/>
              </w:rPr>
              <w:t>Region</w:t>
            </w:r>
          </w:p>
        </w:tc>
        <w:tc>
          <w:tcPr>
            <w:tcW w:w="3192" w:type="dxa"/>
            <w:shd w:val="clear" w:color="auto" w:fill="000000" w:themeFill="text1"/>
          </w:tcPr>
          <w:p w:rsidR="007438C6" w:rsidRPr="00591643" w:rsidRDefault="007438C6" w:rsidP="002C137E">
            <w:pPr>
              <w:jc w:val="center"/>
              <w:rPr>
                <w:rFonts w:cs="Times New Roman"/>
                <w:b/>
              </w:rPr>
            </w:pPr>
            <w:r w:rsidRPr="00591643">
              <w:rPr>
                <w:rFonts w:cs="Times New Roman"/>
                <w:b/>
              </w:rPr>
              <w:t>Week Number</w:t>
            </w:r>
          </w:p>
        </w:tc>
      </w:tr>
      <w:tr w:rsidR="007438C6" w:rsidRPr="00591643" w:rsidTr="002C137E">
        <w:tc>
          <w:tcPr>
            <w:tcW w:w="3192" w:type="dxa"/>
          </w:tcPr>
          <w:p w:rsidR="007438C6" w:rsidRPr="00591643" w:rsidRDefault="007438C6" w:rsidP="002C137E">
            <w:pPr>
              <w:rPr>
                <w:rFonts w:cs="Times New Roman"/>
              </w:rPr>
            </w:pPr>
            <w:r w:rsidRPr="00591643">
              <w:rPr>
                <w:rFonts w:cs="Times New Roman"/>
              </w:rPr>
              <w:t>East</w:t>
            </w:r>
          </w:p>
        </w:tc>
        <w:tc>
          <w:tcPr>
            <w:tcW w:w="3192" w:type="dxa"/>
          </w:tcPr>
          <w:p w:rsidR="007438C6" w:rsidRPr="00591643" w:rsidRDefault="007438C6" w:rsidP="002C137E">
            <w:pPr>
              <w:rPr>
                <w:rFonts w:cs="Times New Roman"/>
              </w:rPr>
            </w:pPr>
            <w:r w:rsidRPr="00591643">
              <w:rPr>
                <w:rFonts w:cs="Times New Roman"/>
              </w:rPr>
              <w:t>1</w:t>
            </w:r>
          </w:p>
        </w:tc>
      </w:tr>
      <w:tr w:rsidR="007438C6" w:rsidRPr="00591643" w:rsidTr="002C137E">
        <w:tc>
          <w:tcPr>
            <w:tcW w:w="3192" w:type="dxa"/>
          </w:tcPr>
          <w:p w:rsidR="007438C6" w:rsidRPr="00591643" w:rsidRDefault="007438C6" w:rsidP="002C137E">
            <w:pPr>
              <w:rPr>
                <w:rFonts w:cs="Times New Roman"/>
              </w:rPr>
            </w:pPr>
            <w:r w:rsidRPr="00591643">
              <w:rPr>
                <w:rFonts w:cs="Times New Roman"/>
              </w:rPr>
              <w:t>South</w:t>
            </w:r>
          </w:p>
        </w:tc>
        <w:tc>
          <w:tcPr>
            <w:tcW w:w="3192" w:type="dxa"/>
          </w:tcPr>
          <w:p w:rsidR="007438C6" w:rsidRPr="00591643" w:rsidRDefault="007438C6" w:rsidP="002C137E">
            <w:pPr>
              <w:rPr>
                <w:rFonts w:cs="Times New Roman"/>
              </w:rPr>
            </w:pPr>
            <w:r w:rsidRPr="00591643">
              <w:rPr>
                <w:rFonts w:cs="Times New Roman"/>
              </w:rPr>
              <w:t>3</w:t>
            </w:r>
          </w:p>
        </w:tc>
      </w:tr>
      <w:tr w:rsidR="007438C6" w:rsidRPr="00591643" w:rsidTr="002C137E">
        <w:tc>
          <w:tcPr>
            <w:tcW w:w="3192" w:type="dxa"/>
          </w:tcPr>
          <w:p w:rsidR="007438C6" w:rsidRPr="00591643" w:rsidRDefault="007438C6" w:rsidP="002C137E">
            <w:pPr>
              <w:rPr>
                <w:rFonts w:cs="Times New Roman"/>
              </w:rPr>
            </w:pPr>
            <w:r w:rsidRPr="00591643">
              <w:rPr>
                <w:rFonts w:cs="Times New Roman"/>
              </w:rPr>
              <w:t>Midwest</w:t>
            </w:r>
          </w:p>
        </w:tc>
        <w:tc>
          <w:tcPr>
            <w:tcW w:w="3192" w:type="dxa"/>
          </w:tcPr>
          <w:p w:rsidR="007438C6" w:rsidRPr="00591643" w:rsidRDefault="007438C6" w:rsidP="002C137E">
            <w:pPr>
              <w:rPr>
                <w:rFonts w:cs="Times New Roman"/>
              </w:rPr>
            </w:pPr>
            <w:r w:rsidRPr="00591643">
              <w:rPr>
                <w:rFonts w:cs="Times New Roman"/>
              </w:rPr>
              <w:t>4</w:t>
            </w:r>
          </w:p>
        </w:tc>
      </w:tr>
      <w:tr w:rsidR="007438C6" w:rsidRPr="00591643" w:rsidTr="002C137E">
        <w:tc>
          <w:tcPr>
            <w:tcW w:w="3192" w:type="dxa"/>
          </w:tcPr>
          <w:p w:rsidR="007438C6" w:rsidRPr="00591643" w:rsidRDefault="007438C6" w:rsidP="002C137E">
            <w:pPr>
              <w:rPr>
                <w:rFonts w:cs="Times New Roman"/>
              </w:rPr>
            </w:pPr>
            <w:r w:rsidRPr="00591643">
              <w:rPr>
                <w:rFonts w:cs="Times New Roman"/>
              </w:rPr>
              <w:t>West</w:t>
            </w:r>
          </w:p>
        </w:tc>
        <w:tc>
          <w:tcPr>
            <w:tcW w:w="3192" w:type="dxa"/>
          </w:tcPr>
          <w:p w:rsidR="007438C6" w:rsidRPr="00591643" w:rsidRDefault="007438C6" w:rsidP="002C137E">
            <w:pPr>
              <w:rPr>
                <w:rFonts w:cs="Times New Roman"/>
              </w:rPr>
            </w:pPr>
            <w:r w:rsidRPr="00591643">
              <w:rPr>
                <w:rFonts w:cs="Times New Roman"/>
              </w:rPr>
              <w:t>5</w:t>
            </w:r>
          </w:p>
        </w:tc>
      </w:tr>
      <w:tr w:rsidR="007438C6" w:rsidRPr="00591643" w:rsidTr="002C137E">
        <w:tc>
          <w:tcPr>
            <w:tcW w:w="3192" w:type="dxa"/>
          </w:tcPr>
          <w:p w:rsidR="007438C6" w:rsidRPr="00591643" w:rsidRDefault="007438C6" w:rsidP="002C137E">
            <w:pPr>
              <w:rPr>
                <w:rFonts w:cs="Times New Roman"/>
              </w:rPr>
            </w:pPr>
            <w:r w:rsidRPr="00591643">
              <w:rPr>
                <w:rFonts w:cs="Times New Roman"/>
              </w:rPr>
              <w:t>Nationwide (Web-based groups)</w:t>
            </w:r>
          </w:p>
        </w:tc>
        <w:tc>
          <w:tcPr>
            <w:tcW w:w="3192" w:type="dxa"/>
          </w:tcPr>
          <w:p w:rsidR="007438C6" w:rsidRPr="00591643" w:rsidRDefault="007438C6" w:rsidP="002C137E">
            <w:pPr>
              <w:rPr>
                <w:rFonts w:cs="Times New Roman"/>
              </w:rPr>
            </w:pPr>
            <w:r w:rsidRPr="00591643">
              <w:rPr>
                <w:rFonts w:cs="Times New Roman"/>
              </w:rPr>
              <w:t>3, 4</w:t>
            </w:r>
          </w:p>
        </w:tc>
      </w:tr>
      <w:tr w:rsidR="007438C6" w:rsidRPr="00591643" w:rsidTr="002C137E">
        <w:tc>
          <w:tcPr>
            <w:tcW w:w="3192" w:type="dxa"/>
          </w:tcPr>
          <w:p w:rsidR="007438C6" w:rsidRPr="00591643" w:rsidRDefault="007438C6" w:rsidP="002C137E">
            <w:pPr>
              <w:rPr>
                <w:rFonts w:cs="Times New Roman"/>
              </w:rPr>
            </w:pPr>
            <w:r w:rsidRPr="00591643">
              <w:rPr>
                <w:rFonts w:cs="Times New Roman"/>
              </w:rPr>
              <w:t>Nationwide (IDIs)</w:t>
            </w:r>
          </w:p>
        </w:tc>
        <w:tc>
          <w:tcPr>
            <w:tcW w:w="3192" w:type="dxa"/>
          </w:tcPr>
          <w:p w:rsidR="007438C6" w:rsidRPr="00591643" w:rsidRDefault="007438C6" w:rsidP="002C137E">
            <w:pPr>
              <w:rPr>
                <w:rFonts w:cs="Times New Roman"/>
              </w:rPr>
            </w:pPr>
            <w:r w:rsidRPr="00591643">
              <w:rPr>
                <w:rFonts w:cs="Times New Roman"/>
              </w:rPr>
              <w:t>1, 2, 3, 4, 5</w:t>
            </w:r>
            <w:r w:rsidR="003672E2">
              <w:rPr>
                <w:rFonts w:cs="Times New Roman"/>
              </w:rPr>
              <w:t>,</w:t>
            </w:r>
            <w:r w:rsidRPr="00591643">
              <w:rPr>
                <w:rFonts w:cs="Times New Roman"/>
              </w:rPr>
              <w:t xml:space="preserve"> and 6</w:t>
            </w:r>
          </w:p>
        </w:tc>
      </w:tr>
    </w:tbl>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Data Collection</w:t>
      </w:r>
    </w:p>
    <w:p w:rsidR="007438C6" w:rsidRPr="00591643" w:rsidRDefault="007438C6" w:rsidP="007438C6">
      <w:pPr>
        <w:spacing w:after="0"/>
        <w:rPr>
          <w:rFonts w:cs="Times New Roman"/>
        </w:rPr>
      </w:pPr>
      <w:r w:rsidRPr="00591643">
        <w:rPr>
          <w:rFonts w:cs="Times New Roman"/>
        </w:rPr>
        <w:t>The focus group moderator/IDI interviewer will use a discussion guide/script to moderate each of the 18 focus groups and 40 IDIs.</w:t>
      </w:r>
      <w:r w:rsidR="003672E2">
        <w:rPr>
          <w:rFonts w:cs="Times New Roman"/>
        </w:rPr>
        <w:t xml:space="preserve"> </w:t>
      </w:r>
      <w:r w:rsidRPr="00591643">
        <w:rPr>
          <w:rFonts w:cs="Times New Roman"/>
        </w:rPr>
        <w:t xml:space="preserve"> This guide/script is not a verbatim script of the questions (or order of the questions) that the moderator/interviewer will ask the participants.</w:t>
      </w:r>
      <w:r w:rsidR="003672E2">
        <w:rPr>
          <w:rFonts w:cs="Times New Roman"/>
        </w:rPr>
        <w:t xml:space="preserve"> </w:t>
      </w:r>
      <w:r w:rsidRPr="00591643">
        <w:rPr>
          <w:rFonts w:cs="Times New Roman"/>
        </w:rPr>
        <w:t xml:space="preserve"> Instead, the moderator/interviewer will use the guide/script to direct the flow of the discussion and to ensure that all pertinent questions are asked. </w:t>
      </w:r>
      <w:r w:rsidR="003672E2">
        <w:rPr>
          <w:rFonts w:cs="Times New Roman"/>
        </w:rPr>
        <w:t xml:space="preserve"> </w:t>
      </w:r>
      <w:r w:rsidRPr="00591643">
        <w:rPr>
          <w:rFonts w:cs="Times New Roman"/>
        </w:rPr>
        <w:t xml:space="preserve">However, the moderator/interviewer may ask other </w:t>
      </w:r>
      <w:r w:rsidR="00112E90" w:rsidRPr="00591643">
        <w:rPr>
          <w:rFonts w:cs="Times New Roman"/>
        </w:rPr>
        <w:t xml:space="preserve">probing </w:t>
      </w:r>
      <w:r w:rsidRPr="00591643">
        <w:rPr>
          <w:rFonts w:cs="Times New Roman"/>
        </w:rPr>
        <w:t>questions that are not in the guide/script of the participants bringing to light new or unexpected issues or insights.</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 xml:space="preserve">Each focus group/interview will be </w:t>
      </w:r>
      <w:r w:rsidR="00D87938" w:rsidRPr="00591643">
        <w:rPr>
          <w:rFonts w:cs="Times New Roman"/>
        </w:rPr>
        <w:t>audio-recorded</w:t>
      </w:r>
      <w:r w:rsidRPr="00591643">
        <w:rPr>
          <w:rFonts w:cs="Times New Roman"/>
        </w:rPr>
        <w:t xml:space="preserve"> so that those analyzing the data and writing the reports can refer to and listen to the tapes to extract verbatim quotes and/or confirm the meaning/context of something that was said.</w:t>
      </w:r>
      <w:r w:rsidR="003672E2">
        <w:rPr>
          <w:rFonts w:cs="Times New Roman"/>
        </w:rPr>
        <w:t xml:space="preserve"> </w:t>
      </w:r>
      <w:r w:rsidRPr="00591643">
        <w:rPr>
          <w:rFonts w:cs="Times New Roman"/>
        </w:rPr>
        <w:t xml:space="preserve"> In addition, for the focus groups, a representative from FH/GMMB will take notes during each discussion and the moderator will lead a debriefing session with the observers following each market’s discussions. </w:t>
      </w:r>
      <w:r w:rsidR="003672E2">
        <w:rPr>
          <w:rFonts w:cs="Times New Roman"/>
        </w:rPr>
        <w:t xml:space="preserve"> </w:t>
      </w:r>
      <w:r w:rsidRPr="00591643">
        <w:rPr>
          <w:rFonts w:cs="Times New Roman"/>
        </w:rPr>
        <w:t>The purpose of the debriefing sessions is to share insights from the discussions and to reach conclusions regarding the most important findings.</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Data Analysis</w:t>
      </w:r>
    </w:p>
    <w:p w:rsidR="007438C6" w:rsidRPr="00591643" w:rsidRDefault="007438C6" w:rsidP="007438C6">
      <w:pPr>
        <w:spacing w:after="0"/>
        <w:rPr>
          <w:rFonts w:cs="Times New Roman"/>
        </w:rPr>
      </w:pPr>
      <w:r w:rsidRPr="00591643">
        <w:rPr>
          <w:rFonts w:cs="Times New Roman"/>
        </w:rPr>
        <w:t>The responses to and feedback from the focus groups and IDIs will be analyzed through a multi-step process performe</w:t>
      </w:r>
      <w:r w:rsidR="00D87938" w:rsidRPr="00591643">
        <w:rPr>
          <w:rFonts w:cs="Times New Roman"/>
        </w:rPr>
        <w:t>d by the FH/GMMB research staff:</w:t>
      </w:r>
    </w:p>
    <w:p w:rsidR="007438C6" w:rsidRPr="00591643" w:rsidRDefault="007438C6" w:rsidP="007438C6">
      <w:pPr>
        <w:spacing w:after="0"/>
        <w:rPr>
          <w:rFonts w:cs="Times New Roman"/>
        </w:rPr>
      </w:pPr>
    </w:p>
    <w:p w:rsidR="007438C6" w:rsidRPr="00591643" w:rsidRDefault="007438C6" w:rsidP="007438C6">
      <w:pPr>
        <w:pStyle w:val="ListParagraph"/>
        <w:numPr>
          <w:ilvl w:val="0"/>
          <w:numId w:val="21"/>
        </w:numPr>
        <w:spacing w:after="0"/>
        <w:rPr>
          <w:rFonts w:cs="Times New Roman"/>
        </w:rPr>
      </w:pPr>
      <w:r w:rsidRPr="00591643">
        <w:rPr>
          <w:rFonts w:cs="Times New Roman"/>
        </w:rPr>
        <w:t xml:space="preserve">Conduct on-site debriefing sessions with the FNS observers immediately following each market’s focus groups. </w:t>
      </w:r>
      <w:r w:rsidR="003672E2">
        <w:rPr>
          <w:rFonts w:cs="Times New Roman"/>
        </w:rPr>
        <w:t xml:space="preserve"> </w:t>
      </w:r>
      <w:r w:rsidRPr="00591643">
        <w:rPr>
          <w:rFonts w:cs="Times New Roman"/>
        </w:rPr>
        <w:t>The purpose of these sessions is to share, compare</w:t>
      </w:r>
      <w:r w:rsidR="003672E2">
        <w:rPr>
          <w:rFonts w:cs="Times New Roman"/>
        </w:rPr>
        <w:t>,</w:t>
      </w:r>
      <w:r w:rsidRPr="00591643">
        <w:rPr>
          <w:rFonts w:cs="Times New Roman"/>
        </w:rPr>
        <w:t xml:space="preserve"> and record key findings from the discussion.</w:t>
      </w:r>
      <w:r w:rsidR="003672E2">
        <w:rPr>
          <w:rFonts w:cs="Times New Roman"/>
        </w:rPr>
        <w:t xml:space="preserve"> </w:t>
      </w:r>
      <w:r w:rsidRPr="00591643">
        <w:rPr>
          <w:rFonts w:cs="Times New Roman"/>
        </w:rPr>
        <w:t xml:space="preserve"> The FH/GMMB moderator will lead the debriefing sessions, which will take about 30 to 45 minutes each, depending on the number of issues or findings that arise from each group.</w:t>
      </w:r>
    </w:p>
    <w:p w:rsidR="007438C6" w:rsidRPr="00591643" w:rsidRDefault="007438C6" w:rsidP="007438C6">
      <w:pPr>
        <w:pStyle w:val="ListParagraph"/>
        <w:numPr>
          <w:ilvl w:val="0"/>
          <w:numId w:val="21"/>
        </w:numPr>
        <w:spacing w:after="0"/>
        <w:rPr>
          <w:rFonts w:cs="Times New Roman"/>
        </w:rPr>
      </w:pPr>
      <w:r w:rsidRPr="00591643">
        <w:rPr>
          <w:rFonts w:cs="Times New Roman"/>
        </w:rPr>
        <w:t>Compile and review notes taken by the FH/GMMB note-taker during the 18 focus groups.</w:t>
      </w:r>
    </w:p>
    <w:p w:rsidR="007438C6" w:rsidRPr="00591643" w:rsidRDefault="007438C6" w:rsidP="007438C6">
      <w:pPr>
        <w:pStyle w:val="ListParagraph"/>
        <w:numPr>
          <w:ilvl w:val="0"/>
          <w:numId w:val="21"/>
        </w:numPr>
        <w:spacing w:after="0"/>
        <w:rPr>
          <w:rFonts w:cs="Times New Roman"/>
        </w:rPr>
      </w:pPr>
      <w:r w:rsidRPr="00591643">
        <w:rPr>
          <w:rFonts w:cs="Times New Roman"/>
        </w:rPr>
        <w:t>Compile and review responses from the 40 IDIs.</w:t>
      </w:r>
    </w:p>
    <w:p w:rsidR="007438C6" w:rsidRPr="00591643" w:rsidRDefault="007438C6" w:rsidP="007438C6">
      <w:pPr>
        <w:pStyle w:val="ListParagraph"/>
        <w:numPr>
          <w:ilvl w:val="0"/>
          <w:numId w:val="21"/>
        </w:numPr>
        <w:spacing w:after="0"/>
        <w:rPr>
          <w:rFonts w:cs="Times New Roman"/>
        </w:rPr>
      </w:pPr>
      <w:r w:rsidRPr="00591643">
        <w:rPr>
          <w:rFonts w:cs="Times New Roman"/>
        </w:rPr>
        <w:t>Tabulate, review</w:t>
      </w:r>
      <w:r w:rsidR="003672E2">
        <w:rPr>
          <w:rFonts w:cs="Times New Roman"/>
        </w:rPr>
        <w:t>,</w:t>
      </w:r>
      <w:r w:rsidRPr="00591643">
        <w:rPr>
          <w:rFonts w:cs="Times New Roman"/>
        </w:rPr>
        <w:t xml:space="preserve"> and analyze the findings from any </w:t>
      </w:r>
      <w:r w:rsidR="00437330" w:rsidRPr="00591643">
        <w:rPr>
          <w:rFonts w:cs="Times New Roman"/>
        </w:rPr>
        <w:t>self-administered questionnaires completed by focus group participants</w:t>
      </w:r>
      <w:r w:rsidRPr="00591643">
        <w:rPr>
          <w:rFonts w:cs="Times New Roman"/>
        </w:rPr>
        <w:t xml:space="preserve"> and/or closed-ended questions completed by the IDI participants.</w:t>
      </w:r>
    </w:p>
    <w:p w:rsidR="007438C6" w:rsidRPr="00591643" w:rsidRDefault="007438C6" w:rsidP="007438C6">
      <w:pPr>
        <w:pStyle w:val="ListParagraph"/>
        <w:numPr>
          <w:ilvl w:val="0"/>
          <w:numId w:val="21"/>
        </w:numPr>
        <w:spacing w:after="0"/>
        <w:rPr>
          <w:rFonts w:cs="Times New Roman"/>
        </w:rPr>
      </w:pPr>
      <w:r w:rsidRPr="00591643">
        <w:rPr>
          <w:rFonts w:cs="Times New Roman"/>
        </w:rPr>
        <w:t>As needed, listen to key portions of the recordings from individual focus group sessions/IDIs in order to explore, confirm or clarify key findings</w:t>
      </w:r>
      <w:r w:rsidR="003672E2">
        <w:rPr>
          <w:rFonts w:cs="Times New Roman"/>
        </w:rPr>
        <w:t>,</w:t>
      </w:r>
      <w:r w:rsidRPr="00591643">
        <w:rPr>
          <w:rFonts w:cs="Times New Roman"/>
        </w:rPr>
        <w:t xml:space="preserve"> and to obtain insightful comments to be included as paraphrased quotes within the report or pull short audio files for an oral presentation.</w:t>
      </w:r>
    </w:p>
    <w:p w:rsidR="007438C6" w:rsidRPr="00591643" w:rsidRDefault="007438C6" w:rsidP="007438C6">
      <w:pPr>
        <w:spacing w:after="0"/>
        <w:rPr>
          <w:rFonts w:cs="Times New Roman"/>
        </w:rPr>
      </w:pPr>
    </w:p>
    <w:p w:rsidR="00760EBB" w:rsidRDefault="00760EBB" w:rsidP="007438C6">
      <w:pPr>
        <w:spacing w:after="0"/>
        <w:rPr>
          <w:rFonts w:cs="Times New Roman"/>
          <w:b/>
        </w:rPr>
      </w:pPr>
    </w:p>
    <w:p w:rsidR="007438C6" w:rsidRPr="00591643" w:rsidRDefault="007438C6" w:rsidP="007438C6">
      <w:pPr>
        <w:spacing w:after="0"/>
        <w:rPr>
          <w:rFonts w:cs="Times New Roman"/>
          <w:b/>
        </w:rPr>
      </w:pPr>
      <w:r w:rsidRPr="00591643">
        <w:rPr>
          <w:rFonts w:cs="Times New Roman"/>
          <w:b/>
        </w:rPr>
        <w:t>Qualitative Research Report</w:t>
      </w:r>
    </w:p>
    <w:p w:rsidR="007438C6" w:rsidRPr="00591643" w:rsidRDefault="007438C6" w:rsidP="007438C6">
      <w:pPr>
        <w:spacing w:after="0"/>
        <w:rPr>
          <w:rFonts w:cs="Times New Roman"/>
        </w:rPr>
      </w:pPr>
      <w:r w:rsidRPr="00591643">
        <w:rPr>
          <w:rFonts w:cs="Times New Roman"/>
        </w:rPr>
        <w:t xml:space="preserve">The qualitative research report will incorporate findings from both the focus group sessions and the IDIs and will be prepared for FNS. </w:t>
      </w:r>
      <w:r w:rsidR="003672E2">
        <w:rPr>
          <w:rFonts w:cs="Times New Roman"/>
        </w:rPr>
        <w:t xml:space="preserve"> </w:t>
      </w:r>
      <w:r w:rsidRPr="00591643">
        <w:rPr>
          <w:rFonts w:cs="Times New Roman"/>
        </w:rPr>
        <w:t>It will be narrative and include the following key sections:</w:t>
      </w:r>
    </w:p>
    <w:p w:rsidR="007438C6" w:rsidRPr="00591643" w:rsidRDefault="007438C6" w:rsidP="007438C6">
      <w:pPr>
        <w:pStyle w:val="ListParagraph"/>
        <w:numPr>
          <w:ilvl w:val="0"/>
          <w:numId w:val="22"/>
        </w:numPr>
        <w:spacing w:after="0"/>
        <w:rPr>
          <w:rFonts w:cs="Times New Roman"/>
        </w:rPr>
      </w:pPr>
      <w:r w:rsidRPr="00591643">
        <w:rPr>
          <w:rFonts w:cs="Times New Roman"/>
        </w:rPr>
        <w:t>Introduction and explanation of focus group/IDI methods (in tabular form), dates and participant profiles.</w:t>
      </w:r>
    </w:p>
    <w:p w:rsidR="007438C6" w:rsidRPr="00591643" w:rsidRDefault="007438C6" w:rsidP="007438C6">
      <w:pPr>
        <w:pStyle w:val="ListParagraph"/>
        <w:numPr>
          <w:ilvl w:val="0"/>
          <w:numId w:val="22"/>
        </w:numPr>
        <w:spacing w:after="0"/>
        <w:rPr>
          <w:rFonts w:cs="Times New Roman"/>
        </w:rPr>
      </w:pPr>
      <w:r w:rsidRPr="00591643">
        <w:rPr>
          <w:rFonts w:cs="Times New Roman"/>
        </w:rPr>
        <w:t>Executive summary of key findings and their communication implications.</w:t>
      </w:r>
    </w:p>
    <w:p w:rsidR="007438C6" w:rsidRPr="00591643" w:rsidRDefault="007438C6" w:rsidP="007438C6">
      <w:pPr>
        <w:pStyle w:val="ListParagraph"/>
        <w:numPr>
          <w:ilvl w:val="0"/>
          <w:numId w:val="22"/>
        </w:numPr>
        <w:spacing w:after="0"/>
        <w:rPr>
          <w:rFonts w:cs="Times New Roman"/>
        </w:rPr>
      </w:pPr>
      <w:r w:rsidRPr="00591643">
        <w:rPr>
          <w:rFonts w:cs="Times New Roman"/>
        </w:rPr>
        <w:t>Detailed findings segregated into relevant and meaningful sections or chapters (for example, perceptions of USDA Commodities as a nutrition program and a separate chapter regarding reactions to creative concepts).</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The findings outlined in this report will be used to revise, enhance</w:t>
      </w:r>
      <w:r w:rsidR="003672E2">
        <w:rPr>
          <w:rFonts w:cs="Times New Roman"/>
        </w:rPr>
        <w:t>,</w:t>
      </w:r>
      <w:r w:rsidRPr="00591643">
        <w:rPr>
          <w:rFonts w:cs="Times New Roman"/>
        </w:rPr>
        <w:t xml:space="preserve"> and guide </w:t>
      </w:r>
      <w:r w:rsidR="003672E2">
        <w:rPr>
          <w:rFonts w:cs="Times New Roman"/>
        </w:rPr>
        <w:t xml:space="preserve">the </w:t>
      </w:r>
      <w:r w:rsidRPr="00591643">
        <w:rPr>
          <w:rFonts w:cs="Times New Roman"/>
        </w:rPr>
        <w:t>USDA Commodities communication plan.</w:t>
      </w:r>
    </w:p>
    <w:p w:rsidR="007438C6" w:rsidRPr="00591643" w:rsidRDefault="007438C6" w:rsidP="007438C6">
      <w:pPr>
        <w:rPr>
          <w:rFonts w:cs="Times New Roman"/>
        </w:rPr>
      </w:pPr>
      <w:r w:rsidRPr="00591643">
        <w:rPr>
          <w:rFonts w:cs="Times New Roman"/>
        </w:rPr>
        <w:br w:type="page"/>
      </w:r>
    </w:p>
    <w:p w:rsidR="007438C6" w:rsidRPr="00591643" w:rsidRDefault="007438C6" w:rsidP="007438C6">
      <w:pPr>
        <w:rPr>
          <w:rFonts w:cs="Times New Roman"/>
          <w:b/>
          <w:u w:val="single"/>
        </w:rPr>
        <w:sectPr w:rsidR="007438C6" w:rsidRPr="00591643" w:rsidSect="008E7693">
          <w:headerReference w:type="default" r:id="rId8"/>
          <w:footerReference w:type="default" r:id="rId9"/>
          <w:pgSz w:w="12240" w:h="15840"/>
          <w:pgMar w:top="1440" w:right="1440" w:bottom="1440" w:left="1440" w:header="720" w:footer="720" w:gutter="0"/>
          <w:cols w:space="720"/>
          <w:docGrid w:linePitch="360"/>
        </w:sectPr>
      </w:pPr>
    </w:p>
    <w:p w:rsidR="007438C6" w:rsidRPr="00591643" w:rsidRDefault="007438C6" w:rsidP="007438C6">
      <w:pPr>
        <w:rPr>
          <w:rFonts w:cs="Times New Roman"/>
          <w:b/>
          <w:u w:val="single"/>
        </w:rPr>
      </w:pPr>
      <w:r w:rsidRPr="00591643">
        <w:rPr>
          <w:rFonts w:cs="Times New Roman"/>
          <w:b/>
          <w:u w:val="single"/>
        </w:rPr>
        <w:t>Focus Group and IDI Audience and Market Matrix</w:t>
      </w:r>
    </w:p>
    <w:tbl>
      <w:tblPr>
        <w:tblStyle w:val="TableGrid"/>
        <w:tblW w:w="13680" w:type="dxa"/>
        <w:tblInd w:w="-612" w:type="dxa"/>
        <w:tblLayout w:type="fixed"/>
        <w:tblLook w:val="04A0"/>
      </w:tblPr>
      <w:tblGrid>
        <w:gridCol w:w="2613"/>
        <w:gridCol w:w="1247"/>
        <w:gridCol w:w="1113"/>
        <w:gridCol w:w="1168"/>
        <w:gridCol w:w="1043"/>
        <w:gridCol w:w="1154"/>
        <w:gridCol w:w="1031"/>
        <w:gridCol w:w="1187"/>
        <w:gridCol w:w="1060"/>
        <w:gridCol w:w="785"/>
        <w:gridCol w:w="1279"/>
      </w:tblGrid>
      <w:tr w:rsidR="007438C6" w:rsidRPr="00591643" w:rsidTr="00760EBB">
        <w:tc>
          <w:tcPr>
            <w:tcW w:w="2613" w:type="dxa"/>
            <w:tcBorders>
              <w:bottom w:val="nil"/>
            </w:tcBorders>
            <w:shd w:val="clear" w:color="auto" w:fill="000000" w:themeFill="text1"/>
          </w:tcPr>
          <w:p w:rsidR="007438C6" w:rsidRPr="00591643" w:rsidRDefault="007438C6" w:rsidP="002C137E">
            <w:pPr>
              <w:jc w:val="center"/>
              <w:rPr>
                <w:rFonts w:cs="Times New Roman"/>
                <w:b/>
              </w:rPr>
            </w:pPr>
          </w:p>
        </w:tc>
        <w:tc>
          <w:tcPr>
            <w:tcW w:w="2360" w:type="dxa"/>
            <w:gridSpan w:val="2"/>
            <w:tcBorders>
              <w:bottom w:val="nil"/>
            </w:tcBorders>
            <w:shd w:val="clear" w:color="auto" w:fill="000000" w:themeFill="text1"/>
          </w:tcPr>
          <w:p w:rsidR="007438C6" w:rsidRPr="00591643" w:rsidRDefault="007438C6" w:rsidP="002C137E">
            <w:pPr>
              <w:jc w:val="center"/>
              <w:rPr>
                <w:rFonts w:cs="Times New Roman"/>
                <w:b/>
              </w:rPr>
            </w:pPr>
            <w:r w:rsidRPr="00591643">
              <w:rPr>
                <w:rFonts w:cs="Times New Roman"/>
                <w:b/>
              </w:rPr>
              <w:t>East Region</w:t>
            </w:r>
          </w:p>
          <w:p w:rsidR="007438C6" w:rsidRPr="00591643" w:rsidRDefault="007438C6" w:rsidP="002C137E">
            <w:pPr>
              <w:jc w:val="center"/>
              <w:rPr>
                <w:rFonts w:cs="Times New Roman"/>
                <w:b/>
              </w:rPr>
            </w:pPr>
            <w:r w:rsidRPr="00591643">
              <w:rPr>
                <w:rFonts w:cs="Times New Roman"/>
                <w:b/>
              </w:rPr>
              <w:t>(Washington, D.C. or Baltimore, MD</w:t>
            </w:r>
          </w:p>
        </w:tc>
        <w:tc>
          <w:tcPr>
            <w:tcW w:w="2211" w:type="dxa"/>
            <w:gridSpan w:val="2"/>
            <w:tcBorders>
              <w:bottom w:val="nil"/>
            </w:tcBorders>
            <w:shd w:val="clear" w:color="auto" w:fill="000000" w:themeFill="text1"/>
          </w:tcPr>
          <w:p w:rsidR="007438C6" w:rsidRPr="00591643" w:rsidRDefault="007438C6" w:rsidP="002C137E">
            <w:pPr>
              <w:jc w:val="center"/>
              <w:rPr>
                <w:rFonts w:cs="Times New Roman"/>
                <w:b/>
              </w:rPr>
            </w:pPr>
            <w:r w:rsidRPr="00591643">
              <w:rPr>
                <w:rFonts w:cs="Times New Roman"/>
                <w:b/>
              </w:rPr>
              <w:t>South Region</w:t>
            </w:r>
          </w:p>
          <w:p w:rsidR="007438C6" w:rsidRPr="00591643" w:rsidRDefault="007438C6" w:rsidP="002C137E">
            <w:pPr>
              <w:jc w:val="center"/>
              <w:rPr>
                <w:rFonts w:cs="Times New Roman"/>
                <w:b/>
              </w:rPr>
            </w:pPr>
            <w:r w:rsidRPr="00591643">
              <w:rPr>
                <w:rFonts w:cs="Times New Roman"/>
                <w:b/>
              </w:rPr>
              <w:t>(Atlanta, GA or San Antonio, TX)</w:t>
            </w:r>
          </w:p>
        </w:tc>
        <w:tc>
          <w:tcPr>
            <w:tcW w:w="2185" w:type="dxa"/>
            <w:gridSpan w:val="2"/>
            <w:tcBorders>
              <w:bottom w:val="nil"/>
            </w:tcBorders>
            <w:shd w:val="clear" w:color="auto" w:fill="000000" w:themeFill="text1"/>
          </w:tcPr>
          <w:p w:rsidR="007438C6" w:rsidRPr="00591643" w:rsidRDefault="007438C6" w:rsidP="002C137E">
            <w:pPr>
              <w:jc w:val="center"/>
              <w:rPr>
                <w:rFonts w:cs="Times New Roman"/>
                <w:b/>
              </w:rPr>
            </w:pPr>
            <w:r w:rsidRPr="00591643">
              <w:rPr>
                <w:rFonts w:cs="Times New Roman"/>
                <w:b/>
              </w:rPr>
              <w:t>Midwest Region</w:t>
            </w:r>
          </w:p>
          <w:p w:rsidR="007438C6" w:rsidRPr="00591643" w:rsidRDefault="007438C6" w:rsidP="002C137E">
            <w:pPr>
              <w:jc w:val="center"/>
              <w:rPr>
                <w:rFonts w:cs="Times New Roman"/>
                <w:b/>
              </w:rPr>
            </w:pPr>
            <w:r w:rsidRPr="00591643">
              <w:rPr>
                <w:rFonts w:cs="Times New Roman"/>
                <w:b/>
              </w:rPr>
              <w:t>(Chicago, IL or Kansas City, MO)</w:t>
            </w:r>
          </w:p>
        </w:tc>
        <w:tc>
          <w:tcPr>
            <w:tcW w:w="2247" w:type="dxa"/>
            <w:gridSpan w:val="2"/>
            <w:tcBorders>
              <w:bottom w:val="nil"/>
            </w:tcBorders>
            <w:shd w:val="clear" w:color="auto" w:fill="000000" w:themeFill="text1"/>
          </w:tcPr>
          <w:p w:rsidR="007438C6" w:rsidRPr="00591643" w:rsidRDefault="007438C6" w:rsidP="002C137E">
            <w:pPr>
              <w:jc w:val="center"/>
              <w:rPr>
                <w:rFonts w:cs="Times New Roman"/>
                <w:b/>
              </w:rPr>
            </w:pPr>
            <w:r w:rsidRPr="00591643">
              <w:rPr>
                <w:rFonts w:cs="Times New Roman"/>
                <w:b/>
              </w:rPr>
              <w:t>West Region</w:t>
            </w:r>
          </w:p>
          <w:p w:rsidR="007438C6" w:rsidRPr="00591643" w:rsidRDefault="007438C6" w:rsidP="002C137E">
            <w:pPr>
              <w:jc w:val="center"/>
              <w:rPr>
                <w:rFonts w:cs="Times New Roman"/>
                <w:b/>
              </w:rPr>
            </w:pPr>
            <w:r w:rsidRPr="00591643">
              <w:rPr>
                <w:rFonts w:cs="Times New Roman"/>
                <w:b/>
              </w:rPr>
              <w:t>(Los Angeles, CA or Portland, OR)</w:t>
            </w:r>
          </w:p>
        </w:tc>
        <w:tc>
          <w:tcPr>
            <w:tcW w:w="2064" w:type="dxa"/>
            <w:gridSpan w:val="2"/>
            <w:tcBorders>
              <w:bottom w:val="nil"/>
            </w:tcBorders>
            <w:shd w:val="clear" w:color="auto" w:fill="000000" w:themeFill="text1"/>
          </w:tcPr>
          <w:p w:rsidR="007438C6" w:rsidRPr="00591643" w:rsidRDefault="007438C6" w:rsidP="002C137E">
            <w:pPr>
              <w:jc w:val="center"/>
              <w:rPr>
                <w:rFonts w:cs="Times New Roman"/>
                <w:b/>
              </w:rPr>
            </w:pPr>
            <w:r w:rsidRPr="00591643">
              <w:rPr>
                <w:rFonts w:cs="Times New Roman"/>
                <w:b/>
              </w:rPr>
              <w:t>National Mix</w:t>
            </w:r>
          </w:p>
          <w:p w:rsidR="007438C6" w:rsidRPr="00591643" w:rsidRDefault="007438C6" w:rsidP="002C137E">
            <w:pPr>
              <w:jc w:val="center"/>
              <w:rPr>
                <w:rFonts w:cs="Times New Roman"/>
                <w:b/>
              </w:rPr>
            </w:pPr>
            <w:r w:rsidRPr="00591643">
              <w:rPr>
                <w:rFonts w:cs="Times New Roman"/>
                <w:b/>
              </w:rPr>
              <w:t>(CNP/IDIs)</w:t>
            </w:r>
          </w:p>
        </w:tc>
      </w:tr>
      <w:tr w:rsidR="007438C6" w:rsidRPr="00591643" w:rsidTr="00760EBB">
        <w:tc>
          <w:tcPr>
            <w:tcW w:w="2613"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Audience</w:t>
            </w:r>
          </w:p>
        </w:tc>
        <w:tc>
          <w:tcPr>
            <w:tcW w:w="1247"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Urban</w:t>
            </w:r>
          </w:p>
        </w:tc>
        <w:tc>
          <w:tcPr>
            <w:tcW w:w="1113"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Rural</w:t>
            </w:r>
          </w:p>
        </w:tc>
        <w:tc>
          <w:tcPr>
            <w:tcW w:w="1168"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Urban</w:t>
            </w:r>
          </w:p>
        </w:tc>
        <w:tc>
          <w:tcPr>
            <w:tcW w:w="1043"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Rural</w:t>
            </w:r>
          </w:p>
        </w:tc>
        <w:tc>
          <w:tcPr>
            <w:tcW w:w="1154"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Urban</w:t>
            </w:r>
          </w:p>
        </w:tc>
        <w:tc>
          <w:tcPr>
            <w:tcW w:w="1031"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Rural</w:t>
            </w:r>
          </w:p>
        </w:tc>
        <w:tc>
          <w:tcPr>
            <w:tcW w:w="1187"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Urban</w:t>
            </w:r>
          </w:p>
        </w:tc>
        <w:tc>
          <w:tcPr>
            <w:tcW w:w="1060"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Rural</w:t>
            </w:r>
          </w:p>
        </w:tc>
        <w:tc>
          <w:tcPr>
            <w:tcW w:w="785"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Urban</w:t>
            </w:r>
          </w:p>
        </w:tc>
        <w:tc>
          <w:tcPr>
            <w:tcW w:w="1279" w:type="dxa"/>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Rural</w:t>
            </w:r>
          </w:p>
          <w:p w:rsidR="0013473E" w:rsidRPr="00591643" w:rsidRDefault="0013473E" w:rsidP="002C137E">
            <w:pPr>
              <w:jc w:val="center"/>
              <w:rPr>
                <w:rFonts w:cs="Times New Roman"/>
                <w:b/>
              </w:rPr>
            </w:pPr>
          </w:p>
        </w:tc>
      </w:tr>
      <w:tr w:rsidR="007438C6" w:rsidRPr="00591643" w:rsidTr="00760EBB">
        <w:tc>
          <w:tcPr>
            <w:tcW w:w="13680" w:type="dxa"/>
            <w:gridSpan w:val="11"/>
            <w:tcBorders>
              <w:top w:val="nil"/>
              <w:left w:val="nil"/>
              <w:bottom w:val="nil"/>
              <w:right w:val="nil"/>
            </w:tcBorders>
            <w:shd w:val="clear" w:color="auto" w:fill="000000" w:themeFill="text1"/>
          </w:tcPr>
          <w:p w:rsidR="007438C6" w:rsidRPr="00591643" w:rsidRDefault="007438C6" w:rsidP="002C137E">
            <w:pPr>
              <w:jc w:val="center"/>
              <w:rPr>
                <w:rFonts w:cs="Times New Roman"/>
                <w:b/>
              </w:rPr>
            </w:pPr>
            <w:r w:rsidRPr="00591643">
              <w:rPr>
                <w:rFonts w:cs="Times New Roman"/>
                <w:b/>
              </w:rPr>
              <w:t>CHILD NUTRITION PROFESSIONALS</w:t>
            </w:r>
            <w:r w:rsidR="00FF0F46" w:rsidRPr="00591643">
              <w:rPr>
                <w:rFonts w:cs="Times New Roman"/>
                <w:b/>
              </w:rPr>
              <w:t xml:space="preserve"> (WEB-BASED FOCUS GROUPS)</w:t>
            </w:r>
          </w:p>
        </w:tc>
      </w:tr>
      <w:tr w:rsidR="007438C6" w:rsidRPr="00591643" w:rsidTr="00760EBB">
        <w:tc>
          <w:tcPr>
            <w:tcW w:w="2613" w:type="dxa"/>
            <w:tcBorders>
              <w:top w:val="nil"/>
            </w:tcBorders>
          </w:tcPr>
          <w:p w:rsidR="007438C6" w:rsidRPr="00591643" w:rsidRDefault="007438C6" w:rsidP="002C137E">
            <w:pPr>
              <w:rPr>
                <w:rFonts w:cs="Times New Roman"/>
              </w:rPr>
            </w:pPr>
            <w:r w:rsidRPr="00591643">
              <w:rPr>
                <w:rFonts w:cs="Times New Roman"/>
              </w:rPr>
              <w:t>CNPs @ mid- to large school districts</w:t>
            </w:r>
          </w:p>
        </w:tc>
        <w:tc>
          <w:tcPr>
            <w:tcW w:w="1247" w:type="dxa"/>
            <w:tcBorders>
              <w:top w:val="nil"/>
            </w:tcBorders>
          </w:tcPr>
          <w:p w:rsidR="007438C6" w:rsidRPr="00591643" w:rsidRDefault="007438C6" w:rsidP="002C137E">
            <w:pPr>
              <w:rPr>
                <w:rFonts w:cs="Times New Roman"/>
              </w:rPr>
            </w:pPr>
          </w:p>
        </w:tc>
        <w:tc>
          <w:tcPr>
            <w:tcW w:w="1113" w:type="dxa"/>
            <w:tcBorders>
              <w:top w:val="nil"/>
            </w:tcBorders>
          </w:tcPr>
          <w:p w:rsidR="007438C6" w:rsidRPr="00591643" w:rsidRDefault="007438C6" w:rsidP="002C137E">
            <w:pPr>
              <w:rPr>
                <w:rFonts w:cs="Times New Roman"/>
              </w:rPr>
            </w:pPr>
          </w:p>
        </w:tc>
        <w:tc>
          <w:tcPr>
            <w:tcW w:w="1168" w:type="dxa"/>
            <w:tcBorders>
              <w:top w:val="nil"/>
            </w:tcBorders>
          </w:tcPr>
          <w:p w:rsidR="007438C6" w:rsidRPr="00591643" w:rsidRDefault="007438C6" w:rsidP="002C137E">
            <w:pPr>
              <w:rPr>
                <w:rFonts w:cs="Times New Roman"/>
              </w:rPr>
            </w:pPr>
          </w:p>
        </w:tc>
        <w:tc>
          <w:tcPr>
            <w:tcW w:w="1043" w:type="dxa"/>
            <w:tcBorders>
              <w:top w:val="nil"/>
            </w:tcBorders>
          </w:tcPr>
          <w:p w:rsidR="007438C6" w:rsidRPr="00591643" w:rsidRDefault="007438C6" w:rsidP="002C137E">
            <w:pPr>
              <w:rPr>
                <w:rFonts w:cs="Times New Roman"/>
              </w:rPr>
            </w:pPr>
          </w:p>
        </w:tc>
        <w:tc>
          <w:tcPr>
            <w:tcW w:w="1154" w:type="dxa"/>
            <w:tcBorders>
              <w:top w:val="nil"/>
            </w:tcBorders>
          </w:tcPr>
          <w:p w:rsidR="007438C6" w:rsidRPr="00591643" w:rsidRDefault="007438C6" w:rsidP="002C137E">
            <w:pPr>
              <w:rPr>
                <w:rFonts w:cs="Times New Roman"/>
              </w:rPr>
            </w:pPr>
          </w:p>
        </w:tc>
        <w:tc>
          <w:tcPr>
            <w:tcW w:w="1031" w:type="dxa"/>
            <w:tcBorders>
              <w:top w:val="nil"/>
            </w:tcBorders>
          </w:tcPr>
          <w:p w:rsidR="007438C6" w:rsidRPr="00591643" w:rsidRDefault="007438C6" w:rsidP="002C137E">
            <w:pPr>
              <w:rPr>
                <w:rFonts w:cs="Times New Roman"/>
              </w:rPr>
            </w:pPr>
          </w:p>
        </w:tc>
        <w:tc>
          <w:tcPr>
            <w:tcW w:w="1187" w:type="dxa"/>
            <w:tcBorders>
              <w:top w:val="nil"/>
            </w:tcBorders>
          </w:tcPr>
          <w:p w:rsidR="007438C6" w:rsidRPr="00591643" w:rsidRDefault="007438C6" w:rsidP="002C137E">
            <w:pPr>
              <w:rPr>
                <w:rFonts w:cs="Times New Roman"/>
              </w:rPr>
            </w:pPr>
          </w:p>
        </w:tc>
        <w:tc>
          <w:tcPr>
            <w:tcW w:w="1060" w:type="dxa"/>
            <w:tcBorders>
              <w:top w:val="nil"/>
            </w:tcBorders>
          </w:tcPr>
          <w:p w:rsidR="007438C6" w:rsidRPr="00591643" w:rsidRDefault="007438C6" w:rsidP="002C137E">
            <w:pPr>
              <w:rPr>
                <w:rFonts w:cs="Times New Roman"/>
              </w:rPr>
            </w:pPr>
          </w:p>
        </w:tc>
        <w:tc>
          <w:tcPr>
            <w:tcW w:w="2064" w:type="dxa"/>
            <w:gridSpan w:val="2"/>
            <w:tcBorders>
              <w:top w:val="nil"/>
            </w:tcBorders>
          </w:tcPr>
          <w:p w:rsidR="007438C6" w:rsidRPr="00591643" w:rsidRDefault="007438C6" w:rsidP="002C137E">
            <w:pPr>
              <w:rPr>
                <w:rFonts w:cs="Times New Roman"/>
              </w:rPr>
            </w:pPr>
            <w:r w:rsidRPr="00591643">
              <w:rPr>
                <w:rFonts w:cs="Times New Roman"/>
              </w:rPr>
              <w:t>Mix of urban/rural</w:t>
            </w:r>
          </w:p>
        </w:tc>
      </w:tr>
      <w:tr w:rsidR="007438C6" w:rsidRPr="00591643" w:rsidTr="00760EBB">
        <w:tc>
          <w:tcPr>
            <w:tcW w:w="2613" w:type="dxa"/>
            <w:tcBorders>
              <w:bottom w:val="single" w:sz="4" w:space="0" w:color="000000" w:themeColor="text1"/>
            </w:tcBorders>
          </w:tcPr>
          <w:p w:rsidR="007438C6" w:rsidRPr="00591643" w:rsidRDefault="007438C6" w:rsidP="002C137E">
            <w:pPr>
              <w:rPr>
                <w:rFonts w:cs="Times New Roman"/>
              </w:rPr>
            </w:pPr>
            <w:r w:rsidRPr="00591643">
              <w:rPr>
                <w:rFonts w:cs="Times New Roman"/>
              </w:rPr>
              <w:t>CNPs @ small school districts</w:t>
            </w:r>
          </w:p>
        </w:tc>
        <w:tc>
          <w:tcPr>
            <w:tcW w:w="1247" w:type="dxa"/>
            <w:tcBorders>
              <w:bottom w:val="single" w:sz="4" w:space="0" w:color="000000" w:themeColor="text1"/>
            </w:tcBorders>
          </w:tcPr>
          <w:p w:rsidR="007438C6" w:rsidRPr="00591643" w:rsidRDefault="007438C6" w:rsidP="002C137E">
            <w:pPr>
              <w:rPr>
                <w:rFonts w:cs="Times New Roman"/>
              </w:rPr>
            </w:pPr>
          </w:p>
        </w:tc>
        <w:tc>
          <w:tcPr>
            <w:tcW w:w="1113" w:type="dxa"/>
            <w:tcBorders>
              <w:bottom w:val="single" w:sz="4" w:space="0" w:color="000000" w:themeColor="text1"/>
            </w:tcBorders>
          </w:tcPr>
          <w:p w:rsidR="007438C6" w:rsidRPr="00591643" w:rsidRDefault="007438C6" w:rsidP="002C137E">
            <w:pPr>
              <w:rPr>
                <w:rFonts w:cs="Times New Roman"/>
              </w:rPr>
            </w:pPr>
          </w:p>
        </w:tc>
        <w:tc>
          <w:tcPr>
            <w:tcW w:w="1168" w:type="dxa"/>
            <w:tcBorders>
              <w:bottom w:val="single" w:sz="4" w:space="0" w:color="000000" w:themeColor="text1"/>
            </w:tcBorders>
          </w:tcPr>
          <w:p w:rsidR="007438C6" w:rsidRPr="00591643" w:rsidRDefault="007438C6" w:rsidP="002C137E">
            <w:pPr>
              <w:rPr>
                <w:rFonts w:cs="Times New Roman"/>
              </w:rPr>
            </w:pPr>
          </w:p>
        </w:tc>
        <w:tc>
          <w:tcPr>
            <w:tcW w:w="1043" w:type="dxa"/>
            <w:tcBorders>
              <w:bottom w:val="single" w:sz="4" w:space="0" w:color="000000" w:themeColor="text1"/>
            </w:tcBorders>
          </w:tcPr>
          <w:p w:rsidR="007438C6" w:rsidRPr="00591643" w:rsidRDefault="007438C6" w:rsidP="002C137E">
            <w:pPr>
              <w:rPr>
                <w:rFonts w:cs="Times New Roman"/>
              </w:rPr>
            </w:pPr>
          </w:p>
        </w:tc>
        <w:tc>
          <w:tcPr>
            <w:tcW w:w="1154" w:type="dxa"/>
            <w:tcBorders>
              <w:bottom w:val="single" w:sz="4" w:space="0" w:color="000000" w:themeColor="text1"/>
            </w:tcBorders>
          </w:tcPr>
          <w:p w:rsidR="007438C6" w:rsidRPr="00591643" w:rsidRDefault="007438C6" w:rsidP="002C137E">
            <w:pPr>
              <w:rPr>
                <w:rFonts w:cs="Times New Roman"/>
              </w:rPr>
            </w:pPr>
          </w:p>
        </w:tc>
        <w:tc>
          <w:tcPr>
            <w:tcW w:w="1031" w:type="dxa"/>
            <w:tcBorders>
              <w:bottom w:val="single" w:sz="4" w:space="0" w:color="000000" w:themeColor="text1"/>
            </w:tcBorders>
          </w:tcPr>
          <w:p w:rsidR="007438C6" w:rsidRPr="00591643" w:rsidRDefault="007438C6" w:rsidP="002C137E">
            <w:pPr>
              <w:rPr>
                <w:rFonts w:cs="Times New Roman"/>
              </w:rPr>
            </w:pPr>
          </w:p>
        </w:tc>
        <w:tc>
          <w:tcPr>
            <w:tcW w:w="1187" w:type="dxa"/>
            <w:tcBorders>
              <w:bottom w:val="single" w:sz="4" w:space="0" w:color="000000" w:themeColor="text1"/>
            </w:tcBorders>
          </w:tcPr>
          <w:p w:rsidR="007438C6" w:rsidRPr="00591643" w:rsidRDefault="007438C6" w:rsidP="002C137E">
            <w:pPr>
              <w:rPr>
                <w:rFonts w:cs="Times New Roman"/>
              </w:rPr>
            </w:pPr>
          </w:p>
        </w:tc>
        <w:tc>
          <w:tcPr>
            <w:tcW w:w="1060" w:type="dxa"/>
            <w:tcBorders>
              <w:bottom w:val="single" w:sz="4" w:space="0" w:color="000000" w:themeColor="text1"/>
            </w:tcBorders>
          </w:tcPr>
          <w:p w:rsidR="007438C6" w:rsidRPr="00591643" w:rsidRDefault="007438C6" w:rsidP="002C137E">
            <w:pPr>
              <w:rPr>
                <w:rFonts w:cs="Times New Roman"/>
              </w:rPr>
            </w:pPr>
          </w:p>
        </w:tc>
        <w:tc>
          <w:tcPr>
            <w:tcW w:w="2064" w:type="dxa"/>
            <w:gridSpan w:val="2"/>
            <w:tcBorders>
              <w:bottom w:val="single" w:sz="4" w:space="0" w:color="000000" w:themeColor="text1"/>
            </w:tcBorders>
          </w:tcPr>
          <w:p w:rsidR="007438C6" w:rsidRPr="00591643" w:rsidRDefault="007438C6" w:rsidP="002C137E">
            <w:pPr>
              <w:rPr>
                <w:rFonts w:cs="Times New Roman"/>
              </w:rPr>
            </w:pPr>
            <w:r w:rsidRPr="00591643">
              <w:rPr>
                <w:rFonts w:cs="Times New Roman"/>
              </w:rPr>
              <w:t>Mix of urban/rural</w:t>
            </w:r>
          </w:p>
        </w:tc>
      </w:tr>
      <w:tr w:rsidR="007438C6" w:rsidRPr="00591643" w:rsidTr="00760EBB">
        <w:tc>
          <w:tcPr>
            <w:tcW w:w="13680" w:type="dxa"/>
            <w:gridSpan w:val="11"/>
            <w:shd w:val="clear" w:color="auto" w:fill="000000" w:themeFill="text1"/>
          </w:tcPr>
          <w:p w:rsidR="007438C6" w:rsidRPr="00591643" w:rsidRDefault="007438C6" w:rsidP="002C137E">
            <w:pPr>
              <w:jc w:val="center"/>
              <w:rPr>
                <w:rFonts w:cs="Times New Roman"/>
                <w:b/>
              </w:rPr>
            </w:pPr>
            <w:r w:rsidRPr="00591643">
              <w:rPr>
                <w:rFonts w:cs="Times New Roman"/>
                <w:b/>
              </w:rPr>
              <w:t>TEACHERS</w:t>
            </w:r>
            <w:r w:rsidR="00FF0F46" w:rsidRPr="00591643">
              <w:rPr>
                <w:rFonts w:cs="Times New Roman"/>
                <w:b/>
              </w:rPr>
              <w:t xml:space="preserve"> (IN-PERSON FOCUS GROUPS)</w:t>
            </w:r>
          </w:p>
        </w:tc>
      </w:tr>
      <w:tr w:rsidR="007438C6" w:rsidRPr="00591643" w:rsidTr="00760EBB">
        <w:tc>
          <w:tcPr>
            <w:tcW w:w="2613" w:type="dxa"/>
          </w:tcPr>
          <w:p w:rsidR="007438C6" w:rsidRPr="00591643" w:rsidRDefault="007438C6" w:rsidP="002C137E">
            <w:pPr>
              <w:rPr>
                <w:rFonts w:cs="Times New Roman"/>
              </w:rPr>
            </w:pPr>
            <w:r w:rsidRPr="00591643">
              <w:rPr>
                <w:rFonts w:cs="Times New Roman"/>
              </w:rPr>
              <w:t>Elementary school</w:t>
            </w:r>
          </w:p>
        </w:tc>
        <w:tc>
          <w:tcPr>
            <w:tcW w:w="1247" w:type="dxa"/>
          </w:tcPr>
          <w:p w:rsidR="007438C6" w:rsidRPr="00591643" w:rsidRDefault="007438C6" w:rsidP="002C137E">
            <w:pPr>
              <w:rPr>
                <w:rFonts w:cs="Times New Roman"/>
              </w:rPr>
            </w:pPr>
            <w:r w:rsidRPr="00591643">
              <w:rPr>
                <w:rFonts w:cs="Times New Roman"/>
              </w:rPr>
              <w:t>X</w:t>
            </w:r>
          </w:p>
        </w:tc>
        <w:tc>
          <w:tcPr>
            <w:tcW w:w="1113" w:type="dxa"/>
          </w:tcPr>
          <w:p w:rsidR="007438C6" w:rsidRPr="00591643" w:rsidRDefault="007438C6" w:rsidP="002C137E">
            <w:pPr>
              <w:rPr>
                <w:rFonts w:cs="Times New Roman"/>
              </w:rPr>
            </w:pPr>
          </w:p>
        </w:tc>
        <w:tc>
          <w:tcPr>
            <w:tcW w:w="1168" w:type="dxa"/>
          </w:tcPr>
          <w:p w:rsidR="007438C6" w:rsidRPr="00591643" w:rsidRDefault="007438C6" w:rsidP="002C137E">
            <w:pPr>
              <w:rPr>
                <w:rFonts w:cs="Times New Roman"/>
              </w:rPr>
            </w:pPr>
          </w:p>
        </w:tc>
        <w:tc>
          <w:tcPr>
            <w:tcW w:w="1043" w:type="dxa"/>
          </w:tcPr>
          <w:p w:rsidR="007438C6" w:rsidRPr="00591643" w:rsidRDefault="007438C6" w:rsidP="002C137E">
            <w:pPr>
              <w:rPr>
                <w:rFonts w:cs="Times New Roman"/>
              </w:rPr>
            </w:pPr>
            <w:r w:rsidRPr="00591643">
              <w:rPr>
                <w:rFonts w:cs="Times New Roman"/>
              </w:rPr>
              <w:t>X</w:t>
            </w:r>
          </w:p>
        </w:tc>
        <w:tc>
          <w:tcPr>
            <w:tcW w:w="1154" w:type="dxa"/>
          </w:tcPr>
          <w:p w:rsidR="007438C6" w:rsidRPr="00591643" w:rsidRDefault="007438C6" w:rsidP="002C137E">
            <w:pPr>
              <w:rPr>
                <w:rFonts w:cs="Times New Roman"/>
              </w:rPr>
            </w:pPr>
          </w:p>
        </w:tc>
        <w:tc>
          <w:tcPr>
            <w:tcW w:w="1031" w:type="dxa"/>
          </w:tcPr>
          <w:p w:rsidR="007438C6" w:rsidRPr="00591643" w:rsidRDefault="007438C6" w:rsidP="002C137E">
            <w:pPr>
              <w:rPr>
                <w:rFonts w:cs="Times New Roman"/>
              </w:rPr>
            </w:pPr>
          </w:p>
        </w:tc>
        <w:tc>
          <w:tcPr>
            <w:tcW w:w="1187" w:type="dxa"/>
          </w:tcPr>
          <w:p w:rsidR="007438C6" w:rsidRPr="00591643" w:rsidRDefault="007438C6" w:rsidP="002C137E">
            <w:pPr>
              <w:rPr>
                <w:rFonts w:cs="Times New Roman"/>
              </w:rPr>
            </w:pPr>
          </w:p>
        </w:tc>
        <w:tc>
          <w:tcPr>
            <w:tcW w:w="1060" w:type="dxa"/>
          </w:tcPr>
          <w:p w:rsidR="007438C6" w:rsidRPr="00591643" w:rsidRDefault="007438C6" w:rsidP="002C137E">
            <w:pPr>
              <w:rPr>
                <w:rFonts w:cs="Times New Roman"/>
              </w:rPr>
            </w:pPr>
          </w:p>
        </w:tc>
        <w:tc>
          <w:tcPr>
            <w:tcW w:w="785" w:type="dxa"/>
          </w:tcPr>
          <w:p w:rsidR="007438C6" w:rsidRPr="00591643" w:rsidRDefault="007438C6" w:rsidP="002C137E">
            <w:pPr>
              <w:rPr>
                <w:rFonts w:cs="Times New Roman"/>
              </w:rPr>
            </w:pPr>
          </w:p>
        </w:tc>
        <w:tc>
          <w:tcPr>
            <w:tcW w:w="1279" w:type="dxa"/>
          </w:tcPr>
          <w:p w:rsidR="007438C6" w:rsidRPr="00591643" w:rsidRDefault="007438C6" w:rsidP="002C137E">
            <w:pPr>
              <w:rPr>
                <w:rFonts w:cs="Times New Roman"/>
              </w:rPr>
            </w:pPr>
          </w:p>
        </w:tc>
      </w:tr>
      <w:tr w:rsidR="007438C6" w:rsidRPr="00591643" w:rsidTr="00760EBB">
        <w:tc>
          <w:tcPr>
            <w:tcW w:w="2613" w:type="dxa"/>
          </w:tcPr>
          <w:p w:rsidR="007438C6" w:rsidRPr="00591643" w:rsidRDefault="007438C6" w:rsidP="002C137E">
            <w:pPr>
              <w:rPr>
                <w:rFonts w:cs="Times New Roman"/>
              </w:rPr>
            </w:pPr>
            <w:r w:rsidRPr="00591643">
              <w:rPr>
                <w:rFonts w:cs="Times New Roman"/>
              </w:rPr>
              <w:t>Middle school</w:t>
            </w:r>
          </w:p>
        </w:tc>
        <w:tc>
          <w:tcPr>
            <w:tcW w:w="1247" w:type="dxa"/>
          </w:tcPr>
          <w:p w:rsidR="007438C6" w:rsidRPr="00591643" w:rsidRDefault="007438C6" w:rsidP="002C137E">
            <w:pPr>
              <w:rPr>
                <w:rFonts w:cs="Times New Roman"/>
              </w:rPr>
            </w:pPr>
          </w:p>
        </w:tc>
        <w:tc>
          <w:tcPr>
            <w:tcW w:w="1113" w:type="dxa"/>
          </w:tcPr>
          <w:p w:rsidR="007438C6" w:rsidRPr="00591643" w:rsidRDefault="007438C6" w:rsidP="002C137E">
            <w:pPr>
              <w:rPr>
                <w:rFonts w:cs="Times New Roman"/>
              </w:rPr>
            </w:pPr>
          </w:p>
        </w:tc>
        <w:tc>
          <w:tcPr>
            <w:tcW w:w="1168" w:type="dxa"/>
          </w:tcPr>
          <w:p w:rsidR="007438C6" w:rsidRPr="00591643" w:rsidRDefault="007438C6" w:rsidP="002C137E">
            <w:pPr>
              <w:rPr>
                <w:rFonts w:cs="Times New Roman"/>
              </w:rPr>
            </w:pPr>
          </w:p>
        </w:tc>
        <w:tc>
          <w:tcPr>
            <w:tcW w:w="1043" w:type="dxa"/>
          </w:tcPr>
          <w:p w:rsidR="007438C6" w:rsidRPr="00591643" w:rsidRDefault="007438C6" w:rsidP="002C137E">
            <w:pPr>
              <w:rPr>
                <w:rFonts w:cs="Times New Roman"/>
              </w:rPr>
            </w:pPr>
          </w:p>
        </w:tc>
        <w:tc>
          <w:tcPr>
            <w:tcW w:w="1154" w:type="dxa"/>
          </w:tcPr>
          <w:p w:rsidR="007438C6" w:rsidRPr="00591643" w:rsidRDefault="007438C6" w:rsidP="002C137E">
            <w:pPr>
              <w:rPr>
                <w:rFonts w:cs="Times New Roman"/>
              </w:rPr>
            </w:pPr>
            <w:r w:rsidRPr="00591643">
              <w:rPr>
                <w:rFonts w:cs="Times New Roman"/>
              </w:rPr>
              <w:t>X</w:t>
            </w:r>
          </w:p>
        </w:tc>
        <w:tc>
          <w:tcPr>
            <w:tcW w:w="1031" w:type="dxa"/>
          </w:tcPr>
          <w:p w:rsidR="007438C6" w:rsidRPr="00591643" w:rsidRDefault="007438C6" w:rsidP="002C137E">
            <w:pPr>
              <w:rPr>
                <w:rFonts w:cs="Times New Roman"/>
              </w:rPr>
            </w:pPr>
          </w:p>
        </w:tc>
        <w:tc>
          <w:tcPr>
            <w:tcW w:w="1187" w:type="dxa"/>
          </w:tcPr>
          <w:p w:rsidR="007438C6" w:rsidRPr="00591643" w:rsidRDefault="007438C6" w:rsidP="002C137E">
            <w:pPr>
              <w:rPr>
                <w:rFonts w:cs="Times New Roman"/>
              </w:rPr>
            </w:pPr>
          </w:p>
        </w:tc>
        <w:tc>
          <w:tcPr>
            <w:tcW w:w="1060" w:type="dxa"/>
          </w:tcPr>
          <w:p w:rsidR="007438C6" w:rsidRPr="00591643" w:rsidRDefault="007438C6" w:rsidP="002C137E">
            <w:pPr>
              <w:rPr>
                <w:rFonts w:cs="Times New Roman"/>
              </w:rPr>
            </w:pPr>
          </w:p>
        </w:tc>
        <w:tc>
          <w:tcPr>
            <w:tcW w:w="785" w:type="dxa"/>
          </w:tcPr>
          <w:p w:rsidR="007438C6" w:rsidRPr="00591643" w:rsidRDefault="007438C6" w:rsidP="002C137E">
            <w:pPr>
              <w:rPr>
                <w:rFonts w:cs="Times New Roman"/>
              </w:rPr>
            </w:pPr>
          </w:p>
        </w:tc>
        <w:tc>
          <w:tcPr>
            <w:tcW w:w="1279" w:type="dxa"/>
          </w:tcPr>
          <w:p w:rsidR="007438C6" w:rsidRPr="00591643" w:rsidRDefault="007438C6" w:rsidP="002C137E">
            <w:pPr>
              <w:rPr>
                <w:rFonts w:cs="Times New Roman"/>
              </w:rPr>
            </w:pPr>
          </w:p>
        </w:tc>
      </w:tr>
      <w:tr w:rsidR="007438C6" w:rsidRPr="00591643" w:rsidTr="00760EBB">
        <w:tc>
          <w:tcPr>
            <w:tcW w:w="2613" w:type="dxa"/>
            <w:tcBorders>
              <w:bottom w:val="single" w:sz="4" w:space="0" w:color="000000" w:themeColor="text1"/>
            </w:tcBorders>
          </w:tcPr>
          <w:p w:rsidR="007438C6" w:rsidRPr="00591643" w:rsidRDefault="007438C6" w:rsidP="002C137E">
            <w:pPr>
              <w:rPr>
                <w:rFonts w:cs="Times New Roman"/>
              </w:rPr>
            </w:pPr>
            <w:r w:rsidRPr="00591643">
              <w:rPr>
                <w:rFonts w:cs="Times New Roman"/>
              </w:rPr>
              <w:t>High school</w:t>
            </w:r>
          </w:p>
        </w:tc>
        <w:tc>
          <w:tcPr>
            <w:tcW w:w="1247" w:type="dxa"/>
            <w:tcBorders>
              <w:bottom w:val="single" w:sz="4" w:space="0" w:color="000000" w:themeColor="text1"/>
            </w:tcBorders>
          </w:tcPr>
          <w:p w:rsidR="007438C6" w:rsidRPr="00591643" w:rsidRDefault="007438C6" w:rsidP="002C137E">
            <w:pPr>
              <w:rPr>
                <w:rFonts w:cs="Times New Roman"/>
              </w:rPr>
            </w:pPr>
          </w:p>
        </w:tc>
        <w:tc>
          <w:tcPr>
            <w:tcW w:w="1113" w:type="dxa"/>
            <w:tcBorders>
              <w:bottom w:val="single" w:sz="4" w:space="0" w:color="000000" w:themeColor="text1"/>
            </w:tcBorders>
          </w:tcPr>
          <w:p w:rsidR="007438C6" w:rsidRPr="00591643" w:rsidRDefault="007438C6" w:rsidP="002C137E">
            <w:pPr>
              <w:rPr>
                <w:rFonts w:cs="Times New Roman"/>
              </w:rPr>
            </w:pPr>
          </w:p>
        </w:tc>
        <w:tc>
          <w:tcPr>
            <w:tcW w:w="1168" w:type="dxa"/>
            <w:tcBorders>
              <w:bottom w:val="single" w:sz="4" w:space="0" w:color="000000" w:themeColor="text1"/>
            </w:tcBorders>
          </w:tcPr>
          <w:p w:rsidR="007438C6" w:rsidRPr="00591643" w:rsidRDefault="007438C6" w:rsidP="002C137E">
            <w:pPr>
              <w:rPr>
                <w:rFonts w:cs="Times New Roman"/>
              </w:rPr>
            </w:pPr>
          </w:p>
        </w:tc>
        <w:tc>
          <w:tcPr>
            <w:tcW w:w="1043" w:type="dxa"/>
            <w:tcBorders>
              <w:bottom w:val="single" w:sz="4" w:space="0" w:color="000000" w:themeColor="text1"/>
            </w:tcBorders>
          </w:tcPr>
          <w:p w:rsidR="007438C6" w:rsidRPr="00591643" w:rsidRDefault="007438C6" w:rsidP="002C137E">
            <w:pPr>
              <w:rPr>
                <w:rFonts w:cs="Times New Roman"/>
              </w:rPr>
            </w:pPr>
          </w:p>
        </w:tc>
        <w:tc>
          <w:tcPr>
            <w:tcW w:w="1154" w:type="dxa"/>
            <w:tcBorders>
              <w:bottom w:val="single" w:sz="4" w:space="0" w:color="000000" w:themeColor="text1"/>
            </w:tcBorders>
          </w:tcPr>
          <w:p w:rsidR="007438C6" w:rsidRPr="00591643" w:rsidRDefault="007438C6" w:rsidP="002C137E">
            <w:pPr>
              <w:rPr>
                <w:rFonts w:cs="Times New Roman"/>
              </w:rPr>
            </w:pPr>
          </w:p>
        </w:tc>
        <w:tc>
          <w:tcPr>
            <w:tcW w:w="1031" w:type="dxa"/>
            <w:tcBorders>
              <w:bottom w:val="single" w:sz="4" w:space="0" w:color="000000" w:themeColor="text1"/>
            </w:tcBorders>
          </w:tcPr>
          <w:p w:rsidR="007438C6" w:rsidRPr="00591643" w:rsidRDefault="007438C6" w:rsidP="002C137E">
            <w:pPr>
              <w:rPr>
                <w:rFonts w:cs="Times New Roman"/>
              </w:rPr>
            </w:pPr>
          </w:p>
        </w:tc>
        <w:tc>
          <w:tcPr>
            <w:tcW w:w="1187" w:type="dxa"/>
            <w:tcBorders>
              <w:bottom w:val="single" w:sz="4" w:space="0" w:color="000000" w:themeColor="text1"/>
            </w:tcBorders>
          </w:tcPr>
          <w:p w:rsidR="007438C6" w:rsidRPr="00591643" w:rsidRDefault="007438C6" w:rsidP="002C137E">
            <w:pPr>
              <w:rPr>
                <w:rFonts w:cs="Times New Roman"/>
              </w:rPr>
            </w:pPr>
          </w:p>
        </w:tc>
        <w:tc>
          <w:tcPr>
            <w:tcW w:w="1060" w:type="dxa"/>
            <w:tcBorders>
              <w:bottom w:val="single" w:sz="4" w:space="0" w:color="000000" w:themeColor="text1"/>
            </w:tcBorders>
          </w:tcPr>
          <w:p w:rsidR="007438C6" w:rsidRPr="00591643" w:rsidRDefault="007438C6" w:rsidP="002C137E">
            <w:pPr>
              <w:rPr>
                <w:rFonts w:cs="Times New Roman"/>
              </w:rPr>
            </w:pPr>
            <w:r w:rsidRPr="00591643">
              <w:rPr>
                <w:rFonts w:cs="Times New Roman"/>
              </w:rPr>
              <w:t>X</w:t>
            </w:r>
          </w:p>
        </w:tc>
        <w:tc>
          <w:tcPr>
            <w:tcW w:w="785" w:type="dxa"/>
            <w:tcBorders>
              <w:bottom w:val="single" w:sz="4" w:space="0" w:color="000000" w:themeColor="text1"/>
            </w:tcBorders>
          </w:tcPr>
          <w:p w:rsidR="007438C6" w:rsidRPr="00591643" w:rsidRDefault="007438C6" w:rsidP="002C137E">
            <w:pPr>
              <w:rPr>
                <w:rFonts w:cs="Times New Roman"/>
              </w:rPr>
            </w:pPr>
          </w:p>
        </w:tc>
        <w:tc>
          <w:tcPr>
            <w:tcW w:w="1279" w:type="dxa"/>
            <w:tcBorders>
              <w:bottom w:val="single" w:sz="4" w:space="0" w:color="000000" w:themeColor="text1"/>
            </w:tcBorders>
          </w:tcPr>
          <w:p w:rsidR="007438C6" w:rsidRPr="00591643" w:rsidRDefault="007438C6" w:rsidP="002C137E">
            <w:pPr>
              <w:rPr>
                <w:rFonts w:cs="Times New Roman"/>
              </w:rPr>
            </w:pPr>
          </w:p>
        </w:tc>
      </w:tr>
      <w:tr w:rsidR="007438C6" w:rsidRPr="00591643" w:rsidTr="00760EBB">
        <w:tc>
          <w:tcPr>
            <w:tcW w:w="13680" w:type="dxa"/>
            <w:gridSpan w:val="11"/>
            <w:shd w:val="clear" w:color="auto" w:fill="000000" w:themeFill="text1"/>
          </w:tcPr>
          <w:p w:rsidR="007438C6" w:rsidRPr="00591643" w:rsidRDefault="007438C6" w:rsidP="002C137E">
            <w:pPr>
              <w:jc w:val="center"/>
              <w:rPr>
                <w:rFonts w:cs="Times New Roman"/>
                <w:b/>
              </w:rPr>
            </w:pPr>
            <w:r w:rsidRPr="00591643">
              <w:rPr>
                <w:rFonts w:cs="Times New Roman"/>
                <w:b/>
              </w:rPr>
              <w:t>ADMINISTRATORS</w:t>
            </w:r>
            <w:r w:rsidR="00FF0F46" w:rsidRPr="00591643">
              <w:rPr>
                <w:rFonts w:cs="Times New Roman"/>
                <w:b/>
              </w:rPr>
              <w:t xml:space="preserve"> (IN-PERSON FOCUS GROUPS)</w:t>
            </w:r>
          </w:p>
        </w:tc>
      </w:tr>
      <w:tr w:rsidR="007438C6" w:rsidRPr="00591643" w:rsidTr="00760EBB">
        <w:tc>
          <w:tcPr>
            <w:tcW w:w="2613" w:type="dxa"/>
          </w:tcPr>
          <w:p w:rsidR="007438C6" w:rsidRPr="00591643" w:rsidRDefault="007438C6" w:rsidP="002C137E">
            <w:pPr>
              <w:rPr>
                <w:rFonts w:cs="Times New Roman"/>
              </w:rPr>
            </w:pPr>
            <w:r w:rsidRPr="00591643">
              <w:rPr>
                <w:rFonts w:cs="Times New Roman"/>
              </w:rPr>
              <w:t>Elementary school</w:t>
            </w:r>
          </w:p>
        </w:tc>
        <w:tc>
          <w:tcPr>
            <w:tcW w:w="1247" w:type="dxa"/>
          </w:tcPr>
          <w:p w:rsidR="007438C6" w:rsidRPr="00591643" w:rsidRDefault="007438C6" w:rsidP="002C137E">
            <w:pPr>
              <w:rPr>
                <w:rFonts w:cs="Times New Roman"/>
              </w:rPr>
            </w:pPr>
          </w:p>
        </w:tc>
        <w:tc>
          <w:tcPr>
            <w:tcW w:w="1113" w:type="dxa"/>
          </w:tcPr>
          <w:p w:rsidR="007438C6" w:rsidRPr="00591643" w:rsidRDefault="007438C6" w:rsidP="002C137E">
            <w:pPr>
              <w:rPr>
                <w:rFonts w:cs="Times New Roman"/>
              </w:rPr>
            </w:pPr>
          </w:p>
        </w:tc>
        <w:tc>
          <w:tcPr>
            <w:tcW w:w="1168" w:type="dxa"/>
          </w:tcPr>
          <w:p w:rsidR="007438C6" w:rsidRPr="00591643" w:rsidRDefault="007438C6" w:rsidP="002C137E">
            <w:pPr>
              <w:rPr>
                <w:rFonts w:cs="Times New Roman"/>
              </w:rPr>
            </w:pPr>
            <w:r w:rsidRPr="00591643">
              <w:rPr>
                <w:rFonts w:cs="Times New Roman"/>
              </w:rPr>
              <w:t>X</w:t>
            </w:r>
          </w:p>
        </w:tc>
        <w:tc>
          <w:tcPr>
            <w:tcW w:w="1043" w:type="dxa"/>
          </w:tcPr>
          <w:p w:rsidR="007438C6" w:rsidRPr="00591643" w:rsidRDefault="007438C6" w:rsidP="002C137E">
            <w:pPr>
              <w:rPr>
                <w:rFonts w:cs="Times New Roman"/>
              </w:rPr>
            </w:pPr>
          </w:p>
        </w:tc>
        <w:tc>
          <w:tcPr>
            <w:tcW w:w="1154" w:type="dxa"/>
          </w:tcPr>
          <w:p w:rsidR="007438C6" w:rsidRPr="00591643" w:rsidRDefault="007438C6" w:rsidP="002C137E">
            <w:pPr>
              <w:rPr>
                <w:rFonts w:cs="Times New Roman"/>
              </w:rPr>
            </w:pPr>
          </w:p>
        </w:tc>
        <w:tc>
          <w:tcPr>
            <w:tcW w:w="1031" w:type="dxa"/>
          </w:tcPr>
          <w:p w:rsidR="007438C6" w:rsidRPr="00591643" w:rsidRDefault="007438C6" w:rsidP="002C137E">
            <w:pPr>
              <w:rPr>
                <w:rFonts w:cs="Times New Roman"/>
              </w:rPr>
            </w:pPr>
          </w:p>
        </w:tc>
        <w:tc>
          <w:tcPr>
            <w:tcW w:w="1187" w:type="dxa"/>
          </w:tcPr>
          <w:p w:rsidR="007438C6" w:rsidRPr="00591643" w:rsidRDefault="007438C6" w:rsidP="002C137E">
            <w:pPr>
              <w:rPr>
                <w:rFonts w:cs="Times New Roman"/>
              </w:rPr>
            </w:pPr>
            <w:r w:rsidRPr="00591643">
              <w:rPr>
                <w:rFonts w:cs="Times New Roman"/>
              </w:rPr>
              <w:t>X</w:t>
            </w:r>
          </w:p>
        </w:tc>
        <w:tc>
          <w:tcPr>
            <w:tcW w:w="1060" w:type="dxa"/>
          </w:tcPr>
          <w:p w:rsidR="007438C6" w:rsidRPr="00591643" w:rsidRDefault="007438C6" w:rsidP="002C137E">
            <w:pPr>
              <w:rPr>
                <w:rFonts w:cs="Times New Roman"/>
              </w:rPr>
            </w:pPr>
          </w:p>
        </w:tc>
        <w:tc>
          <w:tcPr>
            <w:tcW w:w="785" w:type="dxa"/>
          </w:tcPr>
          <w:p w:rsidR="007438C6" w:rsidRPr="00591643" w:rsidRDefault="007438C6" w:rsidP="002C137E">
            <w:pPr>
              <w:rPr>
                <w:rFonts w:cs="Times New Roman"/>
              </w:rPr>
            </w:pPr>
          </w:p>
        </w:tc>
        <w:tc>
          <w:tcPr>
            <w:tcW w:w="1279" w:type="dxa"/>
          </w:tcPr>
          <w:p w:rsidR="007438C6" w:rsidRPr="00591643" w:rsidRDefault="007438C6" w:rsidP="002C137E">
            <w:pPr>
              <w:rPr>
                <w:rFonts w:cs="Times New Roman"/>
              </w:rPr>
            </w:pPr>
          </w:p>
        </w:tc>
      </w:tr>
      <w:tr w:rsidR="007438C6" w:rsidRPr="00591643" w:rsidTr="00760EBB">
        <w:tc>
          <w:tcPr>
            <w:tcW w:w="2613" w:type="dxa"/>
          </w:tcPr>
          <w:p w:rsidR="007438C6" w:rsidRPr="00591643" w:rsidRDefault="007438C6" w:rsidP="002C137E">
            <w:pPr>
              <w:rPr>
                <w:rFonts w:cs="Times New Roman"/>
              </w:rPr>
            </w:pPr>
            <w:r w:rsidRPr="00591643">
              <w:rPr>
                <w:rFonts w:cs="Times New Roman"/>
              </w:rPr>
              <w:t>Middle school</w:t>
            </w:r>
          </w:p>
        </w:tc>
        <w:tc>
          <w:tcPr>
            <w:tcW w:w="1247" w:type="dxa"/>
          </w:tcPr>
          <w:p w:rsidR="007438C6" w:rsidRPr="00591643" w:rsidRDefault="007438C6" w:rsidP="002C137E">
            <w:pPr>
              <w:rPr>
                <w:rFonts w:cs="Times New Roman"/>
              </w:rPr>
            </w:pPr>
          </w:p>
        </w:tc>
        <w:tc>
          <w:tcPr>
            <w:tcW w:w="1113" w:type="dxa"/>
          </w:tcPr>
          <w:p w:rsidR="007438C6" w:rsidRPr="00591643" w:rsidRDefault="007438C6" w:rsidP="002C137E">
            <w:pPr>
              <w:rPr>
                <w:rFonts w:cs="Times New Roman"/>
              </w:rPr>
            </w:pPr>
          </w:p>
        </w:tc>
        <w:tc>
          <w:tcPr>
            <w:tcW w:w="1168" w:type="dxa"/>
          </w:tcPr>
          <w:p w:rsidR="007438C6" w:rsidRPr="00591643" w:rsidRDefault="007438C6" w:rsidP="002C137E">
            <w:pPr>
              <w:rPr>
                <w:rFonts w:cs="Times New Roman"/>
              </w:rPr>
            </w:pPr>
          </w:p>
        </w:tc>
        <w:tc>
          <w:tcPr>
            <w:tcW w:w="1043" w:type="dxa"/>
          </w:tcPr>
          <w:p w:rsidR="007438C6" w:rsidRPr="00591643" w:rsidRDefault="007438C6" w:rsidP="002C137E">
            <w:pPr>
              <w:rPr>
                <w:rFonts w:cs="Times New Roman"/>
              </w:rPr>
            </w:pPr>
          </w:p>
        </w:tc>
        <w:tc>
          <w:tcPr>
            <w:tcW w:w="1154" w:type="dxa"/>
          </w:tcPr>
          <w:p w:rsidR="007438C6" w:rsidRPr="00591643" w:rsidRDefault="007438C6" w:rsidP="002C137E">
            <w:pPr>
              <w:rPr>
                <w:rFonts w:cs="Times New Roman"/>
              </w:rPr>
            </w:pPr>
            <w:r w:rsidRPr="00591643">
              <w:rPr>
                <w:rFonts w:cs="Times New Roman"/>
              </w:rPr>
              <w:t>X</w:t>
            </w:r>
          </w:p>
        </w:tc>
        <w:tc>
          <w:tcPr>
            <w:tcW w:w="1031" w:type="dxa"/>
          </w:tcPr>
          <w:p w:rsidR="007438C6" w:rsidRPr="00591643" w:rsidRDefault="007438C6" w:rsidP="002C137E">
            <w:pPr>
              <w:rPr>
                <w:rFonts w:cs="Times New Roman"/>
              </w:rPr>
            </w:pPr>
          </w:p>
        </w:tc>
        <w:tc>
          <w:tcPr>
            <w:tcW w:w="1187" w:type="dxa"/>
          </w:tcPr>
          <w:p w:rsidR="007438C6" w:rsidRPr="00591643" w:rsidRDefault="007438C6" w:rsidP="002C137E">
            <w:pPr>
              <w:rPr>
                <w:rFonts w:cs="Times New Roman"/>
              </w:rPr>
            </w:pPr>
          </w:p>
        </w:tc>
        <w:tc>
          <w:tcPr>
            <w:tcW w:w="1060" w:type="dxa"/>
          </w:tcPr>
          <w:p w:rsidR="007438C6" w:rsidRPr="00591643" w:rsidRDefault="007438C6" w:rsidP="002C137E">
            <w:pPr>
              <w:rPr>
                <w:rFonts w:cs="Times New Roman"/>
              </w:rPr>
            </w:pPr>
          </w:p>
        </w:tc>
        <w:tc>
          <w:tcPr>
            <w:tcW w:w="785" w:type="dxa"/>
          </w:tcPr>
          <w:p w:rsidR="007438C6" w:rsidRPr="00591643" w:rsidRDefault="007438C6" w:rsidP="002C137E">
            <w:pPr>
              <w:rPr>
                <w:rFonts w:cs="Times New Roman"/>
              </w:rPr>
            </w:pPr>
          </w:p>
        </w:tc>
        <w:tc>
          <w:tcPr>
            <w:tcW w:w="1279" w:type="dxa"/>
          </w:tcPr>
          <w:p w:rsidR="007438C6" w:rsidRPr="00591643" w:rsidRDefault="007438C6" w:rsidP="002C137E">
            <w:pPr>
              <w:rPr>
                <w:rFonts w:cs="Times New Roman"/>
              </w:rPr>
            </w:pPr>
          </w:p>
        </w:tc>
      </w:tr>
      <w:tr w:rsidR="007438C6" w:rsidRPr="00591643" w:rsidTr="00760EBB">
        <w:tc>
          <w:tcPr>
            <w:tcW w:w="2613" w:type="dxa"/>
            <w:tcBorders>
              <w:bottom w:val="single" w:sz="4" w:space="0" w:color="000000" w:themeColor="text1"/>
            </w:tcBorders>
          </w:tcPr>
          <w:p w:rsidR="007438C6" w:rsidRPr="00591643" w:rsidRDefault="007438C6" w:rsidP="002C137E">
            <w:pPr>
              <w:rPr>
                <w:rFonts w:cs="Times New Roman"/>
              </w:rPr>
            </w:pPr>
            <w:r w:rsidRPr="00591643">
              <w:rPr>
                <w:rFonts w:cs="Times New Roman"/>
              </w:rPr>
              <w:t>High school</w:t>
            </w:r>
          </w:p>
        </w:tc>
        <w:tc>
          <w:tcPr>
            <w:tcW w:w="1247" w:type="dxa"/>
            <w:tcBorders>
              <w:bottom w:val="single" w:sz="4" w:space="0" w:color="000000" w:themeColor="text1"/>
            </w:tcBorders>
          </w:tcPr>
          <w:p w:rsidR="007438C6" w:rsidRPr="00591643" w:rsidRDefault="007438C6" w:rsidP="002C137E">
            <w:pPr>
              <w:rPr>
                <w:rFonts w:cs="Times New Roman"/>
              </w:rPr>
            </w:pPr>
            <w:r w:rsidRPr="00591643">
              <w:rPr>
                <w:rFonts w:cs="Times New Roman"/>
              </w:rPr>
              <w:t>X</w:t>
            </w:r>
          </w:p>
        </w:tc>
        <w:tc>
          <w:tcPr>
            <w:tcW w:w="1113" w:type="dxa"/>
            <w:tcBorders>
              <w:bottom w:val="single" w:sz="4" w:space="0" w:color="000000" w:themeColor="text1"/>
            </w:tcBorders>
          </w:tcPr>
          <w:p w:rsidR="007438C6" w:rsidRPr="00591643" w:rsidRDefault="007438C6" w:rsidP="002C137E">
            <w:pPr>
              <w:rPr>
                <w:rFonts w:cs="Times New Roman"/>
              </w:rPr>
            </w:pPr>
          </w:p>
        </w:tc>
        <w:tc>
          <w:tcPr>
            <w:tcW w:w="1168" w:type="dxa"/>
            <w:tcBorders>
              <w:bottom w:val="single" w:sz="4" w:space="0" w:color="000000" w:themeColor="text1"/>
            </w:tcBorders>
          </w:tcPr>
          <w:p w:rsidR="007438C6" w:rsidRPr="00591643" w:rsidRDefault="007438C6" w:rsidP="002C137E">
            <w:pPr>
              <w:rPr>
                <w:rFonts w:cs="Times New Roman"/>
              </w:rPr>
            </w:pPr>
          </w:p>
        </w:tc>
        <w:tc>
          <w:tcPr>
            <w:tcW w:w="1043" w:type="dxa"/>
            <w:tcBorders>
              <w:bottom w:val="single" w:sz="4" w:space="0" w:color="000000" w:themeColor="text1"/>
            </w:tcBorders>
          </w:tcPr>
          <w:p w:rsidR="007438C6" w:rsidRPr="00591643" w:rsidRDefault="007438C6" w:rsidP="002C137E">
            <w:pPr>
              <w:rPr>
                <w:rFonts w:cs="Times New Roman"/>
              </w:rPr>
            </w:pPr>
          </w:p>
        </w:tc>
        <w:tc>
          <w:tcPr>
            <w:tcW w:w="1154" w:type="dxa"/>
            <w:tcBorders>
              <w:bottom w:val="single" w:sz="4" w:space="0" w:color="000000" w:themeColor="text1"/>
            </w:tcBorders>
          </w:tcPr>
          <w:p w:rsidR="007438C6" w:rsidRPr="00591643" w:rsidRDefault="007438C6" w:rsidP="002C137E">
            <w:pPr>
              <w:rPr>
                <w:rFonts w:cs="Times New Roman"/>
              </w:rPr>
            </w:pPr>
          </w:p>
        </w:tc>
        <w:tc>
          <w:tcPr>
            <w:tcW w:w="1031" w:type="dxa"/>
            <w:tcBorders>
              <w:bottom w:val="single" w:sz="4" w:space="0" w:color="000000" w:themeColor="text1"/>
            </w:tcBorders>
          </w:tcPr>
          <w:p w:rsidR="007438C6" w:rsidRPr="00591643" w:rsidRDefault="007438C6" w:rsidP="002C137E">
            <w:pPr>
              <w:rPr>
                <w:rFonts w:cs="Times New Roman"/>
              </w:rPr>
            </w:pPr>
          </w:p>
        </w:tc>
        <w:tc>
          <w:tcPr>
            <w:tcW w:w="1187" w:type="dxa"/>
            <w:tcBorders>
              <w:bottom w:val="single" w:sz="4" w:space="0" w:color="000000" w:themeColor="text1"/>
            </w:tcBorders>
          </w:tcPr>
          <w:p w:rsidR="007438C6" w:rsidRPr="00591643" w:rsidRDefault="007438C6" w:rsidP="002C137E">
            <w:pPr>
              <w:rPr>
                <w:rFonts w:cs="Times New Roman"/>
              </w:rPr>
            </w:pPr>
          </w:p>
        </w:tc>
        <w:tc>
          <w:tcPr>
            <w:tcW w:w="1060" w:type="dxa"/>
            <w:tcBorders>
              <w:bottom w:val="single" w:sz="4" w:space="0" w:color="000000" w:themeColor="text1"/>
            </w:tcBorders>
          </w:tcPr>
          <w:p w:rsidR="007438C6" w:rsidRPr="00591643" w:rsidRDefault="007438C6" w:rsidP="002C137E">
            <w:pPr>
              <w:rPr>
                <w:rFonts w:cs="Times New Roman"/>
              </w:rPr>
            </w:pPr>
          </w:p>
        </w:tc>
        <w:tc>
          <w:tcPr>
            <w:tcW w:w="785" w:type="dxa"/>
            <w:tcBorders>
              <w:bottom w:val="single" w:sz="4" w:space="0" w:color="000000" w:themeColor="text1"/>
            </w:tcBorders>
          </w:tcPr>
          <w:p w:rsidR="007438C6" w:rsidRPr="00591643" w:rsidRDefault="007438C6" w:rsidP="002C137E">
            <w:pPr>
              <w:rPr>
                <w:rFonts w:cs="Times New Roman"/>
              </w:rPr>
            </w:pPr>
          </w:p>
        </w:tc>
        <w:tc>
          <w:tcPr>
            <w:tcW w:w="1279" w:type="dxa"/>
            <w:tcBorders>
              <w:bottom w:val="single" w:sz="4" w:space="0" w:color="000000" w:themeColor="text1"/>
            </w:tcBorders>
          </w:tcPr>
          <w:p w:rsidR="007438C6" w:rsidRPr="00591643" w:rsidRDefault="007438C6" w:rsidP="002C137E">
            <w:pPr>
              <w:rPr>
                <w:rFonts w:cs="Times New Roman"/>
              </w:rPr>
            </w:pPr>
          </w:p>
        </w:tc>
      </w:tr>
      <w:tr w:rsidR="007438C6" w:rsidRPr="00591643" w:rsidTr="00760EBB">
        <w:tc>
          <w:tcPr>
            <w:tcW w:w="13680" w:type="dxa"/>
            <w:gridSpan w:val="11"/>
            <w:shd w:val="clear" w:color="auto" w:fill="000000" w:themeFill="text1"/>
          </w:tcPr>
          <w:p w:rsidR="007438C6" w:rsidRPr="00591643" w:rsidRDefault="007438C6" w:rsidP="002C137E">
            <w:pPr>
              <w:jc w:val="center"/>
              <w:rPr>
                <w:rFonts w:cs="Times New Roman"/>
                <w:b/>
              </w:rPr>
            </w:pPr>
            <w:r w:rsidRPr="00591643">
              <w:rPr>
                <w:rFonts w:cs="Times New Roman"/>
                <w:b/>
              </w:rPr>
              <w:t>INTERNAL PARTNERS</w:t>
            </w:r>
            <w:r w:rsidR="00FF0F46" w:rsidRPr="00591643">
              <w:rPr>
                <w:rFonts w:cs="Times New Roman"/>
                <w:b/>
              </w:rPr>
              <w:t xml:space="preserve"> (TELEPHONE IDIS)</w:t>
            </w:r>
          </w:p>
        </w:tc>
      </w:tr>
      <w:tr w:rsidR="007438C6" w:rsidRPr="00591643" w:rsidTr="00760EBB">
        <w:tc>
          <w:tcPr>
            <w:tcW w:w="2613" w:type="dxa"/>
            <w:tcBorders>
              <w:bottom w:val="single" w:sz="4" w:space="0" w:color="000000" w:themeColor="text1"/>
            </w:tcBorders>
          </w:tcPr>
          <w:p w:rsidR="007438C6" w:rsidRPr="00591643" w:rsidRDefault="007438C6" w:rsidP="002C137E">
            <w:pPr>
              <w:rPr>
                <w:rFonts w:cs="Times New Roman"/>
              </w:rPr>
            </w:pPr>
            <w:r w:rsidRPr="00591643">
              <w:rPr>
                <w:rFonts w:cs="Times New Roman"/>
              </w:rPr>
              <w:t>General mix based on age, gender, role, region</w:t>
            </w:r>
          </w:p>
        </w:tc>
        <w:tc>
          <w:tcPr>
            <w:tcW w:w="1247" w:type="dxa"/>
            <w:tcBorders>
              <w:bottom w:val="single" w:sz="4" w:space="0" w:color="000000" w:themeColor="text1"/>
            </w:tcBorders>
          </w:tcPr>
          <w:p w:rsidR="007438C6" w:rsidRPr="00591643" w:rsidRDefault="007438C6" w:rsidP="002C137E">
            <w:pPr>
              <w:rPr>
                <w:rFonts w:cs="Times New Roman"/>
              </w:rPr>
            </w:pPr>
          </w:p>
        </w:tc>
        <w:tc>
          <w:tcPr>
            <w:tcW w:w="1113" w:type="dxa"/>
            <w:tcBorders>
              <w:bottom w:val="single" w:sz="4" w:space="0" w:color="000000" w:themeColor="text1"/>
            </w:tcBorders>
          </w:tcPr>
          <w:p w:rsidR="007438C6" w:rsidRPr="00591643" w:rsidRDefault="007438C6" w:rsidP="002C137E">
            <w:pPr>
              <w:rPr>
                <w:rFonts w:cs="Times New Roman"/>
              </w:rPr>
            </w:pPr>
          </w:p>
        </w:tc>
        <w:tc>
          <w:tcPr>
            <w:tcW w:w="1168" w:type="dxa"/>
            <w:tcBorders>
              <w:bottom w:val="single" w:sz="4" w:space="0" w:color="000000" w:themeColor="text1"/>
            </w:tcBorders>
          </w:tcPr>
          <w:p w:rsidR="007438C6" w:rsidRPr="00591643" w:rsidRDefault="007438C6" w:rsidP="002C137E">
            <w:pPr>
              <w:rPr>
                <w:rFonts w:cs="Times New Roman"/>
              </w:rPr>
            </w:pPr>
          </w:p>
        </w:tc>
        <w:tc>
          <w:tcPr>
            <w:tcW w:w="1043" w:type="dxa"/>
            <w:tcBorders>
              <w:bottom w:val="single" w:sz="4" w:space="0" w:color="000000" w:themeColor="text1"/>
            </w:tcBorders>
          </w:tcPr>
          <w:p w:rsidR="007438C6" w:rsidRPr="00591643" w:rsidRDefault="007438C6" w:rsidP="002C137E">
            <w:pPr>
              <w:rPr>
                <w:rFonts w:cs="Times New Roman"/>
              </w:rPr>
            </w:pPr>
          </w:p>
        </w:tc>
        <w:tc>
          <w:tcPr>
            <w:tcW w:w="1154" w:type="dxa"/>
            <w:tcBorders>
              <w:bottom w:val="single" w:sz="4" w:space="0" w:color="000000" w:themeColor="text1"/>
            </w:tcBorders>
          </w:tcPr>
          <w:p w:rsidR="007438C6" w:rsidRPr="00591643" w:rsidRDefault="007438C6" w:rsidP="002C137E">
            <w:pPr>
              <w:rPr>
                <w:rFonts w:cs="Times New Roman"/>
              </w:rPr>
            </w:pPr>
          </w:p>
        </w:tc>
        <w:tc>
          <w:tcPr>
            <w:tcW w:w="1031" w:type="dxa"/>
            <w:tcBorders>
              <w:bottom w:val="single" w:sz="4" w:space="0" w:color="000000" w:themeColor="text1"/>
            </w:tcBorders>
          </w:tcPr>
          <w:p w:rsidR="007438C6" w:rsidRPr="00591643" w:rsidRDefault="007438C6" w:rsidP="002C137E">
            <w:pPr>
              <w:rPr>
                <w:rFonts w:cs="Times New Roman"/>
              </w:rPr>
            </w:pPr>
          </w:p>
        </w:tc>
        <w:tc>
          <w:tcPr>
            <w:tcW w:w="1187" w:type="dxa"/>
            <w:tcBorders>
              <w:bottom w:val="single" w:sz="4" w:space="0" w:color="000000" w:themeColor="text1"/>
            </w:tcBorders>
          </w:tcPr>
          <w:p w:rsidR="007438C6" w:rsidRPr="00591643" w:rsidRDefault="007438C6" w:rsidP="002C137E">
            <w:pPr>
              <w:rPr>
                <w:rFonts w:cs="Times New Roman"/>
              </w:rPr>
            </w:pPr>
          </w:p>
        </w:tc>
        <w:tc>
          <w:tcPr>
            <w:tcW w:w="1060" w:type="dxa"/>
            <w:tcBorders>
              <w:bottom w:val="single" w:sz="4" w:space="0" w:color="000000" w:themeColor="text1"/>
            </w:tcBorders>
          </w:tcPr>
          <w:p w:rsidR="007438C6" w:rsidRPr="00591643" w:rsidRDefault="007438C6" w:rsidP="002C137E">
            <w:pPr>
              <w:rPr>
                <w:rFonts w:cs="Times New Roman"/>
              </w:rPr>
            </w:pPr>
          </w:p>
        </w:tc>
        <w:tc>
          <w:tcPr>
            <w:tcW w:w="785" w:type="dxa"/>
            <w:tcBorders>
              <w:bottom w:val="single" w:sz="4" w:space="0" w:color="000000" w:themeColor="text1"/>
            </w:tcBorders>
          </w:tcPr>
          <w:p w:rsidR="007438C6" w:rsidRPr="00591643" w:rsidRDefault="007438C6" w:rsidP="002C137E">
            <w:pPr>
              <w:rPr>
                <w:rFonts w:cs="Times New Roman"/>
              </w:rPr>
            </w:pPr>
            <w:r w:rsidRPr="00591643">
              <w:rPr>
                <w:rFonts w:cs="Times New Roman"/>
              </w:rPr>
              <w:t>15</w:t>
            </w:r>
          </w:p>
        </w:tc>
        <w:tc>
          <w:tcPr>
            <w:tcW w:w="1279" w:type="dxa"/>
            <w:tcBorders>
              <w:bottom w:val="single" w:sz="4" w:space="0" w:color="000000" w:themeColor="text1"/>
            </w:tcBorders>
          </w:tcPr>
          <w:p w:rsidR="007438C6" w:rsidRPr="00591643" w:rsidRDefault="007438C6" w:rsidP="002C137E">
            <w:pPr>
              <w:rPr>
                <w:rFonts w:cs="Times New Roman"/>
              </w:rPr>
            </w:pPr>
            <w:r w:rsidRPr="00591643">
              <w:rPr>
                <w:rFonts w:cs="Times New Roman"/>
              </w:rPr>
              <w:t>5</w:t>
            </w:r>
          </w:p>
        </w:tc>
      </w:tr>
      <w:tr w:rsidR="007438C6" w:rsidRPr="00591643" w:rsidTr="00760EBB">
        <w:tc>
          <w:tcPr>
            <w:tcW w:w="13680" w:type="dxa"/>
            <w:gridSpan w:val="11"/>
            <w:shd w:val="clear" w:color="auto" w:fill="000000" w:themeFill="text1"/>
          </w:tcPr>
          <w:p w:rsidR="007438C6" w:rsidRPr="00591643" w:rsidRDefault="007438C6" w:rsidP="002C137E">
            <w:pPr>
              <w:jc w:val="center"/>
              <w:rPr>
                <w:rFonts w:cs="Times New Roman"/>
                <w:b/>
              </w:rPr>
            </w:pPr>
            <w:r w:rsidRPr="00591643">
              <w:rPr>
                <w:rFonts w:cs="Times New Roman"/>
                <w:b/>
              </w:rPr>
              <w:t>EXTERNAL PARTNERS</w:t>
            </w:r>
            <w:r w:rsidR="00FF0F46" w:rsidRPr="00591643">
              <w:rPr>
                <w:rFonts w:cs="Times New Roman"/>
                <w:b/>
              </w:rPr>
              <w:t xml:space="preserve"> (TELEPHONE IDIS)</w:t>
            </w:r>
          </w:p>
        </w:tc>
      </w:tr>
      <w:tr w:rsidR="007438C6" w:rsidRPr="00591643" w:rsidTr="00760EBB">
        <w:tc>
          <w:tcPr>
            <w:tcW w:w="2613" w:type="dxa"/>
            <w:tcBorders>
              <w:bottom w:val="single" w:sz="4" w:space="0" w:color="000000" w:themeColor="text1"/>
            </w:tcBorders>
          </w:tcPr>
          <w:p w:rsidR="007438C6" w:rsidRPr="00591643" w:rsidRDefault="007438C6" w:rsidP="002C137E">
            <w:pPr>
              <w:rPr>
                <w:rFonts w:cs="Times New Roman"/>
              </w:rPr>
            </w:pPr>
            <w:r w:rsidRPr="00591643">
              <w:rPr>
                <w:rFonts w:cs="Times New Roman"/>
              </w:rPr>
              <w:t>General mix based on age, gender, role, region</w:t>
            </w:r>
          </w:p>
        </w:tc>
        <w:tc>
          <w:tcPr>
            <w:tcW w:w="1247" w:type="dxa"/>
            <w:tcBorders>
              <w:bottom w:val="single" w:sz="4" w:space="0" w:color="000000" w:themeColor="text1"/>
            </w:tcBorders>
          </w:tcPr>
          <w:p w:rsidR="007438C6" w:rsidRPr="00591643" w:rsidRDefault="007438C6" w:rsidP="002C137E">
            <w:pPr>
              <w:rPr>
                <w:rFonts w:cs="Times New Roman"/>
              </w:rPr>
            </w:pPr>
          </w:p>
        </w:tc>
        <w:tc>
          <w:tcPr>
            <w:tcW w:w="1113" w:type="dxa"/>
            <w:tcBorders>
              <w:bottom w:val="single" w:sz="4" w:space="0" w:color="000000" w:themeColor="text1"/>
            </w:tcBorders>
          </w:tcPr>
          <w:p w:rsidR="007438C6" w:rsidRPr="00591643" w:rsidRDefault="007438C6" w:rsidP="002C137E">
            <w:pPr>
              <w:rPr>
                <w:rFonts w:cs="Times New Roman"/>
              </w:rPr>
            </w:pPr>
          </w:p>
        </w:tc>
        <w:tc>
          <w:tcPr>
            <w:tcW w:w="1168" w:type="dxa"/>
            <w:tcBorders>
              <w:bottom w:val="single" w:sz="4" w:space="0" w:color="000000" w:themeColor="text1"/>
            </w:tcBorders>
          </w:tcPr>
          <w:p w:rsidR="007438C6" w:rsidRPr="00591643" w:rsidRDefault="007438C6" w:rsidP="002C137E">
            <w:pPr>
              <w:rPr>
                <w:rFonts w:cs="Times New Roman"/>
              </w:rPr>
            </w:pPr>
          </w:p>
        </w:tc>
        <w:tc>
          <w:tcPr>
            <w:tcW w:w="1043" w:type="dxa"/>
            <w:tcBorders>
              <w:bottom w:val="single" w:sz="4" w:space="0" w:color="000000" w:themeColor="text1"/>
            </w:tcBorders>
          </w:tcPr>
          <w:p w:rsidR="007438C6" w:rsidRPr="00591643" w:rsidRDefault="007438C6" w:rsidP="002C137E">
            <w:pPr>
              <w:rPr>
                <w:rFonts w:cs="Times New Roman"/>
              </w:rPr>
            </w:pPr>
          </w:p>
        </w:tc>
        <w:tc>
          <w:tcPr>
            <w:tcW w:w="1154" w:type="dxa"/>
            <w:tcBorders>
              <w:bottom w:val="single" w:sz="4" w:space="0" w:color="000000" w:themeColor="text1"/>
            </w:tcBorders>
          </w:tcPr>
          <w:p w:rsidR="007438C6" w:rsidRPr="00591643" w:rsidRDefault="007438C6" w:rsidP="002C137E">
            <w:pPr>
              <w:rPr>
                <w:rFonts w:cs="Times New Roman"/>
              </w:rPr>
            </w:pPr>
          </w:p>
        </w:tc>
        <w:tc>
          <w:tcPr>
            <w:tcW w:w="1031" w:type="dxa"/>
            <w:tcBorders>
              <w:bottom w:val="single" w:sz="4" w:space="0" w:color="000000" w:themeColor="text1"/>
            </w:tcBorders>
          </w:tcPr>
          <w:p w:rsidR="007438C6" w:rsidRPr="00591643" w:rsidRDefault="007438C6" w:rsidP="002C137E">
            <w:pPr>
              <w:rPr>
                <w:rFonts w:cs="Times New Roman"/>
              </w:rPr>
            </w:pPr>
          </w:p>
        </w:tc>
        <w:tc>
          <w:tcPr>
            <w:tcW w:w="1187" w:type="dxa"/>
            <w:tcBorders>
              <w:bottom w:val="single" w:sz="4" w:space="0" w:color="000000" w:themeColor="text1"/>
            </w:tcBorders>
          </w:tcPr>
          <w:p w:rsidR="007438C6" w:rsidRPr="00591643" w:rsidRDefault="007438C6" w:rsidP="002C137E">
            <w:pPr>
              <w:rPr>
                <w:rFonts w:cs="Times New Roman"/>
              </w:rPr>
            </w:pPr>
          </w:p>
        </w:tc>
        <w:tc>
          <w:tcPr>
            <w:tcW w:w="1060" w:type="dxa"/>
            <w:tcBorders>
              <w:bottom w:val="single" w:sz="4" w:space="0" w:color="000000" w:themeColor="text1"/>
            </w:tcBorders>
          </w:tcPr>
          <w:p w:rsidR="007438C6" w:rsidRPr="00591643" w:rsidRDefault="007438C6" w:rsidP="002C137E">
            <w:pPr>
              <w:rPr>
                <w:rFonts w:cs="Times New Roman"/>
              </w:rPr>
            </w:pPr>
          </w:p>
        </w:tc>
        <w:tc>
          <w:tcPr>
            <w:tcW w:w="785" w:type="dxa"/>
            <w:tcBorders>
              <w:bottom w:val="single" w:sz="4" w:space="0" w:color="000000" w:themeColor="text1"/>
            </w:tcBorders>
          </w:tcPr>
          <w:p w:rsidR="007438C6" w:rsidRPr="00591643" w:rsidRDefault="007438C6" w:rsidP="002C137E">
            <w:pPr>
              <w:rPr>
                <w:rFonts w:cs="Times New Roman"/>
              </w:rPr>
            </w:pPr>
            <w:r w:rsidRPr="00591643">
              <w:rPr>
                <w:rFonts w:cs="Times New Roman"/>
              </w:rPr>
              <w:t>15</w:t>
            </w:r>
          </w:p>
        </w:tc>
        <w:tc>
          <w:tcPr>
            <w:tcW w:w="1279" w:type="dxa"/>
            <w:tcBorders>
              <w:bottom w:val="single" w:sz="4" w:space="0" w:color="000000" w:themeColor="text1"/>
            </w:tcBorders>
          </w:tcPr>
          <w:p w:rsidR="007438C6" w:rsidRPr="00591643" w:rsidRDefault="007438C6" w:rsidP="002C137E">
            <w:pPr>
              <w:rPr>
                <w:rFonts w:cs="Times New Roman"/>
              </w:rPr>
            </w:pPr>
            <w:r w:rsidRPr="00591643">
              <w:rPr>
                <w:rFonts w:cs="Times New Roman"/>
              </w:rPr>
              <w:t>5</w:t>
            </w:r>
          </w:p>
        </w:tc>
      </w:tr>
      <w:tr w:rsidR="007438C6" w:rsidRPr="00591643" w:rsidTr="00760EBB">
        <w:tc>
          <w:tcPr>
            <w:tcW w:w="13680" w:type="dxa"/>
            <w:gridSpan w:val="11"/>
            <w:shd w:val="clear" w:color="auto" w:fill="000000" w:themeFill="text1"/>
          </w:tcPr>
          <w:p w:rsidR="007438C6" w:rsidRPr="00591643" w:rsidRDefault="007438C6" w:rsidP="002C137E">
            <w:pPr>
              <w:jc w:val="center"/>
              <w:rPr>
                <w:rFonts w:cs="Times New Roman"/>
                <w:b/>
              </w:rPr>
            </w:pPr>
            <w:r w:rsidRPr="00591643">
              <w:rPr>
                <w:rFonts w:cs="Times New Roman"/>
                <w:b/>
              </w:rPr>
              <w:t>PARENTS/GUARDIANS</w:t>
            </w:r>
            <w:r w:rsidR="00FF0F46" w:rsidRPr="00591643">
              <w:rPr>
                <w:rFonts w:cs="Times New Roman"/>
                <w:b/>
              </w:rPr>
              <w:t xml:space="preserve"> (IN-PERSON FOCUS GROUPS)</w:t>
            </w:r>
          </w:p>
        </w:tc>
      </w:tr>
      <w:tr w:rsidR="007438C6" w:rsidRPr="00591643" w:rsidTr="00760EBB">
        <w:tc>
          <w:tcPr>
            <w:tcW w:w="2613" w:type="dxa"/>
          </w:tcPr>
          <w:p w:rsidR="007438C6" w:rsidRPr="00591643" w:rsidRDefault="007438C6" w:rsidP="002C137E">
            <w:pPr>
              <w:rPr>
                <w:rFonts w:cs="Times New Roman"/>
              </w:rPr>
            </w:pPr>
            <w:r w:rsidRPr="00591643">
              <w:rPr>
                <w:rFonts w:cs="Times New Roman"/>
              </w:rPr>
              <w:t>SNAP eligible</w:t>
            </w:r>
          </w:p>
        </w:tc>
        <w:tc>
          <w:tcPr>
            <w:tcW w:w="1247" w:type="dxa"/>
          </w:tcPr>
          <w:p w:rsidR="007438C6" w:rsidRPr="00591643" w:rsidRDefault="007438C6" w:rsidP="002C137E">
            <w:pPr>
              <w:rPr>
                <w:rFonts w:cs="Times New Roman"/>
              </w:rPr>
            </w:pPr>
            <w:r w:rsidRPr="00591643">
              <w:rPr>
                <w:rFonts w:cs="Times New Roman"/>
              </w:rPr>
              <w:t>X</w:t>
            </w:r>
          </w:p>
        </w:tc>
        <w:tc>
          <w:tcPr>
            <w:tcW w:w="1113" w:type="dxa"/>
          </w:tcPr>
          <w:p w:rsidR="007438C6" w:rsidRPr="00591643" w:rsidRDefault="007438C6" w:rsidP="002C137E">
            <w:pPr>
              <w:rPr>
                <w:rFonts w:cs="Times New Roman"/>
              </w:rPr>
            </w:pPr>
          </w:p>
        </w:tc>
        <w:tc>
          <w:tcPr>
            <w:tcW w:w="1168" w:type="dxa"/>
          </w:tcPr>
          <w:p w:rsidR="007438C6" w:rsidRPr="00591643" w:rsidRDefault="007438C6" w:rsidP="002C137E">
            <w:pPr>
              <w:rPr>
                <w:rFonts w:cs="Times New Roman"/>
              </w:rPr>
            </w:pPr>
          </w:p>
        </w:tc>
        <w:tc>
          <w:tcPr>
            <w:tcW w:w="1043" w:type="dxa"/>
          </w:tcPr>
          <w:p w:rsidR="007438C6" w:rsidRPr="00591643" w:rsidRDefault="007438C6" w:rsidP="002C137E">
            <w:pPr>
              <w:rPr>
                <w:rFonts w:cs="Times New Roman"/>
              </w:rPr>
            </w:pPr>
            <w:r w:rsidRPr="00591643">
              <w:rPr>
                <w:rFonts w:cs="Times New Roman"/>
              </w:rPr>
              <w:t>X</w:t>
            </w:r>
          </w:p>
        </w:tc>
        <w:tc>
          <w:tcPr>
            <w:tcW w:w="1154" w:type="dxa"/>
          </w:tcPr>
          <w:p w:rsidR="007438C6" w:rsidRPr="00591643" w:rsidRDefault="007438C6" w:rsidP="002C137E">
            <w:pPr>
              <w:rPr>
                <w:rFonts w:cs="Times New Roman"/>
              </w:rPr>
            </w:pPr>
          </w:p>
        </w:tc>
        <w:tc>
          <w:tcPr>
            <w:tcW w:w="1031" w:type="dxa"/>
          </w:tcPr>
          <w:p w:rsidR="007438C6" w:rsidRPr="00591643" w:rsidRDefault="007438C6" w:rsidP="002C137E">
            <w:pPr>
              <w:rPr>
                <w:rFonts w:cs="Times New Roman"/>
              </w:rPr>
            </w:pPr>
          </w:p>
        </w:tc>
        <w:tc>
          <w:tcPr>
            <w:tcW w:w="1187" w:type="dxa"/>
          </w:tcPr>
          <w:p w:rsidR="007438C6" w:rsidRPr="00591643" w:rsidRDefault="007438C6" w:rsidP="002C137E">
            <w:pPr>
              <w:rPr>
                <w:rFonts w:cs="Times New Roman"/>
              </w:rPr>
            </w:pPr>
            <w:r w:rsidRPr="00591643">
              <w:rPr>
                <w:rFonts w:cs="Times New Roman"/>
              </w:rPr>
              <w:t>X</w:t>
            </w:r>
          </w:p>
        </w:tc>
        <w:tc>
          <w:tcPr>
            <w:tcW w:w="1060" w:type="dxa"/>
          </w:tcPr>
          <w:p w:rsidR="007438C6" w:rsidRPr="00591643" w:rsidRDefault="007438C6" w:rsidP="002C137E">
            <w:pPr>
              <w:rPr>
                <w:rFonts w:cs="Times New Roman"/>
              </w:rPr>
            </w:pPr>
          </w:p>
        </w:tc>
        <w:tc>
          <w:tcPr>
            <w:tcW w:w="785" w:type="dxa"/>
          </w:tcPr>
          <w:p w:rsidR="007438C6" w:rsidRPr="00591643" w:rsidRDefault="007438C6" w:rsidP="002C137E">
            <w:pPr>
              <w:rPr>
                <w:rFonts w:cs="Times New Roman"/>
              </w:rPr>
            </w:pPr>
          </w:p>
        </w:tc>
        <w:tc>
          <w:tcPr>
            <w:tcW w:w="1279" w:type="dxa"/>
          </w:tcPr>
          <w:p w:rsidR="007438C6" w:rsidRPr="00591643" w:rsidRDefault="007438C6" w:rsidP="002C137E">
            <w:pPr>
              <w:rPr>
                <w:rFonts w:cs="Times New Roman"/>
              </w:rPr>
            </w:pPr>
          </w:p>
        </w:tc>
      </w:tr>
      <w:tr w:rsidR="007438C6" w:rsidRPr="00591643" w:rsidTr="00760EBB">
        <w:tc>
          <w:tcPr>
            <w:tcW w:w="2613" w:type="dxa"/>
          </w:tcPr>
          <w:p w:rsidR="007438C6" w:rsidRPr="00591643" w:rsidRDefault="007438C6" w:rsidP="003672E2">
            <w:pPr>
              <w:rPr>
                <w:rFonts w:cs="Times New Roman"/>
              </w:rPr>
            </w:pPr>
            <w:r w:rsidRPr="00591643">
              <w:rPr>
                <w:rFonts w:cs="Times New Roman"/>
              </w:rPr>
              <w:t xml:space="preserve">SNAP </w:t>
            </w:r>
            <w:r w:rsidR="003672E2">
              <w:rPr>
                <w:rFonts w:cs="Times New Roman"/>
              </w:rPr>
              <w:t>non-</w:t>
            </w:r>
            <w:r w:rsidRPr="00591643">
              <w:rPr>
                <w:rFonts w:cs="Times New Roman"/>
              </w:rPr>
              <w:t>eligible</w:t>
            </w:r>
          </w:p>
        </w:tc>
        <w:tc>
          <w:tcPr>
            <w:tcW w:w="1247" w:type="dxa"/>
          </w:tcPr>
          <w:p w:rsidR="007438C6" w:rsidRPr="00591643" w:rsidRDefault="007438C6" w:rsidP="002C137E">
            <w:pPr>
              <w:rPr>
                <w:rFonts w:cs="Times New Roman"/>
              </w:rPr>
            </w:pPr>
          </w:p>
        </w:tc>
        <w:tc>
          <w:tcPr>
            <w:tcW w:w="1113" w:type="dxa"/>
          </w:tcPr>
          <w:p w:rsidR="007438C6" w:rsidRPr="00591643" w:rsidRDefault="007438C6" w:rsidP="002C137E">
            <w:pPr>
              <w:rPr>
                <w:rFonts w:cs="Times New Roman"/>
              </w:rPr>
            </w:pPr>
          </w:p>
        </w:tc>
        <w:tc>
          <w:tcPr>
            <w:tcW w:w="1168" w:type="dxa"/>
          </w:tcPr>
          <w:p w:rsidR="007438C6" w:rsidRPr="00591643" w:rsidRDefault="007438C6" w:rsidP="002C137E">
            <w:pPr>
              <w:rPr>
                <w:rFonts w:cs="Times New Roman"/>
              </w:rPr>
            </w:pPr>
            <w:r w:rsidRPr="00591643">
              <w:rPr>
                <w:rFonts w:cs="Times New Roman"/>
              </w:rPr>
              <w:t>X</w:t>
            </w:r>
          </w:p>
        </w:tc>
        <w:tc>
          <w:tcPr>
            <w:tcW w:w="1043" w:type="dxa"/>
          </w:tcPr>
          <w:p w:rsidR="007438C6" w:rsidRPr="00591643" w:rsidRDefault="007438C6" w:rsidP="002C137E">
            <w:pPr>
              <w:rPr>
                <w:rFonts w:cs="Times New Roman"/>
              </w:rPr>
            </w:pPr>
          </w:p>
        </w:tc>
        <w:tc>
          <w:tcPr>
            <w:tcW w:w="1154" w:type="dxa"/>
          </w:tcPr>
          <w:p w:rsidR="007438C6" w:rsidRPr="00591643" w:rsidRDefault="007438C6" w:rsidP="002C137E">
            <w:pPr>
              <w:rPr>
                <w:rFonts w:cs="Times New Roman"/>
              </w:rPr>
            </w:pPr>
            <w:r w:rsidRPr="00591643">
              <w:rPr>
                <w:rFonts w:cs="Times New Roman"/>
              </w:rPr>
              <w:t>X</w:t>
            </w:r>
          </w:p>
        </w:tc>
        <w:tc>
          <w:tcPr>
            <w:tcW w:w="1031" w:type="dxa"/>
          </w:tcPr>
          <w:p w:rsidR="007438C6" w:rsidRPr="00591643" w:rsidRDefault="007438C6" w:rsidP="002C137E">
            <w:pPr>
              <w:rPr>
                <w:rFonts w:cs="Times New Roman"/>
              </w:rPr>
            </w:pPr>
          </w:p>
        </w:tc>
        <w:tc>
          <w:tcPr>
            <w:tcW w:w="1187" w:type="dxa"/>
          </w:tcPr>
          <w:p w:rsidR="007438C6" w:rsidRPr="00591643" w:rsidRDefault="007438C6" w:rsidP="002C137E">
            <w:pPr>
              <w:rPr>
                <w:rFonts w:cs="Times New Roman"/>
              </w:rPr>
            </w:pPr>
          </w:p>
        </w:tc>
        <w:tc>
          <w:tcPr>
            <w:tcW w:w="1060" w:type="dxa"/>
          </w:tcPr>
          <w:p w:rsidR="007438C6" w:rsidRPr="00591643" w:rsidRDefault="007438C6" w:rsidP="002C137E">
            <w:pPr>
              <w:rPr>
                <w:rFonts w:cs="Times New Roman"/>
              </w:rPr>
            </w:pPr>
            <w:r w:rsidRPr="00591643">
              <w:rPr>
                <w:rFonts w:cs="Times New Roman"/>
              </w:rPr>
              <w:t>X</w:t>
            </w:r>
          </w:p>
        </w:tc>
        <w:tc>
          <w:tcPr>
            <w:tcW w:w="785" w:type="dxa"/>
          </w:tcPr>
          <w:p w:rsidR="007438C6" w:rsidRPr="00591643" w:rsidRDefault="007438C6" w:rsidP="002C137E">
            <w:pPr>
              <w:rPr>
                <w:rFonts w:cs="Times New Roman"/>
              </w:rPr>
            </w:pPr>
          </w:p>
        </w:tc>
        <w:tc>
          <w:tcPr>
            <w:tcW w:w="1279" w:type="dxa"/>
          </w:tcPr>
          <w:p w:rsidR="007438C6" w:rsidRPr="00591643" w:rsidRDefault="007438C6" w:rsidP="002C137E">
            <w:pPr>
              <w:rPr>
                <w:rFonts w:cs="Times New Roman"/>
              </w:rPr>
            </w:pPr>
          </w:p>
        </w:tc>
      </w:tr>
    </w:tbl>
    <w:p w:rsidR="007438C6" w:rsidRPr="00591643" w:rsidRDefault="007438C6" w:rsidP="007438C6">
      <w:pPr>
        <w:rPr>
          <w:rFonts w:cs="Times New Roman"/>
        </w:rPr>
        <w:sectPr w:rsidR="007438C6" w:rsidRPr="00591643" w:rsidSect="002C137E">
          <w:pgSz w:w="15840" w:h="12240" w:orient="landscape"/>
          <w:pgMar w:top="1440" w:right="1440" w:bottom="1440" w:left="1440" w:header="720" w:footer="720" w:gutter="0"/>
          <w:cols w:space="720"/>
          <w:docGrid w:linePitch="360"/>
        </w:sectPr>
      </w:pPr>
    </w:p>
    <w:p w:rsidR="007438C6" w:rsidRPr="00591643" w:rsidRDefault="007438C6" w:rsidP="007438C6">
      <w:pPr>
        <w:spacing w:after="0"/>
        <w:jc w:val="center"/>
        <w:rPr>
          <w:rFonts w:cs="Times New Roman"/>
          <w:b/>
          <w:u w:val="single"/>
        </w:rPr>
      </w:pPr>
      <w:r w:rsidRPr="00591643">
        <w:rPr>
          <w:rFonts w:cs="Times New Roman"/>
          <w:b/>
          <w:u w:val="single"/>
        </w:rPr>
        <w:t xml:space="preserve">Quantitative Research: </w:t>
      </w:r>
      <w:r w:rsidR="003672E2">
        <w:rPr>
          <w:rFonts w:cs="Times New Roman"/>
          <w:b/>
          <w:u w:val="single"/>
        </w:rPr>
        <w:t xml:space="preserve"> </w:t>
      </w:r>
      <w:r w:rsidRPr="00591643">
        <w:rPr>
          <w:rFonts w:cs="Times New Roman"/>
          <w:b/>
          <w:u w:val="single"/>
        </w:rPr>
        <w:t>Stakeholders Represented and Design</w:t>
      </w:r>
    </w:p>
    <w:p w:rsidR="007438C6" w:rsidRPr="00591643" w:rsidRDefault="007438C6" w:rsidP="007438C6">
      <w:pPr>
        <w:spacing w:after="0"/>
        <w:rPr>
          <w:rFonts w:cs="Times New Roman"/>
        </w:rPr>
      </w:pPr>
    </w:p>
    <w:p w:rsidR="007438C6" w:rsidRPr="00591643" w:rsidRDefault="006F2029" w:rsidP="007438C6">
      <w:pPr>
        <w:spacing w:after="0"/>
        <w:rPr>
          <w:rFonts w:cs="Times New Roman"/>
        </w:rPr>
      </w:pPr>
      <w:r>
        <w:rPr>
          <w:rFonts w:cs="Times New Roman"/>
        </w:rPr>
        <w:t>FH/GMMB</w:t>
      </w:r>
      <w:r w:rsidR="007438C6" w:rsidRPr="00591643">
        <w:rPr>
          <w:rFonts w:cs="Times New Roman"/>
        </w:rPr>
        <w:t xml:space="preserve"> propose</w:t>
      </w:r>
      <w:r>
        <w:rPr>
          <w:rFonts w:cs="Times New Roman"/>
        </w:rPr>
        <w:t>s</w:t>
      </w:r>
      <w:r w:rsidR="007438C6" w:rsidRPr="00591643">
        <w:rPr>
          <w:rFonts w:cs="Times New Roman"/>
        </w:rPr>
        <w:t xml:space="preserve"> conducting national benchmark and tracking surveys with two key audiences</w:t>
      </w:r>
      <w:r w:rsidR="003672E2">
        <w:rPr>
          <w:rFonts w:cs="Times New Roman"/>
        </w:rPr>
        <w:t xml:space="preserve"> to </w:t>
      </w:r>
      <w:r w:rsidR="007438C6" w:rsidRPr="00591643">
        <w:rPr>
          <w:rFonts w:cs="Times New Roman"/>
        </w:rPr>
        <w:t>be used to assess the program messengers’ awareness and perceptions of USDA Commodities</w:t>
      </w:r>
      <w:r w:rsidR="003672E2">
        <w:rPr>
          <w:rFonts w:cs="Times New Roman"/>
        </w:rPr>
        <w:t>,</w:t>
      </w:r>
      <w:r w:rsidR="007438C6" w:rsidRPr="00591643">
        <w:rPr>
          <w:rFonts w:cs="Times New Roman"/>
        </w:rPr>
        <w:t xml:space="preserve"> as well as their exposure to USDA Commodities’ communication efforts. </w:t>
      </w:r>
      <w:r w:rsidR="00BD78A8">
        <w:rPr>
          <w:rFonts w:cs="Times New Roman"/>
        </w:rPr>
        <w:t xml:space="preserve"> </w:t>
      </w:r>
      <w:r w:rsidR="007438C6" w:rsidRPr="00591643">
        <w:rPr>
          <w:rFonts w:cs="Times New Roman"/>
        </w:rPr>
        <w:t xml:space="preserve">Results from these surveys will serve as benchmark measures, which will be used to track changes in attitudes toward USDA Commodities over time. </w:t>
      </w:r>
      <w:r w:rsidR="00BD78A8">
        <w:rPr>
          <w:rFonts w:cs="Times New Roman"/>
        </w:rPr>
        <w:t xml:space="preserve"> </w:t>
      </w:r>
      <w:r>
        <w:rPr>
          <w:rFonts w:cs="Times New Roman"/>
        </w:rPr>
        <w:t>FH/GMMB</w:t>
      </w:r>
      <w:r w:rsidR="007438C6" w:rsidRPr="00591643">
        <w:rPr>
          <w:rFonts w:cs="Times New Roman"/>
        </w:rPr>
        <w:t xml:space="preserve"> propose</w:t>
      </w:r>
      <w:r>
        <w:rPr>
          <w:rFonts w:cs="Times New Roman"/>
        </w:rPr>
        <w:t>s</w:t>
      </w:r>
      <w:r w:rsidR="007438C6" w:rsidRPr="00591643">
        <w:rPr>
          <w:rFonts w:cs="Times New Roman"/>
        </w:rPr>
        <w:t xml:space="preserve"> conducting the benchmark su</w:t>
      </w:r>
      <w:r w:rsidR="00BF1A3D">
        <w:rPr>
          <w:rFonts w:cs="Times New Roman"/>
        </w:rPr>
        <w:t>rveys with up to 500</w:t>
      </w:r>
      <w:r w:rsidR="007438C6" w:rsidRPr="00591643">
        <w:rPr>
          <w:rFonts w:cs="Times New Roman"/>
        </w:rPr>
        <w:t xml:space="preserve"> child nutrition professionals and </w:t>
      </w:r>
      <w:r w:rsidR="00BF1A3D">
        <w:rPr>
          <w:rFonts w:cs="Times New Roman"/>
        </w:rPr>
        <w:t xml:space="preserve">up to </w:t>
      </w:r>
      <w:r w:rsidR="007438C6" w:rsidRPr="00591643">
        <w:rPr>
          <w:rFonts w:cs="Times New Roman"/>
        </w:rPr>
        <w:t>250 teachers</w:t>
      </w:r>
      <w:r w:rsidR="00783659">
        <w:rPr>
          <w:rFonts w:cs="Times New Roman"/>
        </w:rPr>
        <w:t>,</w:t>
      </w:r>
      <w:r w:rsidR="007438C6" w:rsidRPr="00591643">
        <w:rPr>
          <w:rFonts w:cs="Times New Roman"/>
        </w:rPr>
        <w:t xml:space="preserve"> and </w:t>
      </w:r>
      <w:r>
        <w:rPr>
          <w:rFonts w:cs="Times New Roman"/>
        </w:rPr>
        <w:t>FH/GMMB</w:t>
      </w:r>
      <w:r w:rsidR="00783659">
        <w:rPr>
          <w:rFonts w:cs="Times New Roman"/>
        </w:rPr>
        <w:t xml:space="preserve"> propose</w:t>
      </w:r>
      <w:r>
        <w:rPr>
          <w:rFonts w:cs="Times New Roman"/>
        </w:rPr>
        <w:t>s</w:t>
      </w:r>
      <w:r w:rsidR="00783659">
        <w:rPr>
          <w:rFonts w:cs="Times New Roman"/>
        </w:rPr>
        <w:t xml:space="preserve"> conducting the </w:t>
      </w:r>
      <w:r w:rsidR="007438C6" w:rsidRPr="00591643">
        <w:rPr>
          <w:rFonts w:cs="Times New Roman"/>
        </w:rPr>
        <w:t>tr</w:t>
      </w:r>
      <w:r w:rsidR="00BF1A3D">
        <w:rPr>
          <w:rFonts w:cs="Times New Roman"/>
        </w:rPr>
        <w:t xml:space="preserve">acking surveys with up to 500 </w:t>
      </w:r>
      <w:r w:rsidR="007438C6" w:rsidRPr="00591643">
        <w:rPr>
          <w:rFonts w:cs="Times New Roman"/>
        </w:rPr>
        <w:t xml:space="preserve">child nutrition professionals and </w:t>
      </w:r>
      <w:r w:rsidR="00BF1A3D">
        <w:rPr>
          <w:rFonts w:cs="Times New Roman"/>
        </w:rPr>
        <w:t xml:space="preserve">up to </w:t>
      </w:r>
      <w:r w:rsidR="007438C6" w:rsidRPr="00591643">
        <w:rPr>
          <w:rFonts w:cs="Times New Roman"/>
        </w:rPr>
        <w:t>250 teachers.</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Demographic Composition of Survey Participants</w:t>
      </w:r>
    </w:p>
    <w:p w:rsidR="007438C6" w:rsidRPr="00591643" w:rsidRDefault="007438C6" w:rsidP="007438C6">
      <w:pPr>
        <w:spacing w:after="0"/>
        <w:rPr>
          <w:rFonts w:cs="Times New Roman"/>
        </w:rPr>
      </w:pPr>
      <w:r w:rsidRPr="00591643">
        <w:rPr>
          <w:rFonts w:cs="Times New Roman"/>
        </w:rPr>
        <w:t>For the child nutrition professional</w:t>
      </w:r>
      <w:r w:rsidR="00BD78A8">
        <w:rPr>
          <w:rFonts w:cs="Times New Roman"/>
        </w:rPr>
        <w:t>s</w:t>
      </w:r>
      <w:r w:rsidRPr="00591643">
        <w:rPr>
          <w:rFonts w:cs="Times New Roman"/>
        </w:rPr>
        <w:t xml:space="preserve"> benchmark and tracking surveys, the surveys will represent a nationally diverse mix of child nutrition professionals based on characteristics such as region, tenure, school district size</w:t>
      </w:r>
      <w:r w:rsidR="00BD78A8">
        <w:rPr>
          <w:rFonts w:cs="Times New Roman"/>
        </w:rPr>
        <w:t>,</w:t>
      </w:r>
      <w:r w:rsidRPr="00591643">
        <w:rPr>
          <w:rFonts w:cs="Times New Roman"/>
        </w:rPr>
        <w:t xml:space="preserve"> and race/ethnicity.</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For the teacher</w:t>
      </w:r>
      <w:r w:rsidR="00BD78A8">
        <w:rPr>
          <w:rFonts w:cs="Times New Roman"/>
        </w:rPr>
        <w:t>s</w:t>
      </w:r>
      <w:r w:rsidRPr="00591643">
        <w:rPr>
          <w:rFonts w:cs="Times New Roman"/>
        </w:rPr>
        <w:t xml:space="preserve"> benchmark and tracking surveys, the surveys will represent a nationally </w:t>
      </w:r>
      <w:r w:rsidR="00D87938" w:rsidRPr="00591643">
        <w:rPr>
          <w:rFonts w:cs="Times New Roman"/>
        </w:rPr>
        <w:t>diverse mix</w:t>
      </w:r>
      <w:r w:rsidRPr="00591643">
        <w:rPr>
          <w:rFonts w:cs="Times New Roman"/>
        </w:rPr>
        <w:t xml:space="preserve"> of K through 12 teachers based on characteristics such as tenure, sub</w:t>
      </w:r>
      <w:r w:rsidR="00760EBB">
        <w:rPr>
          <w:rFonts w:cs="Times New Roman"/>
        </w:rPr>
        <w:t>ject taught, school size, region</w:t>
      </w:r>
      <w:r w:rsidR="00BD78A8">
        <w:rPr>
          <w:rFonts w:cs="Times New Roman"/>
        </w:rPr>
        <w:t>,</w:t>
      </w:r>
      <w:r w:rsidR="00760EBB">
        <w:rPr>
          <w:rFonts w:cs="Times New Roman"/>
        </w:rPr>
        <w:t xml:space="preserve"> </w:t>
      </w:r>
      <w:r w:rsidRPr="00591643">
        <w:rPr>
          <w:rFonts w:cs="Times New Roman"/>
        </w:rPr>
        <w:t>and race/ethnicity.</w:t>
      </w:r>
    </w:p>
    <w:p w:rsidR="007438C6" w:rsidRPr="00591643" w:rsidRDefault="007438C6" w:rsidP="007438C6">
      <w:pPr>
        <w:spacing w:after="0"/>
        <w:rPr>
          <w:rFonts w:cs="Times New Roman"/>
        </w:rPr>
      </w:pPr>
    </w:p>
    <w:p w:rsidR="007438C6" w:rsidRDefault="007438C6" w:rsidP="007438C6">
      <w:pPr>
        <w:spacing w:after="0"/>
        <w:rPr>
          <w:rFonts w:cs="Times New Roman"/>
          <w:b/>
        </w:rPr>
      </w:pPr>
      <w:r w:rsidRPr="00591643">
        <w:rPr>
          <w:rFonts w:cs="Times New Roman"/>
          <w:b/>
        </w:rPr>
        <w:t>Identification of Survey Participants</w:t>
      </w:r>
    </w:p>
    <w:p w:rsidR="00992BE1" w:rsidRDefault="00992BE1" w:rsidP="00992BE1">
      <w:pPr>
        <w:spacing w:after="0"/>
        <w:rPr>
          <w:i/>
        </w:rPr>
      </w:pPr>
      <w:r>
        <w:rPr>
          <w:i/>
        </w:rPr>
        <w:t>Child Nutrition Professionals</w:t>
      </w:r>
    </w:p>
    <w:p w:rsidR="00992BE1" w:rsidRDefault="00992BE1" w:rsidP="00992BE1">
      <w:pPr>
        <w:spacing w:after="0"/>
      </w:pPr>
      <w:r>
        <w:t xml:space="preserve">No more than 500 child nutrition professionals will participate in the benchmark survey and no more than 500 will participate in the tracking survey. The actual sample sizes will be dependent on the size of the lists FNS is able to develop and share. Using a targeted e-mail list, individuals will be invited to participate in the Web </w:t>
      </w:r>
      <w:r w:rsidRPr="00992BE1">
        <w:t xml:space="preserve">surveys. (Please note that the participants will receive an e-mail from FH with a link to </w:t>
      </w:r>
      <w:r w:rsidR="004D3B22">
        <w:t xml:space="preserve">the </w:t>
      </w:r>
      <w:r w:rsidRPr="00992BE1">
        <w:t>Web site, which will include the introduction to the survey – see Attachment N. The</w:t>
      </w:r>
      <w:r>
        <w:t xml:space="preserve"> actual URL will not be available until the survey is programmed.) The surveys will remain open for up to two weeks and FH/GMMB will send out up to three reminder e-mails to potential participants (see Attachment P).</w:t>
      </w:r>
    </w:p>
    <w:p w:rsidR="00992BE1" w:rsidRDefault="00992BE1" w:rsidP="00992BE1">
      <w:pPr>
        <w:spacing w:after="0"/>
      </w:pPr>
    </w:p>
    <w:p w:rsidR="00992BE1" w:rsidRDefault="00992BE1" w:rsidP="00992BE1">
      <w:pPr>
        <w:spacing w:after="0"/>
        <w:rPr>
          <w:i/>
        </w:rPr>
      </w:pPr>
      <w:r>
        <w:rPr>
          <w:i/>
        </w:rPr>
        <w:t>Teachers</w:t>
      </w:r>
    </w:p>
    <w:p w:rsidR="00992BE1" w:rsidRPr="00992BE1" w:rsidRDefault="00992BE1" w:rsidP="00992BE1">
      <w:pPr>
        <w:spacing w:after="0"/>
        <w:rPr>
          <w:i/>
        </w:rPr>
      </w:pPr>
      <w:r w:rsidRPr="00992BE1">
        <w:t>Approximately 250 K through 12 teachers will participate in the benchmark survey and approximately 250 will participate in the tracking survey. Working with an online Web panel, individuals will be invited by a market research vendor to participate in the Web surveys. (Please note that the participants will receive an e-mail from the vendor with a link to Web site, which will include the introduction to the survey – see Attachment O. The actual URL will not be available until the survey is programmed.) The surveys will remain open for up to two weeks and the vendor will send out up to three reminder e-mails to potential participants (see Attachment P).</w:t>
      </w:r>
    </w:p>
    <w:p w:rsidR="00992BE1" w:rsidRPr="00591643" w:rsidRDefault="00992BE1" w:rsidP="007438C6">
      <w:pPr>
        <w:spacing w:after="0"/>
        <w:rPr>
          <w:rFonts w:cs="Times New Roman"/>
          <w:b/>
        </w:rPr>
      </w:pPr>
    </w:p>
    <w:p w:rsidR="007438C6" w:rsidRDefault="007438C6" w:rsidP="007438C6">
      <w:pPr>
        <w:spacing w:after="0"/>
        <w:rPr>
          <w:rFonts w:cs="Times New Roman"/>
        </w:rPr>
      </w:pPr>
    </w:p>
    <w:p w:rsidR="00992BE1" w:rsidRDefault="00992BE1" w:rsidP="007438C6">
      <w:pPr>
        <w:spacing w:after="0"/>
        <w:rPr>
          <w:rFonts w:cs="Times New Roman"/>
        </w:rPr>
      </w:pPr>
    </w:p>
    <w:p w:rsidR="00992BE1" w:rsidRDefault="00992BE1" w:rsidP="007438C6">
      <w:pPr>
        <w:spacing w:after="0"/>
        <w:rPr>
          <w:rFonts w:cs="Times New Roman"/>
        </w:rPr>
      </w:pPr>
    </w:p>
    <w:p w:rsidR="00992BE1" w:rsidRPr="00591643" w:rsidRDefault="00992BE1" w:rsidP="007438C6">
      <w:pPr>
        <w:spacing w:after="0"/>
        <w:rPr>
          <w:rFonts w:cs="Times New Roman"/>
        </w:rPr>
      </w:pPr>
    </w:p>
    <w:p w:rsidR="007438C6" w:rsidRPr="00591643" w:rsidRDefault="003C4BD6" w:rsidP="007438C6">
      <w:pPr>
        <w:spacing w:after="0"/>
        <w:rPr>
          <w:rFonts w:cs="Times New Roman"/>
          <w:b/>
        </w:rPr>
      </w:pPr>
      <w:r w:rsidRPr="00591643">
        <w:rPr>
          <w:rFonts w:cs="Times New Roman"/>
          <w:b/>
        </w:rPr>
        <w:t>Participant reimbursement:</w:t>
      </w:r>
    </w:p>
    <w:p w:rsidR="00AE3306" w:rsidRDefault="007438C6">
      <w:pPr>
        <w:pStyle w:val="ListParagraph"/>
        <w:numPr>
          <w:ilvl w:val="0"/>
          <w:numId w:val="23"/>
        </w:numPr>
        <w:spacing w:after="0"/>
        <w:rPr>
          <w:rFonts w:cs="Times New Roman"/>
        </w:rPr>
      </w:pPr>
      <w:r w:rsidRPr="00591643">
        <w:rPr>
          <w:rFonts w:cs="Times New Roman"/>
        </w:rPr>
        <w:t xml:space="preserve">Child nutrition professionals will not receive a </w:t>
      </w:r>
      <w:r w:rsidR="00DB6250" w:rsidRPr="00591643">
        <w:rPr>
          <w:rFonts w:cs="Times New Roman"/>
        </w:rPr>
        <w:t>reimbursement</w:t>
      </w:r>
      <w:r w:rsidRPr="00591643">
        <w:rPr>
          <w:rFonts w:cs="Times New Roman"/>
        </w:rPr>
        <w:t xml:space="preserve"> for participating in the survey.</w:t>
      </w:r>
      <w:r w:rsidR="00760EBB">
        <w:rPr>
          <w:rFonts w:cs="Times New Roman"/>
        </w:rPr>
        <w:t xml:space="preserve"> </w:t>
      </w:r>
      <w:r w:rsidRPr="00BD78A8">
        <w:rPr>
          <w:rFonts w:cs="Times New Roman"/>
        </w:rPr>
        <w:t xml:space="preserve">Teachers will receive a small reimbursement for their time, which will </w:t>
      </w:r>
      <w:r w:rsidR="00DB6250" w:rsidRPr="00BD78A8">
        <w:rPr>
          <w:rFonts w:cs="Times New Roman"/>
        </w:rPr>
        <w:t xml:space="preserve">not exceed $50 and will </w:t>
      </w:r>
      <w:r w:rsidR="00760EBB">
        <w:rPr>
          <w:rFonts w:cs="Times New Roman"/>
        </w:rPr>
        <w:t>be provided by the research vendor.</w:t>
      </w:r>
    </w:p>
    <w:p w:rsidR="00BD78A8" w:rsidRPr="00BD78A8" w:rsidRDefault="00BD78A8" w:rsidP="00BD78A8">
      <w:pPr>
        <w:pStyle w:val="ListParagraph"/>
        <w:spacing w:after="0"/>
        <w:ind w:left="360"/>
        <w:rPr>
          <w:rFonts w:cs="Times New Roman"/>
        </w:rPr>
      </w:pPr>
    </w:p>
    <w:p w:rsidR="007438C6" w:rsidRPr="00BD78A8" w:rsidRDefault="007438C6" w:rsidP="007438C6">
      <w:pPr>
        <w:spacing w:after="0"/>
        <w:rPr>
          <w:rFonts w:cs="Times New Roman"/>
          <w:b/>
        </w:rPr>
      </w:pPr>
      <w:r w:rsidRPr="00BD78A8">
        <w:rPr>
          <w:rFonts w:cs="Times New Roman"/>
          <w:b/>
        </w:rPr>
        <w:t>Confidentiality:</w:t>
      </w:r>
    </w:p>
    <w:p w:rsidR="007438C6" w:rsidRPr="00591643" w:rsidRDefault="00245620" w:rsidP="007438C6">
      <w:pPr>
        <w:pStyle w:val="ListParagraph"/>
        <w:numPr>
          <w:ilvl w:val="0"/>
          <w:numId w:val="23"/>
        </w:numPr>
        <w:spacing w:after="0"/>
        <w:rPr>
          <w:rFonts w:cs="Times New Roman"/>
        </w:rPr>
      </w:pPr>
      <w:r>
        <w:rPr>
          <w:rFonts w:cs="Times New Roman"/>
        </w:rPr>
        <w:t>The participants will be informed of confidentiality and privacy act provision</w:t>
      </w:r>
      <w:r w:rsidR="007438C6" w:rsidRPr="00591643">
        <w:rPr>
          <w:rFonts w:cs="Times New Roman"/>
        </w:rPr>
        <w:t xml:space="preserve">s before participating in the surveys and the OMB control number. </w:t>
      </w:r>
      <w:r w:rsidR="00BD78A8">
        <w:rPr>
          <w:rFonts w:cs="Times New Roman"/>
        </w:rPr>
        <w:t xml:space="preserve"> </w:t>
      </w:r>
      <w:r w:rsidR="007438C6" w:rsidRPr="00591643">
        <w:rPr>
          <w:rFonts w:cs="Times New Roman"/>
        </w:rPr>
        <w:t>The participants will be told the approximate amount of time the surveys will require of them.</w:t>
      </w:r>
    </w:p>
    <w:p w:rsidR="007438C6" w:rsidRPr="00591643" w:rsidRDefault="007438C6" w:rsidP="007438C6">
      <w:pPr>
        <w:pStyle w:val="ListParagraph"/>
        <w:numPr>
          <w:ilvl w:val="0"/>
          <w:numId w:val="23"/>
        </w:numPr>
        <w:spacing w:after="0"/>
        <w:rPr>
          <w:rFonts w:cs="Times New Roman"/>
        </w:rPr>
      </w:pPr>
      <w:r w:rsidRPr="00591643">
        <w:rPr>
          <w:rFonts w:cs="Times New Roman"/>
        </w:rPr>
        <w:t>The identity of the participants will remain confidential, and the participants will be assured that their name will never appear in any reports to USDA.</w:t>
      </w:r>
    </w:p>
    <w:p w:rsidR="007438C6" w:rsidRPr="00591643" w:rsidRDefault="007438C6" w:rsidP="007438C6">
      <w:pPr>
        <w:pStyle w:val="ListParagraph"/>
        <w:numPr>
          <w:ilvl w:val="0"/>
          <w:numId w:val="23"/>
        </w:numPr>
        <w:spacing w:after="0"/>
        <w:rPr>
          <w:rFonts w:cs="Times New Roman"/>
        </w:rPr>
      </w:pPr>
      <w:r w:rsidRPr="00591643">
        <w:rPr>
          <w:rFonts w:cs="Times New Roman"/>
        </w:rPr>
        <w:t>The USDA’s sponsorship of the research will be revealed to the participants during the surveys.</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Pretest of Survey Questionnaire</w:t>
      </w:r>
    </w:p>
    <w:p w:rsidR="003C4BD6" w:rsidRPr="00591643" w:rsidRDefault="007438C6" w:rsidP="003C4BD6">
      <w:pPr>
        <w:spacing w:after="0"/>
        <w:rPr>
          <w:rFonts w:cs="Times New Roman"/>
        </w:rPr>
      </w:pPr>
      <w:r w:rsidRPr="00591643">
        <w:rPr>
          <w:rFonts w:cs="Times New Roman"/>
        </w:rPr>
        <w:t xml:space="preserve">The survey questionnaires have </w:t>
      </w:r>
      <w:r w:rsidR="0099131D">
        <w:rPr>
          <w:rFonts w:cs="Times New Roman"/>
        </w:rPr>
        <w:t xml:space="preserve">been </w:t>
      </w:r>
      <w:r w:rsidR="0099131D" w:rsidRPr="00BB380E">
        <w:rPr>
          <w:rFonts w:cs="Times New Roman"/>
        </w:rPr>
        <w:t>developed (</w:t>
      </w:r>
      <w:r w:rsidR="004604E5">
        <w:rPr>
          <w:rFonts w:cs="Times New Roman"/>
        </w:rPr>
        <w:t>s</w:t>
      </w:r>
      <w:r w:rsidR="00245620" w:rsidRPr="00BB380E">
        <w:rPr>
          <w:rFonts w:cs="Times New Roman"/>
        </w:rPr>
        <w:t>ee Attachment N and Attachment O</w:t>
      </w:r>
      <w:r w:rsidRPr="00BB380E">
        <w:rPr>
          <w:rFonts w:cs="Times New Roman"/>
        </w:rPr>
        <w:t xml:space="preserve">). </w:t>
      </w:r>
      <w:r w:rsidR="00BD78A8" w:rsidRPr="00BB380E">
        <w:rPr>
          <w:rFonts w:cs="Times New Roman"/>
        </w:rPr>
        <w:t xml:space="preserve"> </w:t>
      </w:r>
      <w:r w:rsidRPr="00BB380E">
        <w:rPr>
          <w:rFonts w:cs="Times New Roman"/>
        </w:rPr>
        <w:t>FH</w:t>
      </w:r>
      <w:r w:rsidRPr="00591643">
        <w:rPr>
          <w:rFonts w:cs="Times New Roman"/>
        </w:rPr>
        <w:t>/GMMB will test the survey questionnaires in or</w:t>
      </w:r>
      <w:r w:rsidR="00F60C64">
        <w:rPr>
          <w:rFonts w:cs="Times New Roman"/>
        </w:rPr>
        <w:t>der to assess the clarity of the</w:t>
      </w:r>
      <w:r w:rsidRPr="00591643">
        <w:rPr>
          <w:rFonts w:cs="Times New Roman"/>
        </w:rPr>
        <w:t xml:space="preserve"> questions and their relevance to the target audiences. </w:t>
      </w:r>
      <w:r w:rsidR="00BD78A8">
        <w:rPr>
          <w:rFonts w:cs="Times New Roman"/>
        </w:rPr>
        <w:t xml:space="preserve"> </w:t>
      </w:r>
      <w:r w:rsidRPr="00591643">
        <w:rPr>
          <w:rFonts w:cs="Times New Roman"/>
        </w:rPr>
        <w:t xml:space="preserve">This exercise will determine how well the organization of the questionnaire flows from one question to another. </w:t>
      </w:r>
      <w:r w:rsidR="00BD78A8">
        <w:rPr>
          <w:rFonts w:cs="Times New Roman"/>
        </w:rPr>
        <w:t xml:space="preserve"> </w:t>
      </w:r>
      <w:r w:rsidR="00760EBB">
        <w:rPr>
          <w:rFonts w:cs="Times New Roman"/>
        </w:rPr>
        <w:t xml:space="preserve">FH/GMMB </w:t>
      </w:r>
      <w:r w:rsidRPr="00591643">
        <w:rPr>
          <w:rFonts w:cs="Times New Roman"/>
        </w:rPr>
        <w:t xml:space="preserve">will implement this </w:t>
      </w:r>
      <w:r w:rsidR="004604E5">
        <w:rPr>
          <w:rFonts w:cs="Times New Roman"/>
        </w:rPr>
        <w:t>pre</w:t>
      </w:r>
      <w:r w:rsidRPr="00591643">
        <w:rPr>
          <w:rFonts w:cs="Times New Roman"/>
        </w:rPr>
        <w:t xml:space="preserve">test by sending the Web survey link to </w:t>
      </w:r>
      <w:r w:rsidR="00B96E2D" w:rsidRPr="00591643">
        <w:rPr>
          <w:rFonts w:cs="Times New Roman"/>
        </w:rPr>
        <w:t>no more than nine</w:t>
      </w:r>
      <w:r w:rsidR="00437330" w:rsidRPr="00591643">
        <w:rPr>
          <w:rFonts w:cs="Times New Roman"/>
        </w:rPr>
        <w:t xml:space="preserve"> p</w:t>
      </w:r>
      <w:r w:rsidRPr="00591643">
        <w:rPr>
          <w:rFonts w:cs="Times New Roman"/>
        </w:rPr>
        <w:t xml:space="preserve">articipants (per audience), selected at random from a targeted list. </w:t>
      </w:r>
      <w:r w:rsidR="00BD78A8">
        <w:rPr>
          <w:rFonts w:cs="Times New Roman"/>
        </w:rPr>
        <w:t xml:space="preserve"> </w:t>
      </w:r>
      <w:r w:rsidR="006F2029">
        <w:rPr>
          <w:rFonts w:cs="Times New Roman"/>
        </w:rPr>
        <w:t>While FH/GMMB does</w:t>
      </w:r>
      <w:r w:rsidR="003C4BD6" w:rsidRPr="00591643">
        <w:rPr>
          <w:rFonts w:cs="Times New Roman"/>
        </w:rPr>
        <w:t xml:space="preserve"> not anticipate making any significant changes </w:t>
      </w:r>
      <w:r w:rsidR="006F2029">
        <w:rPr>
          <w:rFonts w:cs="Times New Roman"/>
        </w:rPr>
        <w:t>to the survey questionnaires, FH/GMMB</w:t>
      </w:r>
      <w:r w:rsidR="003C4BD6" w:rsidRPr="00591643">
        <w:rPr>
          <w:rFonts w:cs="Times New Roman"/>
        </w:rPr>
        <w:t xml:space="preserve"> will resubmit to OMB should </w:t>
      </w:r>
      <w:r w:rsidR="006F2029">
        <w:rPr>
          <w:rFonts w:cs="Times New Roman"/>
        </w:rPr>
        <w:t>any significant changes need to be made.</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Survey Length</w:t>
      </w:r>
    </w:p>
    <w:p w:rsidR="007438C6" w:rsidRPr="00591643" w:rsidRDefault="007438C6" w:rsidP="007438C6">
      <w:pPr>
        <w:spacing w:after="0"/>
        <w:rPr>
          <w:rFonts w:cs="Times New Roman"/>
        </w:rPr>
      </w:pPr>
      <w:r w:rsidRPr="00591643">
        <w:rPr>
          <w:rFonts w:cs="Times New Roman"/>
        </w:rPr>
        <w:t xml:space="preserve">Each survey will take </w:t>
      </w:r>
      <w:r w:rsidR="008F3A25">
        <w:rPr>
          <w:rFonts w:cs="Times New Roman"/>
        </w:rPr>
        <w:t>up to 15</w:t>
      </w:r>
      <w:r w:rsidRPr="00591643">
        <w:rPr>
          <w:rFonts w:cs="Times New Roman"/>
        </w:rPr>
        <w:t xml:space="preserve"> minutes to complete (on average) and will include 15 to 20 mostly closed-ended questions.</w:t>
      </w:r>
    </w:p>
    <w:p w:rsidR="007438C6" w:rsidRPr="00591643" w:rsidRDefault="007438C6" w:rsidP="007438C6">
      <w:pPr>
        <w:rPr>
          <w:rFonts w:cs="Times New Roman"/>
        </w:rPr>
      </w:pPr>
      <w:r w:rsidRPr="00591643">
        <w:rPr>
          <w:rFonts w:cs="Times New Roman"/>
        </w:rPr>
        <w:br w:type="page"/>
      </w:r>
    </w:p>
    <w:p w:rsidR="007438C6" w:rsidRPr="00591643" w:rsidRDefault="007438C6" w:rsidP="007438C6">
      <w:pPr>
        <w:spacing w:after="0"/>
        <w:rPr>
          <w:rFonts w:cs="Times New Roman"/>
          <w:b/>
        </w:rPr>
      </w:pPr>
      <w:r w:rsidRPr="00591643">
        <w:rPr>
          <w:rFonts w:cs="Times New Roman"/>
          <w:b/>
        </w:rPr>
        <w:t>Burden Hours</w:t>
      </w:r>
    </w:p>
    <w:p w:rsidR="007438C6" w:rsidRPr="00591643" w:rsidRDefault="007438C6" w:rsidP="007438C6">
      <w:pPr>
        <w:spacing w:after="0"/>
        <w:rPr>
          <w:rFonts w:cs="Times New Roman"/>
        </w:rPr>
      </w:pPr>
      <w:r w:rsidRPr="00591643">
        <w:rPr>
          <w:rFonts w:cs="Times New Roman"/>
        </w:rPr>
        <w:t>Estimated burden hours take into account the amount of time required for participants to complete the survey.</w:t>
      </w:r>
    </w:p>
    <w:p w:rsidR="007438C6" w:rsidRPr="00591643" w:rsidRDefault="007438C6" w:rsidP="007438C6">
      <w:pPr>
        <w:spacing w:after="0"/>
        <w:rPr>
          <w:rFonts w:cs="Times New Roman"/>
        </w:rPr>
      </w:pPr>
    </w:p>
    <w:p w:rsidR="007438C6" w:rsidRPr="00591643" w:rsidRDefault="007438C6" w:rsidP="007438C6">
      <w:pPr>
        <w:spacing w:after="0"/>
        <w:rPr>
          <w:rFonts w:cs="Times New Roman"/>
        </w:rPr>
      </w:pPr>
      <w:r w:rsidRPr="00591643">
        <w:rPr>
          <w:rFonts w:cs="Times New Roman"/>
        </w:rPr>
        <w:t>Estimated Burden Hours Associated with the Benchmark Surveys</w:t>
      </w:r>
    </w:p>
    <w:tbl>
      <w:tblPr>
        <w:tblW w:w="9465" w:type="dxa"/>
        <w:tblInd w:w="93" w:type="dxa"/>
        <w:tblLayout w:type="fixed"/>
        <w:tblLook w:val="04A0"/>
      </w:tblPr>
      <w:tblGrid>
        <w:gridCol w:w="2175"/>
        <w:gridCol w:w="1710"/>
        <w:gridCol w:w="1620"/>
        <w:gridCol w:w="1350"/>
        <w:gridCol w:w="1350"/>
        <w:gridCol w:w="1260"/>
      </w:tblGrid>
      <w:tr w:rsidR="007438C6" w:rsidRPr="00591643" w:rsidTr="002C137E">
        <w:trPr>
          <w:trHeight w:val="321"/>
        </w:trPr>
        <w:tc>
          <w:tcPr>
            <w:tcW w:w="9465" w:type="dxa"/>
            <w:gridSpan w:val="6"/>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7438C6" w:rsidRPr="00591643" w:rsidRDefault="007438C6" w:rsidP="007438C6">
            <w:pPr>
              <w:spacing w:after="0" w:line="240" w:lineRule="auto"/>
              <w:rPr>
                <w:rFonts w:eastAsia="Times New Roman" w:cs="Times New Roman"/>
                <w:b/>
                <w:bCs/>
                <w:color w:val="FFFFFF"/>
              </w:rPr>
            </w:pPr>
            <w:r w:rsidRPr="00591643">
              <w:rPr>
                <w:rFonts w:eastAsia="Times New Roman" w:cs="Times New Roman"/>
                <w:b/>
                <w:bCs/>
                <w:color w:val="FFFFFF"/>
              </w:rPr>
              <w:t>Affected Public:</w:t>
            </w:r>
            <w:r w:rsidR="00BD78A8">
              <w:rPr>
                <w:rFonts w:eastAsia="Times New Roman" w:cs="Times New Roman"/>
                <w:b/>
                <w:bCs/>
                <w:color w:val="FFFFFF"/>
              </w:rPr>
              <w:t xml:space="preserve"> </w:t>
            </w:r>
            <w:r w:rsidRPr="00591643">
              <w:rPr>
                <w:rFonts w:eastAsia="Times New Roman" w:cs="Times New Roman"/>
                <w:b/>
                <w:bCs/>
                <w:color w:val="FFFFFF"/>
              </w:rPr>
              <w:t xml:space="preserve"> USDA Commodities Program Messengers</w:t>
            </w:r>
          </w:p>
        </w:tc>
      </w:tr>
      <w:tr w:rsidR="007438C6" w:rsidRPr="00591643" w:rsidTr="002C137E">
        <w:trPr>
          <w:trHeight w:val="1284"/>
        </w:trPr>
        <w:tc>
          <w:tcPr>
            <w:tcW w:w="2175" w:type="dxa"/>
            <w:tcBorders>
              <w:top w:val="nil"/>
              <w:left w:val="single" w:sz="4" w:space="0" w:color="auto"/>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Type of Respondent</w:t>
            </w:r>
          </w:p>
        </w:tc>
        <w:tc>
          <w:tcPr>
            <w:tcW w:w="1710"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Number of Respondents</w:t>
            </w:r>
          </w:p>
        </w:tc>
        <w:tc>
          <w:tcPr>
            <w:tcW w:w="1620"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Number of Responses Annually Per Respondent</w:t>
            </w:r>
          </w:p>
        </w:tc>
        <w:tc>
          <w:tcPr>
            <w:tcW w:w="1350"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Total Annual Responses</w:t>
            </w:r>
          </w:p>
        </w:tc>
        <w:tc>
          <w:tcPr>
            <w:tcW w:w="1350"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Estimate of Burden Hours Per Response</w:t>
            </w:r>
          </w:p>
        </w:tc>
        <w:tc>
          <w:tcPr>
            <w:tcW w:w="1260" w:type="dxa"/>
            <w:tcBorders>
              <w:top w:val="nil"/>
              <w:left w:val="nil"/>
              <w:bottom w:val="single" w:sz="4" w:space="0" w:color="auto"/>
              <w:right w:val="single" w:sz="4" w:space="0" w:color="auto"/>
            </w:tcBorders>
            <w:shd w:val="clear" w:color="000000" w:fill="000000"/>
            <w:vAlign w:val="bottom"/>
            <w:hideMark/>
          </w:tcPr>
          <w:p w:rsidR="007438C6" w:rsidRPr="00591643" w:rsidRDefault="007438C6" w:rsidP="002C137E">
            <w:pPr>
              <w:spacing w:after="0" w:line="240" w:lineRule="auto"/>
              <w:jc w:val="center"/>
              <w:rPr>
                <w:rFonts w:eastAsia="Times New Roman" w:cs="Times New Roman"/>
                <w:b/>
                <w:bCs/>
                <w:color w:val="FFFFFF"/>
              </w:rPr>
            </w:pPr>
            <w:r w:rsidRPr="00591643">
              <w:rPr>
                <w:rFonts w:eastAsia="Times New Roman" w:cs="Times New Roman"/>
                <w:b/>
                <w:bCs/>
                <w:color w:val="FFFFFF"/>
              </w:rPr>
              <w:t>Total Burden Hours</w:t>
            </w:r>
          </w:p>
        </w:tc>
      </w:tr>
      <w:tr w:rsidR="007438C6" w:rsidRPr="00591643" w:rsidTr="002C137E">
        <w:trPr>
          <w:trHeight w:val="321"/>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color w:val="000000"/>
              </w:rPr>
            </w:pPr>
            <w:r w:rsidRPr="00591643">
              <w:rPr>
                <w:rFonts w:eastAsia="Times New Roman" w:cs="Times New Roman"/>
                <w:color w:val="000000"/>
              </w:rPr>
              <w:t>Child Nutrition Professionals (benchmark)</w:t>
            </w:r>
          </w:p>
        </w:tc>
        <w:tc>
          <w:tcPr>
            <w:tcW w:w="171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500</w:t>
            </w:r>
          </w:p>
        </w:tc>
        <w:tc>
          <w:tcPr>
            <w:tcW w:w="162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500</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0.25</w:t>
            </w:r>
          </w:p>
        </w:tc>
        <w:tc>
          <w:tcPr>
            <w:tcW w:w="126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125</w:t>
            </w:r>
          </w:p>
        </w:tc>
      </w:tr>
      <w:tr w:rsidR="007438C6" w:rsidRPr="00591643" w:rsidTr="002C137E">
        <w:trPr>
          <w:trHeight w:val="321"/>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color w:val="000000"/>
              </w:rPr>
            </w:pPr>
            <w:r w:rsidRPr="00591643">
              <w:rPr>
                <w:rFonts w:eastAsia="Times New Roman" w:cs="Times New Roman"/>
                <w:color w:val="000000"/>
              </w:rPr>
              <w:t>K through 12 Teachers (benchmark)</w:t>
            </w:r>
          </w:p>
        </w:tc>
        <w:tc>
          <w:tcPr>
            <w:tcW w:w="171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250</w:t>
            </w:r>
          </w:p>
        </w:tc>
        <w:tc>
          <w:tcPr>
            <w:tcW w:w="162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250</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0.25</w:t>
            </w:r>
          </w:p>
        </w:tc>
        <w:tc>
          <w:tcPr>
            <w:tcW w:w="126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62.5</w:t>
            </w:r>
          </w:p>
        </w:tc>
      </w:tr>
      <w:tr w:rsidR="007438C6" w:rsidRPr="00591643" w:rsidTr="002C137E">
        <w:trPr>
          <w:trHeight w:val="321"/>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iCs/>
                <w:color w:val="000000"/>
              </w:rPr>
            </w:pPr>
            <w:r w:rsidRPr="00591643">
              <w:rPr>
                <w:rFonts w:eastAsia="Times New Roman" w:cs="Times New Roman"/>
                <w:iCs/>
                <w:color w:val="000000"/>
              </w:rPr>
              <w:t>Child Nutrition Professionals (tracking)</w:t>
            </w:r>
          </w:p>
        </w:tc>
        <w:tc>
          <w:tcPr>
            <w:tcW w:w="171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500</w:t>
            </w:r>
          </w:p>
        </w:tc>
        <w:tc>
          <w:tcPr>
            <w:tcW w:w="162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500</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0.25</w:t>
            </w:r>
          </w:p>
        </w:tc>
        <w:tc>
          <w:tcPr>
            <w:tcW w:w="126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125</w:t>
            </w:r>
          </w:p>
        </w:tc>
      </w:tr>
      <w:tr w:rsidR="007438C6" w:rsidRPr="00591643" w:rsidTr="002C137E">
        <w:trPr>
          <w:trHeight w:val="321"/>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iCs/>
                <w:color w:val="000000"/>
              </w:rPr>
            </w:pPr>
            <w:r w:rsidRPr="00591643">
              <w:rPr>
                <w:rFonts w:eastAsia="Times New Roman" w:cs="Times New Roman"/>
                <w:iCs/>
                <w:color w:val="000000"/>
              </w:rPr>
              <w:t>K through 12 Teachers (tracking)</w:t>
            </w:r>
          </w:p>
        </w:tc>
        <w:tc>
          <w:tcPr>
            <w:tcW w:w="171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250</w:t>
            </w:r>
          </w:p>
        </w:tc>
        <w:tc>
          <w:tcPr>
            <w:tcW w:w="162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250</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0.25</w:t>
            </w:r>
          </w:p>
        </w:tc>
        <w:tc>
          <w:tcPr>
            <w:tcW w:w="126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62.5</w:t>
            </w:r>
          </w:p>
        </w:tc>
      </w:tr>
      <w:tr w:rsidR="007438C6" w:rsidRPr="00591643" w:rsidTr="002C137E">
        <w:trPr>
          <w:trHeight w:val="321"/>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rPr>
                <w:rFonts w:eastAsia="Times New Roman" w:cs="Times New Roman"/>
                <w:i/>
                <w:iCs/>
                <w:color w:val="000000"/>
              </w:rPr>
            </w:pPr>
            <w:r w:rsidRPr="00591643">
              <w:rPr>
                <w:rFonts w:eastAsia="Times New Roman" w:cs="Times New Roman"/>
                <w:i/>
                <w:iCs/>
                <w:color w:val="000000"/>
              </w:rPr>
              <w:t>Non-Response</w:t>
            </w:r>
            <w:r w:rsidR="00DB6250" w:rsidRPr="00591643">
              <w:rPr>
                <w:rFonts w:eastAsia="Times New Roman" w:cs="Times New Roman"/>
                <w:i/>
                <w:iCs/>
                <w:color w:val="000000"/>
              </w:rPr>
              <w:t>*</w:t>
            </w:r>
          </w:p>
        </w:tc>
        <w:tc>
          <w:tcPr>
            <w:tcW w:w="171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150</w:t>
            </w:r>
          </w:p>
        </w:tc>
        <w:tc>
          <w:tcPr>
            <w:tcW w:w="162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150</w:t>
            </w:r>
          </w:p>
        </w:tc>
        <w:tc>
          <w:tcPr>
            <w:tcW w:w="135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0.0334</w:t>
            </w:r>
          </w:p>
        </w:tc>
        <w:tc>
          <w:tcPr>
            <w:tcW w:w="1260" w:type="dxa"/>
            <w:tcBorders>
              <w:top w:val="nil"/>
              <w:left w:val="nil"/>
              <w:bottom w:val="single" w:sz="4" w:space="0" w:color="auto"/>
              <w:right w:val="single" w:sz="4" w:space="0" w:color="auto"/>
            </w:tcBorders>
            <w:shd w:val="clear" w:color="auto" w:fill="auto"/>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5.01</w:t>
            </w:r>
          </w:p>
        </w:tc>
      </w:tr>
      <w:tr w:rsidR="007438C6" w:rsidRPr="00591643" w:rsidTr="002C137E">
        <w:trPr>
          <w:trHeight w:val="321"/>
        </w:trPr>
        <w:tc>
          <w:tcPr>
            <w:tcW w:w="2175" w:type="dxa"/>
            <w:tcBorders>
              <w:top w:val="nil"/>
              <w:left w:val="single" w:sz="4" w:space="0" w:color="auto"/>
              <w:bottom w:val="single" w:sz="4" w:space="0" w:color="auto"/>
              <w:right w:val="single" w:sz="4" w:space="0" w:color="auto"/>
            </w:tcBorders>
            <w:shd w:val="clear" w:color="000000" w:fill="BFBFBF"/>
            <w:noWrap/>
            <w:vAlign w:val="bottom"/>
            <w:hideMark/>
          </w:tcPr>
          <w:p w:rsidR="007438C6" w:rsidRPr="00591643" w:rsidRDefault="007438C6" w:rsidP="002C137E">
            <w:pPr>
              <w:spacing w:after="0" w:line="240" w:lineRule="auto"/>
              <w:rPr>
                <w:rFonts w:eastAsia="Times New Roman" w:cs="Times New Roman"/>
                <w:color w:val="000000"/>
              </w:rPr>
            </w:pPr>
            <w:r w:rsidRPr="00591643">
              <w:rPr>
                <w:rFonts w:eastAsia="Times New Roman" w:cs="Times New Roman"/>
                <w:color w:val="000000"/>
              </w:rPr>
              <w:t>TOTAL HOURS</w:t>
            </w:r>
          </w:p>
        </w:tc>
        <w:tc>
          <w:tcPr>
            <w:tcW w:w="1710" w:type="dxa"/>
            <w:tcBorders>
              <w:top w:val="nil"/>
              <w:left w:val="nil"/>
              <w:bottom w:val="single" w:sz="4" w:space="0" w:color="auto"/>
              <w:right w:val="single" w:sz="4" w:space="0" w:color="auto"/>
            </w:tcBorders>
            <w:shd w:val="clear" w:color="000000" w:fill="BFBFBF"/>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 </w:t>
            </w:r>
            <w:r w:rsidR="00DB6250" w:rsidRPr="00591643">
              <w:rPr>
                <w:rFonts w:eastAsia="Times New Roman" w:cs="Times New Roman"/>
                <w:color w:val="000000"/>
              </w:rPr>
              <w:t>1650</w:t>
            </w:r>
          </w:p>
        </w:tc>
        <w:tc>
          <w:tcPr>
            <w:tcW w:w="1620" w:type="dxa"/>
            <w:tcBorders>
              <w:top w:val="nil"/>
              <w:left w:val="nil"/>
              <w:bottom w:val="single" w:sz="4" w:space="0" w:color="auto"/>
              <w:right w:val="single" w:sz="4" w:space="0" w:color="auto"/>
            </w:tcBorders>
            <w:shd w:val="clear" w:color="000000" w:fill="BFBFBF"/>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 </w:t>
            </w:r>
          </w:p>
        </w:tc>
        <w:tc>
          <w:tcPr>
            <w:tcW w:w="1350" w:type="dxa"/>
            <w:tcBorders>
              <w:top w:val="nil"/>
              <w:left w:val="nil"/>
              <w:bottom w:val="single" w:sz="4" w:space="0" w:color="auto"/>
              <w:right w:val="single" w:sz="4" w:space="0" w:color="auto"/>
            </w:tcBorders>
            <w:shd w:val="clear" w:color="000000" w:fill="BFBFBF"/>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 </w:t>
            </w:r>
          </w:p>
        </w:tc>
        <w:tc>
          <w:tcPr>
            <w:tcW w:w="1350" w:type="dxa"/>
            <w:tcBorders>
              <w:top w:val="nil"/>
              <w:left w:val="nil"/>
              <w:bottom w:val="single" w:sz="4" w:space="0" w:color="auto"/>
              <w:right w:val="single" w:sz="4" w:space="0" w:color="auto"/>
            </w:tcBorders>
            <w:shd w:val="clear" w:color="000000" w:fill="BFBFBF"/>
            <w:noWrap/>
            <w:vAlign w:val="bottom"/>
            <w:hideMark/>
          </w:tcPr>
          <w:p w:rsidR="007438C6" w:rsidRPr="00591643" w:rsidRDefault="007438C6" w:rsidP="002C137E">
            <w:pPr>
              <w:spacing w:after="0" w:line="240" w:lineRule="auto"/>
              <w:jc w:val="center"/>
              <w:rPr>
                <w:rFonts w:eastAsia="Times New Roman" w:cs="Times New Roman"/>
                <w:color w:val="000000"/>
              </w:rPr>
            </w:pPr>
            <w:r w:rsidRPr="00591643">
              <w:rPr>
                <w:rFonts w:eastAsia="Times New Roman" w:cs="Times New Roman"/>
                <w:color w:val="000000"/>
              </w:rPr>
              <w:t> </w:t>
            </w:r>
          </w:p>
        </w:tc>
        <w:tc>
          <w:tcPr>
            <w:tcW w:w="1260" w:type="dxa"/>
            <w:tcBorders>
              <w:top w:val="nil"/>
              <w:left w:val="nil"/>
              <w:bottom w:val="single" w:sz="4" w:space="0" w:color="auto"/>
              <w:right w:val="single" w:sz="4" w:space="0" w:color="auto"/>
            </w:tcBorders>
            <w:shd w:val="clear" w:color="000000" w:fill="BFBFBF"/>
            <w:noWrap/>
            <w:vAlign w:val="bottom"/>
            <w:hideMark/>
          </w:tcPr>
          <w:p w:rsidR="007438C6" w:rsidRPr="00591643" w:rsidRDefault="00DB6250" w:rsidP="00DB6250">
            <w:pPr>
              <w:spacing w:after="0" w:line="240" w:lineRule="auto"/>
              <w:jc w:val="center"/>
              <w:rPr>
                <w:rFonts w:eastAsia="Times New Roman" w:cs="Times New Roman"/>
                <w:b/>
                <w:bCs/>
                <w:color w:val="000000"/>
              </w:rPr>
            </w:pPr>
            <w:r w:rsidRPr="00591643">
              <w:rPr>
                <w:rFonts w:eastAsia="Times New Roman" w:cs="Times New Roman"/>
                <w:b/>
                <w:bCs/>
                <w:color w:val="000000"/>
              </w:rPr>
              <w:t>380</w:t>
            </w:r>
            <w:r w:rsidR="007438C6" w:rsidRPr="00591643">
              <w:rPr>
                <w:rFonts w:eastAsia="Times New Roman" w:cs="Times New Roman"/>
                <w:b/>
                <w:bCs/>
                <w:color w:val="000000"/>
              </w:rPr>
              <w:t>.01</w:t>
            </w:r>
          </w:p>
        </w:tc>
      </w:tr>
    </w:tbl>
    <w:p w:rsidR="00DB6250" w:rsidRPr="00591643" w:rsidRDefault="00DB6250" w:rsidP="00DB6250">
      <w:pPr>
        <w:spacing w:after="0"/>
        <w:rPr>
          <w:rFonts w:cs="Times New Roman"/>
          <w:sz w:val="18"/>
          <w:szCs w:val="18"/>
        </w:rPr>
      </w:pPr>
      <w:r w:rsidRPr="00591643">
        <w:rPr>
          <w:rFonts w:cs="Times New Roman"/>
          <w:sz w:val="18"/>
          <w:szCs w:val="18"/>
        </w:rPr>
        <w:t>*This reflects those individuals who were invited to participate in the research but did not complete the survey.</w:t>
      </w:r>
    </w:p>
    <w:p w:rsidR="007438C6" w:rsidRPr="00591643" w:rsidRDefault="007438C6" w:rsidP="007438C6">
      <w:pPr>
        <w:spacing w:after="0"/>
        <w:rPr>
          <w:rFonts w:cs="Times New Roman"/>
        </w:rPr>
      </w:pPr>
    </w:p>
    <w:p w:rsidR="00BB380E" w:rsidRDefault="007438C6" w:rsidP="007438C6">
      <w:pPr>
        <w:spacing w:after="0"/>
        <w:rPr>
          <w:rFonts w:cs="Times New Roman"/>
          <w:b/>
        </w:rPr>
      </w:pPr>
      <w:r w:rsidRPr="00591643">
        <w:rPr>
          <w:rFonts w:cs="Times New Roman"/>
          <w:b/>
        </w:rPr>
        <w:t>Time Frame</w:t>
      </w:r>
    </w:p>
    <w:p w:rsidR="007438C6" w:rsidRPr="00BB380E" w:rsidRDefault="00BB380E" w:rsidP="007438C6">
      <w:pPr>
        <w:spacing w:after="0"/>
        <w:rPr>
          <w:rFonts w:cs="Times New Roman"/>
          <w:b/>
        </w:rPr>
      </w:pPr>
      <w:r w:rsidRPr="00BB380E">
        <w:rPr>
          <w:rFonts w:cs="Times New Roman"/>
        </w:rPr>
        <w:t>F</w:t>
      </w:r>
      <w:r>
        <w:rPr>
          <w:rFonts w:cs="Times New Roman"/>
        </w:rPr>
        <w:t>NS</w:t>
      </w:r>
      <w:r w:rsidR="007438C6" w:rsidRPr="00BB380E">
        <w:rPr>
          <w:rFonts w:cs="Times New Roman"/>
        </w:rPr>
        <w:t xml:space="preserve"> will</w:t>
      </w:r>
      <w:r w:rsidR="007438C6" w:rsidRPr="00591643">
        <w:rPr>
          <w:rFonts w:cs="Times New Roman"/>
        </w:rPr>
        <w:t xml:space="preserve"> conduct the benchmark surveys after FH/GMMB has submitted the final communications plan to USDA Commodities but before any of the outreach efforts are implemented.</w:t>
      </w:r>
      <w:r w:rsidR="00BD78A8">
        <w:rPr>
          <w:rFonts w:cs="Times New Roman"/>
        </w:rPr>
        <w:t xml:space="preserve"> </w:t>
      </w:r>
      <w:r w:rsidR="007438C6" w:rsidRPr="00591643">
        <w:rPr>
          <w:rFonts w:cs="Times New Roman"/>
        </w:rPr>
        <w:t xml:space="preserve"> The surveys will be conducted over a two week period. </w:t>
      </w:r>
    </w:p>
    <w:p w:rsidR="007438C6" w:rsidRPr="00591643" w:rsidRDefault="007438C6" w:rsidP="007438C6">
      <w:pPr>
        <w:spacing w:after="0"/>
        <w:rPr>
          <w:rFonts w:cs="Times New Roman"/>
        </w:rPr>
      </w:pPr>
    </w:p>
    <w:p w:rsidR="007438C6" w:rsidRPr="00591643" w:rsidRDefault="00BB380E" w:rsidP="007438C6">
      <w:pPr>
        <w:spacing w:after="0"/>
        <w:rPr>
          <w:rFonts w:cs="Times New Roman"/>
        </w:rPr>
      </w:pPr>
      <w:r>
        <w:rPr>
          <w:rFonts w:cs="Times New Roman"/>
        </w:rPr>
        <w:t xml:space="preserve">The </w:t>
      </w:r>
      <w:r w:rsidR="007438C6" w:rsidRPr="00591643">
        <w:rPr>
          <w:rFonts w:cs="Times New Roman"/>
        </w:rPr>
        <w:t xml:space="preserve">tracking surveys </w:t>
      </w:r>
      <w:r>
        <w:rPr>
          <w:rFonts w:cs="Times New Roman"/>
        </w:rPr>
        <w:t xml:space="preserve">will be conducted </w:t>
      </w:r>
      <w:r w:rsidR="007438C6" w:rsidRPr="00591643">
        <w:rPr>
          <w:rFonts w:cs="Times New Roman"/>
        </w:rPr>
        <w:t xml:space="preserve">seven to nine months after </w:t>
      </w:r>
      <w:r>
        <w:rPr>
          <w:rFonts w:cs="Times New Roman"/>
        </w:rPr>
        <w:t>FH/GMMB has</w:t>
      </w:r>
      <w:r w:rsidR="007438C6" w:rsidRPr="00591643">
        <w:rPr>
          <w:rFonts w:cs="Times New Roman"/>
        </w:rPr>
        <w:t xml:space="preserve"> implemented </w:t>
      </w:r>
      <w:r>
        <w:rPr>
          <w:rFonts w:cs="Times New Roman"/>
        </w:rPr>
        <w:t>the</w:t>
      </w:r>
      <w:r w:rsidR="007438C6" w:rsidRPr="00591643">
        <w:rPr>
          <w:rFonts w:cs="Times New Roman"/>
        </w:rPr>
        <w:t xml:space="preserve"> communication plan and outreach efforts. </w:t>
      </w:r>
      <w:r w:rsidR="00BD78A8">
        <w:rPr>
          <w:rFonts w:cs="Times New Roman"/>
        </w:rPr>
        <w:t xml:space="preserve"> </w:t>
      </w:r>
      <w:r w:rsidR="007438C6" w:rsidRPr="00591643">
        <w:rPr>
          <w:rFonts w:cs="Times New Roman"/>
        </w:rPr>
        <w:t xml:space="preserve">The surveys will be conducted over a two week time period. </w:t>
      </w:r>
      <w:r w:rsidR="00BD78A8">
        <w:rPr>
          <w:rFonts w:cs="Times New Roman"/>
        </w:rPr>
        <w:t xml:space="preserve"> </w:t>
      </w:r>
      <w:r w:rsidR="007438C6" w:rsidRPr="00591643">
        <w:rPr>
          <w:rFonts w:cs="Times New Roman"/>
        </w:rPr>
        <w:t xml:space="preserve">The tracking surveys will measure any changes in attitudes and awareness of USDA Commodities from the benchmark period and provide </w:t>
      </w:r>
      <w:r w:rsidR="00BD78A8">
        <w:rPr>
          <w:rFonts w:cs="Times New Roman"/>
        </w:rPr>
        <w:t xml:space="preserve">us </w:t>
      </w:r>
      <w:r>
        <w:rPr>
          <w:rFonts w:cs="Times New Roman"/>
        </w:rPr>
        <w:t xml:space="preserve">with </w:t>
      </w:r>
      <w:r w:rsidRPr="00591643">
        <w:rPr>
          <w:rFonts w:cs="Times New Roman"/>
        </w:rPr>
        <w:t>feedback</w:t>
      </w:r>
      <w:r w:rsidR="007438C6" w:rsidRPr="00591643">
        <w:rPr>
          <w:rFonts w:cs="Times New Roman"/>
        </w:rPr>
        <w:t xml:space="preserve"> regarding the effectiveness of </w:t>
      </w:r>
      <w:r w:rsidR="00BD78A8">
        <w:rPr>
          <w:rFonts w:cs="Times New Roman"/>
        </w:rPr>
        <w:t>our</w:t>
      </w:r>
      <w:r w:rsidR="007438C6" w:rsidRPr="00591643">
        <w:rPr>
          <w:rFonts w:cs="Times New Roman"/>
        </w:rPr>
        <w:t xml:space="preserve"> efforts.</w:t>
      </w:r>
    </w:p>
    <w:p w:rsidR="007438C6" w:rsidRPr="00591643" w:rsidRDefault="007438C6" w:rsidP="007438C6">
      <w:pPr>
        <w:spacing w:after="0"/>
        <w:rPr>
          <w:rFonts w:cs="Times New Roman"/>
        </w:rPr>
      </w:pPr>
    </w:p>
    <w:p w:rsidR="007438C6" w:rsidRPr="00591643" w:rsidRDefault="007438C6" w:rsidP="007438C6">
      <w:pPr>
        <w:rPr>
          <w:rFonts w:cs="Times New Roman"/>
          <w:b/>
        </w:rPr>
      </w:pPr>
      <w:r w:rsidRPr="00591643">
        <w:rPr>
          <w:rFonts w:cs="Times New Roman"/>
          <w:b/>
        </w:rPr>
        <w:br w:type="page"/>
      </w:r>
    </w:p>
    <w:p w:rsidR="007438C6" w:rsidRPr="00591643" w:rsidRDefault="007438C6" w:rsidP="007438C6">
      <w:pPr>
        <w:spacing w:after="0"/>
        <w:rPr>
          <w:rFonts w:cs="Times New Roman"/>
          <w:b/>
        </w:rPr>
      </w:pPr>
      <w:r w:rsidRPr="00591643">
        <w:rPr>
          <w:rFonts w:cs="Times New Roman"/>
          <w:b/>
        </w:rPr>
        <w:t>Data Collection</w:t>
      </w:r>
    </w:p>
    <w:p w:rsidR="007438C6" w:rsidRPr="00591643" w:rsidRDefault="007438C6" w:rsidP="007438C6">
      <w:pPr>
        <w:spacing w:after="0"/>
        <w:rPr>
          <w:rFonts w:cs="Times New Roman"/>
          <w:i/>
        </w:rPr>
      </w:pPr>
      <w:r w:rsidRPr="00591643">
        <w:rPr>
          <w:rFonts w:cs="Times New Roman"/>
          <w:i/>
        </w:rPr>
        <w:t>Child Nutrition Professionals</w:t>
      </w:r>
    </w:p>
    <w:p w:rsidR="007438C6" w:rsidRPr="00591643" w:rsidRDefault="007438C6" w:rsidP="007438C6">
      <w:pPr>
        <w:spacing w:after="0"/>
        <w:rPr>
          <w:rFonts w:cs="Times New Roman"/>
        </w:rPr>
      </w:pPr>
      <w:r w:rsidRPr="00591643">
        <w:rPr>
          <w:rFonts w:cs="Times New Roman"/>
        </w:rPr>
        <w:t>Using FH/GMM</w:t>
      </w:r>
      <w:r w:rsidR="006F2029">
        <w:rPr>
          <w:rFonts w:cs="Times New Roman"/>
        </w:rPr>
        <w:t>B’s licensed software, NetMR, FH/GMMB</w:t>
      </w:r>
      <w:r w:rsidRPr="00591643">
        <w:rPr>
          <w:rFonts w:cs="Times New Roman"/>
        </w:rPr>
        <w:t xml:space="preserve"> will send out an initial e-mail</w:t>
      </w:r>
      <w:r w:rsidR="004D3B22">
        <w:rPr>
          <w:rFonts w:cs="Times New Roman"/>
        </w:rPr>
        <w:t xml:space="preserve"> (see Introduction of Attachment N)</w:t>
      </w:r>
      <w:r w:rsidRPr="00591643">
        <w:rPr>
          <w:rFonts w:cs="Times New Roman"/>
        </w:rPr>
        <w:t xml:space="preserve"> on behalf of USDA Commodities</w:t>
      </w:r>
      <w:r w:rsidR="0089720B">
        <w:rPr>
          <w:rFonts w:cs="Times New Roman"/>
        </w:rPr>
        <w:t>/USDA Food Distribution Division</w:t>
      </w:r>
      <w:r w:rsidRPr="00591643">
        <w:rPr>
          <w:rFonts w:cs="Times New Roman"/>
        </w:rPr>
        <w:t xml:space="preserve"> to potential participants inviting them to participate in the survey. </w:t>
      </w:r>
      <w:r w:rsidR="0089720B">
        <w:rPr>
          <w:rFonts w:cs="Times New Roman"/>
        </w:rPr>
        <w:t xml:space="preserve"> </w:t>
      </w:r>
      <w:r w:rsidRPr="00591643">
        <w:rPr>
          <w:rFonts w:cs="Times New Roman"/>
        </w:rPr>
        <w:t>Following this introductory e-mail, potential participants will receive an e-mail with a link to the Web survey.</w:t>
      </w:r>
      <w:r w:rsidR="004D3B22">
        <w:rPr>
          <w:rFonts w:cs="Times New Roman"/>
        </w:rPr>
        <w:t xml:space="preserve"> </w:t>
      </w:r>
      <w:r w:rsidR="004D3B22">
        <w:t>The actual URL will not be available until the survey is programmed.</w:t>
      </w:r>
      <w:r w:rsidRPr="00591643">
        <w:rPr>
          <w:rFonts w:cs="Times New Roman"/>
        </w:rPr>
        <w:t xml:space="preserve"> </w:t>
      </w:r>
      <w:r w:rsidR="0089720B">
        <w:rPr>
          <w:rFonts w:cs="Times New Roman"/>
        </w:rPr>
        <w:t xml:space="preserve"> </w:t>
      </w:r>
      <w:r w:rsidRPr="00591643">
        <w:rPr>
          <w:rFonts w:cs="Times New Roman"/>
        </w:rPr>
        <w:t xml:space="preserve">FH/GMMB will monitor responses as they are completed and send up to three reminder e-mails </w:t>
      </w:r>
      <w:r w:rsidR="004D3B22">
        <w:rPr>
          <w:rFonts w:cs="Times New Roman"/>
        </w:rPr>
        <w:t xml:space="preserve">(see Attachment P) </w:t>
      </w:r>
      <w:r w:rsidRPr="00591643">
        <w:rPr>
          <w:rFonts w:cs="Times New Roman"/>
        </w:rPr>
        <w:t>to these individuals.</w:t>
      </w:r>
    </w:p>
    <w:p w:rsidR="00DB6250" w:rsidRPr="00591643" w:rsidRDefault="00DB6250" w:rsidP="007438C6">
      <w:pPr>
        <w:spacing w:after="0"/>
        <w:rPr>
          <w:rFonts w:cs="Times New Roman"/>
        </w:rPr>
      </w:pPr>
    </w:p>
    <w:p w:rsidR="00DB6250" w:rsidRPr="00591643" w:rsidRDefault="00DB6250" w:rsidP="007438C6">
      <w:pPr>
        <w:spacing w:after="0"/>
        <w:rPr>
          <w:rFonts w:cs="Times New Roman"/>
        </w:rPr>
      </w:pPr>
      <w:r w:rsidRPr="00591643">
        <w:rPr>
          <w:rFonts w:cs="Times New Roman"/>
        </w:rPr>
        <w:t xml:space="preserve">USDA will work with its external partners to create a representative list of child nutrition professionals </w:t>
      </w:r>
      <w:r w:rsidR="00FF71B8" w:rsidRPr="00591643">
        <w:rPr>
          <w:rFonts w:cs="Times New Roman"/>
        </w:rPr>
        <w:t>based on region (Northeast, South, Midwest and South),</w:t>
      </w:r>
      <w:r w:rsidR="00167A57" w:rsidRPr="00591643">
        <w:rPr>
          <w:rFonts w:cs="Times New Roman"/>
        </w:rPr>
        <w:t xml:space="preserve"> school type (e.g., public, </w:t>
      </w:r>
      <w:r w:rsidR="003C4BD6" w:rsidRPr="00591643">
        <w:rPr>
          <w:rFonts w:cs="Times New Roman"/>
        </w:rPr>
        <w:t xml:space="preserve">non-profit </w:t>
      </w:r>
      <w:r w:rsidR="00167A57" w:rsidRPr="00591643">
        <w:rPr>
          <w:rFonts w:cs="Times New Roman"/>
        </w:rPr>
        <w:t>private, etc.)</w:t>
      </w:r>
      <w:r w:rsidR="00FF71B8" w:rsidRPr="00591643">
        <w:rPr>
          <w:rFonts w:cs="Times New Roman"/>
        </w:rPr>
        <w:t xml:space="preserve"> race/ethnicity, age</w:t>
      </w:r>
      <w:r w:rsidR="0089720B">
        <w:rPr>
          <w:rFonts w:cs="Times New Roman"/>
        </w:rPr>
        <w:t>,</w:t>
      </w:r>
      <w:r w:rsidR="00FF71B8" w:rsidRPr="00591643">
        <w:rPr>
          <w:rFonts w:cs="Times New Roman"/>
        </w:rPr>
        <w:t xml:space="preserve"> and gender.</w:t>
      </w:r>
    </w:p>
    <w:p w:rsidR="007438C6" w:rsidRPr="00591643" w:rsidRDefault="007438C6" w:rsidP="007438C6">
      <w:pPr>
        <w:spacing w:after="0"/>
        <w:rPr>
          <w:rFonts w:cs="Times New Roman"/>
          <w:i/>
        </w:rPr>
      </w:pPr>
    </w:p>
    <w:p w:rsidR="007438C6" w:rsidRPr="004D3B22" w:rsidRDefault="007438C6" w:rsidP="007438C6">
      <w:pPr>
        <w:spacing w:after="0"/>
        <w:rPr>
          <w:rFonts w:cs="Times New Roman"/>
          <w:i/>
        </w:rPr>
      </w:pPr>
      <w:r w:rsidRPr="004D3B22">
        <w:rPr>
          <w:rFonts w:cs="Times New Roman"/>
          <w:i/>
        </w:rPr>
        <w:t>Teachers</w:t>
      </w:r>
    </w:p>
    <w:p w:rsidR="007438C6" w:rsidRPr="00591643" w:rsidRDefault="004D3B22" w:rsidP="007438C6">
      <w:pPr>
        <w:spacing w:after="0"/>
        <w:rPr>
          <w:rFonts w:cs="Times New Roman"/>
        </w:rPr>
      </w:pPr>
      <w:r w:rsidRPr="004D3B22">
        <w:rPr>
          <w:rFonts w:cs="Times New Roman"/>
        </w:rPr>
        <w:t>FH/GMMB’s market research vendor</w:t>
      </w:r>
      <w:r w:rsidR="007438C6" w:rsidRPr="004D3B22">
        <w:rPr>
          <w:rFonts w:cs="Times New Roman"/>
        </w:rPr>
        <w:t xml:space="preserve"> will send out an initial e-mail </w:t>
      </w:r>
      <w:r w:rsidRPr="004D3B22">
        <w:rPr>
          <w:rFonts w:cs="Times New Roman"/>
        </w:rPr>
        <w:t xml:space="preserve">(see Introduction in Attachment O) </w:t>
      </w:r>
      <w:r w:rsidR="007438C6" w:rsidRPr="004D3B22">
        <w:rPr>
          <w:rFonts w:cs="Times New Roman"/>
        </w:rPr>
        <w:t xml:space="preserve">on behalf of USDA </w:t>
      </w:r>
      <w:r w:rsidRPr="004D3B22">
        <w:rPr>
          <w:rFonts w:cs="Times New Roman"/>
        </w:rPr>
        <w:t>Commodities to</w:t>
      </w:r>
      <w:r w:rsidR="007438C6" w:rsidRPr="004D3B22">
        <w:rPr>
          <w:rFonts w:cs="Times New Roman"/>
        </w:rPr>
        <w:t xml:space="preserve"> potential participants</w:t>
      </w:r>
      <w:r w:rsidRPr="004D3B22">
        <w:rPr>
          <w:rFonts w:cs="Times New Roman"/>
        </w:rPr>
        <w:t>,</w:t>
      </w:r>
      <w:r w:rsidR="007438C6" w:rsidRPr="004D3B22">
        <w:rPr>
          <w:rFonts w:cs="Times New Roman"/>
        </w:rPr>
        <w:t xml:space="preserve"> inviting them to participate in the survey. </w:t>
      </w:r>
      <w:r w:rsidR="0089720B" w:rsidRPr="004D3B22">
        <w:rPr>
          <w:rFonts w:cs="Times New Roman"/>
        </w:rPr>
        <w:t xml:space="preserve"> </w:t>
      </w:r>
      <w:r w:rsidR="007438C6" w:rsidRPr="004D3B22">
        <w:rPr>
          <w:rFonts w:cs="Times New Roman"/>
        </w:rPr>
        <w:t>Following this introductory e-mail, potential participants will receive an e-mail</w:t>
      </w:r>
      <w:r w:rsidRPr="004D3B22">
        <w:rPr>
          <w:rFonts w:cs="Times New Roman"/>
        </w:rPr>
        <w:t xml:space="preserve"> with a link to the Web survey. </w:t>
      </w:r>
      <w:r w:rsidRPr="004D3B22">
        <w:t>The actual URL will not be available until the survey is programmed.</w:t>
      </w:r>
      <w:r w:rsidRPr="004D3B22">
        <w:rPr>
          <w:rFonts w:cs="Times New Roman"/>
        </w:rPr>
        <w:t xml:space="preserve">  FH/GMMB </w:t>
      </w:r>
      <w:r w:rsidR="007438C6" w:rsidRPr="004D3B22">
        <w:rPr>
          <w:rFonts w:cs="Times New Roman"/>
        </w:rPr>
        <w:t>will monitor responses as they are completed and send up to three remind</w:t>
      </w:r>
      <w:r w:rsidRPr="004D3B22">
        <w:rPr>
          <w:rFonts w:cs="Times New Roman"/>
        </w:rPr>
        <w:t>er e-mails to these individuals (see Attachment P).</w:t>
      </w:r>
    </w:p>
    <w:p w:rsidR="00FF71B8" w:rsidRPr="00591643" w:rsidRDefault="00FF71B8" w:rsidP="007438C6">
      <w:pPr>
        <w:spacing w:after="0"/>
        <w:rPr>
          <w:rFonts w:cs="Times New Roman"/>
        </w:rPr>
      </w:pPr>
    </w:p>
    <w:p w:rsidR="00FF71B8" w:rsidRPr="00591643" w:rsidRDefault="004D3B22" w:rsidP="007438C6">
      <w:pPr>
        <w:spacing w:after="0"/>
        <w:rPr>
          <w:rFonts w:cs="Times New Roman"/>
        </w:rPr>
      </w:pPr>
      <w:r>
        <w:rPr>
          <w:rFonts w:cs="Times New Roman"/>
        </w:rPr>
        <w:t xml:space="preserve">Working with FH/GMMB’s market research vendor’s </w:t>
      </w:r>
      <w:r w:rsidR="00FF71B8" w:rsidRPr="00591643">
        <w:rPr>
          <w:rFonts w:cs="Times New Roman"/>
        </w:rPr>
        <w:t xml:space="preserve">online panel of teachers (who </w:t>
      </w:r>
      <w:r w:rsidR="00167A57" w:rsidRPr="00591643">
        <w:rPr>
          <w:rFonts w:cs="Times New Roman"/>
        </w:rPr>
        <w:t>self-select</w:t>
      </w:r>
      <w:r w:rsidR="00FF71B8" w:rsidRPr="00591643">
        <w:rPr>
          <w:rFonts w:cs="Times New Roman"/>
        </w:rPr>
        <w:t xml:space="preserve"> to </w:t>
      </w:r>
      <w:r>
        <w:rPr>
          <w:rFonts w:cs="Times New Roman"/>
        </w:rPr>
        <w:t xml:space="preserve">be a part of the Web panel), FH/GMMB </w:t>
      </w:r>
      <w:r w:rsidR="00FF71B8" w:rsidRPr="00591643">
        <w:rPr>
          <w:rFonts w:cs="Times New Roman"/>
        </w:rPr>
        <w:t>will ensure a broad mix of participants based on region (Northeast, South, Midwest and West), race/ethnicity, age</w:t>
      </w:r>
      <w:r w:rsidR="0089720B">
        <w:rPr>
          <w:rFonts w:cs="Times New Roman"/>
        </w:rPr>
        <w:t>,</w:t>
      </w:r>
      <w:r w:rsidR="00BB380E">
        <w:rPr>
          <w:rFonts w:cs="Times New Roman"/>
        </w:rPr>
        <w:t xml:space="preserve"> and gender. FH/GMMB </w:t>
      </w:r>
      <w:r w:rsidR="00FF71B8" w:rsidRPr="00591643">
        <w:rPr>
          <w:rFonts w:cs="Times New Roman"/>
        </w:rPr>
        <w:t xml:space="preserve">will set quotas by these demographic categories ensuring </w:t>
      </w:r>
      <w:r w:rsidR="0003666B" w:rsidRPr="00591643">
        <w:rPr>
          <w:rFonts w:cs="Times New Roman"/>
        </w:rPr>
        <w:t>representation from all teacher segments.</w:t>
      </w:r>
      <w:r w:rsidR="00FF71B8" w:rsidRPr="00591643">
        <w:rPr>
          <w:rFonts w:cs="Times New Roman"/>
        </w:rPr>
        <w:t xml:space="preserve">  </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Data Analysis</w:t>
      </w:r>
    </w:p>
    <w:p w:rsidR="007438C6" w:rsidRPr="00591643" w:rsidRDefault="007438C6" w:rsidP="007438C6">
      <w:pPr>
        <w:spacing w:after="0"/>
        <w:rPr>
          <w:rFonts w:cs="Times New Roman"/>
        </w:rPr>
      </w:pPr>
      <w:r w:rsidRPr="00591643">
        <w:rPr>
          <w:rFonts w:cs="Times New Roman"/>
        </w:rPr>
        <w:t xml:space="preserve">The responses from the benchmark and tracking surveys will be analyzed by the FH/GMMB staff. </w:t>
      </w:r>
      <w:r w:rsidR="0089720B">
        <w:rPr>
          <w:rFonts w:cs="Times New Roman"/>
        </w:rPr>
        <w:t xml:space="preserve"> </w:t>
      </w:r>
      <w:r w:rsidRPr="00591643">
        <w:rPr>
          <w:rFonts w:cs="Times New Roman"/>
        </w:rPr>
        <w:t xml:space="preserve">More specifically, </w:t>
      </w:r>
      <w:r w:rsidR="0089720B">
        <w:rPr>
          <w:rFonts w:cs="Times New Roman"/>
        </w:rPr>
        <w:t>FH/GMMB</w:t>
      </w:r>
      <w:r w:rsidRPr="00591643">
        <w:rPr>
          <w:rFonts w:cs="Times New Roman"/>
        </w:rPr>
        <w:t xml:space="preserve"> will:</w:t>
      </w:r>
    </w:p>
    <w:p w:rsidR="007438C6" w:rsidRPr="00591643" w:rsidRDefault="007438C6" w:rsidP="007438C6">
      <w:pPr>
        <w:pStyle w:val="ListParagraph"/>
        <w:numPr>
          <w:ilvl w:val="0"/>
          <w:numId w:val="24"/>
        </w:numPr>
        <w:spacing w:after="0"/>
        <w:rPr>
          <w:rFonts w:cs="Times New Roman"/>
        </w:rPr>
      </w:pPr>
      <w:r w:rsidRPr="00591643">
        <w:rPr>
          <w:rFonts w:cs="Times New Roman"/>
        </w:rPr>
        <w:t>Tabulate, review and analyze the findings from the surveys.</w:t>
      </w:r>
    </w:p>
    <w:p w:rsidR="007438C6" w:rsidRPr="00591643" w:rsidRDefault="007438C6" w:rsidP="007438C6">
      <w:pPr>
        <w:pStyle w:val="ListParagraph"/>
        <w:numPr>
          <w:ilvl w:val="0"/>
          <w:numId w:val="24"/>
        </w:numPr>
        <w:spacing w:after="0"/>
        <w:rPr>
          <w:rFonts w:cs="Times New Roman"/>
        </w:rPr>
      </w:pPr>
      <w:r w:rsidRPr="00591643">
        <w:rPr>
          <w:rFonts w:cs="Times New Roman"/>
        </w:rPr>
        <w:t>Identify any significant differences among subgroups (e.g., large school districts v</w:t>
      </w:r>
      <w:r w:rsidR="0089720B">
        <w:rPr>
          <w:rFonts w:cs="Times New Roman"/>
        </w:rPr>
        <w:t>er</w:t>
      </w:r>
      <w:r w:rsidRPr="00591643">
        <w:rPr>
          <w:rFonts w:cs="Times New Roman"/>
        </w:rPr>
        <w:t>s</w:t>
      </w:r>
      <w:r w:rsidR="0089720B">
        <w:rPr>
          <w:rFonts w:cs="Times New Roman"/>
        </w:rPr>
        <w:t>us</w:t>
      </w:r>
      <w:r w:rsidRPr="00591643">
        <w:rPr>
          <w:rFonts w:cs="Times New Roman"/>
        </w:rPr>
        <w:t xml:space="preserve"> small school districts).</w:t>
      </w:r>
    </w:p>
    <w:p w:rsidR="007438C6" w:rsidRPr="00591643" w:rsidRDefault="007438C6" w:rsidP="007438C6">
      <w:pPr>
        <w:pStyle w:val="ListParagraph"/>
        <w:numPr>
          <w:ilvl w:val="0"/>
          <w:numId w:val="24"/>
        </w:numPr>
        <w:spacing w:after="0"/>
        <w:rPr>
          <w:rFonts w:cs="Times New Roman"/>
        </w:rPr>
      </w:pPr>
      <w:r w:rsidRPr="00591643">
        <w:rPr>
          <w:rFonts w:cs="Times New Roman"/>
        </w:rPr>
        <w:t>Review verbatim responses to obtain insightful comments to be included in paraphrased quotes within the report.</w:t>
      </w:r>
    </w:p>
    <w:p w:rsidR="007438C6" w:rsidRPr="00591643" w:rsidRDefault="007438C6" w:rsidP="007438C6">
      <w:pPr>
        <w:spacing w:after="0"/>
        <w:rPr>
          <w:rFonts w:cs="Times New Roman"/>
        </w:rPr>
      </w:pPr>
    </w:p>
    <w:p w:rsidR="007438C6" w:rsidRPr="00591643" w:rsidRDefault="007438C6" w:rsidP="007438C6">
      <w:pPr>
        <w:spacing w:after="0"/>
        <w:rPr>
          <w:rFonts w:cs="Times New Roman"/>
          <w:b/>
        </w:rPr>
      </w:pPr>
      <w:r w:rsidRPr="00591643">
        <w:rPr>
          <w:rFonts w:cs="Times New Roman"/>
          <w:b/>
        </w:rPr>
        <w:t>Survey Reports</w:t>
      </w:r>
    </w:p>
    <w:p w:rsidR="007438C6" w:rsidRPr="00591643" w:rsidRDefault="007438C6" w:rsidP="007438C6">
      <w:pPr>
        <w:spacing w:after="0"/>
        <w:rPr>
          <w:rFonts w:cs="Times New Roman"/>
        </w:rPr>
      </w:pPr>
      <w:r w:rsidRPr="00591643">
        <w:rPr>
          <w:rFonts w:cs="Times New Roman"/>
        </w:rPr>
        <w:t>The survey reports will be narrative and include the following key sections:</w:t>
      </w:r>
    </w:p>
    <w:p w:rsidR="007438C6" w:rsidRPr="00591643" w:rsidRDefault="007438C6" w:rsidP="007438C6">
      <w:pPr>
        <w:pStyle w:val="ListParagraph"/>
        <w:numPr>
          <w:ilvl w:val="0"/>
          <w:numId w:val="25"/>
        </w:numPr>
        <w:spacing w:after="0"/>
        <w:rPr>
          <w:rFonts w:cs="Times New Roman"/>
        </w:rPr>
      </w:pPr>
      <w:r w:rsidRPr="00591643">
        <w:rPr>
          <w:rFonts w:cs="Times New Roman"/>
        </w:rPr>
        <w:t>Introduction and explanation of survey methods (in tabular form), dates</w:t>
      </w:r>
      <w:r w:rsidR="0089720B">
        <w:rPr>
          <w:rFonts w:cs="Times New Roman"/>
        </w:rPr>
        <w:t>,</w:t>
      </w:r>
      <w:r w:rsidRPr="00591643">
        <w:rPr>
          <w:rFonts w:cs="Times New Roman"/>
        </w:rPr>
        <w:t xml:space="preserve"> and participant profiles.</w:t>
      </w:r>
    </w:p>
    <w:p w:rsidR="007438C6" w:rsidRPr="00591643" w:rsidRDefault="007438C6" w:rsidP="007438C6">
      <w:pPr>
        <w:pStyle w:val="ListParagraph"/>
        <w:numPr>
          <w:ilvl w:val="0"/>
          <w:numId w:val="25"/>
        </w:numPr>
        <w:spacing w:after="0"/>
        <w:rPr>
          <w:rFonts w:cs="Times New Roman"/>
        </w:rPr>
      </w:pPr>
      <w:r w:rsidRPr="00591643">
        <w:rPr>
          <w:rFonts w:cs="Times New Roman"/>
        </w:rPr>
        <w:t>Executive summary of key findings and their communication implications.</w:t>
      </w:r>
    </w:p>
    <w:p w:rsidR="007438C6" w:rsidRPr="00591643" w:rsidRDefault="007438C6" w:rsidP="007438C6">
      <w:pPr>
        <w:pStyle w:val="ListParagraph"/>
        <w:numPr>
          <w:ilvl w:val="0"/>
          <w:numId w:val="25"/>
        </w:numPr>
        <w:spacing w:after="0"/>
        <w:rPr>
          <w:rFonts w:cs="Times New Roman"/>
        </w:rPr>
      </w:pPr>
      <w:r w:rsidRPr="00591643">
        <w:rPr>
          <w:rFonts w:cs="Times New Roman"/>
        </w:rPr>
        <w:t xml:space="preserve">Detailed findings segregated into relevant and meaningful sections or chapters. </w:t>
      </w:r>
    </w:p>
    <w:p w:rsidR="007438C6" w:rsidRPr="00591643" w:rsidRDefault="007438C6" w:rsidP="007438C6">
      <w:pPr>
        <w:spacing w:after="0"/>
        <w:rPr>
          <w:rFonts w:cs="Times New Roman"/>
        </w:rPr>
      </w:pPr>
    </w:p>
    <w:p w:rsidR="007438C6" w:rsidRPr="00DF2E06" w:rsidRDefault="007438C6" w:rsidP="007438C6">
      <w:pPr>
        <w:spacing w:after="0"/>
        <w:rPr>
          <w:rFonts w:cs="Times New Roman"/>
        </w:rPr>
      </w:pPr>
      <w:r w:rsidRPr="00591643">
        <w:rPr>
          <w:rFonts w:cs="Times New Roman"/>
        </w:rPr>
        <w:t xml:space="preserve">Findings from the report will provide a benchmark measure of child nutrition professionals’ and teachers’ awareness of and attitudes toward USDA Commodities. </w:t>
      </w:r>
      <w:r w:rsidR="0089720B">
        <w:rPr>
          <w:rFonts w:cs="Times New Roman"/>
        </w:rPr>
        <w:t xml:space="preserve"> </w:t>
      </w:r>
      <w:r w:rsidRPr="00591643">
        <w:rPr>
          <w:rFonts w:cs="Times New Roman"/>
        </w:rPr>
        <w:t xml:space="preserve">These findings will help guide USDA in revising the draft communications plan for USDA Commodities and develop additional outreach and communication recommendations. </w:t>
      </w:r>
      <w:r w:rsidR="0089720B">
        <w:rPr>
          <w:rFonts w:cs="Times New Roman"/>
        </w:rPr>
        <w:t xml:space="preserve"> </w:t>
      </w:r>
      <w:r w:rsidRPr="00591643">
        <w:rPr>
          <w:rFonts w:cs="Times New Roman"/>
        </w:rPr>
        <w:t xml:space="preserve">In addition, it will offer a way for USDA to measure the future progress of USDA Commodities through tracking </w:t>
      </w:r>
      <w:r w:rsidRPr="00AB5491">
        <w:rPr>
          <w:rFonts w:cs="Times New Roman"/>
        </w:rPr>
        <w:t xml:space="preserve">surveys. </w:t>
      </w:r>
      <w:r w:rsidR="0089720B">
        <w:rPr>
          <w:rFonts w:cs="Times New Roman"/>
        </w:rPr>
        <w:t xml:space="preserve"> </w:t>
      </w:r>
      <w:r w:rsidR="001766A3" w:rsidRPr="00AB5491">
        <w:rPr>
          <w:rFonts w:cs="Times New Roman"/>
        </w:rPr>
        <w:t>These finding</w:t>
      </w:r>
      <w:r w:rsidR="006F2029">
        <w:rPr>
          <w:rFonts w:cs="Times New Roman"/>
        </w:rPr>
        <w:t>s will be used internally and FH/GMMB does</w:t>
      </w:r>
      <w:r w:rsidR="001766A3" w:rsidRPr="00AB5491">
        <w:rPr>
          <w:rFonts w:cs="Times New Roman"/>
        </w:rPr>
        <w:t xml:space="preserve"> not anticipate publishing the results. </w:t>
      </w:r>
      <w:r w:rsidR="0089720B">
        <w:rPr>
          <w:rFonts w:cs="Times New Roman"/>
        </w:rPr>
        <w:t xml:space="preserve"> </w:t>
      </w:r>
      <w:r w:rsidRPr="00AB5491">
        <w:rPr>
          <w:rFonts w:cs="Times New Roman"/>
        </w:rPr>
        <w:t>T</w:t>
      </w:r>
      <w:r w:rsidR="001766A3" w:rsidRPr="00AB5491">
        <w:rPr>
          <w:rFonts w:cs="Times New Roman"/>
        </w:rPr>
        <w:t>he benchmark and tracking survey instruments are identical and will reach out to t</w:t>
      </w:r>
      <w:r w:rsidRPr="00AB5491">
        <w:rPr>
          <w:rFonts w:cs="Times New Roman"/>
        </w:rPr>
        <w:t>he same audiences (but different people).</w:t>
      </w:r>
    </w:p>
    <w:p w:rsidR="002C137E" w:rsidRDefault="002C137E"/>
    <w:sectPr w:rsidR="002C137E" w:rsidSect="008E76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9ED" w:rsidRDefault="001F09ED" w:rsidP="009B39DC">
      <w:pPr>
        <w:spacing w:after="0" w:line="240" w:lineRule="auto"/>
      </w:pPr>
      <w:r>
        <w:separator/>
      </w:r>
    </w:p>
  </w:endnote>
  <w:endnote w:type="continuationSeparator" w:id="1">
    <w:p w:rsidR="001F09ED" w:rsidRDefault="001F09ED" w:rsidP="009B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05141"/>
      <w:docPartObj>
        <w:docPartGallery w:val="Page Numbers (Bottom of Page)"/>
        <w:docPartUnique/>
      </w:docPartObj>
    </w:sdtPr>
    <w:sdtContent>
      <w:p w:rsidR="00760EBB" w:rsidRDefault="00662AF9">
        <w:pPr>
          <w:pStyle w:val="Footer"/>
          <w:jc w:val="center"/>
        </w:pPr>
        <w:fldSimple w:instr=" PAGE   \* MERGEFORMAT ">
          <w:r w:rsidR="00284DD4">
            <w:rPr>
              <w:noProof/>
            </w:rPr>
            <w:t>22</w:t>
          </w:r>
        </w:fldSimple>
      </w:p>
    </w:sdtContent>
  </w:sdt>
  <w:p w:rsidR="00760EBB" w:rsidRDefault="00760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9ED" w:rsidRDefault="001F09ED" w:rsidP="009B39DC">
      <w:pPr>
        <w:spacing w:after="0" w:line="240" w:lineRule="auto"/>
      </w:pPr>
      <w:r>
        <w:separator/>
      </w:r>
    </w:p>
  </w:footnote>
  <w:footnote w:type="continuationSeparator" w:id="1">
    <w:p w:rsidR="001F09ED" w:rsidRDefault="001F09ED" w:rsidP="009B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BB" w:rsidRDefault="00760EBB" w:rsidP="00BC4044">
    <w:pPr>
      <w:spacing w:after="0"/>
      <w:jc w:val="right"/>
      <w:rPr>
        <w:b/>
      </w:rPr>
    </w:pPr>
    <w:r>
      <w:rPr>
        <w:b/>
      </w:rPr>
      <w:t>OMB Control # 0584-0524</w:t>
    </w:r>
  </w:p>
  <w:p w:rsidR="00760EBB" w:rsidRPr="00BC4044" w:rsidRDefault="00760EBB" w:rsidP="00BC4044">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78E"/>
    <w:multiLevelType w:val="hybridMultilevel"/>
    <w:tmpl w:val="200A9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B5C1D"/>
    <w:multiLevelType w:val="hybridMultilevel"/>
    <w:tmpl w:val="1B760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3D7434"/>
    <w:multiLevelType w:val="hybridMultilevel"/>
    <w:tmpl w:val="73621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525F40"/>
    <w:multiLevelType w:val="hybridMultilevel"/>
    <w:tmpl w:val="E3DE4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AE5919"/>
    <w:multiLevelType w:val="hybridMultilevel"/>
    <w:tmpl w:val="6BC6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E869AC"/>
    <w:multiLevelType w:val="hybridMultilevel"/>
    <w:tmpl w:val="50809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7C22D8"/>
    <w:multiLevelType w:val="hybridMultilevel"/>
    <w:tmpl w:val="E530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266E66"/>
    <w:multiLevelType w:val="hybridMultilevel"/>
    <w:tmpl w:val="1F28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DC23B3"/>
    <w:multiLevelType w:val="hybridMultilevel"/>
    <w:tmpl w:val="0B96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0C3304"/>
    <w:multiLevelType w:val="hybridMultilevel"/>
    <w:tmpl w:val="D27EB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933DA8"/>
    <w:multiLevelType w:val="hybridMultilevel"/>
    <w:tmpl w:val="132E4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965D4A"/>
    <w:multiLevelType w:val="hybridMultilevel"/>
    <w:tmpl w:val="499A2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1D72DF"/>
    <w:multiLevelType w:val="hybridMultilevel"/>
    <w:tmpl w:val="50125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88515A"/>
    <w:multiLevelType w:val="hybridMultilevel"/>
    <w:tmpl w:val="7C740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157957"/>
    <w:multiLevelType w:val="hybridMultilevel"/>
    <w:tmpl w:val="8DB86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8481076"/>
    <w:multiLevelType w:val="hybridMultilevel"/>
    <w:tmpl w:val="80EAF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6C7419"/>
    <w:multiLevelType w:val="hybridMultilevel"/>
    <w:tmpl w:val="5FD0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4F7C3D"/>
    <w:multiLevelType w:val="hybridMultilevel"/>
    <w:tmpl w:val="80280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5B0096"/>
    <w:multiLevelType w:val="hybridMultilevel"/>
    <w:tmpl w:val="6E40F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8522B7"/>
    <w:multiLevelType w:val="hybridMultilevel"/>
    <w:tmpl w:val="AE5A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C11B7"/>
    <w:multiLevelType w:val="hybridMultilevel"/>
    <w:tmpl w:val="96EEA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BB7C8D"/>
    <w:multiLevelType w:val="hybridMultilevel"/>
    <w:tmpl w:val="1E62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2AE5427"/>
    <w:multiLevelType w:val="hybridMultilevel"/>
    <w:tmpl w:val="608AF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724B84"/>
    <w:multiLevelType w:val="hybridMultilevel"/>
    <w:tmpl w:val="81CCF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6D92DD3"/>
    <w:multiLevelType w:val="hybridMultilevel"/>
    <w:tmpl w:val="46F6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F5C2DF4"/>
    <w:multiLevelType w:val="hybridMultilevel"/>
    <w:tmpl w:val="6E62FD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5"/>
  </w:num>
  <w:num w:numId="2">
    <w:abstractNumId w:val="19"/>
  </w:num>
  <w:num w:numId="3">
    <w:abstractNumId w:val="8"/>
  </w:num>
  <w:num w:numId="4">
    <w:abstractNumId w:val="24"/>
  </w:num>
  <w:num w:numId="5">
    <w:abstractNumId w:val="12"/>
  </w:num>
  <w:num w:numId="6">
    <w:abstractNumId w:val="13"/>
  </w:num>
  <w:num w:numId="7">
    <w:abstractNumId w:val="9"/>
  </w:num>
  <w:num w:numId="8">
    <w:abstractNumId w:val="10"/>
  </w:num>
  <w:num w:numId="9">
    <w:abstractNumId w:val="0"/>
  </w:num>
  <w:num w:numId="10">
    <w:abstractNumId w:val="22"/>
  </w:num>
  <w:num w:numId="11">
    <w:abstractNumId w:val="18"/>
  </w:num>
  <w:num w:numId="12">
    <w:abstractNumId w:val="14"/>
  </w:num>
  <w:num w:numId="13">
    <w:abstractNumId w:val="15"/>
  </w:num>
  <w:num w:numId="14">
    <w:abstractNumId w:val="3"/>
  </w:num>
  <w:num w:numId="15">
    <w:abstractNumId w:val="2"/>
  </w:num>
  <w:num w:numId="16">
    <w:abstractNumId w:val="4"/>
  </w:num>
  <w:num w:numId="17">
    <w:abstractNumId w:val="23"/>
  </w:num>
  <w:num w:numId="18">
    <w:abstractNumId w:val="7"/>
  </w:num>
  <w:num w:numId="19">
    <w:abstractNumId w:val="16"/>
  </w:num>
  <w:num w:numId="20">
    <w:abstractNumId w:val="6"/>
  </w:num>
  <w:num w:numId="21">
    <w:abstractNumId w:val="5"/>
  </w:num>
  <w:num w:numId="22">
    <w:abstractNumId w:val="1"/>
  </w:num>
  <w:num w:numId="23">
    <w:abstractNumId w:val="17"/>
  </w:num>
  <w:num w:numId="24">
    <w:abstractNumId w:val="21"/>
  </w:num>
  <w:num w:numId="25">
    <w:abstractNumId w:val="20"/>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438C6"/>
    <w:rsid w:val="00034747"/>
    <w:rsid w:val="0003666B"/>
    <w:rsid w:val="00040605"/>
    <w:rsid w:val="00073B69"/>
    <w:rsid w:val="000B4CAC"/>
    <w:rsid w:val="000C3105"/>
    <w:rsid w:val="00112E90"/>
    <w:rsid w:val="001173C4"/>
    <w:rsid w:val="0012531E"/>
    <w:rsid w:val="0013473E"/>
    <w:rsid w:val="00147497"/>
    <w:rsid w:val="001475C3"/>
    <w:rsid w:val="0015396D"/>
    <w:rsid w:val="001645F9"/>
    <w:rsid w:val="00167A57"/>
    <w:rsid w:val="001766A3"/>
    <w:rsid w:val="00176F61"/>
    <w:rsid w:val="0018607A"/>
    <w:rsid w:val="001A1728"/>
    <w:rsid w:val="001B4E8C"/>
    <w:rsid w:val="001C3216"/>
    <w:rsid w:val="001F09ED"/>
    <w:rsid w:val="001F7E57"/>
    <w:rsid w:val="00245620"/>
    <w:rsid w:val="00250245"/>
    <w:rsid w:val="0026353B"/>
    <w:rsid w:val="00284DD4"/>
    <w:rsid w:val="002932CD"/>
    <w:rsid w:val="002B64F4"/>
    <w:rsid w:val="002C137E"/>
    <w:rsid w:val="002C3EBA"/>
    <w:rsid w:val="002E4E69"/>
    <w:rsid w:val="002F6D02"/>
    <w:rsid w:val="00340CD2"/>
    <w:rsid w:val="003672E2"/>
    <w:rsid w:val="00387066"/>
    <w:rsid w:val="00390CD1"/>
    <w:rsid w:val="00394671"/>
    <w:rsid w:val="003B0D9C"/>
    <w:rsid w:val="003C4BD6"/>
    <w:rsid w:val="003E33A6"/>
    <w:rsid w:val="00437330"/>
    <w:rsid w:val="00456499"/>
    <w:rsid w:val="004604E5"/>
    <w:rsid w:val="00472DC0"/>
    <w:rsid w:val="00474D15"/>
    <w:rsid w:val="00493C58"/>
    <w:rsid w:val="00495B73"/>
    <w:rsid w:val="004D3B22"/>
    <w:rsid w:val="004E583A"/>
    <w:rsid w:val="004F3A8D"/>
    <w:rsid w:val="00525A6C"/>
    <w:rsid w:val="00545127"/>
    <w:rsid w:val="0058437D"/>
    <w:rsid w:val="0058767F"/>
    <w:rsid w:val="00591643"/>
    <w:rsid w:val="00595B98"/>
    <w:rsid w:val="005C0502"/>
    <w:rsid w:val="005E11C2"/>
    <w:rsid w:val="005E5BE5"/>
    <w:rsid w:val="005F1A28"/>
    <w:rsid w:val="005F4000"/>
    <w:rsid w:val="00601E4F"/>
    <w:rsid w:val="00615245"/>
    <w:rsid w:val="0064267F"/>
    <w:rsid w:val="00662AF9"/>
    <w:rsid w:val="006925EC"/>
    <w:rsid w:val="006A0EA3"/>
    <w:rsid w:val="006A62F9"/>
    <w:rsid w:val="006C6176"/>
    <w:rsid w:val="006E5509"/>
    <w:rsid w:val="006F2029"/>
    <w:rsid w:val="00702E1A"/>
    <w:rsid w:val="00726A3D"/>
    <w:rsid w:val="00737AF5"/>
    <w:rsid w:val="007423EB"/>
    <w:rsid w:val="007438C6"/>
    <w:rsid w:val="00760EBB"/>
    <w:rsid w:val="00783659"/>
    <w:rsid w:val="007B52C8"/>
    <w:rsid w:val="007B5A82"/>
    <w:rsid w:val="007D627F"/>
    <w:rsid w:val="007E74AE"/>
    <w:rsid w:val="00837D6A"/>
    <w:rsid w:val="00845B73"/>
    <w:rsid w:val="00860072"/>
    <w:rsid w:val="0089377F"/>
    <w:rsid w:val="0089720B"/>
    <w:rsid w:val="008B2047"/>
    <w:rsid w:val="008C763A"/>
    <w:rsid w:val="008D0525"/>
    <w:rsid w:val="008E7693"/>
    <w:rsid w:val="008F3A25"/>
    <w:rsid w:val="00911CFF"/>
    <w:rsid w:val="009139D0"/>
    <w:rsid w:val="00932EA4"/>
    <w:rsid w:val="0094266D"/>
    <w:rsid w:val="0096033E"/>
    <w:rsid w:val="009662F4"/>
    <w:rsid w:val="0099131D"/>
    <w:rsid w:val="00992BE1"/>
    <w:rsid w:val="009A513C"/>
    <w:rsid w:val="009B39DC"/>
    <w:rsid w:val="009C5535"/>
    <w:rsid w:val="009D1B5A"/>
    <w:rsid w:val="009E153A"/>
    <w:rsid w:val="009E7AB0"/>
    <w:rsid w:val="00A01395"/>
    <w:rsid w:val="00A71B34"/>
    <w:rsid w:val="00A75E17"/>
    <w:rsid w:val="00AA51FC"/>
    <w:rsid w:val="00AB5491"/>
    <w:rsid w:val="00AC7953"/>
    <w:rsid w:val="00AD25F4"/>
    <w:rsid w:val="00AD7D85"/>
    <w:rsid w:val="00AE3306"/>
    <w:rsid w:val="00B17369"/>
    <w:rsid w:val="00B40EC8"/>
    <w:rsid w:val="00B745EB"/>
    <w:rsid w:val="00B96E2D"/>
    <w:rsid w:val="00BA0139"/>
    <w:rsid w:val="00BB380E"/>
    <w:rsid w:val="00BB6474"/>
    <w:rsid w:val="00BC4044"/>
    <w:rsid w:val="00BD78A8"/>
    <w:rsid w:val="00BF1A3D"/>
    <w:rsid w:val="00C01B8D"/>
    <w:rsid w:val="00C15B90"/>
    <w:rsid w:val="00C3531F"/>
    <w:rsid w:val="00C440A0"/>
    <w:rsid w:val="00CA18B9"/>
    <w:rsid w:val="00CA74F5"/>
    <w:rsid w:val="00CB7BF7"/>
    <w:rsid w:val="00D02F4E"/>
    <w:rsid w:val="00D05366"/>
    <w:rsid w:val="00D87938"/>
    <w:rsid w:val="00D9288F"/>
    <w:rsid w:val="00D96436"/>
    <w:rsid w:val="00DA5415"/>
    <w:rsid w:val="00DB6250"/>
    <w:rsid w:val="00DD46E1"/>
    <w:rsid w:val="00DE38FE"/>
    <w:rsid w:val="00DF5A97"/>
    <w:rsid w:val="00E11A02"/>
    <w:rsid w:val="00E124C9"/>
    <w:rsid w:val="00E14DF2"/>
    <w:rsid w:val="00E374AD"/>
    <w:rsid w:val="00E65E56"/>
    <w:rsid w:val="00E6673B"/>
    <w:rsid w:val="00E83564"/>
    <w:rsid w:val="00EA1B9C"/>
    <w:rsid w:val="00EA3A21"/>
    <w:rsid w:val="00EC5329"/>
    <w:rsid w:val="00EC7721"/>
    <w:rsid w:val="00ED57BF"/>
    <w:rsid w:val="00ED6B71"/>
    <w:rsid w:val="00F1387C"/>
    <w:rsid w:val="00F60C64"/>
    <w:rsid w:val="00F62D61"/>
    <w:rsid w:val="00FD6FED"/>
    <w:rsid w:val="00FF0F4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8C6"/>
    <w:pPr>
      <w:ind w:left="720"/>
      <w:contextualSpacing/>
    </w:pPr>
  </w:style>
  <w:style w:type="table" w:styleId="TableGrid">
    <w:name w:val="Table Grid"/>
    <w:basedOn w:val="TableNormal"/>
    <w:uiPriority w:val="59"/>
    <w:rsid w:val="007438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438C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7438C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74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8C6"/>
    <w:rPr>
      <w:rFonts w:ascii="Tahoma" w:hAnsi="Tahoma" w:cs="Tahoma"/>
      <w:sz w:val="16"/>
      <w:szCs w:val="16"/>
    </w:rPr>
  </w:style>
  <w:style w:type="character" w:styleId="CommentReference">
    <w:name w:val="annotation reference"/>
    <w:basedOn w:val="DefaultParagraphFont"/>
    <w:uiPriority w:val="99"/>
    <w:semiHidden/>
    <w:unhideWhenUsed/>
    <w:rsid w:val="007438C6"/>
    <w:rPr>
      <w:sz w:val="16"/>
      <w:szCs w:val="16"/>
    </w:rPr>
  </w:style>
  <w:style w:type="paragraph" w:styleId="CommentText">
    <w:name w:val="annotation text"/>
    <w:basedOn w:val="Normal"/>
    <w:link w:val="CommentTextChar"/>
    <w:uiPriority w:val="99"/>
    <w:semiHidden/>
    <w:unhideWhenUsed/>
    <w:rsid w:val="007438C6"/>
    <w:pPr>
      <w:spacing w:line="240" w:lineRule="auto"/>
    </w:pPr>
    <w:rPr>
      <w:sz w:val="20"/>
      <w:szCs w:val="20"/>
    </w:rPr>
  </w:style>
  <w:style w:type="character" w:customStyle="1" w:styleId="CommentTextChar">
    <w:name w:val="Comment Text Char"/>
    <w:basedOn w:val="DefaultParagraphFont"/>
    <w:link w:val="CommentText"/>
    <w:uiPriority w:val="99"/>
    <w:semiHidden/>
    <w:rsid w:val="007438C6"/>
    <w:rPr>
      <w:sz w:val="20"/>
      <w:szCs w:val="20"/>
    </w:rPr>
  </w:style>
  <w:style w:type="paragraph" w:styleId="CommentSubject">
    <w:name w:val="annotation subject"/>
    <w:basedOn w:val="CommentText"/>
    <w:next w:val="CommentText"/>
    <w:link w:val="CommentSubjectChar"/>
    <w:uiPriority w:val="99"/>
    <w:semiHidden/>
    <w:unhideWhenUsed/>
    <w:rsid w:val="007438C6"/>
    <w:rPr>
      <w:b/>
      <w:bCs/>
    </w:rPr>
  </w:style>
  <w:style w:type="character" w:customStyle="1" w:styleId="CommentSubjectChar">
    <w:name w:val="Comment Subject Char"/>
    <w:basedOn w:val="CommentTextChar"/>
    <w:link w:val="CommentSubject"/>
    <w:uiPriority w:val="99"/>
    <w:semiHidden/>
    <w:rsid w:val="007438C6"/>
    <w:rPr>
      <w:b/>
      <w:bCs/>
    </w:rPr>
  </w:style>
  <w:style w:type="paragraph" w:styleId="Header">
    <w:name w:val="header"/>
    <w:basedOn w:val="Normal"/>
    <w:link w:val="HeaderChar"/>
    <w:uiPriority w:val="99"/>
    <w:semiHidden/>
    <w:unhideWhenUsed/>
    <w:rsid w:val="007438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38C6"/>
  </w:style>
  <w:style w:type="paragraph" w:styleId="Footer">
    <w:name w:val="footer"/>
    <w:basedOn w:val="Normal"/>
    <w:link w:val="FooterChar"/>
    <w:uiPriority w:val="99"/>
    <w:unhideWhenUsed/>
    <w:rsid w:val="00743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C6"/>
  </w:style>
  <w:style w:type="paragraph" w:styleId="NoSpacing">
    <w:name w:val="No Spacing"/>
    <w:uiPriority w:val="1"/>
    <w:qFormat/>
    <w:rsid w:val="007438C6"/>
    <w:pPr>
      <w:spacing w:after="0" w:line="240" w:lineRule="auto"/>
    </w:pPr>
  </w:style>
  <w:style w:type="paragraph" w:styleId="Revision">
    <w:name w:val="Revision"/>
    <w:hidden/>
    <w:uiPriority w:val="99"/>
    <w:semiHidden/>
    <w:rsid w:val="007438C6"/>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5735253">
      <w:bodyDiv w:val="1"/>
      <w:marLeft w:val="0"/>
      <w:marRight w:val="0"/>
      <w:marTop w:val="0"/>
      <w:marBottom w:val="0"/>
      <w:divBdr>
        <w:top w:val="none" w:sz="0" w:space="0" w:color="auto"/>
        <w:left w:val="none" w:sz="0" w:space="0" w:color="auto"/>
        <w:bottom w:val="none" w:sz="0" w:space="0" w:color="auto"/>
        <w:right w:val="none" w:sz="0" w:space="0" w:color="auto"/>
      </w:divBdr>
    </w:div>
    <w:div w:id="19491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A39E-C917-4F65-B810-2DB29BFB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6903</Words>
  <Characters>39353</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46164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rgreene</cp:lastModifiedBy>
  <cp:revision>2</cp:revision>
  <cp:lastPrinted>2009-09-29T18:42:00Z</cp:lastPrinted>
  <dcterms:created xsi:type="dcterms:W3CDTF">2009-10-19T18:36:00Z</dcterms:created>
  <dcterms:modified xsi:type="dcterms:W3CDTF">2009-10-19T18:36:00Z</dcterms:modified>
</cp:coreProperties>
</file>