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74" w:rsidRDefault="00763474" w:rsidP="005D5492">
      <w:pPr>
        <w:tabs>
          <w:tab w:val="left" w:pos="360"/>
          <w:tab w:val="left" w:pos="720"/>
          <w:tab w:val="left" w:pos="1080"/>
        </w:tabs>
        <w:spacing w:line="480" w:lineRule="auto"/>
        <w:jc w:val="center"/>
        <w:rPr>
          <w:rFonts w:ascii="Times New Roman" w:hAnsi="Times New Roman"/>
          <w:b/>
          <w:bCs/>
          <w:i/>
          <w:iCs/>
        </w:rPr>
      </w:pPr>
      <w:r>
        <w:rPr>
          <w:rFonts w:ascii="Times New Roman" w:hAnsi="Times New Roman"/>
          <w:b/>
          <w:bCs/>
          <w:i/>
          <w:iCs/>
        </w:rPr>
        <w:t>Attachment 2</w:t>
      </w:r>
    </w:p>
    <w:p w:rsidR="00763474" w:rsidRDefault="00763474" w:rsidP="005D5492">
      <w:pPr>
        <w:tabs>
          <w:tab w:val="left" w:pos="360"/>
          <w:tab w:val="left" w:pos="720"/>
          <w:tab w:val="left" w:pos="1080"/>
        </w:tabs>
        <w:spacing w:line="480" w:lineRule="auto"/>
        <w:jc w:val="center"/>
        <w:rPr>
          <w:rFonts w:ascii="Times New Roman" w:hAnsi="Times New Roman"/>
          <w:b/>
          <w:bCs/>
          <w:i/>
          <w:iCs/>
        </w:rPr>
      </w:pPr>
    </w:p>
    <w:p w:rsidR="00763474" w:rsidRDefault="00763474" w:rsidP="005D5492">
      <w:pPr>
        <w:tabs>
          <w:tab w:val="left" w:pos="360"/>
          <w:tab w:val="left" w:pos="720"/>
          <w:tab w:val="left" w:pos="1080"/>
        </w:tabs>
        <w:spacing w:line="480" w:lineRule="auto"/>
        <w:jc w:val="center"/>
        <w:rPr>
          <w:rFonts w:ascii="Times New Roman" w:hAnsi="Times New Roman"/>
          <w:b/>
          <w:bCs/>
          <w:i/>
          <w:iCs/>
        </w:rPr>
      </w:pPr>
      <w:r>
        <w:rPr>
          <w:rFonts w:ascii="Times New Roman" w:hAnsi="Times New Roman"/>
          <w:b/>
          <w:bCs/>
          <w:i/>
          <w:iCs/>
        </w:rPr>
        <w:t>Occupational Safety and Health Act</w:t>
      </w:r>
    </w:p>
    <w:p w:rsidR="00763474" w:rsidRDefault="00763474" w:rsidP="005D5492">
      <w:pPr>
        <w:tabs>
          <w:tab w:val="left" w:pos="360"/>
          <w:tab w:val="left" w:pos="720"/>
          <w:tab w:val="left" w:pos="1080"/>
        </w:tabs>
        <w:spacing w:line="480" w:lineRule="auto"/>
        <w:jc w:val="center"/>
        <w:rPr>
          <w:rFonts w:ascii="Times New Roman" w:hAnsi="Times New Roman"/>
          <w:b/>
          <w:bCs/>
        </w:rPr>
      </w:pPr>
      <w:r>
        <w:rPr>
          <w:rFonts w:ascii="Times New Roman" w:hAnsi="Times New Roman"/>
          <w:b/>
          <w:bCs/>
          <w:i/>
          <w:iCs/>
        </w:rPr>
        <w:t>(Sections 20 and 22)</w:t>
      </w:r>
      <w:smartTag w:uri="urn:schemas-microsoft-com:office:smarttags" w:element="place">
        <w:smartTag w:uri="urn:schemas-microsoft-com:office:smarttags" w:element="City">
          <w:r>
            <w:rPr>
              <w:rFonts w:ascii="Times New Roman" w:hAnsi="Times New Roman"/>
              <w:b/>
              <w:bCs/>
              <w:u w:val="single"/>
            </w:rPr>
            <w:t>OSH</w:t>
          </w:r>
        </w:smartTag>
      </w:smartTag>
      <w:r>
        <w:rPr>
          <w:rFonts w:ascii="Times New Roman" w:hAnsi="Times New Roman"/>
          <w:b/>
          <w:bCs/>
          <w:u w:val="single"/>
        </w:rPr>
        <w:t xml:space="preserve"> Act of 1970 - </w:t>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bookmarkStart w:id="0" w:name="a20"/>
      <w:r>
        <w:rPr>
          <w:rFonts w:ascii="Times New Roman" w:hAnsi="Times New Roman"/>
          <w:b/>
          <w:bCs/>
        </w:rPr>
        <w:t>20. Research and Related Activities</w:t>
      </w:r>
      <w:bookmarkEnd w:id="0"/>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t xml:space="preserve">(a)(1)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u w:val="single"/>
        </w:rPr>
        <w:t>29 USC 669.</w:t>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u w:val="single"/>
        </w:rPr>
        <w:t>84 STAT. 1611.</w:t>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t>Toxic substances, records.  Medical examinations</w:t>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r>
        <w:rPr>
          <w:rFonts w:ascii="Times New Roman" w:hAnsi="Times New Roman"/>
          <w:b/>
          <w:bCs/>
        </w:rPr>
        <w:fldChar w:fldCharType="begin"/>
      </w:r>
      <w:r>
        <w:rPr>
          <w:rFonts w:ascii="Times New Roman" w:hAnsi="Times New Roman"/>
          <w:b/>
          <w:bCs/>
        </w:rPr>
        <w:instrText>ADVANCE \d4</w:instrText>
      </w:r>
      <w:r>
        <w:rPr>
          <w:rFonts w:ascii="Times New Roman" w:hAnsi="Times New Roman"/>
          <w:b/>
          <w:bCs/>
        </w:rPr>
        <w:fldChar w:fldCharType="end"/>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b/>
          <w:bCs/>
        </w:rPr>
        <w:t>Toxic Substances Publication, December 29, 1970</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(6)</w:t>
      </w:r>
      <w:r>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b/>
          <w:bCs/>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rPr>
        <w:t>Annual Studies</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(7)</w:t>
      </w:r>
      <w:r>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(b)</w:t>
      </w:r>
      <w:r>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b/>
        </w:rPr>
        <w:t>Inspections</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(c)</w:t>
      </w:r>
      <w:r>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rPr>
        <w:t>Contract Authority</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u w:val="single"/>
        </w:rPr>
        <w:t>84 STAT. 1612</w:t>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b/>
          <w:bCs/>
        </w:rPr>
        <w:t>(d)</w:t>
      </w:r>
      <w:r>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p>
    <w:p w:rsidR="00763474" w:rsidRDefault="00763474" w:rsidP="005D5492">
      <w:pPr>
        <w:tabs>
          <w:tab w:val="left" w:pos="360"/>
          <w:tab w:val="left" w:pos="720"/>
          <w:tab w:val="left" w:pos="1080"/>
        </w:tabs>
        <w:spacing w:line="480" w:lineRule="auto"/>
        <w:jc w:val="both"/>
        <w:rPr>
          <w:rFonts w:ascii="Times New Roman" w:hAnsi="Times New Roman"/>
        </w:rPr>
        <w:sectPr w:rsidR="00763474" w:rsidSect="005D5492">
          <w:type w:val="nextColumn"/>
          <w:pgSz w:w="12240" w:h="15840"/>
          <w:pgMar w:top="1440" w:right="1440" w:bottom="720" w:left="1440" w:header="1440" w:footer="720" w:gutter="0"/>
          <w:cols w:space="720"/>
          <w:noEndnote/>
        </w:sect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bCs/>
        </w:rPr>
        <w:t>(e)</w:t>
      </w:r>
      <w:r>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b/>
        </w:rPr>
        <w:t>Delegation of functions</w:t>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r>
        <w:rPr>
          <w:rFonts w:ascii="Times New Roman" w:hAnsi="Times New Roman"/>
        </w:rPr>
        <w:fldChar w:fldCharType="begin"/>
      </w:r>
      <w:r>
        <w:rPr>
          <w:rFonts w:ascii="Times New Roman" w:hAnsi="Times New Roman"/>
        </w:rPr>
        <w:instrText>ADVANCE \d4</w:instrText>
      </w:r>
      <w:r>
        <w:rPr>
          <w:rFonts w:ascii="Times New Roman" w:hAnsi="Times New Roman"/>
        </w:rPr>
        <w:fldChar w:fldCharType="end"/>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22. National Institute for Occupational Safety and Health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Director, appointment,</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Term</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(c) The Institute is authorized to </w:t>
      </w:r>
      <w:r>
        <w:rPr>
          <w:rFonts w:ascii="Times New Roman" w:hAnsi="Times New Roman"/>
        </w:rPr>
        <w:noBreakHyphen/>
      </w:r>
      <w:r>
        <w:rPr>
          <w:rFonts w:ascii="Times New Roman" w:hAnsi="Times New Roman"/>
        </w:rPr>
        <w:noBreakHyphen/>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(1) develop and establish recommended occupational safety and health standards; and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(2) perform all functions of the Secretary of Health and Human Services under sections 20 and 21  of this Act. </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sectPr w:rsidR="00763474" w:rsidSect="005D5492">
          <w:type w:val="nextColumn"/>
          <w:pgSz w:w="12240" w:h="15840"/>
          <w:pgMar w:top="1440" w:right="1440" w:bottom="720" w:left="1440" w:header="1440" w:footer="720" w:gutter="0"/>
          <w:cols w:space="720"/>
          <w:noEndnote/>
        </w:sect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u w:val="single"/>
        </w:rPr>
        <w:t>84 STAT. 1613.</w:t>
      </w: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noBreakHyphen/>
      </w:r>
      <w:r>
        <w:rPr>
          <w:rFonts w:ascii="Times New Roman" w:hAnsi="Times New Roman"/>
        </w:rPr>
        <w:noBreakHyphen/>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(1) prescribe such regulations as he deems necessary governing the manner in which its functions shall be carried out;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(5) obtain the services of experts and consultants in accordance with the provisions of section 3109 of title 5, United States Code; 80 Stat. 416. </w:t>
      </w:r>
    </w:p>
    <w:p w:rsidR="00763474" w:rsidRDefault="00763474" w:rsidP="005D5492">
      <w:pPr>
        <w:tabs>
          <w:tab w:val="left" w:pos="360"/>
          <w:tab w:val="left" w:pos="720"/>
          <w:tab w:val="left" w:pos="1080"/>
        </w:tabs>
        <w:spacing w:line="480" w:lineRule="auto"/>
        <w:jc w:val="both"/>
        <w:rPr>
          <w:rFonts w:ascii="Times New Roman" w:hAnsi="Times New Roman"/>
        </w:rPr>
        <w:sectPr w:rsidR="00763474" w:rsidSect="005D5492">
          <w:type w:val="nextColumn"/>
          <w:pgSz w:w="12240" w:h="15840"/>
          <w:pgMar w:top="1440" w:right="1440" w:bottom="720" w:left="1440" w:header="1440" w:footer="720" w:gutter="0"/>
          <w:cols w:space="720"/>
          <w:noEndnote/>
        </w:sect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(6) accept and utilize the services of voluntary and noncompensated personnel and reimburse them for travel expenses, including per diem, as authorized by section 5703 of title 5, United States Code; 83 STAT. 190. </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(8) make advance, progress, and other payments which the Director deems necessary under this title without regard to the provisions of section 3324 (a) and (b) of Title 31; and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(9) make other necessary expenditures.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Annual report to HHS, President, and Congress. </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sectPr w:rsidR="00763474" w:rsidSect="005D5492">
          <w:type w:val="nextColumn"/>
          <w:pgSz w:w="12240" w:h="15840"/>
          <w:pgMar w:top="1440" w:right="1440" w:bottom="720" w:left="1440" w:header="1440" w:footer="720" w:gutter="0"/>
          <w:cols w:space="720"/>
          <w:noEndnote/>
        </w:sectPr>
      </w:pPr>
    </w:p>
    <w:p w:rsidR="00763474" w:rsidRDefault="00763474" w:rsidP="005D5492">
      <w:pPr>
        <w:pStyle w:val="Level1"/>
        <w:numPr>
          <w:ilvl w:val="0"/>
          <w:numId w:val="1"/>
        </w:numPr>
        <w:tabs>
          <w:tab w:val="num" w:pos="360"/>
          <w:tab w:val="left" w:pos="720"/>
          <w:tab w:val="left" w:pos="1080"/>
        </w:tabs>
        <w:spacing w:line="480" w:lineRule="auto"/>
        <w:jc w:val="both"/>
        <w:rPr>
          <w:rFonts w:ascii="Times New Roman" w:hAnsi="Times New Roman"/>
        </w:rPr>
      </w:pPr>
      <w:r>
        <w:rPr>
          <w:rFonts w:ascii="Times New Roman" w:hAnsi="Times New Roman"/>
        </w:rPr>
        <w:t>LEAD</w:t>
      </w:r>
      <w:r>
        <w:rPr>
          <w:rFonts w:ascii="Times New Roman" w:hAnsi="Times New Roman"/>
        </w:rPr>
        <w:noBreakHyphen/>
        <w:t xml:space="preserve">BASED PAINT ACTIVITIES.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(1) Training Grant Program. </w:t>
      </w:r>
      <w:r>
        <w:rPr>
          <w:rFonts w:ascii="Times New Roman" w:hAnsi="Times New Roman"/>
        </w:rPr>
        <w:noBreakHyphen/>
      </w:r>
      <w:r>
        <w:rPr>
          <w:rFonts w:ascii="Times New Roman" w:hAnsi="Times New Roman"/>
        </w:rPr>
        <w:noBreakHyphen/>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Pr>
          <w:rFonts w:ascii="Times New Roman" w:hAnsi="Times New Roman"/>
        </w:rPr>
        <w:noBreakHyphen/>
        <w:t xml:space="preserve">based paint activities.     </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(B) Grants referred to in subparagraph (A) shall be awarded to nonprofit organizations (including colleges and universities, joint labor</w:t>
      </w:r>
      <w:r>
        <w:rPr>
          <w:rFonts w:ascii="Times New Roman" w:hAnsi="Times New Roman"/>
        </w:rPr>
        <w:noBreakHyphen/>
        <w:t xml:space="preserve">management trust funds, States, and nonprofit government employee organizations) </w:t>
      </w:r>
      <w:r>
        <w:rPr>
          <w:rFonts w:ascii="Times New Roman" w:hAnsi="Times New Roman"/>
        </w:rPr>
        <w:noBreakHyphen/>
      </w:r>
      <w:r>
        <w:rPr>
          <w:rFonts w:ascii="Times New Roman" w:hAnsi="Times New Roman"/>
        </w:rPr>
        <w:noBreakHyphen/>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(i)which are engaged in the training and education of workers and supervisors who are or who may be directly engaged in lead</w:t>
      </w:r>
      <w:r>
        <w:rPr>
          <w:rFonts w:ascii="Times New Roman" w:hAnsi="Times New Roman"/>
        </w:rPr>
        <w:noBreakHyphen/>
        <w:t xml:space="preserve">based paint activities (as defined in Title IV of the Toxic Substances Control Act),   15 USC 2681 et. seq.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(ii) which have demonstrated experience in implementing and operating health and safety training and education programs, and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(iii) with a demonstrated ability to reach, and involve in lead</w:t>
      </w:r>
      <w:r>
        <w:rPr>
          <w:rFonts w:ascii="Times New Roman" w:hAnsi="Times New Roman"/>
        </w:rPr>
        <w:noBreakHyphen/>
        <w:t>based paint training programs, target populations of individuals who are or will be engaged in lead</w:t>
      </w:r>
      <w:r>
        <w:rPr>
          <w:rFonts w:ascii="Times New Roman" w:hAnsi="Times New Roman"/>
        </w:rPr>
        <w:noBreakHyphen/>
        <w:t xml:space="preserve">based paint activities.     </w:t>
      </w:r>
    </w:p>
    <w:p w:rsidR="00763474" w:rsidRDefault="00763474" w:rsidP="005D5492">
      <w:pPr>
        <w:tabs>
          <w:tab w:val="left" w:pos="360"/>
          <w:tab w:val="left" w:pos="720"/>
          <w:tab w:val="left" w:pos="1080"/>
        </w:tabs>
        <w:spacing w:line="480" w:lineRule="auto"/>
        <w:jc w:val="both"/>
        <w:rPr>
          <w:rFonts w:ascii="Times New Roman" w:hAnsi="Times New Roman"/>
        </w:rPr>
        <w:sectPr w:rsidR="00763474" w:rsidSect="005D5492">
          <w:type w:val="nextColumn"/>
          <w:pgSz w:w="12240" w:h="15840"/>
          <w:pgMar w:top="1440" w:right="1440" w:bottom="720" w:left="1440" w:header="1440" w:footer="720" w:gutter="0"/>
          <w:cols w:space="720"/>
          <w:noEndnote/>
        </w:sectPr>
      </w:pP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Grants under this subsection shall be awarded only to those organizations that fund at least 30 percent of their lead</w:t>
      </w:r>
      <w:r>
        <w:rPr>
          <w:rFonts w:ascii="Times New Roman" w:hAnsi="Times New Roman"/>
        </w:rPr>
        <w:noBreakHyphen/>
        <w:t>based paint activities training programs from non</w:t>
      </w:r>
      <w:r>
        <w:rPr>
          <w:rFonts w:ascii="Times New Roman" w:hAnsi="Times New Roman"/>
        </w:rPr>
        <w:noBreakHyphen/>
        <w:t>Federal sources, excluding in</w:t>
      </w:r>
      <w:r>
        <w:rPr>
          <w:rFonts w:ascii="Times New Roman" w:hAnsi="Times New Roman"/>
        </w:rPr>
        <w:noBreakHyphen/>
        <w:t xml:space="preserve">kind contributions.  Grants may also be made to local governments to carry out such training and education for their employees.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(C) There are authorized to be appropriated, a minimum, $10,000,000 to the Institute for each of the fiscal years 1994 through 1997 to make grants under this paragraph.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 </w:t>
      </w:r>
    </w:p>
    <w:p w:rsidR="00763474" w:rsidRDefault="00763474" w:rsidP="005D5492">
      <w:pPr>
        <w:tabs>
          <w:tab w:val="left" w:pos="360"/>
          <w:tab w:val="left" w:pos="720"/>
          <w:tab w:val="left" w:pos="1080"/>
        </w:tabs>
        <w:spacing w:line="480" w:lineRule="auto"/>
        <w:jc w:val="both"/>
        <w:rPr>
          <w:rFonts w:ascii="Times New Roman" w:hAnsi="Times New Roman"/>
        </w:rPr>
      </w:pPr>
      <w:r>
        <w:rPr>
          <w:rFonts w:ascii="Times New Roman" w:hAnsi="Times New Roman"/>
        </w:rPr>
        <w:t xml:space="preserve">(2) Evaluation of Programs. </w:t>
      </w:r>
      <w:r>
        <w:rPr>
          <w:rFonts w:ascii="Times New Roman" w:hAnsi="Times New Roman"/>
        </w:rPr>
        <w:noBreakHyphen/>
      </w:r>
      <w:r>
        <w:rPr>
          <w:rFonts w:ascii="Times New Roman" w:hAnsi="Times New Roman"/>
        </w:rPr>
        <w:noBreakHyphen/>
        <w:t xml:space="preserve">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763474" w:rsidRDefault="00763474"/>
    <w:sectPr w:rsidR="00763474" w:rsidSect="0076347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474" w:rsidRDefault="00763474">
      <w:r>
        <w:separator/>
      </w:r>
    </w:p>
  </w:endnote>
  <w:endnote w:type="continuationSeparator" w:id="1">
    <w:p w:rsidR="00763474" w:rsidRDefault="00763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ËÎÌå"/>
    <w:panose1 w:val="02010600030101010101"/>
    <w:charset w:val="86"/>
    <w:family w:val="auto"/>
    <w:notTrueType/>
    <w:pitch w:val="variable"/>
    <w:sig w:usb0="00000001" w:usb1="080E0000" w:usb2="00000010" w:usb3="00000000" w:csb0="00040000" w:csb1="00000000"/>
  </w:font>
  <w:font w:name="SAS Monospace">
    <w:panose1 w:val="020B06090202020202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474" w:rsidRDefault="00763474">
      <w:r>
        <w:separator/>
      </w:r>
    </w:p>
  </w:footnote>
  <w:footnote w:type="continuationSeparator" w:id="1">
    <w:p w:rsidR="00763474" w:rsidRDefault="007634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0"/>
    <w:name w:val="AutoList13"/>
    <w:lvl w:ilvl="0">
      <w:start w:val="1"/>
      <w:numFmt w:val="low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num w:numId="1">
    <w:abstractNumId w:val="0"/>
    <w:lvlOverride w:ilvl="0">
      <w:startOverride w:val="7"/>
      <w:lvl w:ilvl="0">
        <w:start w:val="7"/>
        <w:numFmt w:val="low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characterSpacingControl w:val="doNotCompress"/>
  <w:footnotePr>
    <w:footnote w:id="0"/>
    <w:footnote w:id="1"/>
  </w:footnotePr>
  <w:endnotePr>
    <w:endnote w:id="0"/>
    <w:endnote w:id="1"/>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5492"/>
    <w:rsid w:val="0042617D"/>
    <w:rsid w:val="005D5492"/>
    <w:rsid w:val="00763474"/>
    <w:rsid w:val="00903A40"/>
    <w:rsid w:val="0098307D"/>
    <w:rsid w:val="00990C71"/>
    <w:rsid w:val="00A21A25"/>
    <w:rsid w:val="00F617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492"/>
    <w:pPr>
      <w:widowControl w:val="0"/>
      <w:autoSpaceDE w:val="0"/>
      <w:autoSpaceDN w:val="0"/>
      <w:adjustRightInd w:val="0"/>
    </w:pPr>
    <w:rPr>
      <w:rFonts w:ascii="SAS Monospace" w:hAnsi="SAS Monospace"/>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5492"/>
    <w:pPr>
      <w:numPr>
        <w:numId w:val="8"/>
      </w:numPr>
      <w:ind w:left="360" w:hanging="360"/>
      <w:outlineLv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2036</Words>
  <Characters>11609</Characters>
  <Application>Microsoft Office Outlook</Application>
  <DocSecurity>0</DocSecurity>
  <Lines>0</Lines>
  <Paragraphs>0</Paragraphs>
  <ScaleCrop>false</ScaleCrop>
  <Company>CDC\ITSO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mbg3</dc:creator>
  <cp:keywords/>
  <dc:description/>
  <cp:lastModifiedBy>shari steinberg</cp:lastModifiedBy>
  <cp:revision>3</cp:revision>
  <dcterms:created xsi:type="dcterms:W3CDTF">2007-06-05T02:59:00Z</dcterms:created>
  <dcterms:modified xsi:type="dcterms:W3CDTF">2007-11-07T14:37:00Z</dcterms:modified>
</cp:coreProperties>
</file>