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67" w:rsidRPr="00AC3E87" w:rsidRDefault="001A2867" w:rsidP="00866338">
      <w:pPr>
        <w:rPr>
          <w:b/>
        </w:rPr>
      </w:pPr>
      <w:r w:rsidRPr="00AC3E87">
        <w:rPr>
          <w:b/>
        </w:rPr>
        <w:t>National Institute</w:t>
      </w:r>
      <w:r>
        <w:rPr>
          <w:b/>
        </w:rPr>
        <w:t>s</w:t>
      </w:r>
      <w:r w:rsidRPr="00AC3E87">
        <w:rPr>
          <w:b/>
        </w:rPr>
        <w:t xml:space="preserve"> of Health</w:t>
      </w:r>
    </w:p>
    <w:p w:rsidR="001A2867" w:rsidRPr="00AC3E87" w:rsidRDefault="001A2867" w:rsidP="00866338">
      <w:pPr>
        <w:rPr>
          <w:b/>
        </w:rPr>
      </w:pPr>
      <w:r w:rsidRPr="00AC3E87">
        <w:rPr>
          <w:b/>
          <w:i/>
        </w:rPr>
        <w:t>Eunice Kennedy Shriver</w:t>
      </w:r>
      <w:r w:rsidRPr="00AC3E87">
        <w:rPr>
          <w:b/>
        </w:rPr>
        <w:t xml:space="preserve"> National Institute of Child Health and Human Development</w:t>
      </w:r>
      <w:r>
        <w:rPr>
          <w:b/>
        </w:rPr>
        <w:t xml:space="preserve"> (NICHD)</w:t>
      </w:r>
    </w:p>
    <w:p w:rsidR="001A2867" w:rsidRDefault="001A2867" w:rsidP="00866338">
      <w:pPr>
        <w:jc w:val="center"/>
        <w:rPr>
          <w:b/>
        </w:rPr>
      </w:pPr>
    </w:p>
    <w:p w:rsidR="001A2867" w:rsidRPr="00AC3E87" w:rsidRDefault="001A2867" w:rsidP="00866338">
      <w:pPr>
        <w:jc w:val="center"/>
        <w:rPr>
          <w:b/>
        </w:rPr>
      </w:pPr>
      <w:r w:rsidRPr="00AC3E87">
        <w:rPr>
          <w:b/>
        </w:rPr>
        <w:t>Assessment of Communication Messages and Materials in Support of the Pilot Study for the National Children’s Study</w:t>
      </w:r>
      <w:r>
        <w:rPr>
          <w:b/>
        </w:rPr>
        <w:t xml:space="preserve"> (NCS)</w:t>
      </w:r>
    </w:p>
    <w:p w:rsidR="001A2867" w:rsidRDefault="001A2867" w:rsidP="00866338"/>
    <w:p w:rsidR="001A2867" w:rsidRPr="00F7708C" w:rsidRDefault="001A2867" w:rsidP="00866338">
      <w:pPr>
        <w:rPr>
          <w:b/>
        </w:rPr>
      </w:pPr>
      <w:r w:rsidRPr="00F7708C">
        <w:rPr>
          <w:b/>
        </w:rPr>
        <w:t>Section A</w:t>
      </w:r>
    </w:p>
    <w:p w:rsidR="001A2867" w:rsidRDefault="001A2867" w:rsidP="00866338"/>
    <w:p w:rsidR="001A2867" w:rsidRPr="00F7708C" w:rsidRDefault="001A2867" w:rsidP="00866338">
      <w:pPr>
        <w:rPr>
          <w:b/>
        </w:rPr>
      </w:pPr>
      <w:r w:rsidRPr="00F7708C">
        <w:rPr>
          <w:b/>
        </w:rPr>
        <w:t>A.1 Circumstances Requiring the Collection of Data</w:t>
      </w:r>
    </w:p>
    <w:p w:rsidR="001A2867" w:rsidRDefault="001B4B11" w:rsidP="00866338">
      <w:pPr>
        <w:spacing w:after="132"/>
      </w:pPr>
      <w:r>
        <w:t>These focus groups and interviews will help fulfill the requireme</w:t>
      </w:r>
      <w:r w:rsidR="005976AB">
        <w:t xml:space="preserve">nts of: Executive Order 12862, </w:t>
      </w:r>
      <w:r>
        <w:t xml:space="preserve">Setting Customer Service Standards.  </w:t>
      </w:r>
      <w:r w:rsidR="001A2867">
        <w:t xml:space="preserve">The focus groups and in-depth interviews will </w:t>
      </w:r>
      <w:r w:rsidR="008E2BB4">
        <w:t xml:space="preserve">also </w:t>
      </w:r>
      <w:r w:rsidR="001A2867">
        <w:t xml:space="preserve">help fulfill the requirements of the </w:t>
      </w:r>
      <w:r w:rsidR="001A2867" w:rsidRPr="00CB28BD">
        <w:t>Children’s Health Act of 2000 (Public Law 106-310)</w:t>
      </w:r>
      <w:r w:rsidR="001A2867">
        <w:t xml:space="preserve"> which states: </w:t>
      </w:r>
    </w:p>
    <w:p w:rsidR="001A2867" w:rsidRDefault="001A2867" w:rsidP="00866338">
      <w:pPr>
        <w:pStyle w:val="ListParagraph"/>
        <w:numPr>
          <w:ilvl w:val="0"/>
          <w:numId w:val="40"/>
        </w:numPr>
        <w:spacing w:after="132"/>
        <w:contextualSpacing w:val="0"/>
        <w:rPr>
          <w:color w:val="000000"/>
        </w:rPr>
      </w:pPr>
      <w:r w:rsidRPr="00F7708C">
        <w:rPr>
          <w:i/>
        </w:rPr>
        <w:t>P</w:t>
      </w:r>
      <w:r w:rsidRPr="00F7708C">
        <w:rPr>
          <w:i/>
          <w:iCs/>
          <w:color w:val="000000"/>
        </w:rPr>
        <w:t xml:space="preserve">URPOSE.—It is the purpose of this section to authorize the National </w:t>
      </w:r>
      <w:smartTag w:uri="urn:schemas-microsoft-com:office:smarttags" w:element="PlaceType">
        <w:smartTag w:uri="urn:schemas-microsoft-com:office:smarttags" w:element="place">
          <w:smartTag w:uri="urn:schemas-microsoft-com:office:smarttags" w:element="PlaceType">
            <w:r w:rsidRPr="00F7708C">
              <w:rPr>
                <w:i/>
                <w:iCs/>
                <w:color w:val="000000"/>
              </w:rPr>
              <w:t>Institute</w:t>
            </w:r>
          </w:smartTag>
          <w:r w:rsidRPr="00F7708C">
            <w:rPr>
              <w:i/>
              <w:iCs/>
              <w:color w:val="000000"/>
            </w:rPr>
            <w:t xml:space="preserve"> of </w:t>
          </w:r>
          <w:smartTag w:uri="urn:schemas-microsoft-com:office:smarttags" w:element="PlaceName">
            <w:r w:rsidRPr="00F7708C">
              <w:rPr>
                <w:i/>
                <w:iCs/>
                <w:color w:val="000000"/>
              </w:rPr>
              <w:t>Child Health</w:t>
            </w:r>
          </w:smartTag>
        </w:smartTag>
      </w:smartTag>
      <w:r w:rsidRPr="00F7708C">
        <w:rPr>
          <w:i/>
          <w:iCs/>
          <w:color w:val="000000"/>
        </w:rPr>
        <w:t xml:space="preserve"> and Human Development* to conduct a national longitudinal study of environmental influences (including physical, chemical, biological, and psychosocial) on children’s health and development.</w:t>
      </w:r>
      <w:r w:rsidRPr="00F7708C">
        <w:rPr>
          <w:i/>
          <w:iCs/>
          <w:color w:val="000000"/>
        </w:rPr>
        <w:br/>
        <w:t>(b) IN GENERAL.—The Director of the National Institute of Child Health and Human Development* shall establish a consortium of representatives from appropriate Federal agencies (including the Centers for Disease Control and Prevention, the Environmental Protection Agency) to—</w:t>
      </w:r>
      <w:r w:rsidRPr="00F7708C">
        <w:rPr>
          <w:i/>
          <w:iCs/>
          <w:color w:val="000000"/>
        </w:rPr>
        <w:br/>
        <w:t>(1) plan, develop, and implement a prospective cohort study, from birth to adulthood, to evaluate the effects of both chronic and intermittent exposures on child health and human development; and</w:t>
      </w:r>
      <w:r w:rsidRPr="00F7708C">
        <w:rPr>
          <w:i/>
          <w:iCs/>
          <w:color w:val="000000"/>
        </w:rPr>
        <w:br/>
        <w:t>(2) investigate basic mechanisms of developmental disorders and environmental factors, both risk and protective, that influence health and developmental processes.</w:t>
      </w:r>
      <w:r w:rsidRPr="00F7708C">
        <w:rPr>
          <w:i/>
          <w:iCs/>
          <w:color w:val="000000"/>
        </w:rPr>
        <w:br/>
        <w:t>(c) REQUIREMENT.—The study under subsection (b) shall—</w:t>
      </w:r>
      <w:r w:rsidRPr="00F7708C">
        <w:rPr>
          <w:i/>
          <w:iCs/>
          <w:color w:val="000000"/>
        </w:rPr>
        <w:br/>
        <w:t>(1) incorporate behavioral, emotional, educational, and contextual consequences to enable a complete assessment of the physical, chemical, biological, and psychosocial environmental influences on children’s well-being;</w:t>
      </w:r>
      <w:r w:rsidRPr="00F7708C">
        <w:rPr>
          <w:i/>
          <w:iCs/>
          <w:color w:val="000000"/>
        </w:rPr>
        <w:br/>
        <w:t>(2) gather data on environmental influences and outcomes on diverse populations of children, which may include the consideration of prenatal exposures; and</w:t>
      </w:r>
      <w:r w:rsidRPr="00F7708C">
        <w:rPr>
          <w:i/>
          <w:iCs/>
          <w:color w:val="000000"/>
        </w:rPr>
        <w:br/>
        <w:t>(3) consider health disparities among children, which may include the consideration of prenatal exposures.</w:t>
      </w:r>
      <w:r w:rsidRPr="00F7708C">
        <w:rPr>
          <w:color w:val="000000"/>
        </w:rPr>
        <w:t xml:space="preserve"> </w:t>
      </w:r>
    </w:p>
    <w:p w:rsidR="001A2867" w:rsidRDefault="001A2867" w:rsidP="00866338">
      <w:pPr>
        <w:rPr>
          <w:b/>
          <w:color w:val="000000"/>
        </w:rPr>
      </w:pPr>
    </w:p>
    <w:p w:rsidR="001A2867" w:rsidRPr="00F7708C" w:rsidRDefault="001A2867" w:rsidP="00866338">
      <w:pPr>
        <w:rPr>
          <w:b/>
          <w:color w:val="000000"/>
        </w:rPr>
      </w:pPr>
      <w:r w:rsidRPr="00F7708C">
        <w:rPr>
          <w:b/>
          <w:color w:val="000000"/>
        </w:rPr>
        <w:t>A.2 Purposes and Uses of the Data</w:t>
      </w:r>
    </w:p>
    <w:p w:rsidR="001A2867" w:rsidRPr="00AC3E87" w:rsidRDefault="001A2867" w:rsidP="00866338">
      <w:r w:rsidRPr="00AC3E87">
        <w:t>The findings of this study will be used to guide the development of future NCS materials. These insig</w:t>
      </w:r>
      <w:r>
        <w:t xml:space="preserve">hts will reveal what messages </w:t>
      </w:r>
      <w:r w:rsidRPr="00AC3E87">
        <w:t>and formats for materials resonate best with the target audiences.</w:t>
      </w:r>
    </w:p>
    <w:p w:rsidR="001A2867" w:rsidRDefault="001A2867" w:rsidP="00866338">
      <w:pPr>
        <w:spacing w:after="132"/>
        <w:rPr>
          <w:color w:val="000000"/>
        </w:rPr>
      </w:pPr>
    </w:p>
    <w:p w:rsidR="001A2867" w:rsidRPr="00F7708C" w:rsidRDefault="001A2867" w:rsidP="00866338">
      <w:pPr>
        <w:rPr>
          <w:b/>
          <w:color w:val="000000"/>
        </w:rPr>
      </w:pPr>
      <w:r w:rsidRPr="00F7708C">
        <w:rPr>
          <w:b/>
          <w:color w:val="000000"/>
        </w:rPr>
        <w:t>A.3 Use of Information Technology to Reduce Burden</w:t>
      </w:r>
    </w:p>
    <w:p w:rsidR="001A2867" w:rsidRDefault="001A2867" w:rsidP="00866338">
      <w:pPr>
        <w:rPr>
          <w:color w:val="000000"/>
        </w:rPr>
      </w:pPr>
      <w:r>
        <w:rPr>
          <w:color w:val="000000"/>
        </w:rPr>
        <w:t>N/A</w:t>
      </w:r>
    </w:p>
    <w:p w:rsidR="001A2867" w:rsidRDefault="001A2867" w:rsidP="00866338">
      <w:pPr>
        <w:rPr>
          <w:color w:val="000000"/>
        </w:rPr>
      </w:pPr>
    </w:p>
    <w:p w:rsidR="001A2867" w:rsidRPr="00F7708C" w:rsidRDefault="001A2867" w:rsidP="00866338">
      <w:pPr>
        <w:rPr>
          <w:b/>
          <w:color w:val="000000"/>
        </w:rPr>
      </w:pPr>
      <w:r w:rsidRPr="00F7708C">
        <w:rPr>
          <w:b/>
          <w:color w:val="000000"/>
        </w:rPr>
        <w:t>A.4 Efforts to Identify Duplication</w:t>
      </w:r>
    </w:p>
    <w:p w:rsidR="001A2867" w:rsidRDefault="001A2867" w:rsidP="00866338">
      <w:pPr>
        <w:rPr>
          <w:color w:val="000000"/>
        </w:rPr>
      </w:pPr>
      <w:r>
        <w:rPr>
          <w:color w:val="000000"/>
        </w:rPr>
        <w:lastRenderedPageBreak/>
        <w:t>Focus group participants will be asked to participate in only one of the 24 focus groups.  Participants in the in-depth interview</w:t>
      </w:r>
      <w:r w:rsidR="001B30B4">
        <w:rPr>
          <w:color w:val="000000"/>
        </w:rPr>
        <w:t>s</w:t>
      </w:r>
      <w:r>
        <w:rPr>
          <w:color w:val="000000"/>
        </w:rPr>
        <w:t xml:space="preserve"> will be asked to participate in only one of the 8 interviews.</w:t>
      </w:r>
    </w:p>
    <w:p w:rsidR="001A2867" w:rsidRDefault="001A2867" w:rsidP="00866338">
      <w:pPr>
        <w:rPr>
          <w:color w:val="000000"/>
        </w:rPr>
      </w:pPr>
    </w:p>
    <w:p w:rsidR="001A2867" w:rsidRPr="00B0713D" w:rsidRDefault="001A2867" w:rsidP="00866338">
      <w:pPr>
        <w:rPr>
          <w:b/>
          <w:color w:val="000000"/>
        </w:rPr>
      </w:pPr>
      <w:r w:rsidRPr="00B0713D">
        <w:rPr>
          <w:b/>
          <w:color w:val="000000"/>
        </w:rPr>
        <w:t xml:space="preserve">A.5 Small Business </w:t>
      </w:r>
    </w:p>
    <w:p w:rsidR="001A2867" w:rsidRDefault="008E2BB4" w:rsidP="00866338">
      <w:r>
        <w:t>The potential impact of this NCS assessment on small businesses will be limited to health care providers.  Professional interviewers will interview eight health care providers</w:t>
      </w:r>
      <w:r w:rsidRPr="008E2BB4">
        <w:t xml:space="preserve"> </w:t>
      </w:r>
      <w:r w:rsidRPr="004368DB">
        <w:t>to explore knowledge, attitudes, and beliefs about the National Children’s Study</w:t>
      </w:r>
      <w:r>
        <w:t xml:space="preserve"> and to t</w:t>
      </w:r>
      <w:r w:rsidRPr="004368DB">
        <w:t>est draft educational messages and materials to promote the National Children’s Study and encourage participation.</w:t>
      </w:r>
    </w:p>
    <w:p w:rsidR="001B4B11" w:rsidRPr="00AC3E87" w:rsidRDefault="001B4B11" w:rsidP="00866338"/>
    <w:p w:rsidR="001A2867" w:rsidRDefault="001A2867" w:rsidP="00866338">
      <w:pPr>
        <w:rPr>
          <w:color w:val="000000"/>
        </w:rPr>
      </w:pPr>
      <w:r>
        <w:rPr>
          <w:b/>
          <w:color w:val="000000"/>
        </w:rPr>
        <w:t>A.6 Consequences of Not Collecting the Information</w:t>
      </w:r>
    </w:p>
    <w:p w:rsidR="001A2867" w:rsidRPr="00AC3E87" w:rsidRDefault="001A2867" w:rsidP="00866338">
      <w:r w:rsidRPr="00AC3E87">
        <w:t>The overarching objectives</w:t>
      </w:r>
      <w:r>
        <w:t xml:space="preserve"> of this study are to</w:t>
      </w:r>
      <w:r w:rsidRPr="00AC3E87">
        <w:t>:</w:t>
      </w:r>
    </w:p>
    <w:p w:rsidR="001A2867" w:rsidRPr="00AC3E87" w:rsidRDefault="001A2867" w:rsidP="00866338">
      <w:pPr>
        <w:numPr>
          <w:ilvl w:val="0"/>
          <w:numId w:val="17"/>
        </w:numPr>
        <w:tabs>
          <w:tab w:val="clear" w:pos="360"/>
          <w:tab w:val="num" w:pos="720"/>
        </w:tabs>
        <w:ind w:left="720"/>
      </w:pPr>
      <w:r w:rsidRPr="00AC3E87">
        <w:t xml:space="preserve">Assess audience perceptions of the NCS </w:t>
      </w:r>
      <w:r>
        <w:t>messages.</w:t>
      </w:r>
    </w:p>
    <w:p w:rsidR="001A2867" w:rsidRPr="00AC3E87" w:rsidRDefault="001A2867" w:rsidP="00866338">
      <w:pPr>
        <w:numPr>
          <w:ilvl w:val="0"/>
          <w:numId w:val="17"/>
        </w:numPr>
        <w:tabs>
          <w:tab w:val="clear" w:pos="360"/>
          <w:tab w:val="num" w:pos="720"/>
        </w:tabs>
        <w:ind w:left="720"/>
      </w:pPr>
      <w:r w:rsidRPr="00AC3E87">
        <w:t>Explore knowledge, attitudes, and beliefs about the NCS among women of reproductive age.</w:t>
      </w:r>
    </w:p>
    <w:p w:rsidR="001A2867" w:rsidRPr="00AC3E87" w:rsidRDefault="001A2867" w:rsidP="00866338">
      <w:pPr>
        <w:numPr>
          <w:ilvl w:val="0"/>
          <w:numId w:val="17"/>
        </w:numPr>
        <w:tabs>
          <w:tab w:val="clear" w:pos="360"/>
          <w:tab w:val="num" w:pos="720"/>
        </w:tabs>
        <w:ind w:left="720"/>
      </w:pPr>
      <w:r w:rsidRPr="00AC3E87">
        <w:t xml:space="preserve">Test draft educational messages and materials to promote the NCS and encourage participation among women of reproductive age. </w:t>
      </w:r>
    </w:p>
    <w:p w:rsidR="001A2867" w:rsidRPr="00AC3E87" w:rsidRDefault="001A2867" w:rsidP="00866338">
      <w:pPr>
        <w:numPr>
          <w:ilvl w:val="0"/>
          <w:numId w:val="17"/>
        </w:numPr>
        <w:tabs>
          <w:tab w:val="clear" w:pos="360"/>
          <w:tab w:val="num" w:pos="720"/>
        </w:tabs>
        <w:ind w:left="720"/>
      </w:pPr>
      <w:r w:rsidRPr="00AC3E87">
        <w:t>Explore knowledge, attitudes, and beliefs about the NCS among health care providers.</w:t>
      </w:r>
    </w:p>
    <w:p w:rsidR="001A2867" w:rsidRPr="00AC3E87" w:rsidRDefault="001A2867" w:rsidP="00866338">
      <w:pPr>
        <w:numPr>
          <w:ilvl w:val="0"/>
          <w:numId w:val="17"/>
        </w:numPr>
        <w:tabs>
          <w:tab w:val="clear" w:pos="360"/>
          <w:tab w:val="num" w:pos="720"/>
        </w:tabs>
        <w:ind w:left="720"/>
      </w:pPr>
      <w:r w:rsidRPr="00AC3E87">
        <w:t>Test draft messages and materials to support the provider-based recruitment strategy for the Pilot Study.</w:t>
      </w:r>
    </w:p>
    <w:p w:rsidR="001A2867" w:rsidRDefault="001A2867" w:rsidP="00866338">
      <w:pPr>
        <w:rPr>
          <w:color w:val="000000"/>
        </w:rPr>
      </w:pPr>
    </w:p>
    <w:p w:rsidR="001A2867" w:rsidRDefault="001A2867" w:rsidP="00866338">
      <w:pPr>
        <w:keepNext/>
        <w:outlineLvl w:val="0"/>
      </w:pPr>
      <w:r>
        <w:rPr>
          <w:color w:val="000000"/>
        </w:rPr>
        <w:t xml:space="preserve">By collecting this information the NCS will be better able to determine what messages best reach the target audiences and thus be able to achieve the study goals to: 1) </w:t>
      </w:r>
      <w:bookmarkStart w:id="0" w:name="_Toc250537460"/>
      <w:bookmarkStart w:id="1" w:name="_Toc250537765"/>
      <w:bookmarkStart w:id="2" w:name="_Toc250537905"/>
      <w:bookmarkStart w:id="3" w:name="_Toc250538514"/>
      <w:bookmarkStart w:id="4" w:name="_Toc250560019"/>
      <w:bookmarkStart w:id="5" w:name="_Toc250561884"/>
      <w:r>
        <w:t>i</w:t>
      </w:r>
      <w:r w:rsidRPr="00AC3E87">
        <w:t>ncrease awareness and understanding of the NCS and its mission</w:t>
      </w:r>
      <w:bookmarkEnd w:id="0"/>
      <w:bookmarkEnd w:id="1"/>
      <w:bookmarkEnd w:id="2"/>
      <w:bookmarkEnd w:id="3"/>
      <w:bookmarkEnd w:id="4"/>
      <w:bookmarkEnd w:id="5"/>
      <w:r w:rsidRPr="00AC3E87">
        <w:t>;</w:t>
      </w:r>
      <w:r>
        <w:t xml:space="preserve"> 2)</w:t>
      </w:r>
      <w:bookmarkStart w:id="6" w:name="_Toc250537461"/>
      <w:bookmarkStart w:id="7" w:name="_Toc250537766"/>
      <w:bookmarkStart w:id="8" w:name="_Toc250537906"/>
      <w:bookmarkStart w:id="9" w:name="_Toc250538515"/>
      <w:bookmarkStart w:id="10" w:name="_Toc250560020"/>
      <w:bookmarkStart w:id="11" w:name="_Toc250561885"/>
      <w:r>
        <w:t xml:space="preserve"> e</w:t>
      </w:r>
      <w:r w:rsidRPr="00AC3E87">
        <w:t xml:space="preserve">levate support for and positive perceptions of the </w:t>
      </w:r>
      <w:bookmarkEnd w:id="6"/>
      <w:bookmarkEnd w:id="7"/>
      <w:bookmarkEnd w:id="8"/>
      <w:bookmarkEnd w:id="9"/>
      <w:bookmarkEnd w:id="10"/>
      <w:bookmarkEnd w:id="11"/>
      <w:r w:rsidRPr="00AC3E87">
        <w:t>NCS; and</w:t>
      </w:r>
      <w:r>
        <w:t xml:space="preserve"> 3)</w:t>
      </w:r>
      <w:bookmarkStart w:id="12" w:name="_Toc250537462"/>
      <w:bookmarkStart w:id="13" w:name="_Toc250537767"/>
      <w:bookmarkStart w:id="14" w:name="_Toc250537907"/>
      <w:bookmarkStart w:id="15" w:name="_Toc250538516"/>
      <w:bookmarkStart w:id="16" w:name="_Toc250560021"/>
      <w:bookmarkStart w:id="17" w:name="_Toc250561886"/>
      <w:r>
        <w:t xml:space="preserve"> i</w:t>
      </w:r>
      <w:r w:rsidRPr="00AC3E87">
        <w:t>ncrease the participation rate of women recruited to the NCS.</w:t>
      </w:r>
      <w:bookmarkEnd w:id="12"/>
      <w:bookmarkEnd w:id="13"/>
      <w:bookmarkEnd w:id="14"/>
      <w:bookmarkEnd w:id="15"/>
      <w:bookmarkEnd w:id="16"/>
      <w:bookmarkEnd w:id="17"/>
    </w:p>
    <w:p w:rsidR="001A2867" w:rsidRDefault="001A2867" w:rsidP="00866338">
      <w:pPr>
        <w:keepNext/>
        <w:outlineLvl w:val="0"/>
      </w:pPr>
    </w:p>
    <w:p w:rsidR="001A2867" w:rsidRDefault="001A2867" w:rsidP="00866338">
      <w:pPr>
        <w:keepNext/>
        <w:outlineLvl w:val="0"/>
      </w:pPr>
      <w:r>
        <w:rPr>
          <w:b/>
        </w:rPr>
        <w:t xml:space="preserve">A.7 Special Circumstances Justifying Inconsistencies with Guidelines </w:t>
      </w:r>
      <w:proofErr w:type="gramStart"/>
      <w:r>
        <w:rPr>
          <w:b/>
        </w:rPr>
        <w:t>in 5 C.F.R. 1320.5</w:t>
      </w:r>
      <w:proofErr w:type="gramEnd"/>
    </w:p>
    <w:p w:rsidR="001A2867" w:rsidRDefault="001A2867" w:rsidP="00866338">
      <w:pPr>
        <w:keepNext/>
        <w:outlineLvl w:val="0"/>
      </w:pPr>
      <w:r>
        <w:t xml:space="preserve">There are no special circumstances that would cause this information collection to be conducted in a manner inconsistent with 5 C.F.R. 1320.5.  </w:t>
      </w:r>
    </w:p>
    <w:p w:rsidR="001A2867" w:rsidRDefault="001A2867" w:rsidP="00866338">
      <w:pPr>
        <w:keepNext/>
        <w:outlineLvl w:val="0"/>
      </w:pPr>
    </w:p>
    <w:p w:rsidR="001A2867" w:rsidRDefault="001A2867" w:rsidP="00866338">
      <w:pPr>
        <w:keepNext/>
        <w:outlineLvl w:val="0"/>
      </w:pPr>
      <w:r>
        <w:rPr>
          <w:b/>
        </w:rPr>
        <w:t xml:space="preserve">A.8 Consultation </w:t>
      </w:r>
      <w:proofErr w:type="gramStart"/>
      <w:r>
        <w:rPr>
          <w:b/>
        </w:rPr>
        <w:t>Outside</w:t>
      </w:r>
      <w:proofErr w:type="gramEnd"/>
      <w:r>
        <w:rPr>
          <w:b/>
        </w:rPr>
        <w:t xml:space="preserve"> the Agency</w:t>
      </w:r>
    </w:p>
    <w:p w:rsidR="001A2867" w:rsidRDefault="001A2867" w:rsidP="00866338">
      <w:pPr>
        <w:keepNext/>
        <w:outlineLvl w:val="0"/>
      </w:pPr>
      <w:r>
        <w:t>N/A</w:t>
      </w:r>
    </w:p>
    <w:p w:rsidR="001A2867" w:rsidRDefault="001A2867" w:rsidP="00866338">
      <w:pPr>
        <w:keepNext/>
        <w:outlineLvl w:val="0"/>
      </w:pPr>
    </w:p>
    <w:p w:rsidR="001A2867" w:rsidRPr="00DB2640" w:rsidRDefault="001A2867" w:rsidP="00866338">
      <w:pPr>
        <w:keepNext/>
        <w:outlineLvl w:val="0"/>
        <w:rPr>
          <w:b/>
        </w:rPr>
      </w:pPr>
      <w:r w:rsidRPr="00DB2640">
        <w:rPr>
          <w:b/>
        </w:rPr>
        <w:t>A.9 Payments of Gifts to Respondents</w:t>
      </w:r>
    </w:p>
    <w:p w:rsidR="001A2867" w:rsidRPr="00DB2640" w:rsidRDefault="001A2867" w:rsidP="00866338">
      <w:pPr>
        <w:keepNext/>
        <w:outlineLvl w:val="0"/>
      </w:pPr>
      <w:r w:rsidRPr="00AC3E87">
        <w:t>Participants will be paid a cash incentive for participation</w:t>
      </w:r>
      <w:r w:rsidR="00317AA7">
        <w:t xml:space="preserve">.  Consumers will be paid </w:t>
      </w:r>
      <w:r w:rsidRPr="00AC3E87">
        <w:t>$75 and</w:t>
      </w:r>
      <w:r w:rsidR="00317AA7">
        <w:t xml:space="preserve"> health care providers will be paid</w:t>
      </w:r>
      <w:r w:rsidRPr="00AC3E87">
        <w:t xml:space="preserve"> $150.</w:t>
      </w:r>
    </w:p>
    <w:p w:rsidR="001A2867" w:rsidRDefault="001A2867" w:rsidP="00866338">
      <w:pPr>
        <w:rPr>
          <w:color w:val="000000"/>
        </w:rPr>
      </w:pPr>
    </w:p>
    <w:p w:rsidR="001A2867" w:rsidRPr="00317AA7" w:rsidRDefault="001A2867" w:rsidP="00866338">
      <w:pPr>
        <w:rPr>
          <w:b/>
          <w:color w:val="000000"/>
        </w:rPr>
      </w:pPr>
      <w:r w:rsidRPr="00317AA7">
        <w:rPr>
          <w:b/>
          <w:color w:val="000000"/>
        </w:rPr>
        <w:t>A.10 Assurance of Confidentiality</w:t>
      </w:r>
    </w:p>
    <w:p w:rsidR="001A2867" w:rsidRPr="00317AA7" w:rsidRDefault="001B4B11" w:rsidP="00866338">
      <w:r w:rsidRPr="00317AA7">
        <w:t xml:space="preserve">This study was approved by the IRB of </w:t>
      </w:r>
      <w:r w:rsidR="00317AA7">
        <w:t>the NICHD subcontractors, the Academy for Educational Development (</w:t>
      </w:r>
      <w:r w:rsidRPr="00317AA7">
        <w:t>AED</w:t>
      </w:r>
      <w:r w:rsidR="00317AA7">
        <w:t>)</w:t>
      </w:r>
      <w:r w:rsidRPr="00317AA7">
        <w:rPr>
          <w:color w:val="000000"/>
        </w:rPr>
        <w:t xml:space="preserve">.  </w:t>
      </w:r>
      <w:r w:rsidR="001A2867" w:rsidRPr="00317AA7">
        <w:rPr>
          <w:color w:val="000000"/>
        </w:rPr>
        <w:t xml:space="preserve">Individual respondents will not be identified and participation will be strictly voluntary.  </w:t>
      </w:r>
      <w:r w:rsidR="001A2867" w:rsidRPr="00317AA7">
        <w:t xml:space="preserve">In handling all data and records related to these focus groups and interviews, </w:t>
      </w:r>
      <w:r w:rsidR="00317AA7">
        <w:t xml:space="preserve">NICHD and </w:t>
      </w:r>
      <w:r w:rsidR="001A2867" w:rsidRPr="00317AA7">
        <w:t xml:space="preserve">AED </w:t>
      </w:r>
      <w:r w:rsidR="00317AA7">
        <w:t xml:space="preserve">staff will be responsible for ensuring the confidentiality of the participant contact information.  Additionally, AED will: </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 xml:space="preserve">Maintain no identifiers connecting any data collected to any particular participant; neither will it provide any personal identifiers to NICHD or others; firms which conduct recruiting and host the sessions will be required to not provide personal identifiers to </w:t>
      </w:r>
      <w:r w:rsidRPr="00317AA7">
        <w:rPr>
          <w:sz w:val="24"/>
        </w:rPr>
        <w:lastRenderedPageBreak/>
        <w:t>AED or NICHD;</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Retain one set of audio recordings;</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Develop a report in an agreed-upon format summarizing the responses provided by participants; the report will contain no personal identifiers, i.e., information sufficient to determine the identity of any participant (such as name or address);</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Deliver the report and one set of audio recordings and/or transcripts to NICHD as requested;</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 xml:space="preserve">Not deliver to NICHD or others any personal identifiers of participants; and </w:t>
      </w:r>
    </w:p>
    <w:p w:rsidR="001A2867" w:rsidRPr="00317AA7" w:rsidRDefault="001A2867" w:rsidP="00866338">
      <w:pPr>
        <w:pStyle w:val="a"/>
        <w:numPr>
          <w:ilvl w:val="0"/>
          <w:numId w:val="1"/>
        </w:numPr>
        <w:tabs>
          <w:tab w:val="clear" w:pos="360"/>
          <w:tab w:val="left" w:pos="-1440"/>
          <w:tab w:val="num" w:pos="720"/>
        </w:tabs>
        <w:ind w:left="720"/>
        <w:rPr>
          <w:sz w:val="24"/>
        </w:rPr>
      </w:pPr>
      <w:r w:rsidRPr="00317AA7">
        <w:rPr>
          <w:sz w:val="24"/>
        </w:rPr>
        <w:t>Retain records, audio recordings, and transcripts for three years, then burn, shred, or otherwise destroy them.</w:t>
      </w:r>
    </w:p>
    <w:p w:rsidR="001A2867" w:rsidRPr="00317AA7" w:rsidRDefault="001A2867" w:rsidP="00866338">
      <w:pPr>
        <w:rPr>
          <w:color w:val="000000"/>
        </w:rPr>
      </w:pPr>
    </w:p>
    <w:p w:rsidR="001B4B11" w:rsidRDefault="001A2867" w:rsidP="001B4B11">
      <w:pPr>
        <w:rPr>
          <w:color w:val="000000"/>
        </w:rPr>
      </w:pPr>
      <w:r w:rsidRPr="00317AA7">
        <w:rPr>
          <w:color w:val="000000"/>
        </w:rPr>
        <w:t xml:space="preserve">Additionally, participants will be asked to </w:t>
      </w:r>
      <w:r w:rsidRPr="00317AA7">
        <w:t>sign an Informed Consent Form (A</w:t>
      </w:r>
      <w:r w:rsidR="001B4B11" w:rsidRPr="00317AA7">
        <w:t>ttachment</w:t>
      </w:r>
      <w:r w:rsidRPr="00317AA7">
        <w:t xml:space="preserve"> E) before participating in focus group discussions or interviews. The Informed Consent form ensures the participants that although the focus groups and interviews will be recorded, what they say will be kept private, as required by law.  Participants’ names will not be put in a report or on the recordings, and the recordings will be stored in a locked cabinet and destroyed within three years</w:t>
      </w:r>
      <w:r w:rsidR="00317AA7">
        <w:t xml:space="preserve"> by AED</w:t>
      </w:r>
      <w:r w:rsidRPr="00317AA7">
        <w:t>. Participants will keep the top sheet of the informed consent document, which includes a phone number to call for concerns about their participation.</w:t>
      </w:r>
      <w:r w:rsidR="001B4B11" w:rsidRPr="00317AA7">
        <w:rPr>
          <w:color w:val="000000"/>
        </w:rPr>
        <w:t xml:space="preserve"> </w:t>
      </w:r>
      <w:r w:rsidR="008E2BB4">
        <w:rPr>
          <w:color w:val="000000"/>
        </w:rPr>
        <w:t>AED will ensure that t</w:t>
      </w:r>
      <w:r w:rsidR="001B4B11" w:rsidRPr="00317AA7">
        <w:rPr>
          <w:color w:val="000000"/>
        </w:rPr>
        <w:t>he participants’ contact information will not be shared with any outside entities and will only be used for the purposes of this study.  To ensure the confidentiality of the focus group and interview participants, the Screening Form and Invitation will be kept in a locked cabinet and destroyed within in three years</w:t>
      </w:r>
      <w:r w:rsidR="00317AA7">
        <w:rPr>
          <w:color w:val="000000"/>
        </w:rPr>
        <w:t xml:space="preserve"> by AED</w:t>
      </w:r>
      <w:r w:rsidR="001B4B11" w:rsidRPr="00317AA7">
        <w:rPr>
          <w:color w:val="000000"/>
        </w:rPr>
        <w:t>.</w:t>
      </w:r>
      <w:r w:rsidR="001B4B11">
        <w:rPr>
          <w:color w:val="000000"/>
        </w:rPr>
        <w:t xml:space="preserve">   </w:t>
      </w:r>
    </w:p>
    <w:p w:rsidR="001A2867" w:rsidRDefault="001A2867" w:rsidP="00866338">
      <w:pPr>
        <w:rPr>
          <w:color w:val="000000"/>
        </w:rPr>
      </w:pPr>
    </w:p>
    <w:p w:rsidR="001A2867" w:rsidRPr="00BA6B4B" w:rsidRDefault="001A2867" w:rsidP="00866338">
      <w:pPr>
        <w:rPr>
          <w:b/>
          <w:color w:val="000000"/>
        </w:rPr>
      </w:pPr>
      <w:r w:rsidRPr="00BA6B4B">
        <w:rPr>
          <w:b/>
          <w:color w:val="000000"/>
        </w:rPr>
        <w:t>A.11 Questions of a Sensitive Nature</w:t>
      </w:r>
    </w:p>
    <w:p w:rsidR="001A2867" w:rsidRDefault="001A2867" w:rsidP="00866338">
      <w:pPr>
        <w:rPr>
          <w:color w:val="000000"/>
        </w:rPr>
      </w:pPr>
      <w:r>
        <w:rPr>
          <w:color w:val="000000"/>
        </w:rPr>
        <w:t xml:space="preserve">Questions to respondents that may be sensitive are limited to the disclosure of personal information collected during the screening (see </w:t>
      </w:r>
      <w:r w:rsidR="00C46D1C">
        <w:rPr>
          <w:color w:val="000000"/>
        </w:rPr>
        <w:t>Attachments</w:t>
      </w:r>
      <w:r>
        <w:rPr>
          <w:color w:val="000000"/>
        </w:rPr>
        <w:t xml:space="preserve"> C and D).  Participants’ contact information will be collected twice – once on the Screening Form and again on the Invitation.  This will be done to confirm the screener has collected the correct information.  </w:t>
      </w:r>
    </w:p>
    <w:p w:rsidR="001B4B11" w:rsidRDefault="001B4B11" w:rsidP="00866338">
      <w:pPr>
        <w:rPr>
          <w:color w:val="000000"/>
        </w:rPr>
      </w:pPr>
    </w:p>
    <w:p w:rsidR="001A2867" w:rsidRPr="00645B71" w:rsidRDefault="001A2867" w:rsidP="00866338">
      <w:pPr>
        <w:rPr>
          <w:b/>
          <w:color w:val="000000"/>
        </w:rPr>
      </w:pPr>
      <w:r w:rsidRPr="001B4B11">
        <w:rPr>
          <w:b/>
          <w:color w:val="000000"/>
        </w:rPr>
        <w:t>A</w:t>
      </w:r>
      <w:r w:rsidRPr="00645B71">
        <w:rPr>
          <w:b/>
          <w:color w:val="000000"/>
        </w:rPr>
        <w:t>.12 Estimates of Response of Burden</w:t>
      </w:r>
    </w:p>
    <w:tbl>
      <w:tblPr>
        <w:tblStyle w:val="TableGrid"/>
        <w:tblW w:w="0" w:type="auto"/>
        <w:tblLook w:val="01E0"/>
      </w:tblPr>
      <w:tblGrid>
        <w:gridCol w:w="2628"/>
        <w:gridCol w:w="1620"/>
        <w:gridCol w:w="1620"/>
        <w:gridCol w:w="1260"/>
        <w:gridCol w:w="1728"/>
      </w:tblGrid>
      <w:tr w:rsidR="00C46D1C" w:rsidRPr="00C46D1C" w:rsidTr="00EE5FAB">
        <w:tc>
          <w:tcPr>
            <w:tcW w:w="2628" w:type="dxa"/>
          </w:tcPr>
          <w:p w:rsidR="00C46D1C" w:rsidRPr="00C46D1C" w:rsidRDefault="00C46D1C" w:rsidP="00EE5FAB">
            <w:pPr>
              <w:pStyle w:val="BodyText"/>
              <w:rPr>
                <w:rFonts w:ascii="Times New Roman" w:hAnsi="Times New Roman"/>
                <w:i w:val="0"/>
                <w:sz w:val="24"/>
              </w:rPr>
            </w:pPr>
            <w:r w:rsidRPr="00C46D1C">
              <w:rPr>
                <w:rFonts w:ascii="Times New Roman" w:hAnsi="Times New Roman"/>
                <w:i w:val="0"/>
                <w:sz w:val="24"/>
              </w:rPr>
              <w:t>Type of Respondent</w:t>
            </w:r>
          </w:p>
        </w:tc>
        <w:tc>
          <w:tcPr>
            <w:tcW w:w="1620" w:type="dxa"/>
          </w:tcPr>
          <w:p w:rsidR="00C46D1C" w:rsidRPr="00C46D1C" w:rsidRDefault="00C46D1C" w:rsidP="00EE5FAB">
            <w:pPr>
              <w:pStyle w:val="BodyText"/>
              <w:rPr>
                <w:rFonts w:ascii="Times New Roman" w:hAnsi="Times New Roman"/>
                <w:i w:val="0"/>
                <w:sz w:val="24"/>
              </w:rPr>
            </w:pPr>
            <w:r w:rsidRPr="00C46D1C">
              <w:rPr>
                <w:rFonts w:ascii="Times New Roman" w:hAnsi="Times New Roman"/>
                <w:i w:val="0"/>
                <w:sz w:val="24"/>
              </w:rPr>
              <w:t>Number of Respondents</w:t>
            </w:r>
          </w:p>
        </w:tc>
        <w:tc>
          <w:tcPr>
            <w:tcW w:w="1620" w:type="dxa"/>
          </w:tcPr>
          <w:p w:rsidR="00C46D1C" w:rsidRPr="00C46D1C" w:rsidRDefault="00C46D1C" w:rsidP="00EE5FAB">
            <w:pPr>
              <w:pStyle w:val="BodyText"/>
              <w:rPr>
                <w:rFonts w:ascii="Times New Roman" w:hAnsi="Times New Roman"/>
                <w:i w:val="0"/>
                <w:sz w:val="24"/>
              </w:rPr>
            </w:pPr>
            <w:r w:rsidRPr="00C46D1C">
              <w:rPr>
                <w:rFonts w:ascii="Times New Roman" w:hAnsi="Times New Roman"/>
                <w:i w:val="0"/>
                <w:sz w:val="24"/>
              </w:rPr>
              <w:t>Frequency of Response</w:t>
            </w:r>
          </w:p>
        </w:tc>
        <w:tc>
          <w:tcPr>
            <w:tcW w:w="1260" w:type="dxa"/>
          </w:tcPr>
          <w:p w:rsidR="00C46D1C" w:rsidRPr="00C46D1C" w:rsidRDefault="00C46D1C" w:rsidP="00EE5FAB">
            <w:pPr>
              <w:pStyle w:val="BodyText"/>
              <w:rPr>
                <w:rFonts w:ascii="Times New Roman" w:hAnsi="Times New Roman"/>
                <w:i w:val="0"/>
                <w:sz w:val="24"/>
              </w:rPr>
            </w:pPr>
            <w:r w:rsidRPr="00C46D1C">
              <w:rPr>
                <w:rFonts w:ascii="Times New Roman" w:hAnsi="Times New Roman"/>
                <w:i w:val="0"/>
                <w:sz w:val="24"/>
              </w:rPr>
              <w:t xml:space="preserve">Average Response Time </w:t>
            </w:r>
          </w:p>
        </w:tc>
        <w:tc>
          <w:tcPr>
            <w:tcW w:w="1728" w:type="dxa"/>
          </w:tcPr>
          <w:p w:rsidR="00C46D1C" w:rsidRPr="00C46D1C" w:rsidRDefault="00C46D1C" w:rsidP="00EE5FAB">
            <w:pPr>
              <w:pStyle w:val="BodyText"/>
              <w:rPr>
                <w:rFonts w:ascii="Times New Roman" w:hAnsi="Times New Roman"/>
                <w:i w:val="0"/>
                <w:sz w:val="24"/>
              </w:rPr>
            </w:pPr>
            <w:r w:rsidRPr="00C46D1C">
              <w:rPr>
                <w:rFonts w:ascii="Times New Roman" w:hAnsi="Times New Roman"/>
                <w:i w:val="0"/>
                <w:sz w:val="24"/>
              </w:rPr>
              <w:t>Annual Hour Burden</w:t>
            </w:r>
          </w:p>
        </w:tc>
      </w:tr>
      <w:tr w:rsidR="00C46D1C" w:rsidRPr="00C46D1C" w:rsidTr="00EE5FAB">
        <w:tc>
          <w:tcPr>
            <w:tcW w:w="26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Focus Group</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Screening  Participants</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576</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w:t>
            </w:r>
          </w:p>
        </w:tc>
        <w:tc>
          <w:tcPr>
            <w:tcW w:w="126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5</w:t>
            </w:r>
          </w:p>
        </w:tc>
        <w:tc>
          <w:tcPr>
            <w:tcW w:w="17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48</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(2,880 min)</w:t>
            </w:r>
          </w:p>
          <w:p w:rsidR="00C46D1C" w:rsidRPr="00C46D1C" w:rsidRDefault="00C46D1C" w:rsidP="00EE5FAB">
            <w:pPr>
              <w:pStyle w:val="BodyText"/>
              <w:rPr>
                <w:rFonts w:ascii="Times New Roman" w:hAnsi="Times New Roman"/>
                <w:b w:val="0"/>
                <w:i w:val="0"/>
                <w:sz w:val="24"/>
              </w:rPr>
            </w:pPr>
          </w:p>
        </w:tc>
      </w:tr>
      <w:tr w:rsidR="00C46D1C" w:rsidRPr="00C46D1C" w:rsidTr="00EE5FAB">
        <w:tc>
          <w:tcPr>
            <w:tcW w:w="26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In-Depth Interview</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Screening Participants</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60</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w:t>
            </w:r>
          </w:p>
        </w:tc>
        <w:tc>
          <w:tcPr>
            <w:tcW w:w="126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3</w:t>
            </w:r>
          </w:p>
        </w:tc>
        <w:tc>
          <w:tcPr>
            <w:tcW w:w="17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3</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(180 min)</w:t>
            </w:r>
          </w:p>
        </w:tc>
      </w:tr>
      <w:tr w:rsidR="00C46D1C" w:rsidRPr="00C46D1C" w:rsidTr="00EE5FAB">
        <w:tc>
          <w:tcPr>
            <w:tcW w:w="26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Focus Group Participants</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192*</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w:t>
            </w:r>
          </w:p>
        </w:tc>
        <w:tc>
          <w:tcPr>
            <w:tcW w:w="126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90</w:t>
            </w:r>
          </w:p>
        </w:tc>
        <w:tc>
          <w:tcPr>
            <w:tcW w:w="17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288</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(1,7280 min)</w:t>
            </w:r>
          </w:p>
        </w:tc>
      </w:tr>
      <w:tr w:rsidR="00C46D1C" w:rsidRPr="00C46D1C" w:rsidTr="00EE5FAB">
        <w:tc>
          <w:tcPr>
            <w:tcW w:w="26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 xml:space="preserve">In-Depth Interview </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Participants</w:t>
            </w:r>
          </w:p>
          <w:p w:rsidR="00C46D1C" w:rsidRPr="00C46D1C" w:rsidRDefault="00C46D1C" w:rsidP="00EE5FAB">
            <w:pPr>
              <w:pStyle w:val="BodyText"/>
              <w:rPr>
                <w:rFonts w:ascii="Times New Roman" w:hAnsi="Times New Roman"/>
                <w:b w:val="0"/>
                <w:i w:val="0"/>
                <w:sz w:val="24"/>
              </w:rPr>
            </w:pP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20*</w:t>
            </w:r>
          </w:p>
        </w:tc>
        <w:tc>
          <w:tcPr>
            <w:tcW w:w="162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w:t>
            </w:r>
          </w:p>
        </w:tc>
        <w:tc>
          <w:tcPr>
            <w:tcW w:w="1260"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60</w:t>
            </w:r>
          </w:p>
        </w:tc>
        <w:tc>
          <w:tcPr>
            <w:tcW w:w="1728" w:type="dxa"/>
          </w:tcPr>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20</w:t>
            </w:r>
          </w:p>
          <w:p w:rsidR="00C46D1C" w:rsidRPr="00C46D1C" w:rsidRDefault="00C46D1C" w:rsidP="00EE5FAB">
            <w:pPr>
              <w:pStyle w:val="BodyText"/>
              <w:rPr>
                <w:rFonts w:ascii="Times New Roman" w:hAnsi="Times New Roman"/>
                <w:b w:val="0"/>
                <w:i w:val="0"/>
                <w:sz w:val="24"/>
              </w:rPr>
            </w:pPr>
            <w:r w:rsidRPr="00C46D1C">
              <w:rPr>
                <w:rFonts w:ascii="Times New Roman" w:hAnsi="Times New Roman"/>
                <w:b w:val="0"/>
                <w:i w:val="0"/>
                <w:sz w:val="24"/>
              </w:rPr>
              <w:t>(1,200 min)</w:t>
            </w:r>
          </w:p>
        </w:tc>
      </w:tr>
    </w:tbl>
    <w:p w:rsidR="00C46D1C" w:rsidRPr="00C46D1C" w:rsidRDefault="00C46D1C" w:rsidP="00C46D1C">
      <w:pPr>
        <w:pStyle w:val="BodyText"/>
        <w:ind w:left="360" w:hanging="360"/>
        <w:rPr>
          <w:rFonts w:ascii="Times New Roman" w:hAnsi="Times New Roman"/>
          <w:b w:val="0"/>
          <w:i w:val="0"/>
          <w:sz w:val="24"/>
        </w:rPr>
      </w:pPr>
      <w:r w:rsidRPr="00C46D1C">
        <w:rPr>
          <w:rFonts w:ascii="Times New Roman" w:hAnsi="Times New Roman"/>
          <w:b w:val="0"/>
          <w:i w:val="0"/>
          <w:sz w:val="24"/>
        </w:rPr>
        <w:t>*</w:t>
      </w:r>
      <w:r w:rsidRPr="00C46D1C">
        <w:rPr>
          <w:rFonts w:ascii="Times New Roman" w:hAnsi="Times New Roman"/>
          <w:b w:val="0"/>
          <w:i w:val="0"/>
          <w:sz w:val="24"/>
        </w:rPr>
        <w:tab/>
        <w:t>Selected from the 576 who were screened</w:t>
      </w:r>
    </w:p>
    <w:p w:rsidR="00C46D1C" w:rsidRPr="00C46D1C" w:rsidRDefault="00C46D1C" w:rsidP="00C46D1C">
      <w:pPr>
        <w:pStyle w:val="BodyText"/>
        <w:ind w:left="360" w:hanging="360"/>
        <w:rPr>
          <w:rFonts w:ascii="Times New Roman" w:hAnsi="Times New Roman"/>
          <w:b w:val="0"/>
          <w:i w:val="0"/>
          <w:sz w:val="24"/>
        </w:rPr>
      </w:pPr>
      <w:r w:rsidRPr="00C46D1C">
        <w:rPr>
          <w:rFonts w:ascii="Times New Roman" w:hAnsi="Times New Roman"/>
          <w:b w:val="0"/>
          <w:i w:val="0"/>
          <w:sz w:val="24"/>
        </w:rPr>
        <w:t>**</w:t>
      </w:r>
      <w:r w:rsidRPr="00C46D1C">
        <w:rPr>
          <w:rFonts w:ascii="Times New Roman" w:hAnsi="Times New Roman"/>
          <w:b w:val="0"/>
          <w:i w:val="0"/>
          <w:sz w:val="24"/>
        </w:rPr>
        <w:tab/>
        <w:t>Selected from the 60 who were screened</w:t>
      </w:r>
    </w:p>
    <w:p w:rsidR="001A2867" w:rsidRDefault="001A2867" w:rsidP="00866338">
      <w:pPr>
        <w:rPr>
          <w:color w:val="000000"/>
        </w:rPr>
      </w:pPr>
    </w:p>
    <w:p w:rsidR="001A2867" w:rsidRPr="001A22C7" w:rsidRDefault="001A2867" w:rsidP="00866338">
      <w:pPr>
        <w:rPr>
          <w:b/>
        </w:rPr>
      </w:pPr>
      <w:r w:rsidRPr="001A22C7">
        <w:rPr>
          <w:b/>
        </w:rPr>
        <w:lastRenderedPageBreak/>
        <w:t>A.13. Estimate of Total Capital and Startup Costs/Operation and Maintenance Costs to Respondents or Record Keepers</w:t>
      </w:r>
    </w:p>
    <w:p w:rsidR="001A2867" w:rsidRDefault="001A2867" w:rsidP="00866338">
      <w:r>
        <w:t>N/A</w:t>
      </w:r>
    </w:p>
    <w:p w:rsidR="001A2867" w:rsidRDefault="001A2867" w:rsidP="00866338"/>
    <w:p w:rsidR="001A2867" w:rsidRDefault="001A2867" w:rsidP="00866338">
      <w:r w:rsidRPr="001A22C7">
        <w:rPr>
          <w:b/>
        </w:rPr>
        <w:t>A.14. Estimates of Costs to the Federal Government</w:t>
      </w:r>
    </w:p>
    <w:p w:rsidR="005E3F61" w:rsidRPr="005E3F61" w:rsidRDefault="005E3F61" w:rsidP="005E3F61">
      <w:r w:rsidRPr="005E3F61">
        <w:t xml:space="preserve">We estimate the cost to the Federal government to conduct the focus groups and in-depth interviews to be $150,000.  The 24 focus groups to be conducted will cost approximately $5000 each for a total of $120,000.  The 20 in-depth interviews are estimated to cost $1,500 each for a total of $30,000. </w:t>
      </w:r>
    </w:p>
    <w:p w:rsidR="005E3F61" w:rsidRDefault="005E3F61" w:rsidP="005E3F61">
      <w:pPr>
        <w:rPr>
          <w:rFonts w:ascii="Arial" w:hAnsi="Arial" w:cs="Arial"/>
          <w:color w:val="000080"/>
          <w:sz w:val="20"/>
          <w:szCs w:val="20"/>
        </w:rPr>
      </w:pPr>
    </w:p>
    <w:p w:rsidR="001A2867" w:rsidRDefault="001A2867" w:rsidP="00866338">
      <w:r w:rsidRPr="001A22C7">
        <w:rPr>
          <w:b/>
        </w:rPr>
        <w:t>A.15. Changes in Burden</w:t>
      </w:r>
    </w:p>
    <w:p w:rsidR="001A2867" w:rsidRDefault="00D24404" w:rsidP="00866338">
      <w:r>
        <w:t xml:space="preserve">This is a new information collection. </w:t>
      </w:r>
    </w:p>
    <w:p w:rsidR="001A2867" w:rsidRDefault="001A2867" w:rsidP="00866338"/>
    <w:p w:rsidR="001A2867" w:rsidRDefault="001A2867" w:rsidP="00866338">
      <w:r w:rsidRPr="001A22C7">
        <w:rPr>
          <w:b/>
        </w:rPr>
        <w:t xml:space="preserve">A.16. </w:t>
      </w:r>
      <w:r>
        <w:rPr>
          <w:b/>
        </w:rPr>
        <w:t>Plans for Publication, A</w:t>
      </w:r>
      <w:r w:rsidRPr="001A22C7">
        <w:rPr>
          <w:b/>
        </w:rPr>
        <w:t>nalysis and Sche</w:t>
      </w:r>
      <w:r>
        <w:rPr>
          <w:b/>
        </w:rPr>
        <w:t>d</w:t>
      </w:r>
      <w:r w:rsidRPr="001A22C7">
        <w:rPr>
          <w:b/>
        </w:rPr>
        <w:t>ule</w:t>
      </w:r>
    </w:p>
    <w:p w:rsidR="001A2867" w:rsidRDefault="001A2867" w:rsidP="00866338">
      <w:r>
        <w:t xml:space="preserve">For both the focus groups and the in-depth interviews, the NICHD contractor, AED, will produce the </w:t>
      </w:r>
      <w:proofErr w:type="spellStart"/>
      <w:r>
        <w:t>topline</w:t>
      </w:r>
      <w:proofErr w:type="spellEnd"/>
      <w:r>
        <w:t xml:space="preserve"> and final research reports. </w:t>
      </w:r>
    </w:p>
    <w:p w:rsidR="001A2867" w:rsidRDefault="001A2867" w:rsidP="00866338">
      <w:pPr>
        <w:rPr>
          <w:b/>
        </w:rPr>
      </w:pPr>
    </w:p>
    <w:p w:rsidR="001A2867" w:rsidRPr="001A22C7" w:rsidRDefault="001A2867" w:rsidP="00866338">
      <w:pPr>
        <w:rPr>
          <w:b/>
        </w:rPr>
      </w:pPr>
      <w:r w:rsidRPr="001A22C7">
        <w:rPr>
          <w:b/>
        </w:rPr>
        <w:t>A.17. Approval to Not Display Expiration Date</w:t>
      </w:r>
    </w:p>
    <w:p w:rsidR="001A2867" w:rsidRDefault="001A2867" w:rsidP="00866338">
      <w:r>
        <w:t>We are not requesting an exemption to the display of the OMB Expiration date.</w:t>
      </w:r>
    </w:p>
    <w:p w:rsidR="001A2867" w:rsidRDefault="001A2867" w:rsidP="00866338"/>
    <w:p w:rsidR="001A2867" w:rsidRDefault="001A2867" w:rsidP="00866338">
      <w:r w:rsidRPr="001A22C7">
        <w:rPr>
          <w:b/>
        </w:rPr>
        <w:t>A.18 Exceptions to Item 19 of OMB form 83-I</w:t>
      </w:r>
    </w:p>
    <w:p w:rsidR="001A2867" w:rsidRDefault="001A2867" w:rsidP="00866338">
      <w:r>
        <w:t>The focus groups and in-depth interviews will comply with the requirements in 5 CFR 1320.9.</w:t>
      </w:r>
    </w:p>
    <w:p w:rsidR="001A2867" w:rsidRDefault="001A2867" w:rsidP="00866338"/>
    <w:p w:rsidR="001A2867" w:rsidRPr="001A22C7" w:rsidRDefault="001A2867" w:rsidP="00866338">
      <w:pPr>
        <w:rPr>
          <w:b/>
        </w:rPr>
      </w:pPr>
      <w:r w:rsidRPr="001A22C7">
        <w:rPr>
          <w:b/>
        </w:rPr>
        <w:t>Section B</w:t>
      </w:r>
    </w:p>
    <w:p w:rsidR="001A2867" w:rsidRDefault="001A2867" w:rsidP="00866338"/>
    <w:p w:rsidR="001A2867" w:rsidRPr="001A22C7" w:rsidRDefault="001A2867" w:rsidP="00866338">
      <w:pPr>
        <w:rPr>
          <w:b/>
        </w:rPr>
      </w:pPr>
      <w:r w:rsidRPr="001A22C7">
        <w:rPr>
          <w:b/>
        </w:rPr>
        <w:t>B.1. Respondent Universe and Sampling Methods</w:t>
      </w:r>
    </w:p>
    <w:p w:rsidR="001A2867" w:rsidRPr="00E1797C" w:rsidRDefault="001A2867" w:rsidP="00866338">
      <w:pPr>
        <w:pStyle w:val="ListParagraph"/>
        <w:ind w:left="0"/>
      </w:pPr>
      <w:r w:rsidRPr="00E1797C">
        <w:t xml:space="preserve">To address the objectives </w:t>
      </w:r>
      <w:r>
        <w:t>of this study</w:t>
      </w:r>
      <w:r w:rsidRPr="00E1797C">
        <w:t xml:space="preserve">, two phases of research are proposed. The first phase will be a series of focus groups with women.  The second phase will be in-depth interviews with health care providers who will be an integral facet of recruitment in all strategies, but particularly the health care provider-based strategies.  </w:t>
      </w:r>
    </w:p>
    <w:p w:rsidR="001A2867" w:rsidRPr="00AC3E87" w:rsidRDefault="001A2867" w:rsidP="00866338"/>
    <w:p w:rsidR="001A2867" w:rsidRPr="00AC3E87" w:rsidRDefault="001A2867" w:rsidP="00866338">
      <w:pPr>
        <w:rPr>
          <w:i/>
        </w:rPr>
      </w:pPr>
      <w:r w:rsidRPr="00AC3E87">
        <w:rPr>
          <w:i/>
        </w:rPr>
        <w:t>Focus Groups</w:t>
      </w:r>
    </w:p>
    <w:p w:rsidR="001A2867" w:rsidRPr="00AC3E87" w:rsidRDefault="001A2867" w:rsidP="00866338">
      <w:r>
        <w:t>A total of 24</w:t>
      </w:r>
      <w:r w:rsidRPr="00AC3E87">
        <w:t xml:space="preserve"> focus group discussions will be conducted in commercial market research facilities whenever possible (it may be necessary to conduct groups in hotels or other venues in rural areas or smaller cities).  Each focus group is expected to last approximately 90 minutes. A draft of the moderator’s guide is included in A</w:t>
      </w:r>
      <w:r w:rsidR="001B4B11">
        <w:t>ttachment</w:t>
      </w:r>
      <w:r w:rsidRPr="00AC3E87">
        <w:t xml:space="preserve"> A. The focus groups will consist of the following elements:</w:t>
      </w:r>
    </w:p>
    <w:p w:rsidR="001A2867" w:rsidRPr="00AC3E87" w:rsidRDefault="001A2867" w:rsidP="00866338"/>
    <w:p w:rsidR="001A2867" w:rsidRPr="00AC3E87" w:rsidRDefault="001A2867" w:rsidP="00866338">
      <w:pPr>
        <w:numPr>
          <w:ilvl w:val="0"/>
          <w:numId w:val="18"/>
        </w:numPr>
        <w:tabs>
          <w:tab w:val="clear" w:pos="0"/>
          <w:tab w:val="num" w:pos="360"/>
        </w:tabs>
        <w:ind w:left="720"/>
      </w:pPr>
      <w:r>
        <w:t xml:space="preserve">Discussion of knowledge, </w:t>
      </w:r>
      <w:r w:rsidRPr="00AC3E87">
        <w:t>attitudes</w:t>
      </w:r>
      <w:r>
        <w:t>,</w:t>
      </w:r>
      <w:r w:rsidRPr="00AC3E87">
        <w:t xml:space="preserve"> </w:t>
      </w:r>
      <w:r>
        <w:t xml:space="preserve">and beliefs </w:t>
      </w:r>
      <w:r w:rsidRPr="00AC3E87">
        <w:t>about the NCS</w:t>
      </w:r>
    </w:p>
    <w:p w:rsidR="001A2867" w:rsidRPr="00AC3E87" w:rsidRDefault="001A2867" w:rsidP="00866338">
      <w:pPr>
        <w:numPr>
          <w:ilvl w:val="0"/>
          <w:numId w:val="18"/>
        </w:numPr>
        <w:tabs>
          <w:tab w:val="clear" w:pos="0"/>
          <w:tab w:val="num" w:pos="360"/>
        </w:tabs>
        <w:ind w:left="720"/>
      </w:pPr>
      <w:r w:rsidRPr="00AC3E87">
        <w:t>Review of draft messages and materials for the NCS</w:t>
      </w:r>
    </w:p>
    <w:p w:rsidR="001A2867" w:rsidRPr="00AC3E87" w:rsidRDefault="001A2867" w:rsidP="00866338">
      <w:pPr>
        <w:numPr>
          <w:ilvl w:val="0"/>
          <w:numId w:val="18"/>
        </w:numPr>
        <w:tabs>
          <w:tab w:val="clear" w:pos="0"/>
          <w:tab w:val="num" w:pos="360"/>
        </w:tabs>
        <w:ind w:left="720"/>
      </w:pPr>
      <w:r w:rsidRPr="00AC3E87">
        <w:t>Assessment of the NCS messages</w:t>
      </w:r>
    </w:p>
    <w:p w:rsidR="001A2867" w:rsidRPr="00AC3E87" w:rsidRDefault="001A2867" w:rsidP="00866338"/>
    <w:p w:rsidR="001A2867" w:rsidRPr="00AC3E87" w:rsidRDefault="001A2867" w:rsidP="00866338">
      <w:r w:rsidRPr="00AC3E87">
        <w:t xml:space="preserve">A professional moderator will guide the discussion of all </w:t>
      </w:r>
      <w:r>
        <w:t xml:space="preserve">24 </w:t>
      </w:r>
      <w:r w:rsidRPr="00AC3E87">
        <w:t xml:space="preserve">focus groups.  If necessary, we will hire moderators who speak languages other than English. Up to six observers from NICHD and its communications contractors may observe the groups from behind a one-way mirror. All focus groups will be audio taped, and transcripts will be prepared from the audio recordings.  </w:t>
      </w:r>
      <w:r w:rsidRPr="00AC3E87">
        <w:lastRenderedPageBreak/>
        <w:t>Simultaneous interpretation will be provided for observers</w:t>
      </w:r>
      <w:r>
        <w:t xml:space="preserve"> behind the one way mirror</w:t>
      </w:r>
      <w:r w:rsidRPr="00AC3E87">
        <w:t xml:space="preserve"> for </w:t>
      </w:r>
      <w:r>
        <w:t xml:space="preserve">focus </w:t>
      </w:r>
      <w:r w:rsidRPr="00AC3E87">
        <w:t>groups conducted in languages other than English.</w:t>
      </w:r>
    </w:p>
    <w:p w:rsidR="001A2867" w:rsidRPr="00AC3E87" w:rsidRDefault="001A2867" w:rsidP="00866338"/>
    <w:p w:rsidR="001A2867" w:rsidRPr="00AC3E87" w:rsidRDefault="001A2867" w:rsidP="00866338">
      <w:r w:rsidRPr="00AC3E87">
        <w:t>In screening participants for focus groups, recruiters will take care to ensure that only individuals meeting the recruitment criteria are invited to attend the groups (a copy of the screening instrument is included as A</w:t>
      </w:r>
      <w:r w:rsidR="001B4B11">
        <w:t>ttachment</w:t>
      </w:r>
      <w:r w:rsidRPr="00AC3E87">
        <w:t xml:space="preserve"> C). For example, individuals will be excluded from participation if they:</w:t>
      </w:r>
    </w:p>
    <w:p w:rsidR="001A2867" w:rsidRPr="00AC3E87" w:rsidRDefault="001A2867" w:rsidP="00866338"/>
    <w:p w:rsidR="001A2867" w:rsidRPr="00AC3E87" w:rsidRDefault="001A2867" w:rsidP="00866338">
      <w:pPr>
        <w:numPr>
          <w:ilvl w:val="0"/>
          <w:numId w:val="3"/>
        </w:numPr>
        <w:tabs>
          <w:tab w:val="clear" w:pos="360"/>
          <w:tab w:val="num" w:pos="720"/>
        </w:tabs>
        <w:ind w:left="720"/>
      </w:pPr>
      <w:r w:rsidRPr="00AC3E87">
        <w:t>Are employed in the media, market research, healthcare, or public health fields</w:t>
      </w:r>
      <w:r>
        <w:t>; and/or</w:t>
      </w:r>
    </w:p>
    <w:p w:rsidR="001A2867" w:rsidRPr="00AC3E87" w:rsidRDefault="001A2867" w:rsidP="00866338">
      <w:pPr>
        <w:numPr>
          <w:ilvl w:val="0"/>
          <w:numId w:val="3"/>
        </w:numPr>
        <w:tabs>
          <w:tab w:val="clear" w:pos="360"/>
          <w:tab w:val="num" w:pos="720"/>
        </w:tabs>
        <w:ind w:left="720"/>
      </w:pPr>
      <w:r w:rsidRPr="00AC3E87">
        <w:t>Have participated in a focus group or market research study within the last six months.</w:t>
      </w:r>
    </w:p>
    <w:p w:rsidR="001A2867" w:rsidRPr="00AC3E87" w:rsidRDefault="001A2867" w:rsidP="00866338"/>
    <w:p w:rsidR="001A2867" w:rsidRPr="00AC3E87" w:rsidRDefault="001A2867" w:rsidP="00866338">
      <w:r w:rsidRPr="00AC3E87">
        <w:t>Group participants will be segmented by education level and race/ethnicity.  Within each race/ethnicity category, half of the groups will be composed of individuals with some college or less and the other half will have completed college or more. Groups will be segmented by education level to ensure adequate feedback on comprehension among individuals with varying educational attainment. Segmentation by education will help to further explore whether materials are perceived differently by women with higher educational attainment. Groups will be segmented by race because single-race groups facilitate openness and candor and there may be various cultural issues that could impact how people from diverse backgrounds respond to different materials and messages.</w:t>
      </w:r>
      <w:r>
        <w:t xml:space="preserve">  Each woman is only required to participate in one of the 24 focus groups. </w:t>
      </w:r>
    </w:p>
    <w:p w:rsidR="001A2867" w:rsidRPr="00AC3E87" w:rsidRDefault="001A2867" w:rsidP="00866338">
      <w:pPr>
        <w:pStyle w:val="ListParagraph"/>
        <w:ind w:left="360"/>
      </w:pPr>
    </w:p>
    <w:p w:rsidR="001A2867" w:rsidRPr="00AC3E87" w:rsidRDefault="001A2867" w:rsidP="00866338">
      <w:r w:rsidRPr="00AC3E87">
        <w:t>Groups will be conducted during the day and in the evening to allow participation by parents with a variety of work schedules.</w:t>
      </w:r>
    </w:p>
    <w:p w:rsidR="001A2867" w:rsidRPr="00AC3E87" w:rsidRDefault="001A2867" w:rsidP="00866338">
      <w:pPr>
        <w:rPr>
          <w:i/>
        </w:rPr>
      </w:pPr>
    </w:p>
    <w:p w:rsidR="001A2867" w:rsidRPr="00AC3E87" w:rsidRDefault="001A2867" w:rsidP="00866338">
      <w:pPr>
        <w:rPr>
          <w:i/>
        </w:rPr>
      </w:pPr>
      <w:r w:rsidRPr="00AC3E87">
        <w:rPr>
          <w:i/>
        </w:rPr>
        <w:t>In-Depth Interviews</w:t>
      </w:r>
    </w:p>
    <w:p w:rsidR="001A2867" w:rsidRPr="00AC3E87" w:rsidRDefault="001A2867" w:rsidP="00866338">
      <w:r w:rsidRPr="00AC3E87">
        <w:t>Data from selected health care providers will be collected by means of in-depth interviews, either in-person or via telephone.  In-person interviews will be conducted in professional market research facilities wherever possible.</w:t>
      </w:r>
    </w:p>
    <w:p w:rsidR="001A2867" w:rsidRPr="00AC3E87" w:rsidRDefault="001A2867" w:rsidP="00866338"/>
    <w:p w:rsidR="001A2867" w:rsidRPr="00AC3E87" w:rsidRDefault="001A2867" w:rsidP="00866338">
      <w:r w:rsidRPr="00AC3E87">
        <w:t xml:space="preserve">Each interview is expected to last approximately 60 minutes. A draft of the semi-structured interview protocol is included </w:t>
      </w:r>
      <w:r>
        <w:t>as</w:t>
      </w:r>
      <w:r w:rsidR="001B4B11">
        <w:t xml:space="preserve"> Attachment</w:t>
      </w:r>
      <w:r w:rsidRPr="00AC3E87">
        <w:t xml:space="preserve"> B. The interviews will consist of the following elements:</w:t>
      </w:r>
    </w:p>
    <w:p w:rsidR="001A2867" w:rsidRPr="00AC3E87" w:rsidRDefault="001A2867" w:rsidP="00866338"/>
    <w:p w:rsidR="001A2867" w:rsidRPr="00AC3E87" w:rsidRDefault="001A2867" w:rsidP="00866338">
      <w:pPr>
        <w:numPr>
          <w:ilvl w:val="0"/>
          <w:numId w:val="18"/>
        </w:numPr>
        <w:tabs>
          <w:tab w:val="clear" w:pos="0"/>
          <w:tab w:val="num" w:pos="360"/>
        </w:tabs>
        <w:ind w:left="720"/>
      </w:pPr>
      <w:r>
        <w:t xml:space="preserve">Discussion of knowledge, </w:t>
      </w:r>
      <w:r w:rsidRPr="00AC3E87">
        <w:t>attitudes</w:t>
      </w:r>
      <w:r>
        <w:t>, and beliefs</w:t>
      </w:r>
      <w:r w:rsidRPr="00AC3E87">
        <w:t xml:space="preserve"> about the National Children’s Study</w:t>
      </w:r>
    </w:p>
    <w:p w:rsidR="001A2867" w:rsidRPr="00AC3E87" w:rsidRDefault="001A2867" w:rsidP="00866338">
      <w:pPr>
        <w:numPr>
          <w:ilvl w:val="0"/>
          <w:numId w:val="18"/>
        </w:numPr>
        <w:tabs>
          <w:tab w:val="clear" w:pos="0"/>
          <w:tab w:val="num" w:pos="360"/>
        </w:tabs>
        <w:ind w:left="720"/>
      </w:pPr>
      <w:r w:rsidRPr="00AC3E87">
        <w:t>Review of draft messages and materials for the National Children’s Study</w:t>
      </w:r>
    </w:p>
    <w:p w:rsidR="001A2867" w:rsidRPr="00AC3E87" w:rsidRDefault="001A2867" w:rsidP="00866338"/>
    <w:p w:rsidR="001A2867" w:rsidRPr="00AC3E87" w:rsidRDefault="001A2867" w:rsidP="00866338">
      <w:r w:rsidRPr="00AC3E87">
        <w:t xml:space="preserve">A professional interviewer will conduct the interviews.  Up to six observers from NICHD and its communications contractors may observe interviews </w:t>
      </w:r>
      <w:r>
        <w:t>c</w:t>
      </w:r>
      <w:r w:rsidRPr="00AC3E87">
        <w:t>onducted in professional market research facilities</w:t>
      </w:r>
      <w:r w:rsidRPr="00843E87">
        <w:t xml:space="preserve"> </w:t>
      </w:r>
      <w:r>
        <w:t>from behind a one way mirror</w:t>
      </w:r>
      <w:r w:rsidRPr="00AC3E87">
        <w:t>. All interviews will be audio taped, and transcripts will be prepared from the audio recordings.</w:t>
      </w:r>
    </w:p>
    <w:p w:rsidR="001A2867" w:rsidRPr="00AC3E87" w:rsidRDefault="001A2867" w:rsidP="00866338"/>
    <w:p w:rsidR="001A2867" w:rsidRPr="00AC3E87" w:rsidRDefault="001A2867" w:rsidP="00866338">
      <w:r w:rsidRPr="00AC3E87">
        <w:t>In screening participants for the interviews, recruiters will take care to ensure that only individuals meeting the recruitment criteria are invited to attend the groups (a copy of the screening instrument is included as A</w:t>
      </w:r>
      <w:r w:rsidR="001B4B11">
        <w:t>ttachment</w:t>
      </w:r>
      <w:r w:rsidRPr="00AC3E87">
        <w:t xml:space="preserve"> D).</w:t>
      </w:r>
    </w:p>
    <w:p w:rsidR="001A2867" w:rsidRPr="00AC3E87" w:rsidRDefault="001A2867" w:rsidP="00866338"/>
    <w:p w:rsidR="001A2867" w:rsidRPr="00AC3E87" w:rsidRDefault="001A2867" w:rsidP="00866338">
      <w:r w:rsidRPr="00AC3E87">
        <w:lastRenderedPageBreak/>
        <w:t>For both the focus groups and in-depth interviews, AED will subcontract local research vendors to recruit participants, provide facilities for the research, and handle other logistics. AED will secure consultant moderator</w:t>
      </w:r>
      <w:r>
        <w:t>s</w:t>
      </w:r>
      <w:r w:rsidRPr="00AC3E87">
        <w:t xml:space="preserve">/interviewers to facilitate the discussions and interviews.  In addition to procuring these services, AED will print all materials for testing, observe all interviews (along with NICHD staff), and produce the </w:t>
      </w:r>
      <w:proofErr w:type="spellStart"/>
      <w:r w:rsidRPr="00AC3E87">
        <w:t>topline</w:t>
      </w:r>
      <w:proofErr w:type="spellEnd"/>
      <w:r w:rsidRPr="00AC3E87">
        <w:t xml:space="preserve"> and final research reports.  </w:t>
      </w:r>
    </w:p>
    <w:p w:rsidR="001A2867" w:rsidRPr="00866338" w:rsidRDefault="001A2867" w:rsidP="00866338">
      <w:pPr>
        <w:pStyle w:val="BodyText"/>
        <w:rPr>
          <w:rFonts w:ascii="Times New Roman" w:hAnsi="Times New Roman"/>
          <w:i w:val="0"/>
          <w:sz w:val="24"/>
        </w:rPr>
      </w:pPr>
      <w:r w:rsidRPr="00866338">
        <w:rPr>
          <w:rFonts w:ascii="Times New Roman" w:hAnsi="Times New Roman"/>
          <w:i w:val="0"/>
          <w:sz w:val="24"/>
        </w:rPr>
        <w:t>B.2. Information Collection Procedures/Limitations of the Study</w:t>
      </w:r>
    </w:p>
    <w:p w:rsidR="001A2867" w:rsidRPr="00866338" w:rsidRDefault="001A2867" w:rsidP="00866338">
      <w:pPr>
        <w:pStyle w:val="BodyText"/>
        <w:rPr>
          <w:rFonts w:ascii="Times New Roman" w:hAnsi="Times New Roman"/>
          <w:b w:val="0"/>
          <w:i w:val="0"/>
          <w:sz w:val="24"/>
        </w:rPr>
      </w:pPr>
      <w:r w:rsidRPr="00866338">
        <w:rPr>
          <w:rFonts w:ascii="Times New Roman" w:hAnsi="Times New Roman"/>
          <w:b w:val="0"/>
          <w:i w:val="0"/>
          <w:sz w:val="24"/>
        </w:rPr>
        <w:t>NICHD will collect all information in a manner that is consistent with the following principles:</w:t>
      </w:r>
    </w:p>
    <w:p w:rsidR="001A2867" w:rsidRPr="00866338" w:rsidRDefault="001A2867" w:rsidP="00866338">
      <w:pPr>
        <w:pStyle w:val="BodyText"/>
        <w:numPr>
          <w:ilvl w:val="0"/>
          <w:numId w:val="41"/>
        </w:numPr>
        <w:autoSpaceDE/>
        <w:autoSpaceDN/>
        <w:rPr>
          <w:rFonts w:ascii="Times New Roman" w:hAnsi="Times New Roman"/>
          <w:b w:val="0"/>
          <w:i w:val="0"/>
          <w:sz w:val="24"/>
        </w:rPr>
      </w:pPr>
      <w:r w:rsidRPr="00866338">
        <w:rPr>
          <w:rFonts w:ascii="Times New Roman" w:hAnsi="Times New Roman"/>
          <w:b w:val="0"/>
          <w:i w:val="0"/>
          <w:sz w:val="24"/>
        </w:rPr>
        <w:t xml:space="preserve">Participation will be full voluntary, and non-participation will have no impact on the participants.  </w:t>
      </w:r>
    </w:p>
    <w:p w:rsidR="001A2867" w:rsidRPr="00866338" w:rsidRDefault="001A2867" w:rsidP="00866338">
      <w:pPr>
        <w:pStyle w:val="BodyText"/>
        <w:tabs>
          <w:tab w:val="left" w:pos="2490"/>
        </w:tabs>
        <w:rPr>
          <w:rFonts w:ascii="Times New Roman" w:hAnsi="Times New Roman"/>
          <w:b w:val="0"/>
          <w:i w:val="0"/>
          <w:sz w:val="24"/>
        </w:rPr>
      </w:pPr>
      <w:r w:rsidRPr="00866338">
        <w:rPr>
          <w:rFonts w:ascii="Times New Roman" w:hAnsi="Times New Roman"/>
          <w:b w:val="0"/>
          <w:i w:val="0"/>
          <w:sz w:val="24"/>
        </w:rPr>
        <w:tab/>
      </w:r>
    </w:p>
    <w:p w:rsidR="001A2867" w:rsidRPr="00866338" w:rsidRDefault="001A2867" w:rsidP="00866338">
      <w:pPr>
        <w:pStyle w:val="BodyText"/>
        <w:numPr>
          <w:ilvl w:val="0"/>
          <w:numId w:val="41"/>
        </w:numPr>
        <w:autoSpaceDE/>
        <w:autoSpaceDN/>
        <w:rPr>
          <w:rFonts w:ascii="Times New Roman" w:hAnsi="Times New Roman"/>
          <w:b w:val="0"/>
          <w:i w:val="0"/>
          <w:sz w:val="24"/>
        </w:rPr>
      </w:pPr>
      <w:r w:rsidRPr="00866338">
        <w:rPr>
          <w:rFonts w:ascii="Times New Roman" w:hAnsi="Times New Roman"/>
          <w:b w:val="0"/>
          <w:i w:val="0"/>
          <w:sz w:val="24"/>
        </w:rPr>
        <w:t xml:space="preserve">Collected information will be limited to that which is needed to assess audiences’ perceptions of the NCS and guide the development of future NCS materials. </w:t>
      </w:r>
    </w:p>
    <w:p w:rsidR="001A2867" w:rsidRPr="001A22C7" w:rsidRDefault="001A2867" w:rsidP="00866338">
      <w:pPr>
        <w:rPr>
          <w:b/>
        </w:rPr>
      </w:pPr>
      <w:r w:rsidRPr="00BC02B3">
        <w:br/>
      </w:r>
      <w:r w:rsidRPr="001A22C7">
        <w:rPr>
          <w:b/>
        </w:rPr>
        <w:t>B.3. Methods for Maximizing the Response Rate and Addressing Issues of Non</w:t>
      </w:r>
      <w:r>
        <w:rPr>
          <w:b/>
        </w:rPr>
        <w:t>-</w:t>
      </w:r>
      <w:r w:rsidRPr="001A22C7">
        <w:rPr>
          <w:b/>
        </w:rPr>
        <w:t>response</w:t>
      </w:r>
    </w:p>
    <w:p w:rsidR="001A2867" w:rsidRDefault="001A2867" w:rsidP="00866338">
      <w:r>
        <w:t>Consistent with sound focus group and interview methodology, the design of the focus group and interview guides will include approaches to maximize response rates, while retaining the voluntary nature of the effort.</w:t>
      </w:r>
    </w:p>
    <w:p w:rsidR="001A2867" w:rsidRDefault="001A2867" w:rsidP="00866338"/>
    <w:p w:rsidR="001A2867" w:rsidRPr="001A22C7" w:rsidRDefault="001A2867" w:rsidP="00866338">
      <w:pPr>
        <w:rPr>
          <w:b/>
        </w:rPr>
      </w:pPr>
      <w:r w:rsidRPr="001A22C7">
        <w:rPr>
          <w:b/>
        </w:rPr>
        <w:t>B.4. Tests of Procedures of Methods</w:t>
      </w:r>
    </w:p>
    <w:p w:rsidR="001A2867" w:rsidRDefault="001A2867" w:rsidP="00866338">
      <w:pPr>
        <w:rPr>
          <w:color w:val="000000"/>
        </w:rPr>
      </w:pPr>
      <w:r>
        <w:t>All pre-testing will be carried out at a level and in a manner consistent with the specific focus group and interview guides.</w:t>
      </w:r>
    </w:p>
    <w:p w:rsidR="001A2867" w:rsidRPr="00E75F5D" w:rsidRDefault="001A2867" w:rsidP="00E51841"/>
    <w:p w:rsidR="001A2867" w:rsidRPr="00AC3E87" w:rsidRDefault="001A2867" w:rsidP="00866338">
      <w:pPr>
        <w:rPr>
          <w:b/>
        </w:rPr>
      </w:pPr>
      <w:r w:rsidRPr="00AC3E87">
        <w:rPr>
          <w:b/>
        </w:rPr>
        <w:t>A</w:t>
      </w:r>
      <w:r w:rsidR="00EE5FAB">
        <w:rPr>
          <w:b/>
        </w:rPr>
        <w:t>ttachments</w:t>
      </w:r>
      <w:r w:rsidRPr="00AC3E87">
        <w:rPr>
          <w:b/>
        </w:rPr>
        <w:t>:</w:t>
      </w:r>
    </w:p>
    <w:p w:rsidR="001A2867" w:rsidRPr="00AC3E87" w:rsidRDefault="001B4B11" w:rsidP="00866338">
      <w:r>
        <w:t>Attachment</w:t>
      </w:r>
      <w:r w:rsidR="001A2867" w:rsidRPr="00AC3E87">
        <w:t xml:space="preserve"> A:  Moderator’s Guide for Focus Groups </w:t>
      </w:r>
    </w:p>
    <w:p w:rsidR="001A2867" w:rsidRPr="00AC3E87" w:rsidRDefault="001B4B11" w:rsidP="00866338">
      <w:r>
        <w:t>Attachment</w:t>
      </w:r>
      <w:r w:rsidR="001A2867" w:rsidRPr="00AC3E87">
        <w:t xml:space="preserve"> B:  Semi-structured Interview Protocol </w:t>
      </w:r>
    </w:p>
    <w:p w:rsidR="001A2867" w:rsidRPr="00AC3E87" w:rsidRDefault="001B4B11" w:rsidP="00866338">
      <w:r>
        <w:t>Attachment</w:t>
      </w:r>
      <w:r w:rsidR="001A2867" w:rsidRPr="00AC3E87">
        <w:t xml:space="preserve"> C:  Screening Instrument for Focus Groups</w:t>
      </w:r>
    </w:p>
    <w:p w:rsidR="001A2867" w:rsidRPr="00AC3E87" w:rsidRDefault="001B4B11" w:rsidP="00866338">
      <w:r>
        <w:t>Attachment</w:t>
      </w:r>
      <w:r w:rsidR="001A2867" w:rsidRPr="00AC3E87">
        <w:t xml:space="preserve"> D:  Screening Instrument for Interviews</w:t>
      </w:r>
    </w:p>
    <w:p w:rsidR="001A2867" w:rsidRDefault="001B4B11" w:rsidP="005976AB">
      <w:pPr>
        <w:rPr>
          <w:b/>
        </w:rPr>
      </w:pPr>
      <w:proofErr w:type="spellStart"/>
      <w:r>
        <w:rPr>
          <w:lang w:val="fr-FR"/>
        </w:rPr>
        <w:t>Attachment</w:t>
      </w:r>
      <w:proofErr w:type="spellEnd"/>
      <w:r w:rsidR="001A2867" w:rsidRPr="00461078">
        <w:rPr>
          <w:lang w:val="fr-FR"/>
        </w:rPr>
        <w:t xml:space="preserve"> E: </w:t>
      </w:r>
      <w:proofErr w:type="spellStart"/>
      <w:r w:rsidR="001A2867" w:rsidRPr="00461078">
        <w:rPr>
          <w:lang w:val="fr-FR"/>
        </w:rPr>
        <w:t>Informed</w:t>
      </w:r>
      <w:proofErr w:type="spellEnd"/>
      <w:r w:rsidR="001A2867" w:rsidRPr="00461078">
        <w:rPr>
          <w:lang w:val="fr-FR"/>
        </w:rPr>
        <w:t xml:space="preserve"> Consent Document</w:t>
      </w:r>
    </w:p>
    <w:sectPr w:rsidR="001A2867" w:rsidSect="005976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B62" w:rsidRDefault="00044B62">
      <w:r>
        <w:separator/>
      </w:r>
    </w:p>
  </w:endnote>
  <w:endnote w:type="continuationSeparator" w:id="0">
    <w:p w:rsidR="00044B62" w:rsidRDefault="00044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62" w:rsidRDefault="00044B62" w:rsidP="00FC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BB4">
      <w:rPr>
        <w:rStyle w:val="PageNumber"/>
        <w:noProof/>
      </w:rPr>
      <w:t>3</w:t>
    </w:r>
    <w:r>
      <w:rPr>
        <w:rStyle w:val="PageNumber"/>
      </w:rPr>
      <w:fldChar w:fldCharType="end"/>
    </w:r>
  </w:p>
  <w:p w:rsidR="00044B62" w:rsidRDefault="00044B62" w:rsidP="00FC4BD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B62" w:rsidRDefault="00044B62">
      <w:r>
        <w:separator/>
      </w:r>
    </w:p>
  </w:footnote>
  <w:footnote w:type="continuationSeparator" w:id="0">
    <w:p w:rsidR="00044B62" w:rsidRDefault="00044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62" w:rsidRDefault="00044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855"/>
    <w:multiLevelType w:val="hybridMultilevel"/>
    <w:tmpl w:val="671403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14F6AB8"/>
    <w:multiLevelType w:val="hybridMultilevel"/>
    <w:tmpl w:val="82F4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360C0"/>
    <w:multiLevelType w:val="hybridMultilevel"/>
    <w:tmpl w:val="FB22DCA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4696232"/>
    <w:multiLevelType w:val="hybridMultilevel"/>
    <w:tmpl w:val="C620669C"/>
    <w:lvl w:ilvl="0" w:tplc="5FD4B73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5FB21C1"/>
    <w:multiLevelType w:val="hybridMultilevel"/>
    <w:tmpl w:val="587AB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B445C0"/>
    <w:multiLevelType w:val="hybridMultilevel"/>
    <w:tmpl w:val="2696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B2EC7"/>
    <w:multiLevelType w:val="hybridMultilevel"/>
    <w:tmpl w:val="A7CCA880"/>
    <w:lvl w:ilvl="0" w:tplc="78DABA7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85F44"/>
    <w:multiLevelType w:val="hybridMultilevel"/>
    <w:tmpl w:val="E074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36E9B"/>
    <w:multiLevelType w:val="hybridMultilevel"/>
    <w:tmpl w:val="E06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C61B8"/>
    <w:multiLevelType w:val="hybridMultilevel"/>
    <w:tmpl w:val="AB6E2B42"/>
    <w:lvl w:ilvl="0" w:tplc="2812B478">
      <w:start w:val="1"/>
      <w:numFmt w:val="bullet"/>
      <w:lvlText w:val=""/>
      <w:lvlJc w:val="left"/>
      <w:pPr>
        <w:tabs>
          <w:tab w:val="num" w:pos="360"/>
        </w:tabs>
        <w:ind w:left="360" w:hanging="360"/>
      </w:pPr>
      <w:rPr>
        <w:rFonts w:ascii="Symbol" w:hAnsi="Symbol" w:hint="default"/>
        <w:color w:val="auto"/>
      </w:rPr>
    </w:lvl>
    <w:lvl w:ilvl="1" w:tplc="78DABA76">
      <w:start w:val="1"/>
      <w:numFmt w:val="bullet"/>
      <w:lvlText w:val=""/>
      <w:lvlJc w:val="left"/>
      <w:pPr>
        <w:tabs>
          <w:tab w:val="num" w:pos="-360"/>
        </w:tabs>
        <w:ind w:left="-360" w:hanging="360"/>
      </w:pPr>
      <w:rPr>
        <w:rFonts w:ascii="Wingdings" w:hAnsi="Wingdings"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1EB24F3C"/>
    <w:multiLevelType w:val="hybridMultilevel"/>
    <w:tmpl w:val="0B262CD4"/>
    <w:lvl w:ilvl="0" w:tplc="0409000F">
      <w:start w:val="1"/>
      <w:numFmt w:val="decimal"/>
      <w:lvlText w:val="%1."/>
      <w:lvlJc w:val="left"/>
      <w:pPr>
        <w:tabs>
          <w:tab w:val="num" w:pos="360"/>
        </w:tabs>
        <w:ind w:left="360" w:hanging="360"/>
      </w:pPr>
      <w:rPr>
        <w:rFonts w:cs="Times New Roman"/>
      </w:rPr>
    </w:lvl>
    <w:lvl w:ilvl="1" w:tplc="78DABA7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EEC7286"/>
    <w:multiLevelType w:val="hybridMultilevel"/>
    <w:tmpl w:val="801AE33A"/>
    <w:lvl w:ilvl="0" w:tplc="78DABA76">
      <w:start w:val="1"/>
      <w:numFmt w:val="bullet"/>
      <w:lvlText w:val=""/>
      <w:lvlJc w:val="left"/>
      <w:pPr>
        <w:tabs>
          <w:tab w:val="num" w:pos="921"/>
        </w:tabs>
        <w:ind w:left="921"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87392A"/>
    <w:multiLevelType w:val="hybridMultilevel"/>
    <w:tmpl w:val="C456A54A"/>
    <w:lvl w:ilvl="0" w:tplc="0409000F">
      <w:start w:val="1"/>
      <w:numFmt w:val="decimal"/>
      <w:lvlText w:val="%1."/>
      <w:lvlJc w:val="left"/>
      <w:pPr>
        <w:tabs>
          <w:tab w:val="num" w:pos="360"/>
        </w:tabs>
        <w:ind w:left="360" w:hanging="360"/>
      </w:pPr>
      <w:rPr>
        <w:rFonts w:cs="Times New Roman"/>
      </w:rPr>
    </w:lvl>
    <w:lvl w:ilvl="1" w:tplc="78DABA7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44E7ACF"/>
    <w:multiLevelType w:val="hybridMultilevel"/>
    <w:tmpl w:val="50B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616DAC"/>
    <w:multiLevelType w:val="hybridMultilevel"/>
    <w:tmpl w:val="47EA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96AA8"/>
    <w:multiLevelType w:val="multilevel"/>
    <w:tmpl w:val="FA1821FC"/>
    <w:lvl w:ilvl="0">
      <w:start w:val="1"/>
      <w:numFmt w:val="decimal"/>
      <w:lvlText w:val="%1."/>
      <w:lvlJc w:val="left"/>
      <w:pPr>
        <w:tabs>
          <w:tab w:val="num" w:pos="450"/>
        </w:tabs>
        <w:ind w:left="45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DA13049"/>
    <w:multiLevelType w:val="hybridMultilevel"/>
    <w:tmpl w:val="5E6CD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522BCB"/>
    <w:multiLevelType w:val="hybridMultilevel"/>
    <w:tmpl w:val="63C26E6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06429D7"/>
    <w:multiLevelType w:val="hybridMultilevel"/>
    <w:tmpl w:val="4DD20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151D7C"/>
    <w:multiLevelType w:val="hybridMultilevel"/>
    <w:tmpl w:val="AE80DE0A"/>
    <w:lvl w:ilvl="0" w:tplc="5CCC64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BC157C"/>
    <w:multiLevelType w:val="hybridMultilevel"/>
    <w:tmpl w:val="A13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A62D4E"/>
    <w:multiLevelType w:val="hybridMultilevel"/>
    <w:tmpl w:val="0B262CD4"/>
    <w:lvl w:ilvl="0" w:tplc="0409000F">
      <w:start w:val="1"/>
      <w:numFmt w:val="decimal"/>
      <w:lvlText w:val="%1."/>
      <w:lvlJc w:val="left"/>
      <w:pPr>
        <w:tabs>
          <w:tab w:val="num" w:pos="360"/>
        </w:tabs>
        <w:ind w:left="360" w:hanging="360"/>
      </w:pPr>
      <w:rPr>
        <w:rFonts w:cs="Times New Roman"/>
      </w:rPr>
    </w:lvl>
    <w:lvl w:ilvl="1" w:tplc="78DABA7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42124EB"/>
    <w:multiLevelType w:val="hybridMultilevel"/>
    <w:tmpl w:val="D000288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A96749"/>
    <w:multiLevelType w:val="hybridMultilevel"/>
    <w:tmpl w:val="3DF2EDFE"/>
    <w:lvl w:ilvl="0" w:tplc="04090001">
      <w:start w:val="1"/>
      <w:numFmt w:val="bullet"/>
      <w:lvlText w:val=""/>
      <w:lvlJc w:val="left"/>
      <w:pPr>
        <w:tabs>
          <w:tab w:val="num" w:pos="360"/>
        </w:tabs>
        <w:ind w:left="360" w:hanging="360"/>
      </w:pPr>
      <w:rPr>
        <w:rFonts w:ascii="Symbol" w:hAnsi="Symbol" w:hint="default"/>
      </w:rPr>
    </w:lvl>
    <w:lvl w:ilvl="1" w:tplc="B8681842">
      <w:start w:val="1"/>
      <w:numFmt w:val="bullet"/>
      <w:lvlText w:val=""/>
      <w:lvlJc w:val="left"/>
      <w:pPr>
        <w:tabs>
          <w:tab w:val="num" w:pos="72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3BF267D8"/>
    <w:multiLevelType w:val="hybridMultilevel"/>
    <w:tmpl w:val="342A80E6"/>
    <w:lvl w:ilvl="0" w:tplc="B868184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9B564E"/>
    <w:multiLevelType w:val="hybridMultilevel"/>
    <w:tmpl w:val="C7F0DA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CF172A5"/>
    <w:multiLevelType w:val="hybridMultilevel"/>
    <w:tmpl w:val="571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60898"/>
    <w:multiLevelType w:val="hybridMultilevel"/>
    <w:tmpl w:val="A25A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772DD"/>
    <w:multiLevelType w:val="hybridMultilevel"/>
    <w:tmpl w:val="99E42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304645"/>
    <w:multiLevelType w:val="hybridMultilevel"/>
    <w:tmpl w:val="48FA21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A7C1784"/>
    <w:multiLevelType w:val="hybridMultilevel"/>
    <w:tmpl w:val="912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4678D"/>
    <w:multiLevelType w:val="hybridMultilevel"/>
    <w:tmpl w:val="C618F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2925C1"/>
    <w:multiLevelType w:val="hybridMultilevel"/>
    <w:tmpl w:val="198EB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5A3025"/>
    <w:multiLevelType w:val="hybridMultilevel"/>
    <w:tmpl w:val="856E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D079ED"/>
    <w:multiLevelType w:val="hybridMultilevel"/>
    <w:tmpl w:val="A694F98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90054E9"/>
    <w:multiLevelType w:val="hybridMultilevel"/>
    <w:tmpl w:val="6BFE7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D45DCB"/>
    <w:multiLevelType w:val="hybridMultilevel"/>
    <w:tmpl w:val="FCBEA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BE5E89"/>
    <w:multiLevelType w:val="hybridMultilevel"/>
    <w:tmpl w:val="B70E338C"/>
    <w:lvl w:ilvl="0" w:tplc="04090001">
      <w:start w:val="1"/>
      <w:numFmt w:val="lowerLetter"/>
      <w:lvlText w:val="(%1)"/>
      <w:lvlJc w:val="left"/>
      <w:pPr>
        <w:ind w:left="720" w:hanging="360"/>
      </w:pPr>
      <w:rPr>
        <w:rFonts w:cs="Times New Roman" w:hint="default"/>
        <w:i/>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19"/>
  </w:num>
  <w:num w:numId="2">
    <w:abstractNumId w:val="4"/>
  </w:num>
  <w:num w:numId="3">
    <w:abstractNumId w:val="17"/>
  </w:num>
  <w:num w:numId="4">
    <w:abstractNumId w:val="35"/>
  </w:num>
  <w:num w:numId="5">
    <w:abstractNumId w:val="39"/>
  </w:num>
  <w:num w:numId="6">
    <w:abstractNumId w:val="16"/>
  </w:num>
  <w:num w:numId="7">
    <w:abstractNumId w:val="10"/>
  </w:num>
  <w:num w:numId="8">
    <w:abstractNumId w:val="27"/>
  </w:num>
  <w:num w:numId="9">
    <w:abstractNumId w:val="25"/>
  </w:num>
  <w:num w:numId="10">
    <w:abstractNumId w:val="23"/>
  </w:num>
  <w:num w:numId="11">
    <w:abstractNumId w:val="6"/>
  </w:num>
  <w:num w:numId="12">
    <w:abstractNumId w:val="20"/>
  </w:num>
  <w:num w:numId="13">
    <w:abstractNumId w:val="18"/>
  </w:num>
  <w:num w:numId="14">
    <w:abstractNumId w:val="3"/>
  </w:num>
  <w:num w:numId="15">
    <w:abstractNumId w:val="1"/>
  </w:num>
  <w:num w:numId="16">
    <w:abstractNumId w:val="30"/>
  </w:num>
  <w:num w:numId="17">
    <w:abstractNumId w:val="2"/>
  </w:num>
  <w:num w:numId="18">
    <w:abstractNumId w:val="26"/>
  </w:num>
  <w:num w:numId="19">
    <w:abstractNumId w:val="34"/>
  </w:num>
  <w:num w:numId="20">
    <w:abstractNumId w:val="13"/>
  </w:num>
  <w:num w:numId="21">
    <w:abstractNumId w:val="22"/>
  </w:num>
  <w:num w:numId="22">
    <w:abstractNumId w:val="9"/>
  </w:num>
  <w:num w:numId="23">
    <w:abstractNumId w:val="12"/>
  </w:num>
  <w:num w:numId="24">
    <w:abstractNumId w:val="38"/>
  </w:num>
  <w:num w:numId="25">
    <w:abstractNumId w:val="0"/>
  </w:num>
  <w:num w:numId="26">
    <w:abstractNumId w:val="7"/>
  </w:num>
  <w:num w:numId="27">
    <w:abstractNumId w:val="21"/>
  </w:num>
  <w:num w:numId="28">
    <w:abstractNumId w:val="32"/>
  </w:num>
  <w:num w:numId="29">
    <w:abstractNumId w:val="15"/>
  </w:num>
  <w:num w:numId="30">
    <w:abstractNumId w:val="28"/>
  </w:num>
  <w:num w:numId="31">
    <w:abstractNumId w:val="8"/>
  </w:num>
  <w:num w:numId="32">
    <w:abstractNumId w:val="33"/>
  </w:num>
  <w:num w:numId="33">
    <w:abstractNumId w:val="5"/>
  </w:num>
  <w:num w:numId="34">
    <w:abstractNumId w:val="37"/>
  </w:num>
  <w:num w:numId="35">
    <w:abstractNumId w:val="29"/>
  </w:num>
  <w:num w:numId="36">
    <w:abstractNumId w:val="36"/>
  </w:num>
  <w:num w:numId="37">
    <w:abstractNumId w:val="31"/>
  </w:num>
  <w:num w:numId="38">
    <w:abstractNumId w:val="14"/>
  </w:num>
  <w:num w:numId="39">
    <w:abstractNumId w:val="11"/>
  </w:num>
  <w:num w:numId="40">
    <w:abstractNumId w:val="40"/>
  </w:num>
  <w:num w:numId="41">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gnword-docGUID" w:val="&#10;Ŭ07/2008.Microsof"/>
  </w:docVars>
  <w:rsids>
    <w:rsidRoot w:val="00AF3637"/>
    <w:rsid w:val="00002AD9"/>
    <w:rsid w:val="00003AA2"/>
    <w:rsid w:val="00007A4D"/>
    <w:rsid w:val="000106E9"/>
    <w:rsid w:val="00011411"/>
    <w:rsid w:val="000130D1"/>
    <w:rsid w:val="000155B1"/>
    <w:rsid w:val="0001747A"/>
    <w:rsid w:val="00020633"/>
    <w:rsid w:val="00024FD3"/>
    <w:rsid w:val="00033BC5"/>
    <w:rsid w:val="000342F9"/>
    <w:rsid w:val="0004395A"/>
    <w:rsid w:val="00044B62"/>
    <w:rsid w:val="00046BFD"/>
    <w:rsid w:val="00054F6E"/>
    <w:rsid w:val="000575ED"/>
    <w:rsid w:val="00062287"/>
    <w:rsid w:val="00062696"/>
    <w:rsid w:val="00064302"/>
    <w:rsid w:val="00066E4F"/>
    <w:rsid w:val="000709D5"/>
    <w:rsid w:val="00071322"/>
    <w:rsid w:val="000834E4"/>
    <w:rsid w:val="00085E3F"/>
    <w:rsid w:val="00091120"/>
    <w:rsid w:val="00092481"/>
    <w:rsid w:val="000947E3"/>
    <w:rsid w:val="00096C2E"/>
    <w:rsid w:val="000B180A"/>
    <w:rsid w:val="000C5A38"/>
    <w:rsid w:val="000C5D26"/>
    <w:rsid w:val="000D050B"/>
    <w:rsid w:val="000D08FF"/>
    <w:rsid w:val="000D5F2B"/>
    <w:rsid w:val="000D7945"/>
    <w:rsid w:val="000E0B03"/>
    <w:rsid w:val="000E1A72"/>
    <w:rsid w:val="000F37FD"/>
    <w:rsid w:val="001029F4"/>
    <w:rsid w:val="001030A4"/>
    <w:rsid w:val="00103392"/>
    <w:rsid w:val="0010603D"/>
    <w:rsid w:val="0011086E"/>
    <w:rsid w:val="0011287E"/>
    <w:rsid w:val="00113F38"/>
    <w:rsid w:val="00114A07"/>
    <w:rsid w:val="00116317"/>
    <w:rsid w:val="00116759"/>
    <w:rsid w:val="00121D3F"/>
    <w:rsid w:val="00123766"/>
    <w:rsid w:val="00130820"/>
    <w:rsid w:val="0013433A"/>
    <w:rsid w:val="001363EB"/>
    <w:rsid w:val="0014207E"/>
    <w:rsid w:val="00150BF0"/>
    <w:rsid w:val="00153411"/>
    <w:rsid w:val="00153878"/>
    <w:rsid w:val="00153CF8"/>
    <w:rsid w:val="00154584"/>
    <w:rsid w:val="001566E5"/>
    <w:rsid w:val="00161C0A"/>
    <w:rsid w:val="001630C2"/>
    <w:rsid w:val="001665EF"/>
    <w:rsid w:val="00167603"/>
    <w:rsid w:val="001726FF"/>
    <w:rsid w:val="00175549"/>
    <w:rsid w:val="00180139"/>
    <w:rsid w:val="001827E9"/>
    <w:rsid w:val="00183AC0"/>
    <w:rsid w:val="00185621"/>
    <w:rsid w:val="001909C3"/>
    <w:rsid w:val="001920B0"/>
    <w:rsid w:val="00193A7B"/>
    <w:rsid w:val="001A19B4"/>
    <w:rsid w:val="001A22C7"/>
    <w:rsid w:val="001A2867"/>
    <w:rsid w:val="001A3F21"/>
    <w:rsid w:val="001A5C4B"/>
    <w:rsid w:val="001A7DE7"/>
    <w:rsid w:val="001B0BE9"/>
    <w:rsid w:val="001B2F87"/>
    <w:rsid w:val="001B30B4"/>
    <w:rsid w:val="001B3FB5"/>
    <w:rsid w:val="001B4B11"/>
    <w:rsid w:val="001B4F17"/>
    <w:rsid w:val="001B5724"/>
    <w:rsid w:val="001B5CB4"/>
    <w:rsid w:val="001B6BCE"/>
    <w:rsid w:val="001D1E95"/>
    <w:rsid w:val="001E30E8"/>
    <w:rsid w:val="001E510A"/>
    <w:rsid w:val="001F070B"/>
    <w:rsid w:val="001F3F8E"/>
    <w:rsid w:val="001F442C"/>
    <w:rsid w:val="001F4961"/>
    <w:rsid w:val="001F5A62"/>
    <w:rsid w:val="00207D32"/>
    <w:rsid w:val="002119E4"/>
    <w:rsid w:val="00213725"/>
    <w:rsid w:val="002200C7"/>
    <w:rsid w:val="00221B0B"/>
    <w:rsid w:val="00222A32"/>
    <w:rsid w:val="00224C02"/>
    <w:rsid w:val="0023545A"/>
    <w:rsid w:val="00235EE2"/>
    <w:rsid w:val="00236611"/>
    <w:rsid w:val="00240E17"/>
    <w:rsid w:val="002465C5"/>
    <w:rsid w:val="00246EF5"/>
    <w:rsid w:val="00247C7E"/>
    <w:rsid w:val="00252841"/>
    <w:rsid w:val="00254DFF"/>
    <w:rsid w:val="00260560"/>
    <w:rsid w:val="00260F70"/>
    <w:rsid w:val="00280370"/>
    <w:rsid w:val="0028073E"/>
    <w:rsid w:val="002827ED"/>
    <w:rsid w:val="00285D6F"/>
    <w:rsid w:val="00294CF0"/>
    <w:rsid w:val="00295542"/>
    <w:rsid w:val="002A26EE"/>
    <w:rsid w:val="002A30C1"/>
    <w:rsid w:val="002A323B"/>
    <w:rsid w:val="002A3F8A"/>
    <w:rsid w:val="002A499D"/>
    <w:rsid w:val="002A5F76"/>
    <w:rsid w:val="002B08CF"/>
    <w:rsid w:val="002B7DD9"/>
    <w:rsid w:val="002C1665"/>
    <w:rsid w:val="002C3300"/>
    <w:rsid w:val="002C59B0"/>
    <w:rsid w:val="002C5F59"/>
    <w:rsid w:val="002C73B6"/>
    <w:rsid w:val="002C7CF3"/>
    <w:rsid w:val="002D2180"/>
    <w:rsid w:val="002D4584"/>
    <w:rsid w:val="002D5D7C"/>
    <w:rsid w:val="002D6EDA"/>
    <w:rsid w:val="002E3BE8"/>
    <w:rsid w:val="002E4DA9"/>
    <w:rsid w:val="002E7ECE"/>
    <w:rsid w:val="002F331C"/>
    <w:rsid w:val="002F5463"/>
    <w:rsid w:val="002F5D60"/>
    <w:rsid w:val="002F77C3"/>
    <w:rsid w:val="00301B7B"/>
    <w:rsid w:val="00304244"/>
    <w:rsid w:val="00305AF4"/>
    <w:rsid w:val="0030618D"/>
    <w:rsid w:val="00310145"/>
    <w:rsid w:val="003122CD"/>
    <w:rsid w:val="00315C79"/>
    <w:rsid w:val="00316AED"/>
    <w:rsid w:val="00317AA7"/>
    <w:rsid w:val="00330AF3"/>
    <w:rsid w:val="00332AFC"/>
    <w:rsid w:val="003338FD"/>
    <w:rsid w:val="00334280"/>
    <w:rsid w:val="0033674D"/>
    <w:rsid w:val="003507A4"/>
    <w:rsid w:val="00352B2F"/>
    <w:rsid w:val="00357341"/>
    <w:rsid w:val="00366E7E"/>
    <w:rsid w:val="00374336"/>
    <w:rsid w:val="00374572"/>
    <w:rsid w:val="003746E9"/>
    <w:rsid w:val="00390330"/>
    <w:rsid w:val="003941A8"/>
    <w:rsid w:val="003954C9"/>
    <w:rsid w:val="00396ECE"/>
    <w:rsid w:val="00396F01"/>
    <w:rsid w:val="003A2FD0"/>
    <w:rsid w:val="003A703A"/>
    <w:rsid w:val="003C0B98"/>
    <w:rsid w:val="003C1223"/>
    <w:rsid w:val="003C4F9A"/>
    <w:rsid w:val="003C771B"/>
    <w:rsid w:val="003C7BCA"/>
    <w:rsid w:val="003D00C0"/>
    <w:rsid w:val="003D1601"/>
    <w:rsid w:val="003D49E2"/>
    <w:rsid w:val="003E12E6"/>
    <w:rsid w:val="003E1946"/>
    <w:rsid w:val="003E341F"/>
    <w:rsid w:val="003E3DF4"/>
    <w:rsid w:val="003E6ED1"/>
    <w:rsid w:val="003E7751"/>
    <w:rsid w:val="003F478C"/>
    <w:rsid w:val="00404DE4"/>
    <w:rsid w:val="00405BE8"/>
    <w:rsid w:val="0041086B"/>
    <w:rsid w:val="004147F1"/>
    <w:rsid w:val="00414CCA"/>
    <w:rsid w:val="00415559"/>
    <w:rsid w:val="0041616B"/>
    <w:rsid w:val="00416662"/>
    <w:rsid w:val="00417838"/>
    <w:rsid w:val="004204B5"/>
    <w:rsid w:val="00421298"/>
    <w:rsid w:val="00423B9D"/>
    <w:rsid w:val="0042571D"/>
    <w:rsid w:val="00425CB7"/>
    <w:rsid w:val="00430AF4"/>
    <w:rsid w:val="0043285D"/>
    <w:rsid w:val="00433CF8"/>
    <w:rsid w:val="004368DB"/>
    <w:rsid w:val="0044096C"/>
    <w:rsid w:val="00443710"/>
    <w:rsid w:val="0044668D"/>
    <w:rsid w:val="00446CEF"/>
    <w:rsid w:val="004503D1"/>
    <w:rsid w:val="00450D91"/>
    <w:rsid w:val="00460C93"/>
    <w:rsid w:val="00461078"/>
    <w:rsid w:val="00466741"/>
    <w:rsid w:val="00466BA7"/>
    <w:rsid w:val="00470020"/>
    <w:rsid w:val="00471B5D"/>
    <w:rsid w:val="004730FB"/>
    <w:rsid w:val="004833B6"/>
    <w:rsid w:val="00485D35"/>
    <w:rsid w:val="0049640C"/>
    <w:rsid w:val="004A3730"/>
    <w:rsid w:val="004A44F5"/>
    <w:rsid w:val="004A646C"/>
    <w:rsid w:val="004A7077"/>
    <w:rsid w:val="004B02D8"/>
    <w:rsid w:val="004B450A"/>
    <w:rsid w:val="004B5B83"/>
    <w:rsid w:val="004B5D8D"/>
    <w:rsid w:val="004C261A"/>
    <w:rsid w:val="004C6D0E"/>
    <w:rsid w:val="004C6D9E"/>
    <w:rsid w:val="004C7A5A"/>
    <w:rsid w:val="004D4B04"/>
    <w:rsid w:val="004D5B7C"/>
    <w:rsid w:val="004D70AD"/>
    <w:rsid w:val="004D738F"/>
    <w:rsid w:val="004E0165"/>
    <w:rsid w:val="004E2D79"/>
    <w:rsid w:val="004E4CA8"/>
    <w:rsid w:val="004F0C07"/>
    <w:rsid w:val="004F14B8"/>
    <w:rsid w:val="004F4ABD"/>
    <w:rsid w:val="004F4EC3"/>
    <w:rsid w:val="004F6032"/>
    <w:rsid w:val="005004A8"/>
    <w:rsid w:val="00500B12"/>
    <w:rsid w:val="00500FC0"/>
    <w:rsid w:val="0050351D"/>
    <w:rsid w:val="00504955"/>
    <w:rsid w:val="00505D46"/>
    <w:rsid w:val="00510BCF"/>
    <w:rsid w:val="00515D9E"/>
    <w:rsid w:val="00516569"/>
    <w:rsid w:val="00524040"/>
    <w:rsid w:val="00530786"/>
    <w:rsid w:val="00531676"/>
    <w:rsid w:val="00531BC2"/>
    <w:rsid w:val="00532A53"/>
    <w:rsid w:val="00533AD2"/>
    <w:rsid w:val="00535B03"/>
    <w:rsid w:val="0055280A"/>
    <w:rsid w:val="00554713"/>
    <w:rsid w:val="00555A9E"/>
    <w:rsid w:val="005610EC"/>
    <w:rsid w:val="00564448"/>
    <w:rsid w:val="00572945"/>
    <w:rsid w:val="00577FAD"/>
    <w:rsid w:val="005814C4"/>
    <w:rsid w:val="00581D41"/>
    <w:rsid w:val="00582D18"/>
    <w:rsid w:val="00585791"/>
    <w:rsid w:val="005929EB"/>
    <w:rsid w:val="00592A4C"/>
    <w:rsid w:val="005976AB"/>
    <w:rsid w:val="005A0994"/>
    <w:rsid w:val="005B1CC0"/>
    <w:rsid w:val="005B1FDC"/>
    <w:rsid w:val="005B2DB9"/>
    <w:rsid w:val="005B4247"/>
    <w:rsid w:val="005B5373"/>
    <w:rsid w:val="005C54B5"/>
    <w:rsid w:val="005D0292"/>
    <w:rsid w:val="005D0543"/>
    <w:rsid w:val="005D1DD0"/>
    <w:rsid w:val="005D5C0A"/>
    <w:rsid w:val="005D7724"/>
    <w:rsid w:val="005D79EA"/>
    <w:rsid w:val="005E398E"/>
    <w:rsid w:val="005E3F61"/>
    <w:rsid w:val="005E79BD"/>
    <w:rsid w:val="005F072E"/>
    <w:rsid w:val="005F5030"/>
    <w:rsid w:val="005F69A8"/>
    <w:rsid w:val="00602340"/>
    <w:rsid w:val="00602392"/>
    <w:rsid w:val="006075FB"/>
    <w:rsid w:val="0060762C"/>
    <w:rsid w:val="00607880"/>
    <w:rsid w:val="0061259B"/>
    <w:rsid w:val="00614A54"/>
    <w:rsid w:val="00616304"/>
    <w:rsid w:val="00620474"/>
    <w:rsid w:val="00624F07"/>
    <w:rsid w:val="00625A6E"/>
    <w:rsid w:val="00626702"/>
    <w:rsid w:val="0063007F"/>
    <w:rsid w:val="00632987"/>
    <w:rsid w:val="00640709"/>
    <w:rsid w:val="00645B71"/>
    <w:rsid w:val="00646239"/>
    <w:rsid w:val="0064787A"/>
    <w:rsid w:val="00654AAA"/>
    <w:rsid w:val="006564AD"/>
    <w:rsid w:val="006604CF"/>
    <w:rsid w:val="00661D8F"/>
    <w:rsid w:val="006634B9"/>
    <w:rsid w:val="00672A56"/>
    <w:rsid w:val="00673DAD"/>
    <w:rsid w:val="00677951"/>
    <w:rsid w:val="00677F6B"/>
    <w:rsid w:val="0068003A"/>
    <w:rsid w:val="00680CA4"/>
    <w:rsid w:val="00686060"/>
    <w:rsid w:val="00692A9C"/>
    <w:rsid w:val="006944AF"/>
    <w:rsid w:val="00695C42"/>
    <w:rsid w:val="0069740F"/>
    <w:rsid w:val="006A2097"/>
    <w:rsid w:val="006A45C2"/>
    <w:rsid w:val="006A4B5E"/>
    <w:rsid w:val="006B0728"/>
    <w:rsid w:val="006B2E69"/>
    <w:rsid w:val="006B2FF0"/>
    <w:rsid w:val="006B45A1"/>
    <w:rsid w:val="006B6496"/>
    <w:rsid w:val="006C3150"/>
    <w:rsid w:val="006C464D"/>
    <w:rsid w:val="006C5EB6"/>
    <w:rsid w:val="006C6D57"/>
    <w:rsid w:val="006D0BD5"/>
    <w:rsid w:val="006D10AB"/>
    <w:rsid w:val="006D253C"/>
    <w:rsid w:val="006D4B75"/>
    <w:rsid w:val="006D5D0B"/>
    <w:rsid w:val="006E72B0"/>
    <w:rsid w:val="006E72C5"/>
    <w:rsid w:val="006F0CB1"/>
    <w:rsid w:val="00700C82"/>
    <w:rsid w:val="00701C03"/>
    <w:rsid w:val="00713177"/>
    <w:rsid w:val="0071335F"/>
    <w:rsid w:val="00714899"/>
    <w:rsid w:val="00720C64"/>
    <w:rsid w:val="00723EE0"/>
    <w:rsid w:val="00725C5A"/>
    <w:rsid w:val="007269E2"/>
    <w:rsid w:val="00727E05"/>
    <w:rsid w:val="00736611"/>
    <w:rsid w:val="007406AB"/>
    <w:rsid w:val="0074598B"/>
    <w:rsid w:val="007469B2"/>
    <w:rsid w:val="0075428C"/>
    <w:rsid w:val="007549D5"/>
    <w:rsid w:val="00754B48"/>
    <w:rsid w:val="0075589F"/>
    <w:rsid w:val="00761751"/>
    <w:rsid w:val="00761B2F"/>
    <w:rsid w:val="0076317C"/>
    <w:rsid w:val="00765F52"/>
    <w:rsid w:val="00766E6B"/>
    <w:rsid w:val="007766C2"/>
    <w:rsid w:val="007778A8"/>
    <w:rsid w:val="00783BB0"/>
    <w:rsid w:val="007917CB"/>
    <w:rsid w:val="0079262C"/>
    <w:rsid w:val="00797778"/>
    <w:rsid w:val="007A2CE1"/>
    <w:rsid w:val="007A3540"/>
    <w:rsid w:val="007A60B6"/>
    <w:rsid w:val="007A6848"/>
    <w:rsid w:val="007A783E"/>
    <w:rsid w:val="007B48B3"/>
    <w:rsid w:val="007B6320"/>
    <w:rsid w:val="007B6A5C"/>
    <w:rsid w:val="007C1772"/>
    <w:rsid w:val="007C280E"/>
    <w:rsid w:val="007C77BF"/>
    <w:rsid w:val="007D017A"/>
    <w:rsid w:val="007D2E98"/>
    <w:rsid w:val="007E1DDF"/>
    <w:rsid w:val="007F0477"/>
    <w:rsid w:val="007F1132"/>
    <w:rsid w:val="007F1F76"/>
    <w:rsid w:val="007F33E4"/>
    <w:rsid w:val="007F3AB1"/>
    <w:rsid w:val="007F5C16"/>
    <w:rsid w:val="00800798"/>
    <w:rsid w:val="008009E9"/>
    <w:rsid w:val="00800F56"/>
    <w:rsid w:val="0080225D"/>
    <w:rsid w:val="00812229"/>
    <w:rsid w:val="008148C8"/>
    <w:rsid w:val="008151C5"/>
    <w:rsid w:val="00822F9F"/>
    <w:rsid w:val="008241A1"/>
    <w:rsid w:val="008303BD"/>
    <w:rsid w:val="00830A06"/>
    <w:rsid w:val="00831536"/>
    <w:rsid w:val="008338D0"/>
    <w:rsid w:val="00841643"/>
    <w:rsid w:val="00842D17"/>
    <w:rsid w:val="00843E87"/>
    <w:rsid w:val="008440B1"/>
    <w:rsid w:val="00844158"/>
    <w:rsid w:val="00845E75"/>
    <w:rsid w:val="0084771D"/>
    <w:rsid w:val="008515F7"/>
    <w:rsid w:val="008628A9"/>
    <w:rsid w:val="00863C85"/>
    <w:rsid w:val="00864646"/>
    <w:rsid w:val="00866338"/>
    <w:rsid w:val="00866EA6"/>
    <w:rsid w:val="00867CD0"/>
    <w:rsid w:val="008753F2"/>
    <w:rsid w:val="00877DE8"/>
    <w:rsid w:val="0088360D"/>
    <w:rsid w:val="00884340"/>
    <w:rsid w:val="00884BB7"/>
    <w:rsid w:val="00887FFE"/>
    <w:rsid w:val="008921AF"/>
    <w:rsid w:val="00892F3E"/>
    <w:rsid w:val="00894660"/>
    <w:rsid w:val="0089778D"/>
    <w:rsid w:val="008A2560"/>
    <w:rsid w:val="008A25BB"/>
    <w:rsid w:val="008A37A7"/>
    <w:rsid w:val="008A5B05"/>
    <w:rsid w:val="008B567E"/>
    <w:rsid w:val="008B7F09"/>
    <w:rsid w:val="008C1D54"/>
    <w:rsid w:val="008D1A3A"/>
    <w:rsid w:val="008D73E7"/>
    <w:rsid w:val="008E1CA9"/>
    <w:rsid w:val="008E2BB4"/>
    <w:rsid w:val="008E2E97"/>
    <w:rsid w:val="008F0029"/>
    <w:rsid w:val="008F0B00"/>
    <w:rsid w:val="008F7040"/>
    <w:rsid w:val="00907631"/>
    <w:rsid w:val="00922E0B"/>
    <w:rsid w:val="00923652"/>
    <w:rsid w:val="00925D5A"/>
    <w:rsid w:val="00927D33"/>
    <w:rsid w:val="00930E93"/>
    <w:rsid w:val="00932316"/>
    <w:rsid w:val="00934BB2"/>
    <w:rsid w:val="00936088"/>
    <w:rsid w:val="00941561"/>
    <w:rsid w:val="00942BF8"/>
    <w:rsid w:val="0094352C"/>
    <w:rsid w:val="0094491A"/>
    <w:rsid w:val="009504FF"/>
    <w:rsid w:val="00955AF0"/>
    <w:rsid w:val="00962664"/>
    <w:rsid w:val="00963266"/>
    <w:rsid w:val="009632E8"/>
    <w:rsid w:val="00970DB8"/>
    <w:rsid w:val="009728E6"/>
    <w:rsid w:val="009744CC"/>
    <w:rsid w:val="009745C5"/>
    <w:rsid w:val="009760A5"/>
    <w:rsid w:val="0097624F"/>
    <w:rsid w:val="00976ABE"/>
    <w:rsid w:val="00976DC3"/>
    <w:rsid w:val="0098323C"/>
    <w:rsid w:val="00987A92"/>
    <w:rsid w:val="00993D6F"/>
    <w:rsid w:val="009947D4"/>
    <w:rsid w:val="009A29EA"/>
    <w:rsid w:val="009A2FB4"/>
    <w:rsid w:val="009A66C0"/>
    <w:rsid w:val="009B5A3B"/>
    <w:rsid w:val="009B5E73"/>
    <w:rsid w:val="009C2CDD"/>
    <w:rsid w:val="009C348A"/>
    <w:rsid w:val="009C52C5"/>
    <w:rsid w:val="009C556A"/>
    <w:rsid w:val="009C592B"/>
    <w:rsid w:val="009C6E7D"/>
    <w:rsid w:val="009D0E51"/>
    <w:rsid w:val="009D0E55"/>
    <w:rsid w:val="009D329E"/>
    <w:rsid w:val="009D6D76"/>
    <w:rsid w:val="009F0BDC"/>
    <w:rsid w:val="009F782F"/>
    <w:rsid w:val="009F7F70"/>
    <w:rsid w:val="00A036E6"/>
    <w:rsid w:val="00A03952"/>
    <w:rsid w:val="00A13B45"/>
    <w:rsid w:val="00A1538A"/>
    <w:rsid w:val="00A15C6C"/>
    <w:rsid w:val="00A223B0"/>
    <w:rsid w:val="00A2319B"/>
    <w:rsid w:val="00A2635F"/>
    <w:rsid w:val="00A30E3D"/>
    <w:rsid w:val="00A3136A"/>
    <w:rsid w:val="00A41DE1"/>
    <w:rsid w:val="00A45EC2"/>
    <w:rsid w:val="00A519AF"/>
    <w:rsid w:val="00A5278C"/>
    <w:rsid w:val="00A53588"/>
    <w:rsid w:val="00A55F9D"/>
    <w:rsid w:val="00A562C0"/>
    <w:rsid w:val="00A57480"/>
    <w:rsid w:val="00A64574"/>
    <w:rsid w:val="00A66718"/>
    <w:rsid w:val="00A77B6F"/>
    <w:rsid w:val="00A8011B"/>
    <w:rsid w:val="00A87B68"/>
    <w:rsid w:val="00A90E8B"/>
    <w:rsid w:val="00A9281A"/>
    <w:rsid w:val="00A97064"/>
    <w:rsid w:val="00A97503"/>
    <w:rsid w:val="00AB324F"/>
    <w:rsid w:val="00AB551A"/>
    <w:rsid w:val="00AB5BF3"/>
    <w:rsid w:val="00AB745F"/>
    <w:rsid w:val="00AC015D"/>
    <w:rsid w:val="00AC3E87"/>
    <w:rsid w:val="00AC4697"/>
    <w:rsid w:val="00AC5DAB"/>
    <w:rsid w:val="00AC5EA7"/>
    <w:rsid w:val="00AD357F"/>
    <w:rsid w:val="00AD4A9A"/>
    <w:rsid w:val="00AD674F"/>
    <w:rsid w:val="00AD6805"/>
    <w:rsid w:val="00AE2A4A"/>
    <w:rsid w:val="00AE362D"/>
    <w:rsid w:val="00AE3E72"/>
    <w:rsid w:val="00AE4E8A"/>
    <w:rsid w:val="00AE66BE"/>
    <w:rsid w:val="00AF0BB3"/>
    <w:rsid w:val="00AF0EA2"/>
    <w:rsid w:val="00AF3501"/>
    <w:rsid w:val="00AF3637"/>
    <w:rsid w:val="00AF4C55"/>
    <w:rsid w:val="00B007D3"/>
    <w:rsid w:val="00B00C6D"/>
    <w:rsid w:val="00B03FE0"/>
    <w:rsid w:val="00B05334"/>
    <w:rsid w:val="00B057E6"/>
    <w:rsid w:val="00B0713D"/>
    <w:rsid w:val="00B14E94"/>
    <w:rsid w:val="00B16CEA"/>
    <w:rsid w:val="00B173B0"/>
    <w:rsid w:val="00B220BB"/>
    <w:rsid w:val="00B22349"/>
    <w:rsid w:val="00B23FE6"/>
    <w:rsid w:val="00B3398F"/>
    <w:rsid w:val="00B374BE"/>
    <w:rsid w:val="00B463C5"/>
    <w:rsid w:val="00B4652A"/>
    <w:rsid w:val="00B47A47"/>
    <w:rsid w:val="00B509F8"/>
    <w:rsid w:val="00B518FB"/>
    <w:rsid w:val="00B519CE"/>
    <w:rsid w:val="00B51BE4"/>
    <w:rsid w:val="00B52725"/>
    <w:rsid w:val="00B542F9"/>
    <w:rsid w:val="00B55A03"/>
    <w:rsid w:val="00B56FD8"/>
    <w:rsid w:val="00B576B7"/>
    <w:rsid w:val="00B60A7F"/>
    <w:rsid w:val="00B61796"/>
    <w:rsid w:val="00B6197F"/>
    <w:rsid w:val="00B70666"/>
    <w:rsid w:val="00B70F49"/>
    <w:rsid w:val="00B74F22"/>
    <w:rsid w:val="00B77B15"/>
    <w:rsid w:val="00B82F38"/>
    <w:rsid w:val="00B84EE3"/>
    <w:rsid w:val="00B86D51"/>
    <w:rsid w:val="00B927B1"/>
    <w:rsid w:val="00B94E73"/>
    <w:rsid w:val="00B968C5"/>
    <w:rsid w:val="00B97B7D"/>
    <w:rsid w:val="00B97EDC"/>
    <w:rsid w:val="00BA057A"/>
    <w:rsid w:val="00BA19A9"/>
    <w:rsid w:val="00BA2170"/>
    <w:rsid w:val="00BA3D45"/>
    <w:rsid w:val="00BA40D5"/>
    <w:rsid w:val="00BA69D3"/>
    <w:rsid w:val="00BA6B4B"/>
    <w:rsid w:val="00BB30A6"/>
    <w:rsid w:val="00BB47E7"/>
    <w:rsid w:val="00BC00D6"/>
    <w:rsid w:val="00BC02B3"/>
    <w:rsid w:val="00BC4BFD"/>
    <w:rsid w:val="00BC5034"/>
    <w:rsid w:val="00BD1783"/>
    <w:rsid w:val="00BD34D1"/>
    <w:rsid w:val="00BD3728"/>
    <w:rsid w:val="00BD495F"/>
    <w:rsid w:val="00BD70D8"/>
    <w:rsid w:val="00BD7770"/>
    <w:rsid w:val="00BD7C6F"/>
    <w:rsid w:val="00BE0438"/>
    <w:rsid w:val="00BE0547"/>
    <w:rsid w:val="00BE6478"/>
    <w:rsid w:val="00BE7F3E"/>
    <w:rsid w:val="00BF0ED5"/>
    <w:rsid w:val="00BF1D5B"/>
    <w:rsid w:val="00BF2A01"/>
    <w:rsid w:val="00BF4E97"/>
    <w:rsid w:val="00BF5383"/>
    <w:rsid w:val="00BF5471"/>
    <w:rsid w:val="00C03B96"/>
    <w:rsid w:val="00C040D3"/>
    <w:rsid w:val="00C041C6"/>
    <w:rsid w:val="00C04750"/>
    <w:rsid w:val="00C06532"/>
    <w:rsid w:val="00C0683E"/>
    <w:rsid w:val="00C07A77"/>
    <w:rsid w:val="00C10ED9"/>
    <w:rsid w:val="00C11B4F"/>
    <w:rsid w:val="00C12A48"/>
    <w:rsid w:val="00C143D8"/>
    <w:rsid w:val="00C1498E"/>
    <w:rsid w:val="00C17850"/>
    <w:rsid w:val="00C200E3"/>
    <w:rsid w:val="00C23202"/>
    <w:rsid w:val="00C23FD9"/>
    <w:rsid w:val="00C25FC0"/>
    <w:rsid w:val="00C27672"/>
    <w:rsid w:val="00C30328"/>
    <w:rsid w:val="00C31F39"/>
    <w:rsid w:val="00C360C7"/>
    <w:rsid w:val="00C41F81"/>
    <w:rsid w:val="00C45F1B"/>
    <w:rsid w:val="00C46D1C"/>
    <w:rsid w:val="00C50ECE"/>
    <w:rsid w:val="00C53044"/>
    <w:rsid w:val="00C53DD5"/>
    <w:rsid w:val="00C53F0B"/>
    <w:rsid w:val="00C562EC"/>
    <w:rsid w:val="00C62511"/>
    <w:rsid w:val="00C62C23"/>
    <w:rsid w:val="00C64A5D"/>
    <w:rsid w:val="00C669AE"/>
    <w:rsid w:val="00C71549"/>
    <w:rsid w:val="00C80503"/>
    <w:rsid w:val="00C80A43"/>
    <w:rsid w:val="00C90468"/>
    <w:rsid w:val="00C93447"/>
    <w:rsid w:val="00C970CC"/>
    <w:rsid w:val="00C973F8"/>
    <w:rsid w:val="00CA3729"/>
    <w:rsid w:val="00CB0B89"/>
    <w:rsid w:val="00CB1773"/>
    <w:rsid w:val="00CB28BD"/>
    <w:rsid w:val="00CB2EB2"/>
    <w:rsid w:val="00CB7B3F"/>
    <w:rsid w:val="00CC0607"/>
    <w:rsid w:val="00CD01C0"/>
    <w:rsid w:val="00CD31DA"/>
    <w:rsid w:val="00CD4C00"/>
    <w:rsid w:val="00CD68AC"/>
    <w:rsid w:val="00CD72D8"/>
    <w:rsid w:val="00CD77D6"/>
    <w:rsid w:val="00CE6FDC"/>
    <w:rsid w:val="00CF0184"/>
    <w:rsid w:val="00CF0CCC"/>
    <w:rsid w:val="00CF5188"/>
    <w:rsid w:val="00CF6390"/>
    <w:rsid w:val="00D01AE7"/>
    <w:rsid w:val="00D1346B"/>
    <w:rsid w:val="00D13C77"/>
    <w:rsid w:val="00D15D75"/>
    <w:rsid w:val="00D22C98"/>
    <w:rsid w:val="00D24404"/>
    <w:rsid w:val="00D25802"/>
    <w:rsid w:val="00D25CF4"/>
    <w:rsid w:val="00D27DA9"/>
    <w:rsid w:val="00D3202F"/>
    <w:rsid w:val="00D34603"/>
    <w:rsid w:val="00D364E6"/>
    <w:rsid w:val="00D37148"/>
    <w:rsid w:val="00D439C6"/>
    <w:rsid w:val="00D505F0"/>
    <w:rsid w:val="00D52301"/>
    <w:rsid w:val="00D56BF7"/>
    <w:rsid w:val="00D62AFD"/>
    <w:rsid w:val="00D74CFE"/>
    <w:rsid w:val="00D7764B"/>
    <w:rsid w:val="00D80C3C"/>
    <w:rsid w:val="00D87159"/>
    <w:rsid w:val="00D92598"/>
    <w:rsid w:val="00D92D6D"/>
    <w:rsid w:val="00D95C1D"/>
    <w:rsid w:val="00D9756F"/>
    <w:rsid w:val="00DA1D63"/>
    <w:rsid w:val="00DA283C"/>
    <w:rsid w:val="00DA4810"/>
    <w:rsid w:val="00DA5FE6"/>
    <w:rsid w:val="00DB1D66"/>
    <w:rsid w:val="00DB2640"/>
    <w:rsid w:val="00DB4839"/>
    <w:rsid w:val="00DC2222"/>
    <w:rsid w:val="00DC6A00"/>
    <w:rsid w:val="00DD032D"/>
    <w:rsid w:val="00DE117A"/>
    <w:rsid w:val="00DE1C48"/>
    <w:rsid w:val="00DE2116"/>
    <w:rsid w:val="00DE3C72"/>
    <w:rsid w:val="00DE415B"/>
    <w:rsid w:val="00DF10AF"/>
    <w:rsid w:val="00DF61FB"/>
    <w:rsid w:val="00E011AD"/>
    <w:rsid w:val="00E01247"/>
    <w:rsid w:val="00E045B8"/>
    <w:rsid w:val="00E1048C"/>
    <w:rsid w:val="00E12ED2"/>
    <w:rsid w:val="00E13144"/>
    <w:rsid w:val="00E14094"/>
    <w:rsid w:val="00E1797C"/>
    <w:rsid w:val="00E236AC"/>
    <w:rsid w:val="00E23A6D"/>
    <w:rsid w:val="00E300DA"/>
    <w:rsid w:val="00E3041D"/>
    <w:rsid w:val="00E30469"/>
    <w:rsid w:val="00E304CA"/>
    <w:rsid w:val="00E3059E"/>
    <w:rsid w:val="00E30BD5"/>
    <w:rsid w:val="00E32FE1"/>
    <w:rsid w:val="00E33A1B"/>
    <w:rsid w:val="00E37677"/>
    <w:rsid w:val="00E410E6"/>
    <w:rsid w:val="00E41696"/>
    <w:rsid w:val="00E42BF0"/>
    <w:rsid w:val="00E51841"/>
    <w:rsid w:val="00E622AC"/>
    <w:rsid w:val="00E64C75"/>
    <w:rsid w:val="00E65CFC"/>
    <w:rsid w:val="00E66206"/>
    <w:rsid w:val="00E670DF"/>
    <w:rsid w:val="00E72B04"/>
    <w:rsid w:val="00E73E36"/>
    <w:rsid w:val="00E7439A"/>
    <w:rsid w:val="00E75F5D"/>
    <w:rsid w:val="00E8016E"/>
    <w:rsid w:val="00E802FB"/>
    <w:rsid w:val="00E84442"/>
    <w:rsid w:val="00E90595"/>
    <w:rsid w:val="00E90FCF"/>
    <w:rsid w:val="00E949C3"/>
    <w:rsid w:val="00E97F81"/>
    <w:rsid w:val="00EA4C04"/>
    <w:rsid w:val="00EB11FC"/>
    <w:rsid w:val="00EB15FB"/>
    <w:rsid w:val="00EB182A"/>
    <w:rsid w:val="00EB3483"/>
    <w:rsid w:val="00EB411D"/>
    <w:rsid w:val="00EC17C5"/>
    <w:rsid w:val="00EC3B8A"/>
    <w:rsid w:val="00EC3EE1"/>
    <w:rsid w:val="00EC572C"/>
    <w:rsid w:val="00EC7671"/>
    <w:rsid w:val="00ED6523"/>
    <w:rsid w:val="00ED7F97"/>
    <w:rsid w:val="00EE1281"/>
    <w:rsid w:val="00EE4891"/>
    <w:rsid w:val="00EE5FAB"/>
    <w:rsid w:val="00EE69FC"/>
    <w:rsid w:val="00EF44A5"/>
    <w:rsid w:val="00EF5818"/>
    <w:rsid w:val="00EF742A"/>
    <w:rsid w:val="00F01720"/>
    <w:rsid w:val="00F05837"/>
    <w:rsid w:val="00F068B8"/>
    <w:rsid w:val="00F10A78"/>
    <w:rsid w:val="00F1575C"/>
    <w:rsid w:val="00F16B71"/>
    <w:rsid w:val="00F22990"/>
    <w:rsid w:val="00F3054B"/>
    <w:rsid w:val="00F315AF"/>
    <w:rsid w:val="00F33386"/>
    <w:rsid w:val="00F347E0"/>
    <w:rsid w:val="00F400D4"/>
    <w:rsid w:val="00F4399B"/>
    <w:rsid w:val="00F500CF"/>
    <w:rsid w:val="00F57879"/>
    <w:rsid w:val="00F745A8"/>
    <w:rsid w:val="00F75618"/>
    <w:rsid w:val="00F7708C"/>
    <w:rsid w:val="00F817F0"/>
    <w:rsid w:val="00F84AD4"/>
    <w:rsid w:val="00F90E8A"/>
    <w:rsid w:val="00F91B39"/>
    <w:rsid w:val="00F92BD0"/>
    <w:rsid w:val="00F9465A"/>
    <w:rsid w:val="00F94E65"/>
    <w:rsid w:val="00FA000C"/>
    <w:rsid w:val="00FA53A6"/>
    <w:rsid w:val="00FA6B44"/>
    <w:rsid w:val="00FB32C9"/>
    <w:rsid w:val="00FC04EE"/>
    <w:rsid w:val="00FC4A4A"/>
    <w:rsid w:val="00FC4BD1"/>
    <w:rsid w:val="00FE1033"/>
    <w:rsid w:val="00FE13BE"/>
    <w:rsid w:val="00FE343F"/>
    <w:rsid w:val="00FF00D7"/>
    <w:rsid w:val="00FF1EBA"/>
    <w:rsid w:val="00FF3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77"/>
    <w:rPr>
      <w:sz w:val="24"/>
      <w:szCs w:val="24"/>
    </w:rPr>
  </w:style>
  <w:style w:type="paragraph" w:styleId="Heading1">
    <w:name w:val="heading 1"/>
    <w:basedOn w:val="Normal"/>
    <w:next w:val="Normal"/>
    <w:link w:val="Heading1Char"/>
    <w:uiPriority w:val="99"/>
    <w:qFormat/>
    <w:rsid w:val="001A7DE7"/>
    <w:pPr>
      <w:autoSpaceDE w:val="0"/>
      <w:autoSpaceDN w:val="0"/>
      <w:outlineLvl w:val="0"/>
    </w:pPr>
    <w:rPr>
      <w:rFonts w:ascii="Arial" w:hAnsi="Arial"/>
      <w:b/>
      <w:i/>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4697"/>
    <w:rPr>
      <w:rFonts w:ascii="Arial" w:hAnsi="Arial" w:cs="Times New Roman"/>
      <w:b/>
      <w:i/>
      <w:sz w:val="38"/>
    </w:rPr>
  </w:style>
  <w:style w:type="paragraph" w:customStyle="1" w:styleId="a">
    <w:name w:val="_"/>
    <w:basedOn w:val="Normal"/>
    <w:uiPriority w:val="99"/>
    <w:rsid w:val="00E33A1B"/>
    <w:pPr>
      <w:widowControl w:val="0"/>
      <w:autoSpaceDE w:val="0"/>
      <w:autoSpaceDN w:val="0"/>
      <w:adjustRightInd w:val="0"/>
      <w:ind w:left="720" w:hanging="720"/>
    </w:pPr>
    <w:rPr>
      <w:sz w:val="20"/>
    </w:rPr>
  </w:style>
  <w:style w:type="paragraph" w:styleId="Footer">
    <w:name w:val="footer"/>
    <w:basedOn w:val="Normal"/>
    <w:link w:val="FooterChar"/>
    <w:uiPriority w:val="99"/>
    <w:rsid w:val="00FC4BD1"/>
    <w:pPr>
      <w:tabs>
        <w:tab w:val="center" w:pos="4320"/>
        <w:tab w:val="right" w:pos="8640"/>
      </w:tabs>
    </w:pPr>
  </w:style>
  <w:style w:type="character" w:customStyle="1" w:styleId="FooterChar">
    <w:name w:val="Footer Char"/>
    <w:basedOn w:val="DefaultParagraphFont"/>
    <w:link w:val="Footer"/>
    <w:uiPriority w:val="99"/>
    <w:semiHidden/>
    <w:locked/>
    <w:rsid w:val="004F14B8"/>
    <w:rPr>
      <w:rFonts w:cs="Times New Roman"/>
      <w:sz w:val="24"/>
      <w:szCs w:val="24"/>
    </w:rPr>
  </w:style>
  <w:style w:type="character" w:styleId="PageNumber">
    <w:name w:val="page number"/>
    <w:basedOn w:val="DefaultParagraphFont"/>
    <w:uiPriority w:val="99"/>
    <w:rsid w:val="00FC4BD1"/>
    <w:rPr>
      <w:rFonts w:cs="Times New Roman"/>
    </w:rPr>
  </w:style>
  <w:style w:type="paragraph" w:styleId="BalloonText">
    <w:name w:val="Balloon Text"/>
    <w:basedOn w:val="Normal"/>
    <w:link w:val="BalloonTextChar"/>
    <w:uiPriority w:val="99"/>
    <w:semiHidden/>
    <w:rsid w:val="000713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4B8"/>
    <w:rPr>
      <w:rFonts w:cs="Times New Roman"/>
      <w:sz w:val="2"/>
    </w:rPr>
  </w:style>
  <w:style w:type="character" w:styleId="CommentReference">
    <w:name w:val="annotation reference"/>
    <w:basedOn w:val="DefaultParagraphFont"/>
    <w:uiPriority w:val="99"/>
    <w:semiHidden/>
    <w:rsid w:val="00FB32C9"/>
    <w:rPr>
      <w:rFonts w:cs="Times New Roman"/>
      <w:sz w:val="16"/>
      <w:szCs w:val="16"/>
    </w:rPr>
  </w:style>
  <w:style w:type="paragraph" w:styleId="CommentText">
    <w:name w:val="annotation text"/>
    <w:basedOn w:val="Normal"/>
    <w:link w:val="CommentTextChar"/>
    <w:uiPriority w:val="99"/>
    <w:semiHidden/>
    <w:rsid w:val="00FB32C9"/>
    <w:pPr>
      <w:autoSpaceDE w:val="0"/>
      <w:autoSpaceDN w:val="0"/>
    </w:pPr>
    <w:rPr>
      <w:sz w:val="20"/>
      <w:szCs w:val="20"/>
    </w:rPr>
  </w:style>
  <w:style w:type="character" w:customStyle="1" w:styleId="CommentTextChar">
    <w:name w:val="Comment Text Char"/>
    <w:basedOn w:val="DefaultParagraphFont"/>
    <w:link w:val="CommentText"/>
    <w:uiPriority w:val="99"/>
    <w:semiHidden/>
    <w:locked/>
    <w:rsid w:val="004F14B8"/>
    <w:rPr>
      <w:rFonts w:cs="Times New Roman"/>
      <w:sz w:val="20"/>
      <w:szCs w:val="20"/>
    </w:rPr>
  </w:style>
  <w:style w:type="table" w:styleId="TableGrid">
    <w:name w:val="Table Grid"/>
    <w:basedOn w:val="TableNormal"/>
    <w:rsid w:val="005B53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8E1CA9"/>
    <w:pPr>
      <w:autoSpaceDE/>
      <w:autoSpaceDN/>
    </w:pPr>
    <w:rPr>
      <w:b/>
      <w:bCs/>
    </w:rPr>
  </w:style>
  <w:style w:type="character" w:customStyle="1" w:styleId="CommentSubjectChar">
    <w:name w:val="Comment Subject Char"/>
    <w:basedOn w:val="CommentTextChar"/>
    <w:link w:val="CommentSubject"/>
    <w:uiPriority w:val="99"/>
    <w:semiHidden/>
    <w:locked/>
    <w:rsid w:val="004F14B8"/>
    <w:rPr>
      <w:b/>
      <w:bCs/>
    </w:rPr>
  </w:style>
  <w:style w:type="character" w:styleId="Hyperlink">
    <w:name w:val="Hyperlink"/>
    <w:basedOn w:val="DefaultParagraphFont"/>
    <w:uiPriority w:val="99"/>
    <w:rsid w:val="00BA3D45"/>
    <w:rPr>
      <w:rFonts w:cs="Times New Roman"/>
      <w:color w:val="3D6FCE"/>
      <w:u w:val="none"/>
      <w:effect w:val="none"/>
    </w:rPr>
  </w:style>
  <w:style w:type="paragraph" w:styleId="FootnoteText">
    <w:name w:val="footnote text"/>
    <w:basedOn w:val="Normal"/>
    <w:link w:val="FootnoteTextChar"/>
    <w:rsid w:val="00BA3D45"/>
    <w:rPr>
      <w:sz w:val="20"/>
      <w:szCs w:val="20"/>
    </w:rPr>
  </w:style>
  <w:style w:type="character" w:customStyle="1" w:styleId="FootnoteTextChar">
    <w:name w:val="Footnote Text Char"/>
    <w:basedOn w:val="DefaultParagraphFont"/>
    <w:link w:val="FootnoteText"/>
    <w:locked/>
    <w:rsid w:val="00A55F9D"/>
    <w:rPr>
      <w:rFonts w:cs="Times New Roman"/>
    </w:rPr>
  </w:style>
  <w:style w:type="character" w:styleId="FootnoteReference">
    <w:name w:val="footnote reference"/>
    <w:basedOn w:val="DefaultParagraphFont"/>
    <w:rsid w:val="00BA3D45"/>
    <w:rPr>
      <w:rFonts w:cs="Times New Roman"/>
      <w:vertAlign w:val="superscript"/>
    </w:rPr>
  </w:style>
  <w:style w:type="paragraph" w:styleId="BodyText">
    <w:name w:val="Body Text"/>
    <w:basedOn w:val="Normal"/>
    <w:link w:val="BodyTextChar"/>
    <w:uiPriority w:val="99"/>
    <w:rsid w:val="001A7DE7"/>
    <w:pPr>
      <w:autoSpaceDE w:val="0"/>
      <w:autoSpaceDN w:val="0"/>
    </w:pPr>
    <w:rPr>
      <w:rFonts w:ascii="Arial" w:hAnsi="Arial"/>
      <w:b/>
      <w:i/>
      <w:sz w:val="22"/>
      <w:szCs w:val="20"/>
    </w:rPr>
  </w:style>
  <w:style w:type="character" w:customStyle="1" w:styleId="BodyTextChar">
    <w:name w:val="Body Text Char"/>
    <w:basedOn w:val="DefaultParagraphFont"/>
    <w:link w:val="BodyText"/>
    <w:uiPriority w:val="99"/>
    <w:locked/>
    <w:rsid w:val="004F14B8"/>
    <w:rPr>
      <w:rFonts w:cs="Times New Roman"/>
      <w:sz w:val="24"/>
      <w:szCs w:val="24"/>
    </w:rPr>
  </w:style>
  <w:style w:type="paragraph" w:styleId="Header">
    <w:name w:val="header"/>
    <w:basedOn w:val="Normal"/>
    <w:link w:val="HeaderChar"/>
    <w:uiPriority w:val="99"/>
    <w:rsid w:val="001A7DE7"/>
    <w:pPr>
      <w:tabs>
        <w:tab w:val="center" w:pos="4320"/>
        <w:tab w:val="right" w:pos="8640"/>
      </w:tabs>
      <w:autoSpaceDE w:val="0"/>
      <w:autoSpaceDN w:val="0"/>
    </w:pPr>
    <w:rPr>
      <w:sz w:val="20"/>
      <w:szCs w:val="20"/>
    </w:rPr>
  </w:style>
  <w:style w:type="character" w:customStyle="1" w:styleId="HeaderChar">
    <w:name w:val="Header Char"/>
    <w:basedOn w:val="DefaultParagraphFont"/>
    <w:link w:val="Header"/>
    <w:uiPriority w:val="99"/>
    <w:locked/>
    <w:rsid w:val="004F14B8"/>
    <w:rPr>
      <w:rFonts w:cs="Times New Roman"/>
      <w:sz w:val="24"/>
      <w:szCs w:val="24"/>
    </w:rPr>
  </w:style>
  <w:style w:type="paragraph" w:customStyle="1" w:styleId="BodyTextI1">
    <w:name w:val="Body Text I1"/>
    <w:uiPriority w:val="99"/>
    <w:rsid w:val="001A7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b/>
      <w:sz w:val="20"/>
      <w:szCs w:val="20"/>
    </w:rPr>
  </w:style>
  <w:style w:type="paragraph" w:customStyle="1" w:styleId="WP9Title">
    <w:name w:val="WP9_Title"/>
    <w:basedOn w:val="Normal"/>
    <w:uiPriority w:val="99"/>
    <w:rsid w:val="001A7DE7"/>
    <w:pPr>
      <w:widowControl w:val="0"/>
      <w:jc w:val="center"/>
    </w:pPr>
    <w:rPr>
      <w:b/>
      <w:szCs w:val="20"/>
    </w:rPr>
  </w:style>
  <w:style w:type="paragraph" w:customStyle="1" w:styleId="WP9BodyText">
    <w:name w:val="WP9_Body Text"/>
    <w:basedOn w:val="Normal"/>
    <w:uiPriority w:val="99"/>
    <w:rsid w:val="001A7DE7"/>
    <w:pPr>
      <w:widowControl w:val="0"/>
    </w:pPr>
    <w:rPr>
      <w:szCs w:val="20"/>
    </w:rPr>
  </w:style>
  <w:style w:type="paragraph" w:customStyle="1" w:styleId="Level1">
    <w:name w:val="Level 1"/>
    <w:basedOn w:val="Normal"/>
    <w:uiPriority w:val="99"/>
    <w:rsid w:val="00B968C5"/>
    <w:pPr>
      <w:widowControl w:val="0"/>
      <w:tabs>
        <w:tab w:val="num" w:pos="360"/>
      </w:tabs>
      <w:autoSpaceDE w:val="0"/>
      <w:autoSpaceDN w:val="0"/>
      <w:adjustRightInd w:val="0"/>
      <w:ind w:left="2880" w:hanging="720"/>
      <w:outlineLvl w:val="0"/>
    </w:pPr>
  </w:style>
  <w:style w:type="paragraph" w:customStyle="1" w:styleId="Style">
    <w:name w:val="Style"/>
    <w:basedOn w:val="Normal"/>
    <w:uiPriority w:val="99"/>
    <w:semiHidden/>
    <w:rsid w:val="00761B2F"/>
    <w:pPr>
      <w:widowControl w:val="0"/>
      <w:adjustRightInd w:val="0"/>
      <w:spacing w:before="60" w:line="240" w:lineRule="exact"/>
      <w:jc w:val="both"/>
      <w:textAlignment w:val="baseline"/>
    </w:pPr>
    <w:rPr>
      <w:rFonts w:ascii="Verdana" w:hAnsi="Verdana"/>
      <w:bCs/>
      <w:color w:val="FF00FF"/>
      <w:sz w:val="22"/>
      <w:szCs w:val="20"/>
    </w:rPr>
  </w:style>
  <w:style w:type="character" w:styleId="Emphasis">
    <w:name w:val="Emphasis"/>
    <w:basedOn w:val="DefaultParagraphFont"/>
    <w:uiPriority w:val="99"/>
    <w:qFormat/>
    <w:rsid w:val="00CB1773"/>
    <w:rPr>
      <w:rFonts w:cs="Times New Roman"/>
      <w:i/>
      <w:iCs/>
    </w:rPr>
  </w:style>
  <w:style w:type="paragraph" w:customStyle="1" w:styleId="CharChar">
    <w:name w:val="Char Char"/>
    <w:basedOn w:val="Normal"/>
    <w:uiPriority w:val="99"/>
    <w:semiHidden/>
    <w:rsid w:val="00315C79"/>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1Char">
    <w:name w:val="Char Char1 Char"/>
    <w:basedOn w:val="Normal"/>
    <w:uiPriority w:val="99"/>
    <w:semiHidden/>
    <w:rsid w:val="006564AD"/>
    <w:pPr>
      <w:widowControl w:val="0"/>
      <w:adjustRightInd w:val="0"/>
      <w:spacing w:before="60" w:line="240" w:lineRule="exact"/>
      <w:jc w:val="both"/>
      <w:textAlignment w:val="baseline"/>
    </w:pPr>
    <w:rPr>
      <w:rFonts w:ascii="Verdana" w:hAnsi="Verdana"/>
      <w:bCs/>
      <w:color w:val="FF00FF"/>
      <w:sz w:val="22"/>
      <w:szCs w:val="20"/>
    </w:rPr>
  </w:style>
  <w:style w:type="character" w:styleId="FollowedHyperlink">
    <w:name w:val="FollowedHyperlink"/>
    <w:basedOn w:val="DefaultParagraphFont"/>
    <w:uiPriority w:val="99"/>
    <w:rsid w:val="001F070B"/>
    <w:rPr>
      <w:rFonts w:cs="Times New Roman"/>
      <w:color w:val="800080"/>
      <w:u w:val="single"/>
    </w:rPr>
  </w:style>
  <w:style w:type="paragraph" w:styleId="ListParagraph">
    <w:name w:val="List Paragraph"/>
    <w:basedOn w:val="Normal"/>
    <w:uiPriority w:val="99"/>
    <w:qFormat/>
    <w:rsid w:val="00BF5471"/>
    <w:pPr>
      <w:ind w:left="720"/>
      <w:contextualSpacing/>
    </w:pPr>
  </w:style>
  <w:style w:type="paragraph" w:styleId="BodyTextIndent3">
    <w:name w:val="Body Text Indent 3"/>
    <w:basedOn w:val="Normal"/>
    <w:link w:val="BodyTextIndent3Char"/>
    <w:uiPriority w:val="99"/>
    <w:rsid w:val="00AC469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AC4697"/>
    <w:rPr>
      <w:rFonts w:cs="Times New Roman"/>
      <w:sz w:val="16"/>
      <w:szCs w:val="16"/>
    </w:rPr>
  </w:style>
  <w:style w:type="paragraph" w:styleId="EndnoteText">
    <w:name w:val="endnote text"/>
    <w:basedOn w:val="Normal"/>
    <w:link w:val="EndnoteTextChar"/>
    <w:uiPriority w:val="99"/>
    <w:semiHidden/>
    <w:rsid w:val="009A29EA"/>
    <w:rPr>
      <w:sz w:val="20"/>
      <w:szCs w:val="20"/>
    </w:rPr>
  </w:style>
  <w:style w:type="character" w:customStyle="1" w:styleId="EndnoteTextChar">
    <w:name w:val="Endnote Text Char"/>
    <w:basedOn w:val="DefaultParagraphFont"/>
    <w:link w:val="EndnoteText"/>
    <w:uiPriority w:val="99"/>
    <w:semiHidden/>
    <w:locked/>
    <w:rsid w:val="009A29EA"/>
    <w:rPr>
      <w:rFonts w:cs="Times New Roman"/>
    </w:rPr>
  </w:style>
  <w:style w:type="character" w:styleId="EndnoteReference">
    <w:name w:val="endnote reference"/>
    <w:basedOn w:val="DefaultParagraphFont"/>
    <w:uiPriority w:val="99"/>
    <w:semiHidden/>
    <w:rsid w:val="009A29EA"/>
    <w:rPr>
      <w:rFonts w:cs="Times New Roman"/>
      <w:vertAlign w:val="superscript"/>
    </w:rPr>
  </w:style>
  <w:style w:type="paragraph" w:customStyle="1" w:styleId="BasicParagraph">
    <w:name w:val="[Basic Paragraph]"/>
    <w:basedOn w:val="Normal"/>
    <w:uiPriority w:val="99"/>
    <w:rsid w:val="00680CA4"/>
    <w:pPr>
      <w:autoSpaceDE w:val="0"/>
      <w:autoSpaceDN w:val="0"/>
      <w:adjustRightInd w:val="0"/>
      <w:spacing w:line="288" w:lineRule="auto"/>
      <w:textAlignment w:val="center"/>
    </w:pPr>
    <w:rPr>
      <w:color w:val="000000"/>
    </w:rPr>
  </w:style>
  <w:style w:type="paragraph" w:styleId="Title">
    <w:name w:val="Title"/>
    <w:basedOn w:val="Normal"/>
    <w:link w:val="TitleChar"/>
    <w:uiPriority w:val="99"/>
    <w:qFormat/>
    <w:locked/>
    <w:rsid w:val="00103392"/>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103392"/>
    <w:rPr>
      <w:rFonts w:ascii="Arial" w:hAnsi="Arial" w:cs="Times New Roman"/>
      <w:b/>
      <w:kern w:val="28"/>
      <w:sz w:val="32"/>
    </w:rPr>
  </w:style>
  <w:style w:type="paragraph" w:styleId="BodyTextIndent">
    <w:name w:val="Body Text Indent"/>
    <w:basedOn w:val="Normal"/>
    <w:link w:val="BodyTextIndentChar"/>
    <w:uiPriority w:val="99"/>
    <w:semiHidden/>
    <w:rsid w:val="00103392"/>
    <w:pPr>
      <w:spacing w:after="120"/>
      <w:ind w:left="360"/>
    </w:pPr>
  </w:style>
  <w:style w:type="character" w:customStyle="1" w:styleId="BodyTextIndentChar">
    <w:name w:val="Body Text Indent Char"/>
    <w:basedOn w:val="DefaultParagraphFont"/>
    <w:link w:val="BodyTextIndent"/>
    <w:uiPriority w:val="99"/>
    <w:semiHidden/>
    <w:locked/>
    <w:rsid w:val="00103392"/>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E7439A"/>
    <w:pPr>
      <w:widowControl w:val="0"/>
      <w:adjustRightInd w:val="0"/>
      <w:spacing w:before="60" w:line="240" w:lineRule="exact"/>
      <w:jc w:val="both"/>
      <w:textAlignment w:val="baseline"/>
    </w:pPr>
    <w:rPr>
      <w:rFonts w:ascii="Verdana" w:hAnsi="Verdana"/>
      <w:bCs/>
      <w:color w:val="FF00FF"/>
      <w:sz w:val="22"/>
      <w:szCs w:val="20"/>
    </w:rPr>
  </w:style>
  <w:style w:type="paragraph" w:styleId="PlainText">
    <w:name w:val="Plain Text"/>
    <w:basedOn w:val="Normal"/>
    <w:link w:val="PlainTextChar"/>
    <w:uiPriority w:val="99"/>
    <w:semiHidden/>
    <w:rsid w:val="00E51841"/>
    <w:rPr>
      <w:rFonts w:ascii="Consolas" w:hAnsi="Consolas"/>
      <w:sz w:val="21"/>
      <w:szCs w:val="21"/>
    </w:rPr>
  </w:style>
  <w:style w:type="character" w:customStyle="1" w:styleId="PlainTextChar">
    <w:name w:val="Plain Text Char"/>
    <w:basedOn w:val="DefaultParagraphFont"/>
    <w:link w:val="PlainText"/>
    <w:uiPriority w:val="99"/>
    <w:semiHidden/>
    <w:locked/>
    <w:rsid w:val="00E51841"/>
    <w:rPr>
      <w:rFonts w:ascii="Consolas" w:hAnsi="Consolas" w:cs="Times New Roman"/>
      <w:sz w:val="21"/>
      <w:szCs w:val="21"/>
    </w:rPr>
  </w:style>
  <w:style w:type="paragraph" w:styleId="Revision">
    <w:name w:val="Revision"/>
    <w:hidden/>
    <w:uiPriority w:val="99"/>
    <w:semiHidden/>
    <w:rsid w:val="00765F52"/>
    <w:rPr>
      <w:sz w:val="24"/>
      <w:szCs w:val="24"/>
    </w:rPr>
  </w:style>
</w:styles>
</file>

<file path=word/webSettings.xml><?xml version="1.0" encoding="utf-8"?>
<w:webSettings xmlns:r="http://schemas.openxmlformats.org/officeDocument/2006/relationships" xmlns:w="http://schemas.openxmlformats.org/wordprocessingml/2006/main">
  <w:divs>
    <w:div w:id="629164586">
      <w:bodyDiv w:val="1"/>
      <w:marLeft w:val="0"/>
      <w:marRight w:val="0"/>
      <w:marTop w:val="0"/>
      <w:marBottom w:val="0"/>
      <w:divBdr>
        <w:top w:val="none" w:sz="0" w:space="0" w:color="auto"/>
        <w:left w:val="none" w:sz="0" w:space="0" w:color="auto"/>
        <w:bottom w:val="none" w:sz="0" w:space="0" w:color="auto"/>
        <w:right w:val="none" w:sz="0" w:space="0" w:color="auto"/>
      </w:divBdr>
    </w:div>
    <w:div w:id="900602888">
      <w:marLeft w:val="0"/>
      <w:marRight w:val="0"/>
      <w:marTop w:val="0"/>
      <w:marBottom w:val="0"/>
      <w:divBdr>
        <w:top w:val="none" w:sz="0" w:space="0" w:color="auto"/>
        <w:left w:val="none" w:sz="0" w:space="0" w:color="auto"/>
        <w:bottom w:val="none" w:sz="0" w:space="0" w:color="auto"/>
        <w:right w:val="none" w:sz="0" w:space="0" w:color="auto"/>
      </w:divBdr>
      <w:divsChild>
        <w:div w:id="900602886">
          <w:marLeft w:val="0"/>
          <w:marRight w:val="0"/>
          <w:marTop w:val="0"/>
          <w:marBottom w:val="0"/>
          <w:divBdr>
            <w:top w:val="none" w:sz="0" w:space="0" w:color="auto"/>
            <w:left w:val="none" w:sz="0" w:space="0" w:color="auto"/>
            <w:bottom w:val="none" w:sz="0" w:space="0" w:color="auto"/>
            <w:right w:val="none" w:sz="0" w:space="0" w:color="auto"/>
          </w:divBdr>
          <w:divsChild>
            <w:div w:id="900602885">
              <w:marLeft w:val="0"/>
              <w:marRight w:val="0"/>
              <w:marTop w:val="0"/>
              <w:marBottom w:val="0"/>
              <w:divBdr>
                <w:top w:val="none" w:sz="0" w:space="0" w:color="auto"/>
                <w:left w:val="none" w:sz="0" w:space="0" w:color="auto"/>
                <w:bottom w:val="none" w:sz="0" w:space="0" w:color="auto"/>
                <w:right w:val="none" w:sz="0" w:space="0" w:color="auto"/>
              </w:divBdr>
              <w:divsChild>
                <w:div w:id="900602892">
                  <w:marLeft w:val="90"/>
                  <w:marRight w:val="90"/>
                  <w:marTop w:val="0"/>
                  <w:marBottom w:val="420"/>
                  <w:divBdr>
                    <w:top w:val="none" w:sz="0" w:space="0" w:color="auto"/>
                    <w:left w:val="none" w:sz="0" w:space="0" w:color="auto"/>
                    <w:bottom w:val="none" w:sz="0" w:space="0" w:color="auto"/>
                    <w:right w:val="none" w:sz="0" w:space="0" w:color="auto"/>
                  </w:divBdr>
                </w:div>
              </w:divsChild>
            </w:div>
          </w:divsChild>
        </w:div>
      </w:divsChild>
    </w:div>
    <w:div w:id="900602890">
      <w:marLeft w:val="0"/>
      <w:marRight w:val="0"/>
      <w:marTop w:val="0"/>
      <w:marBottom w:val="0"/>
      <w:divBdr>
        <w:top w:val="none" w:sz="0" w:space="0" w:color="auto"/>
        <w:left w:val="none" w:sz="0" w:space="0" w:color="auto"/>
        <w:bottom w:val="none" w:sz="0" w:space="0" w:color="auto"/>
        <w:right w:val="none" w:sz="0" w:space="0" w:color="auto"/>
      </w:divBdr>
      <w:divsChild>
        <w:div w:id="900602884">
          <w:marLeft w:val="0"/>
          <w:marRight w:val="0"/>
          <w:marTop w:val="0"/>
          <w:marBottom w:val="0"/>
          <w:divBdr>
            <w:top w:val="none" w:sz="0" w:space="0" w:color="auto"/>
            <w:left w:val="none" w:sz="0" w:space="0" w:color="auto"/>
            <w:bottom w:val="none" w:sz="0" w:space="0" w:color="auto"/>
            <w:right w:val="none" w:sz="0" w:space="0" w:color="auto"/>
          </w:divBdr>
          <w:divsChild>
            <w:div w:id="900602891">
              <w:marLeft w:val="0"/>
              <w:marRight w:val="0"/>
              <w:marTop w:val="0"/>
              <w:marBottom w:val="0"/>
              <w:divBdr>
                <w:top w:val="none" w:sz="0" w:space="0" w:color="auto"/>
                <w:left w:val="none" w:sz="0" w:space="0" w:color="auto"/>
                <w:bottom w:val="none" w:sz="0" w:space="0" w:color="auto"/>
                <w:right w:val="none" w:sz="0" w:space="0" w:color="auto"/>
              </w:divBdr>
              <w:divsChild>
                <w:div w:id="900602887">
                  <w:marLeft w:val="225"/>
                  <w:marRight w:val="0"/>
                  <w:marTop w:val="0"/>
                  <w:marBottom w:val="0"/>
                  <w:divBdr>
                    <w:top w:val="none" w:sz="0" w:space="0" w:color="auto"/>
                    <w:left w:val="none" w:sz="0" w:space="0" w:color="auto"/>
                    <w:bottom w:val="none" w:sz="0" w:space="0" w:color="auto"/>
                    <w:right w:val="none" w:sz="0" w:space="0" w:color="auto"/>
                  </w:divBdr>
                  <w:divsChild>
                    <w:div w:id="900602889">
                      <w:marLeft w:val="60"/>
                      <w:marRight w:val="0"/>
                      <w:marTop w:val="150"/>
                      <w:marBottom w:val="0"/>
                      <w:divBdr>
                        <w:top w:val="none" w:sz="0" w:space="0" w:color="auto"/>
                        <w:left w:val="none" w:sz="0" w:space="0" w:color="auto"/>
                        <w:bottom w:val="single" w:sz="6" w:space="0" w:color="FEDB92"/>
                        <w:right w:val="none" w:sz="0" w:space="0" w:color="auto"/>
                      </w:divBdr>
                      <w:divsChild>
                        <w:div w:id="900602899">
                          <w:marLeft w:val="0"/>
                          <w:marRight w:val="0"/>
                          <w:marTop w:val="450"/>
                          <w:marBottom w:val="0"/>
                          <w:divBdr>
                            <w:top w:val="none" w:sz="0" w:space="0" w:color="auto"/>
                            <w:left w:val="none" w:sz="0" w:space="0" w:color="auto"/>
                            <w:bottom w:val="none" w:sz="0" w:space="0" w:color="auto"/>
                            <w:right w:val="none" w:sz="0" w:space="0" w:color="auto"/>
                          </w:divBdr>
                          <w:divsChild>
                            <w:div w:id="9006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02893">
      <w:marLeft w:val="60"/>
      <w:marRight w:val="60"/>
      <w:marTop w:val="60"/>
      <w:marBottom w:val="15"/>
      <w:divBdr>
        <w:top w:val="none" w:sz="0" w:space="0" w:color="auto"/>
        <w:left w:val="none" w:sz="0" w:space="0" w:color="auto"/>
        <w:bottom w:val="none" w:sz="0" w:space="0" w:color="auto"/>
        <w:right w:val="none" w:sz="0" w:space="0" w:color="auto"/>
      </w:divBdr>
      <w:divsChild>
        <w:div w:id="900602894">
          <w:marLeft w:val="0"/>
          <w:marRight w:val="0"/>
          <w:marTop w:val="0"/>
          <w:marBottom w:val="0"/>
          <w:divBdr>
            <w:top w:val="none" w:sz="0" w:space="0" w:color="auto"/>
            <w:left w:val="none" w:sz="0" w:space="0" w:color="auto"/>
            <w:bottom w:val="none" w:sz="0" w:space="0" w:color="auto"/>
            <w:right w:val="none" w:sz="0" w:space="0" w:color="auto"/>
          </w:divBdr>
        </w:div>
        <w:div w:id="900602895">
          <w:marLeft w:val="0"/>
          <w:marRight w:val="0"/>
          <w:marTop w:val="0"/>
          <w:marBottom w:val="0"/>
          <w:divBdr>
            <w:top w:val="none" w:sz="0" w:space="0" w:color="auto"/>
            <w:left w:val="none" w:sz="0" w:space="0" w:color="auto"/>
            <w:bottom w:val="none" w:sz="0" w:space="0" w:color="auto"/>
            <w:right w:val="none" w:sz="0" w:space="0" w:color="auto"/>
          </w:divBdr>
        </w:div>
        <w:div w:id="900602897">
          <w:marLeft w:val="0"/>
          <w:marRight w:val="0"/>
          <w:marTop w:val="0"/>
          <w:marBottom w:val="0"/>
          <w:divBdr>
            <w:top w:val="none" w:sz="0" w:space="0" w:color="auto"/>
            <w:left w:val="none" w:sz="0" w:space="0" w:color="auto"/>
            <w:bottom w:val="none" w:sz="0" w:space="0" w:color="auto"/>
            <w:right w:val="none" w:sz="0" w:space="0" w:color="auto"/>
          </w:divBdr>
        </w:div>
      </w:divsChild>
    </w:div>
    <w:div w:id="900602896">
      <w:marLeft w:val="0"/>
      <w:marRight w:val="0"/>
      <w:marTop w:val="0"/>
      <w:marBottom w:val="0"/>
      <w:divBdr>
        <w:top w:val="none" w:sz="0" w:space="0" w:color="auto"/>
        <w:left w:val="none" w:sz="0" w:space="0" w:color="auto"/>
        <w:bottom w:val="none" w:sz="0" w:space="0" w:color="auto"/>
        <w:right w:val="none" w:sz="0" w:space="0" w:color="auto"/>
      </w:divBdr>
    </w:div>
    <w:div w:id="900602903">
      <w:marLeft w:val="0"/>
      <w:marRight w:val="0"/>
      <w:marTop w:val="0"/>
      <w:marBottom w:val="0"/>
      <w:divBdr>
        <w:top w:val="none" w:sz="0" w:space="0" w:color="auto"/>
        <w:left w:val="none" w:sz="0" w:space="0" w:color="auto"/>
        <w:bottom w:val="none" w:sz="0" w:space="0" w:color="auto"/>
        <w:right w:val="none" w:sz="0" w:space="0" w:color="auto"/>
      </w:divBdr>
      <w:divsChild>
        <w:div w:id="900602901">
          <w:marLeft w:val="0"/>
          <w:marRight w:val="0"/>
          <w:marTop w:val="0"/>
          <w:marBottom w:val="0"/>
          <w:divBdr>
            <w:top w:val="none" w:sz="0" w:space="0" w:color="auto"/>
            <w:left w:val="none" w:sz="0" w:space="0" w:color="auto"/>
            <w:bottom w:val="none" w:sz="0" w:space="0" w:color="auto"/>
            <w:right w:val="none" w:sz="0" w:space="0" w:color="auto"/>
          </w:divBdr>
          <w:divsChild>
            <w:div w:id="900602900">
              <w:marLeft w:val="0"/>
              <w:marRight w:val="0"/>
              <w:marTop w:val="0"/>
              <w:marBottom w:val="0"/>
              <w:divBdr>
                <w:top w:val="none" w:sz="0" w:space="0" w:color="auto"/>
                <w:left w:val="none" w:sz="0" w:space="0" w:color="auto"/>
                <w:bottom w:val="none" w:sz="0" w:space="0" w:color="auto"/>
                <w:right w:val="none" w:sz="0" w:space="0" w:color="auto"/>
              </w:divBdr>
              <w:divsChild>
                <w:div w:id="900602907">
                  <w:marLeft w:val="90"/>
                  <w:marRight w:val="90"/>
                  <w:marTop w:val="0"/>
                  <w:marBottom w:val="420"/>
                  <w:divBdr>
                    <w:top w:val="none" w:sz="0" w:space="0" w:color="auto"/>
                    <w:left w:val="none" w:sz="0" w:space="0" w:color="auto"/>
                    <w:bottom w:val="none" w:sz="0" w:space="0" w:color="auto"/>
                    <w:right w:val="none" w:sz="0" w:space="0" w:color="auto"/>
                  </w:divBdr>
                </w:div>
              </w:divsChild>
            </w:div>
          </w:divsChild>
        </w:div>
      </w:divsChild>
    </w:div>
    <w:div w:id="900602905">
      <w:marLeft w:val="0"/>
      <w:marRight w:val="0"/>
      <w:marTop w:val="0"/>
      <w:marBottom w:val="0"/>
      <w:divBdr>
        <w:top w:val="none" w:sz="0" w:space="0" w:color="auto"/>
        <w:left w:val="none" w:sz="0" w:space="0" w:color="auto"/>
        <w:bottom w:val="none" w:sz="0" w:space="0" w:color="auto"/>
        <w:right w:val="none" w:sz="0" w:space="0" w:color="auto"/>
      </w:divBdr>
      <w:divsChild>
        <w:div w:id="900602883">
          <w:marLeft w:val="0"/>
          <w:marRight w:val="0"/>
          <w:marTop w:val="0"/>
          <w:marBottom w:val="0"/>
          <w:divBdr>
            <w:top w:val="none" w:sz="0" w:space="0" w:color="auto"/>
            <w:left w:val="none" w:sz="0" w:space="0" w:color="auto"/>
            <w:bottom w:val="none" w:sz="0" w:space="0" w:color="auto"/>
            <w:right w:val="none" w:sz="0" w:space="0" w:color="auto"/>
          </w:divBdr>
          <w:divsChild>
            <w:div w:id="900602906">
              <w:marLeft w:val="0"/>
              <w:marRight w:val="0"/>
              <w:marTop w:val="0"/>
              <w:marBottom w:val="0"/>
              <w:divBdr>
                <w:top w:val="none" w:sz="0" w:space="0" w:color="auto"/>
                <w:left w:val="none" w:sz="0" w:space="0" w:color="auto"/>
                <w:bottom w:val="none" w:sz="0" w:space="0" w:color="auto"/>
                <w:right w:val="none" w:sz="0" w:space="0" w:color="auto"/>
              </w:divBdr>
              <w:divsChild>
                <w:div w:id="900602902">
                  <w:marLeft w:val="225"/>
                  <w:marRight w:val="0"/>
                  <w:marTop w:val="0"/>
                  <w:marBottom w:val="0"/>
                  <w:divBdr>
                    <w:top w:val="none" w:sz="0" w:space="0" w:color="auto"/>
                    <w:left w:val="none" w:sz="0" w:space="0" w:color="auto"/>
                    <w:bottom w:val="none" w:sz="0" w:space="0" w:color="auto"/>
                    <w:right w:val="none" w:sz="0" w:space="0" w:color="auto"/>
                  </w:divBdr>
                  <w:divsChild>
                    <w:div w:id="900602904">
                      <w:marLeft w:val="60"/>
                      <w:marRight w:val="0"/>
                      <w:marTop w:val="150"/>
                      <w:marBottom w:val="0"/>
                      <w:divBdr>
                        <w:top w:val="none" w:sz="0" w:space="0" w:color="auto"/>
                        <w:left w:val="none" w:sz="0" w:space="0" w:color="auto"/>
                        <w:bottom w:val="single" w:sz="6" w:space="0" w:color="FEDB92"/>
                        <w:right w:val="none" w:sz="0" w:space="0" w:color="auto"/>
                      </w:divBdr>
                      <w:divsChild>
                        <w:div w:id="900602914">
                          <w:marLeft w:val="0"/>
                          <w:marRight w:val="0"/>
                          <w:marTop w:val="450"/>
                          <w:marBottom w:val="0"/>
                          <w:divBdr>
                            <w:top w:val="none" w:sz="0" w:space="0" w:color="auto"/>
                            <w:left w:val="none" w:sz="0" w:space="0" w:color="auto"/>
                            <w:bottom w:val="none" w:sz="0" w:space="0" w:color="auto"/>
                            <w:right w:val="none" w:sz="0" w:space="0" w:color="auto"/>
                          </w:divBdr>
                          <w:divsChild>
                            <w:div w:id="9006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02908">
      <w:marLeft w:val="60"/>
      <w:marRight w:val="60"/>
      <w:marTop w:val="60"/>
      <w:marBottom w:val="15"/>
      <w:divBdr>
        <w:top w:val="none" w:sz="0" w:space="0" w:color="auto"/>
        <w:left w:val="none" w:sz="0" w:space="0" w:color="auto"/>
        <w:bottom w:val="none" w:sz="0" w:space="0" w:color="auto"/>
        <w:right w:val="none" w:sz="0" w:space="0" w:color="auto"/>
      </w:divBdr>
      <w:divsChild>
        <w:div w:id="900602909">
          <w:marLeft w:val="0"/>
          <w:marRight w:val="0"/>
          <w:marTop w:val="0"/>
          <w:marBottom w:val="0"/>
          <w:divBdr>
            <w:top w:val="none" w:sz="0" w:space="0" w:color="auto"/>
            <w:left w:val="none" w:sz="0" w:space="0" w:color="auto"/>
            <w:bottom w:val="none" w:sz="0" w:space="0" w:color="auto"/>
            <w:right w:val="none" w:sz="0" w:space="0" w:color="auto"/>
          </w:divBdr>
        </w:div>
        <w:div w:id="900602910">
          <w:marLeft w:val="0"/>
          <w:marRight w:val="0"/>
          <w:marTop w:val="0"/>
          <w:marBottom w:val="0"/>
          <w:divBdr>
            <w:top w:val="none" w:sz="0" w:space="0" w:color="auto"/>
            <w:left w:val="none" w:sz="0" w:space="0" w:color="auto"/>
            <w:bottom w:val="none" w:sz="0" w:space="0" w:color="auto"/>
            <w:right w:val="none" w:sz="0" w:space="0" w:color="auto"/>
          </w:divBdr>
        </w:div>
        <w:div w:id="900602912">
          <w:marLeft w:val="0"/>
          <w:marRight w:val="0"/>
          <w:marTop w:val="0"/>
          <w:marBottom w:val="0"/>
          <w:divBdr>
            <w:top w:val="none" w:sz="0" w:space="0" w:color="auto"/>
            <w:left w:val="none" w:sz="0" w:space="0" w:color="auto"/>
            <w:bottom w:val="none" w:sz="0" w:space="0" w:color="auto"/>
            <w:right w:val="none" w:sz="0" w:space="0" w:color="auto"/>
          </w:divBdr>
        </w:div>
      </w:divsChild>
    </w:div>
    <w:div w:id="900602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DE1F-294D-473F-9761-FFBEBFB6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2146</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Research Protocol</vt:lpstr>
    </vt:vector>
  </TitlesOfParts>
  <Company>aed</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subject/>
  <dc:creator>aed-user</dc:creator>
  <cp:keywords/>
  <dc:description/>
  <cp:lastModifiedBy>banksj</cp:lastModifiedBy>
  <cp:revision>5</cp:revision>
  <cp:lastPrinted>2010-03-22T16:45:00Z</cp:lastPrinted>
  <dcterms:created xsi:type="dcterms:W3CDTF">2010-03-22T15:32:00Z</dcterms:created>
  <dcterms:modified xsi:type="dcterms:W3CDTF">2010-03-22T17:16:00Z</dcterms:modified>
</cp:coreProperties>
</file>