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593" w:rsidRPr="00584224" w:rsidRDefault="00D95593" w:rsidP="00584224">
      <w:pPr>
        <w:rPr>
          <w:b/>
          <w:color w:val="000000"/>
        </w:rPr>
      </w:pPr>
    </w:p>
    <w:p w:rsidR="003F4C54" w:rsidRPr="004352C9" w:rsidRDefault="003F4C54" w:rsidP="00584224">
      <w:pPr>
        <w:rPr>
          <w:b/>
          <w:color w:val="000000"/>
        </w:rPr>
      </w:pPr>
    </w:p>
    <w:p w:rsidR="008C7998" w:rsidRPr="004352C9" w:rsidRDefault="007738D2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rPr>
          <w:b/>
        </w:rPr>
      </w:pPr>
      <w:r w:rsidRPr="004352C9">
        <w:rPr>
          <w:b/>
        </w:rPr>
        <w:t>Collections of Information Employing Statistical Methods</w:t>
      </w:r>
    </w:p>
    <w:p w:rsidR="008C7998" w:rsidRPr="004352C9" w:rsidRDefault="008C7998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</w:pPr>
    </w:p>
    <w:p w:rsidR="008C7998" w:rsidRPr="00584224" w:rsidRDefault="00B272E9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</w:pPr>
      <w:r>
        <w:t>B</w:t>
      </w:r>
      <w:r w:rsidR="008C7998" w:rsidRPr="00584224">
        <w:t>1.</w:t>
      </w:r>
      <w:r w:rsidR="008C7998" w:rsidRPr="00584224">
        <w:tab/>
      </w:r>
      <w:r w:rsidR="008C7998" w:rsidRPr="00584224">
        <w:rPr>
          <w:u w:val="single"/>
        </w:rPr>
        <w:t>Potential Respondent Universe and Sample Selection Method</w:t>
      </w:r>
    </w:p>
    <w:p w:rsidR="008C7998" w:rsidRPr="00584224" w:rsidRDefault="008C7998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</w:pPr>
    </w:p>
    <w:p w:rsidR="00212AB2" w:rsidRPr="00D846D8" w:rsidRDefault="00212AB2" w:rsidP="00D45D95">
      <w:pPr>
        <w:ind w:left="360"/>
        <w:rPr>
          <w:color w:val="000000"/>
        </w:rPr>
      </w:pPr>
      <w:r w:rsidRPr="00D846D8">
        <w:rPr>
          <w:color w:val="000000"/>
        </w:rPr>
        <w:t xml:space="preserve">The eligible participants for this stakeholder survey include 62 Directors of state, local and territorial Public Health Emergency Preparedness (PHEP) Programs and 59 </w:t>
      </w:r>
      <w:proofErr w:type="gramStart"/>
      <w:r w:rsidRPr="00D846D8">
        <w:rPr>
          <w:color w:val="000000"/>
        </w:rPr>
        <w:t>state</w:t>
      </w:r>
      <w:proofErr w:type="gramEnd"/>
      <w:r w:rsidRPr="00D846D8">
        <w:rPr>
          <w:color w:val="000000"/>
        </w:rPr>
        <w:t xml:space="preserve">, local and territorial epidemiologists. </w:t>
      </w:r>
    </w:p>
    <w:p w:rsidR="008C7998" w:rsidRPr="00584224" w:rsidRDefault="008C7998" w:rsidP="00584224">
      <w:pPr>
        <w:rPr>
          <w:color w:val="000000"/>
        </w:rPr>
      </w:pPr>
    </w:p>
    <w:p w:rsidR="008C7998" w:rsidRPr="00584224" w:rsidRDefault="008C7998" w:rsidP="00584224">
      <w:pPr>
        <w:rPr>
          <w:color w:val="000000"/>
        </w:rPr>
      </w:pPr>
    </w:p>
    <w:p w:rsidR="00F0683A" w:rsidRPr="00584224" w:rsidRDefault="00B272E9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 w:hanging="360"/>
        <w:rPr>
          <w:u w:val="single"/>
        </w:rPr>
      </w:pPr>
      <w:r>
        <w:t>B</w:t>
      </w:r>
      <w:r w:rsidR="00F0683A" w:rsidRPr="00584224">
        <w:t xml:space="preserve">2.  </w:t>
      </w:r>
      <w:r w:rsidR="00F0683A" w:rsidRPr="00584224">
        <w:rPr>
          <w:u w:val="single"/>
        </w:rPr>
        <w:t>Information Collection Procedures</w:t>
      </w:r>
    </w:p>
    <w:p w:rsidR="00F0683A" w:rsidRPr="00584224" w:rsidRDefault="00F0683A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</w:pPr>
    </w:p>
    <w:p w:rsidR="002159ED" w:rsidRDefault="00686AE9" w:rsidP="00173FD8">
      <w:pPr>
        <w:ind w:left="360"/>
      </w:pPr>
      <w:r>
        <w:t>D</w:t>
      </w:r>
      <w:r w:rsidR="008A5BC6">
        <w:t xml:space="preserve">ata will be collected using the SPSS® Data Collection web-based </w:t>
      </w:r>
      <w:r w:rsidR="00BC69E4">
        <w:t xml:space="preserve">survey </w:t>
      </w:r>
      <w:r w:rsidR="008A5BC6">
        <w:t xml:space="preserve">tool.  </w:t>
      </w:r>
      <w:r w:rsidR="002159ED">
        <w:t>SPSS® Data Collection is an IBM® product that is used to create and manage web-based surveys. Routing and skip logic can be incorporated into a survey built in SPSS® Data Collection, which helps improve flow and allows for higher completion rates.</w:t>
      </w:r>
    </w:p>
    <w:p w:rsidR="00D82EAF" w:rsidRDefault="00D82EAF" w:rsidP="00173FD8">
      <w:pPr>
        <w:ind w:left="360"/>
      </w:pPr>
    </w:p>
    <w:p w:rsidR="00D82EAF" w:rsidRPr="00D846D8" w:rsidRDefault="00D82EAF" w:rsidP="00D82EAF">
      <w:pPr>
        <w:ind w:left="360"/>
        <w:rPr>
          <w:color w:val="000000"/>
        </w:rPr>
      </w:pPr>
      <w:r w:rsidRPr="00D846D8">
        <w:rPr>
          <w:color w:val="000000"/>
        </w:rPr>
        <w:t xml:space="preserve">The survey will be made accessible via the internet and each eligible participant has an equal probability of being a respondent in this evaluation. A response rate of at least 60 percent is expected.  Disproportionate non-response is expected between PHEP directors and epidemiologists and will be accounted for in the analysis phase. </w:t>
      </w:r>
    </w:p>
    <w:p w:rsidR="008C7998" w:rsidRPr="00584224" w:rsidRDefault="008C7998" w:rsidP="00584224">
      <w:pPr>
        <w:rPr>
          <w:color w:val="000000"/>
        </w:rPr>
      </w:pPr>
    </w:p>
    <w:p w:rsidR="00797DB3" w:rsidRPr="00584224" w:rsidRDefault="00797DB3" w:rsidP="00584224">
      <w:pPr>
        <w:rPr>
          <w:color w:val="000000"/>
        </w:rPr>
      </w:pPr>
    </w:p>
    <w:p w:rsidR="00797DB3" w:rsidRPr="00584224" w:rsidRDefault="00B272E9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 w:hanging="360"/>
      </w:pPr>
      <w:r>
        <w:t>B</w:t>
      </w:r>
      <w:r w:rsidR="00797DB3" w:rsidRPr="00584224">
        <w:t xml:space="preserve">3.  </w:t>
      </w:r>
      <w:r w:rsidR="00797DB3" w:rsidRPr="00584224">
        <w:rPr>
          <w:u w:val="single"/>
        </w:rPr>
        <w:t>Methods to Maximize Response Rates</w:t>
      </w:r>
    </w:p>
    <w:p w:rsidR="00797DB3" w:rsidRPr="00584224" w:rsidRDefault="00797DB3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</w:pPr>
    </w:p>
    <w:p w:rsidR="007F47F6" w:rsidRPr="00D846D8" w:rsidRDefault="007F47F6" w:rsidP="007F47F6">
      <w:pPr>
        <w:ind w:left="360"/>
        <w:rPr>
          <w:color w:val="000000"/>
        </w:rPr>
      </w:pPr>
      <w:r w:rsidRPr="00D846D8">
        <w:rPr>
          <w:color w:val="000000"/>
        </w:rPr>
        <w:t>Case weights will be assigned in order to adjust for disproportionate sampling and for non-response bias.  This is necessary in order to obtain unbiased est</w:t>
      </w:r>
      <w:r>
        <w:rPr>
          <w:color w:val="000000"/>
        </w:rPr>
        <w:t xml:space="preserve">imates of the survey measures. </w:t>
      </w:r>
      <w:r w:rsidRPr="00D846D8">
        <w:rPr>
          <w:color w:val="000000"/>
        </w:rPr>
        <w:t xml:space="preserve">The weight assigned to each respondent (the case weight) will be the product of the </w:t>
      </w:r>
      <w:r>
        <w:rPr>
          <w:color w:val="000000"/>
        </w:rPr>
        <w:t xml:space="preserve">reciprocal </w:t>
      </w:r>
      <w:r w:rsidRPr="00D846D8">
        <w:rPr>
          <w:color w:val="000000"/>
        </w:rPr>
        <w:t>the individuals’ probability of selection (referred to as the disproportionate sampling or base weight) and an adjustment for non-response.</w:t>
      </w:r>
    </w:p>
    <w:p w:rsidR="007F47F6" w:rsidRPr="00D846D8" w:rsidRDefault="007F47F6" w:rsidP="007F47F6">
      <w:pPr>
        <w:spacing w:line="360" w:lineRule="auto"/>
        <w:rPr>
          <w:color w:val="000000"/>
        </w:rPr>
      </w:pPr>
    </w:p>
    <w:p w:rsidR="007F47F6" w:rsidRDefault="007F47F6" w:rsidP="007F47F6">
      <w:pPr>
        <w:ind w:left="360"/>
        <w:rPr>
          <w:color w:val="000000"/>
        </w:rPr>
      </w:pPr>
      <w:r w:rsidRPr="00D846D8">
        <w:rPr>
          <w:color w:val="000000"/>
        </w:rPr>
        <w:t xml:space="preserve">It is anticipated that approximately 40 percent of the eligible participants will not respond and that there will be differential non-response between the responders (currently employ a CEFO, employed a CEFO in the past, have never employed a CEFO).  Non-response bias will be addressed through the construction of weighting class adjustments.  </w:t>
      </w:r>
    </w:p>
    <w:p w:rsidR="007F47F6" w:rsidRDefault="007F47F6" w:rsidP="007F47F6">
      <w:pPr>
        <w:ind w:left="360"/>
        <w:rPr>
          <w:color w:val="000000"/>
        </w:rPr>
      </w:pPr>
    </w:p>
    <w:p w:rsidR="00797DB3" w:rsidRDefault="00797DB3" w:rsidP="007F47F6">
      <w:pPr>
        <w:ind w:left="360"/>
      </w:pPr>
      <w:r w:rsidRPr="00584224">
        <w:t>To encourage participation, CDC expects to follow-up with reminders via</w:t>
      </w:r>
      <w:r w:rsidR="00F765D6">
        <w:t xml:space="preserve"> email</w:t>
      </w:r>
      <w:r w:rsidRPr="00584224">
        <w:t xml:space="preserve">.  </w:t>
      </w:r>
    </w:p>
    <w:p w:rsidR="00797DB3" w:rsidRPr="00584224" w:rsidRDefault="00797DB3" w:rsidP="00584224">
      <w:pPr>
        <w:rPr>
          <w:color w:val="000000"/>
        </w:rPr>
      </w:pPr>
    </w:p>
    <w:p w:rsidR="001D0CE7" w:rsidRDefault="001D0CE7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 w:hanging="360"/>
      </w:pPr>
    </w:p>
    <w:p w:rsidR="00797DB3" w:rsidRPr="00584224" w:rsidRDefault="00B272E9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 w:hanging="360"/>
        <w:rPr>
          <w:u w:val="single"/>
        </w:rPr>
      </w:pPr>
      <w:r>
        <w:t>B</w:t>
      </w:r>
      <w:r w:rsidR="00797DB3" w:rsidRPr="00584224">
        <w:t>4.</w:t>
      </w:r>
      <w:r w:rsidR="00797DB3" w:rsidRPr="00584224">
        <w:tab/>
      </w:r>
      <w:r w:rsidR="00797DB3" w:rsidRPr="00584224">
        <w:rPr>
          <w:u w:val="single"/>
        </w:rPr>
        <w:t>Test of Procedures</w:t>
      </w:r>
    </w:p>
    <w:p w:rsidR="00797DB3" w:rsidRPr="00584224" w:rsidRDefault="00797DB3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rPr>
          <w:u w:val="single"/>
        </w:rPr>
      </w:pPr>
    </w:p>
    <w:p w:rsidR="00A20F35" w:rsidRPr="00A20F35" w:rsidRDefault="00054BA8" w:rsidP="00A20F3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/>
      </w:pPr>
      <w:r>
        <w:t>The</w:t>
      </w:r>
      <w:r w:rsidR="00A20F35" w:rsidRPr="00A20F35">
        <w:t xml:space="preserve"> CEFO Stakeholder Satisfaction survey was pilot tested with a total of nine potential respondents (State Epidemiologists and PHEP Directors).  </w:t>
      </w:r>
    </w:p>
    <w:p w:rsidR="00797DB3" w:rsidRPr="00584224" w:rsidRDefault="00797DB3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</w:pPr>
    </w:p>
    <w:p w:rsidR="008C63DE" w:rsidRDefault="008C63DE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 w:hanging="360"/>
      </w:pPr>
    </w:p>
    <w:p w:rsidR="00797DB3" w:rsidRPr="00584224" w:rsidRDefault="00B272E9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 w:hanging="360"/>
      </w:pPr>
      <w:r>
        <w:lastRenderedPageBreak/>
        <w:t>B</w:t>
      </w:r>
      <w:r w:rsidR="00797DB3" w:rsidRPr="00584224">
        <w:t>5.</w:t>
      </w:r>
      <w:r w:rsidR="00797DB3" w:rsidRPr="00584224">
        <w:tab/>
      </w:r>
      <w:r w:rsidR="00797DB3" w:rsidRPr="00584224">
        <w:rPr>
          <w:u w:val="single"/>
        </w:rPr>
        <w:t>Statistical Consultation and Independent Review</w:t>
      </w:r>
    </w:p>
    <w:p w:rsidR="00797DB3" w:rsidRPr="00584224" w:rsidRDefault="00797DB3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</w:pPr>
    </w:p>
    <w:p w:rsidR="00797DB3" w:rsidRDefault="00584224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/>
      </w:pPr>
      <w:r>
        <w:t>CDC</w:t>
      </w:r>
      <w:r w:rsidR="00797DB3" w:rsidRPr="00584224">
        <w:t xml:space="preserve"> will obtain information from </w:t>
      </w:r>
      <w:r>
        <w:t xml:space="preserve">a </w:t>
      </w:r>
      <w:r w:rsidR="00797DB3" w:rsidRPr="00584224">
        <w:t xml:space="preserve">statistician in the development, design, conduct and analysis of </w:t>
      </w:r>
      <w:r>
        <w:t>customer/partner service survey</w:t>
      </w:r>
      <w:r w:rsidR="00797DB3" w:rsidRPr="00584224">
        <w:t>.  This statistical e</w:t>
      </w:r>
      <w:r>
        <w:t xml:space="preserve">xpertise will be available from a </w:t>
      </w:r>
      <w:r w:rsidR="00797DB3" w:rsidRPr="00584224">
        <w:t xml:space="preserve">contractor.  If needed, </w:t>
      </w:r>
      <w:r>
        <w:t>CDC</w:t>
      </w:r>
      <w:r w:rsidR="00797DB3" w:rsidRPr="00584224">
        <w:t xml:space="preserve"> will arrange for technical assistance in statistics and survey design through the National Center for Health Statistics.</w:t>
      </w:r>
      <w:r w:rsidR="00456CBF">
        <w:t xml:space="preserve"> </w:t>
      </w:r>
    </w:p>
    <w:p w:rsidR="00B56E83" w:rsidRDefault="00B56E83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/>
      </w:pPr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Barbara Ellis, PhD*</w:t>
      </w:r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Centers for Disease Control and Prevention</w:t>
      </w:r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Office of Public Health Preparedness and Response</w:t>
      </w:r>
    </w:p>
    <w:p w:rsidR="00B56E83" w:rsidRPr="00B56E83" w:rsidRDefault="003E0DA0" w:rsidP="00A90385">
      <w:pPr>
        <w:ind w:firstLine="360"/>
        <w:rPr>
          <w:color w:val="000000"/>
        </w:rPr>
      </w:pPr>
      <w:hyperlink r:id="rId7" w:history="1">
        <w:r w:rsidR="00B56E83" w:rsidRPr="00B56E83">
          <w:rPr>
            <w:rStyle w:val="Hyperlink"/>
          </w:rPr>
          <w:t>bellis@cdc.gov</w:t>
        </w:r>
      </w:hyperlink>
      <w:r w:rsidR="00B56E83" w:rsidRPr="00B56E83">
        <w:rPr>
          <w:color w:val="000000"/>
        </w:rPr>
        <w:t xml:space="preserve"> </w:t>
      </w:r>
    </w:p>
    <w:p w:rsid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 xml:space="preserve">770-488-0550 </w:t>
      </w:r>
    </w:p>
    <w:p w:rsidR="00F3132B" w:rsidRPr="00B56E83" w:rsidRDefault="00F3132B" w:rsidP="00F3132B">
      <w:pPr>
        <w:rPr>
          <w:color w:val="000000"/>
        </w:rPr>
      </w:pPr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Linda Neff, PhD**</w:t>
      </w:r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Centers for Disease Control and Prevention</w:t>
      </w:r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Office of Public Health Preparedness and Response</w:t>
      </w:r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Career Epidemiology Field Officer Program</w:t>
      </w:r>
    </w:p>
    <w:p w:rsidR="00B56E83" w:rsidRPr="00B56E83" w:rsidRDefault="003E0DA0" w:rsidP="00A90385">
      <w:pPr>
        <w:ind w:firstLine="360"/>
        <w:rPr>
          <w:color w:val="000000"/>
        </w:rPr>
      </w:pPr>
      <w:hyperlink r:id="rId8" w:history="1">
        <w:r w:rsidR="00B56E83" w:rsidRPr="00B56E83">
          <w:rPr>
            <w:rStyle w:val="Hyperlink"/>
          </w:rPr>
          <w:t>lneff@cdc.gov</w:t>
        </w:r>
      </w:hyperlink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770-488-8647</w:t>
      </w:r>
    </w:p>
    <w:p w:rsidR="00B56E83" w:rsidRPr="00B56E83" w:rsidRDefault="00B56E83" w:rsidP="00B56E83">
      <w:pPr>
        <w:spacing w:line="360" w:lineRule="auto"/>
        <w:rPr>
          <w:color w:val="000000"/>
        </w:rPr>
      </w:pPr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Reggie Jones**</w:t>
      </w:r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Contractor</w:t>
      </w:r>
    </w:p>
    <w:p w:rsidR="00B56E83" w:rsidRPr="00B56E83" w:rsidRDefault="00B56E83" w:rsidP="00A90385">
      <w:pPr>
        <w:ind w:firstLine="360"/>
        <w:rPr>
          <w:color w:val="000000"/>
        </w:rPr>
      </w:pPr>
      <w:r w:rsidRPr="00B56E83">
        <w:rPr>
          <w:color w:val="000000"/>
        </w:rPr>
        <w:t>McNeal Professional Services, Inc.</w:t>
      </w:r>
    </w:p>
    <w:p w:rsidR="00B56E83" w:rsidRPr="00B56E83" w:rsidRDefault="003E0DA0" w:rsidP="00A90385">
      <w:pPr>
        <w:ind w:firstLine="360"/>
        <w:rPr>
          <w:color w:val="000000"/>
        </w:rPr>
      </w:pPr>
      <w:hyperlink r:id="rId9" w:history="1">
        <w:r w:rsidR="00B56E83" w:rsidRPr="00B56E83">
          <w:rPr>
            <w:rStyle w:val="Hyperlink"/>
          </w:rPr>
          <w:t>rjones@mcnealpro.com</w:t>
        </w:r>
      </w:hyperlink>
    </w:p>
    <w:p w:rsidR="00B56E83" w:rsidRPr="00B56E83" w:rsidRDefault="00B56E83" w:rsidP="00B56E83">
      <w:pPr>
        <w:spacing w:line="360" w:lineRule="auto"/>
        <w:rPr>
          <w:color w:val="000000"/>
        </w:rPr>
      </w:pPr>
    </w:p>
    <w:p w:rsidR="00B56E83" w:rsidRPr="00B56E83" w:rsidRDefault="00B56E83" w:rsidP="00A90385">
      <w:pPr>
        <w:spacing w:line="360" w:lineRule="auto"/>
        <w:ind w:firstLine="360"/>
        <w:rPr>
          <w:color w:val="000000"/>
        </w:rPr>
      </w:pPr>
      <w:r w:rsidRPr="00B56E83">
        <w:rPr>
          <w:color w:val="000000"/>
        </w:rPr>
        <w:t>*responsible for receiving and approving contract deliverables</w:t>
      </w:r>
    </w:p>
    <w:p w:rsidR="00B56E83" w:rsidRPr="00B56E83" w:rsidRDefault="00B56E83" w:rsidP="00A90385">
      <w:pPr>
        <w:spacing w:line="360" w:lineRule="auto"/>
        <w:ind w:firstLine="360"/>
        <w:rPr>
          <w:color w:val="000000"/>
        </w:rPr>
      </w:pPr>
      <w:r w:rsidRPr="00B56E83">
        <w:rPr>
          <w:color w:val="000000"/>
        </w:rPr>
        <w:t xml:space="preserve">**responsible for analyzing the data </w:t>
      </w:r>
    </w:p>
    <w:p w:rsidR="00B56E83" w:rsidRPr="00B56E83" w:rsidRDefault="00B56E83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  <w:ind w:left="360"/>
      </w:pPr>
    </w:p>
    <w:p w:rsidR="00797DB3" w:rsidRPr="00B56E83" w:rsidRDefault="00797DB3" w:rsidP="00584224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2160"/>
        </w:tabs>
      </w:pPr>
    </w:p>
    <w:p w:rsidR="00797DB3" w:rsidRPr="00584224" w:rsidRDefault="00797DB3" w:rsidP="00584224">
      <w:pPr>
        <w:rPr>
          <w:color w:val="000000"/>
        </w:rPr>
      </w:pPr>
    </w:p>
    <w:p w:rsidR="00797DB3" w:rsidRPr="00584224" w:rsidRDefault="00797DB3" w:rsidP="00584224">
      <w:pPr>
        <w:rPr>
          <w:color w:val="000000"/>
        </w:rPr>
      </w:pPr>
    </w:p>
    <w:p w:rsidR="00797DB3" w:rsidRPr="00584224" w:rsidRDefault="00797DB3" w:rsidP="00584224">
      <w:pPr>
        <w:rPr>
          <w:color w:val="000000"/>
        </w:rPr>
      </w:pPr>
    </w:p>
    <w:p w:rsidR="00797DB3" w:rsidRPr="00584224" w:rsidRDefault="00797DB3" w:rsidP="00584224">
      <w:pPr>
        <w:rPr>
          <w:color w:val="000000"/>
        </w:rPr>
      </w:pPr>
    </w:p>
    <w:p w:rsidR="00797DB3" w:rsidRPr="00584224" w:rsidRDefault="00797DB3" w:rsidP="00584224">
      <w:pPr>
        <w:rPr>
          <w:color w:val="000000"/>
        </w:rPr>
      </w:pPr>
    </w:p>
    <w:p w:rsidR="00797DB3" w:rsidRPr="00584224" w:rsidRDefault="00797DB3" w:rsidP="00584224">
      <w:pPr>
        <w:rPr>
          <w:color w:val="000000"/>
        </w:rPr>
      </w:pPr>
    </w:p>
    <w:p w:rsidR="00797DB3" w:rsidRPr="00584224" w:rsidRDefault="00797DB3" w:rsidP="00584224">
      <w:pPr>
        <w:rPr>
          <w:b/>
          <w:color w:val="000000"/>
        </w:rPr>
      </w:pPr>
    </w:p>
    <w:p w:rsidR="00797DB3" w:rsidRPr="00584224" w:rsidRDefault="00797DB3" w:rsidP="00584224">
      <w:pPr>
        <w:rPr>
          <w:b/>
          <w:color w:val="000000"/>
        </w:rPr>
      </w:pPr>
    </w:p>
    <w:p w:rsidR="00797DB3" w:rsidRPr="00584224" w:rsidRDefault="00797DB3" w:rsidP="00584224">
      <w:pPr>
        <w:rPr>
          <w:b/>
          <w:color w:val="000000"/>
        </w:rPr>
      </w:pPr>
    </w:p>
    <w:p w:rsidR="00D95593" w:rsidRPr="00584224" w:rsidRDefault="00D95593" w:rsidP="00584224">
      <w:pPr>
        <w:rPr>
          <w:color w:val="000000"/>
        </w:rPr>
      </w:pPr>
    </w:p>
    <w:p w:rsidR="00D95593" w:rsidRPr="00584224" w:rsidRDefault="00D95593" w:rsidP="00584224">
      <w:pPr>
        <w:rPr>
          <w:color w:val="000000"/>
        </w:rPr>
      </w:pPr>
    </w:p>
    <w:p w:rsidR="00616205" w:rsidRPr="00584224" w:rsidRDefault="00616205" w:rsidP="00584224">
      <w:pPr>
        <w:rPr>
          <w:b/>
          <w:color w:val="000000"/>
        </w:rPr>
      </w:pPr>
    </w:p>
    <w:sectPr w:rsidR="00616205" w:rsidRPr="00584224" w:rsidSect="0027367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11B" w:rsidRDefault="00A0211B" w:rsidP="00D95593">
      <w:r>
        <w:separator/>
      </w:r>
    </w:p>
  </w:endnote>
  <w:endnote w:type="continuationSeparator" w:id="0">
    <w:p w:rsidR="00A0211B" w:rsidRDefault="00A0211B" w:rsidP="00D95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381454"/>
      <w:docPartObj>
        <w:docPartGallery w:val="Page Numbers (Bottom of Page)"/>
        <w:docPartUnique/>
      </w:docPartObj>
    </w:sdtPr>
    <w:sdtContent>
      <w:p w:rsidR="00637CC0" w:rsidRDefault="003E0DA0">
        <w:pPr>
          <w:pStyle w:val="Footer"/>
          <w:jc w:val="right"/>
        </w:pPr>
        <w:fldSimple w:instr=" PAGE   \* MERGEFORMAT ">
          <w:r w:rsidR="00F765D6">
            <w:rPr>
              <w:noProof/>
            </w:rPr>
            <w:t>1</w:t>
          </w:r>
        </w:fldSimple>
      </w:p>
    </w:sdtContent>
  </w:sdt>
  <w:p w:rsidR="00637CC0" w:rsidRDefault="00637C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11B" w:rsidRDefault="00A0211B" w:rsidP="00D95593">
      <w:r>
        <w:separator/>
      </w:r>
    </w:p>
  </w:footnote>
  <w:footnote w:type="continuationSeparator" w:id="0">
    <w:p w:rsidR="00A0211B" w:rsidRDefault="00A0211B" w:rsidP="00D95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E6" w:rsidRDefault="00503DE6" w:rsidP="00D5172D">
    <w:pPr>
      <w:pStyle w:val="Header"/>
    </w:pPr>
    <w:r>
      <w:t>Statistical Analysis Plan</w:t>
    </w:r>
  </w:p>
  <w:p w:rsidR="00D5172D" w:rsidRDefault="00D5172D" w:rsidP="00D5172D">
    <w:pPr>
      <w:pStyle w:val="Header"/>
    </w:pPr>
    <w:r>
      <w:t>CEFO Stakeholder Satisfaction Survey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24B5"/>
    <w:multiLevelType w:val="hybridMultilevel"/>
    <w:tmpl w:val="7F100C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205"/>
    <w:rsid w:val="00054BA8"/>
    <w:rsid w:val="000D6CC8"/>
    <w:rsid w:val="000E4629"/>
    <w:rsid w:val="00162295"/>
    <w:rsid w:val="00173FD8"/>
    <w:rsid w:val="001D0CE7"/>
    <w:rsid w:val="001F4949"/>
    <w:rsid w:val="00212AB2"/>
    <w:rsid w:val="002159ED"/>
    <w:rsid w:val="0027367D"/>
    <w:rsid w:val="002752C6"/>
    <w:rsid w:val="002F76DA"/>
    <w:rsid w:val="0036103A"/>
    <w:rsid w:val="00362224"/>
    <w:rsid w:val="00381917"/>
    <w:rsid w:val="003C1A89"/>
    <w:rsid w:val="003E0DA0"/>
    <w:rsid w:val="003F4C54"/>
    <w:rsid w:val="004352C9"/>
    <w:rsid w:val="00456CBF"/>
    <w:rsid w:val="00503DE6"/>
    <w:rsid w:val="00511458"/>
    <w:rsid w:val="00584224"/>
    <w:rsid w:val="00584832"/>
    <w:rsid w:val="005E7B23"/>
    <w:rsid w:val="00616205"/>
    <w:rsid w:val="00637CC0"/>
    <w:rsid w:val="00686AE9"/>
    <w:rsid w:val="00687382"/>
    <w:rsid w:val="006E3811"/>
    <w:rsid w:val="006E69DB"/>
    <w:rsid w:val="007738D2"/>
    <w:rsid w:val="00797DB3"/>
    <w:rsid w:val="007B517C"/>
    <w:rsid w:val="007F47F6"/>
    <w:rsid w:val="007F60E3"/>
    <w:rsid w:val="0086468E"/>
    <w:rsid w:val="00867648"/>
    <w:rsid w:val="008A5BC6"/>
    <w:rsid w:val="008C63DE"/>
    <w:rsid w:val="008C7998"/>
    <w:rsid w:val="00916ABB"/>
    <w:rsid w:val="00960E00"/>
    <w:rsid w:val="00993725"/>
    <w:rsid w:val="009C04D4"/>
    <w:rsid w:val="009C0BD5"/>
    <w:rsid w:val="009F57C3"/>
    <w:rsid w:val="00A0211B"/>
    <w:rsid w:val="00A157AC"/>
    <w:rsid w:val="00A20F35"/>
    <w:rsid w:val="00A34647"/>
    <w:rsid w:val="00A90385"/>
    <w:rsid w:val="00AB662D"/>
    <w:rsid w:val="00B272E9"/>
    <w:rsid w:val="00B44FB5"/>
    <w:rsid w:val="00B56E83"/>
    <w:rsid w:val="00B80DAB"/>
    <w:rsid w:val="00BC69E4"/>
    <w:rsid w:val="00BD35A0"/>
    <w:rsid w:val="00C128BC"/>
    <w:rsid w:val="00C209A5"/>
    <w:rsid w:val="00C857AD"/>
    <w:rsid w:val="00CC7550"/>
    <w:rsid w:val="00D41DCC"/>
    <w:rsid w:val="00D45D95"/>
    <w:rsid w:val="00D5172D"/>
    <w:rsid w:val="00D82EAF"/>
    <w:rsid w:val="00D95593"/>
    <w:rsid w:val="00DD0A43"/>
    <w:rsid w:val="00DD2A00"/>
    <w:rsid w:val="00DD7FF7"/>
    <w:rsid w:val="00E83CAB"/>
    <w:rsid w:val="00ED2E36"/>
    <w:rsid w:val="00F0683A"/>
    <w:rsid w:val="00F20189"/>
    <w:rsid w:val="00F3132B"/>
    <w:rsid w:val="00F765D6"/>
    <w:rsid w:val="00FB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05"/>
    <w:rPr>
      <w:rFonts w:ascii="Tahoma" w:eastAsia="SimSu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80DA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55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59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955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593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068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E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eff@cdc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llis@cdc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jones@mcneal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Centers for Disease Control &amp; Prevention</dc:creator>
  <cp:keywords/>
  <dc:description/>
  <cp:lastModifiedBy>Centers for Disease Control &amp; Prevention</cp:lastModifiedBy>
  <cp:revision>339</cp:revision>
  <dcterms:created xsi:type="dcterms:W3CDTF">2011-03-14T14:02:00Z</dcterms:created>
  <dcterms:modified xsi:type="dcterms:W3CDTF">2011-03-14T21:18:00Z</dcterms:modified>
</cp:coreProperties>
</file>