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A6" w:rsidRDefault="001102E0" w:rsidP="00D8010B">
      <w:pPr>
        <w:tabs>
          <w:tab w:val="left" w:pos="360"/>
        </w:tabs>
        <w:jc w:val="center"/>
        <w:rPr>
          <w:rFonts w:ascii="Arial" w:hAnsi="Arial" w:cs="Arial"/>
          <w:b/>
          <w:sz w:val="28"/>
          <w:szCs w:val="28"/>
        </w:rPr>
      </w:pPr>
      <w:r w:rsidRPr="001102E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2pt;margin-top:-33.1pt;width:362.9pt;height:55.65pt;z-index:251658240;v-text-anchor:middle" filled="f" stroked="f">
            <v:textbox style="mso-next-textbox:#_x0000_s1027">
              <w:txbxContent>
                <w:p w:rsidR="00691C6B" w:rsidRPr="00071F5A" w:rsidRDefault="00691C6B" w:rsidP="00071F5A">
                  <w:pPr>
                    <w:pStyle w:val="Title"/>
                    <w:pBdr>
                      <w:bottom w:val="none" w:sz="0" w:space="0" w:color="auto"/>
                    </w:pBdr>
                    <w:spacing w:line="240" w:lineRule="auto"/>
                    <w:contextualSpacing w:val="0"/>
                    <w:jc w:val="right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071F5A">
                    <w:rPr>
                      <w:rFonts w:ascii="Arial" w:hAnsi="Arial" w:cs="Arial"/>
                      <w:sz w:val="36"/>
                      <w:szCs w:val="36"/>
                    </w:rPr>
                    <w:t>Office of Public Health                Preparedness and Response</w:t>
                  </w:r>
                </w:p>
              </w:txbxContent>
            </v:textbox>
          </v:shape>
        </w:pict>
      </w:r>
      <w:r w:rsidRPr="001102E0">
        <w:rPr>
          <w:noProof/>
        </w:rPr>
        <w:pict>
          <v:rect id="_x0000_s1026" style="position:absolute;left:0;text-align:left;margin-left:-35.55pt;margin-top:-34.3pt;width:555.9pt;height:58.35pt;z-index:251657216" fillcolor="#0065b0" stroked="f"/>
        </w:pict>
      </w:r>
    </w:p>
    <w:p w:rsidR="007A7FA6" w:rsidRDefault="007A7FA6" w:rsidP="00D8010B">
      <w:pPr>
        <w:tabs>
          <w:tab w:val="left" w:pos="360"/>
        </w:tabs>
        <w:jc w:val="center"/>
        <w:rPr>
          <w:rFonts w:ascii="Arial" w:hAnsi="Arial" w:cs="Arial"/>
          <w:b/>
          <w:sz w:val="28"/>
          <w:szCs w:val="28"/>
        </w:rPr>
      </w:pPr>
    </w:p>
    <w:p w:rsidR="007A7FA6" w:rsidRPr="00484455" w:rsidRDefault="007A7FA6" w:rsidP="00484455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7A7FA6" w:rsidRDefault="007A7FA6" w:rsidP="00484455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7A7FA6" w:rsidRDefault="007A7FA6" w:rsidP="00E1735A">
      <w:pPr>
        <w:rPr>
          <w:rFonts w:ascii="Arial" w:hAnsi="Arial" w:cs="Arial"/>
          <w:sz w:val="20"/>
          <w:szCs w:val="20"/>
        </w:rPr>
        <w:sectPr w:rsidR="007A7FA6" w:rsidSect="00484455">
          <w:headerReference w:type="default" r:id="rId8"/>
          <w:footerReference w:type="default" r:id="rId9"/>
          <w:type w:val="continuous"/>
          <w:pgSz w:w="12240" w:h="15840"/>
          <w:pgMar w:top="1368" w:right="1368" w:bottom="1368" w:left="1368" w:header="720" w:footer="720" w:gutter="0"/>
          <w:cols w:num="2" w:space="720" w:equalWidth="0">
            <w:col w:w="4392" w:space="720"/>
            <w:col w:w="4392"/>
          </w:cols>
          <w:docGrid w:linePitch="360"/>
        </w:sectPr>
      </w:pPr>
    </w:p>
    <w:p w:rsidR="00376AFE" w:rsidRPr="00727BE4" w:rsidRDefault="00376AFE" w:rsidP="00376AFE">
      <w:pPr>
        <w:pStyle w:val="Default"/>
        <w:jc w:val="center"/>
        <w:rPr>
          <w:b/>
          <w:bCs/>
        </w:rPr>
      </w:pPr>
      <w:r w:rsidRPr="00727BE4">
        <w:rPr>
          <w:b/>
          <w:bCs/>
        </w:rPr>
        <w:lastRenderedPageBreak/>
        <w:t xml:space="preserve">Career Epidemiology Field Officer Program </w:t>
      </w:r>
    </w:p>
    <w:p w:rsidR="00376AFE" w:rsidRDefault="00376AFE" w:rsidP="00376AFE">
      <w:pPr>
        <w:pStyle w:val="Default"/>
        <w:rPr>
          <w:b/>
          <w:bCs/>
          <w:sz w:val="20"/>
          <w:szCs w:val="20"/>
        </w:rPr>
      </w:pPr>
    </w:p>
    <w:p w:rsidR="00376AFE" w:rsidRPr="006B4FCF" w:rsidRDefault="00376AFE" w:rsidP="00376AFE">
      <w:pPr>
        <w:pStyle w:val="Default"/>
        <w:rPr>
          <w:bCs/>
          <w:sz w:val="21"/>
          <w:szCs w:val="21"/>
        </w:rPr>
      </w:pPr>
      <w:r w:rsidRPr="006B4FCF">
        <w:rPr>
          <w:b/>
          <w:bCs/>
          <w:sz w:val="21"/>
          <w:szCs w:val="21"/>
        </w:rPr>
        <w:t>Vision</w:t>
      </w:r>
      <w:r w:rsidRPr="006B4FCF">
        <w:rPr>
          <w:bCs/>
          <w:sz w:val="21"/>
          <w:szCs w:val="21"/>
        </w:rPr>
        <w:t xml:space="preserve">: Sustained epidemiologic capability nationwide for public health preparedness and response. </w:t>
      </w:r>
    </w:p>
    <w:p w:rsidR="00376AFE" w:rsidRPr="006B4FCF" w:rsidRDefault="00376AFE" w:rsidP="00376AFE">
      <w:pPr>
        <w:pStyle w:val="Default"/>
        <w:rPr>
          <w:bCs/>
          <w:sz w:val="21"/>
          <w:szCs w:val="21"/>
        </w:rPr>
      </w:pPr>
    </w:p>
    <w:p w:rsidR="00376AFE" w:rsidRPr="006B4FCF" w:rsidRDefault="00376AFE" w:rsidP="00376AFE">
      <w:pPr>
        <w:pStyle w:val="Default"/>
        <w:rPr>
          <w:bCs/>
          <w:sz w:val="21"/>
          <w:szCs w:val="21"/>
        </w:rPr>
      </w:pPr>
      <w:r w:rsidRPr="006B4FCF">
        <w:rPr>
          <w:b/>
          <w:bCs/>
          <w:sz w:val="21"/>
          <w:szCs w:val="21"/>
        </w:rPr>
        <w:t>Mission</w:t>
      </w:r>
      <w:r w:rsidRPr="006B4FCF">
        <w:rPr>
          <w:bCs/>
          <w:sz w:val="21"/>
          <w:szCs w:val="21"/>
        </w:rPr>
        <w:t xml:space="preserve">: To strengthen state, local, tribal, and territorial epidemiologic capability for public health preparedness and response. </w:t>
      </w:r>
    </w:p>
    <w:p w:rsidR="00376AFE" w:rsidRPr="006B4FCF" w:rsidRDefault="00376AFE" w:rsidP="00376AFE">
      <w:pPr>
        <w:pStyle w:val="Default"/>
        <w:rPr>
          <w:b/>
          <w:bCs/>
          <w:sz w:val="21"/>
          <w:szCs w:val="21"/>
        </w:rPr>
      </w:pPr>
    </w:p>
    <w:p w:rsidR="00376AFE" w:rsidRPr="006B4FCF" w:rsidRDefault="00376AFE" w:rsidP="00376AFE">
      <w:pPr>
        <w:pStyle w:val="Default"/>
        <w:rPr>
          <w:sz w:val="21"/>
          <w:szCs w:val="21"/>
        </w:rPr>
      </w:pPr>
      <w:r w:rsidRPr="006B4FCF">
        <w:rPr>
          <w:sz w:val="21"/>
          <w:szCs w:val="21"/>
        </w:rPr>
        <w:t>The Career Epidemiology Field Officer (CEFO) Program</w:t>
      </w:r>
      <w:r w:rsidR="00AF4349">
        <w:rPr>
          <w:rStyle w:val="FootnoteReference"/>
          <w:sz w:val="21"/>
          <w:szCs w:val="21"/>
        </w:rPr>
        <w:footnoteReference w:id="1"/>
      </w:r>
      <w:r w:rsidRPr="006B4FCF">
        <w:rPr>
          <w:sz w:val="21"/>
          <w:szCs w:val="21"/>
        </w:rPr>
        <w:t xml:space="preserve"> is dedicated to strengthening epidemiologic and scientific support of preparedness activities and enhancing epidemiologic and scientific output from state and local programs. A CEFO is a CDC epidemiologist assigned</w:t>
      </w:r>
      <w:r w:rsidR="00B03060" w:rsidRPr="006B4FCF">
        <w:rPr>
          <w:sz w:val="21"/>
          <w:szCs w:val="21"/>
        </w:rPr>
        <w:t xml:space="preserve"> </w:t>
      </w:r>
      <w:r w:rsidRPr="006B4FCF">
        <w:rPr>
          <w:sz w:val="21"/>
          <w:szCs w:val="21"/>
        </w:rPr>
        <w:t xml:space="preserve">to a state, local, or territorial public health department to facilitate and strengthen their epidemiologic capacity and public health preparedness. </w:t>
      </w:r>
      <w:r w:rsidR="00F64000" w:rsidRPr="006B4FCF">
        <w:rPr>
          <w:rFonts w:eastAsia="Arial Unicode MS"/>
          <w:sz w:val="21"/>
          <w:szCs w:val="21"/>
        </w:rPr>
        <w:t xml:space="preserve">Prior to these assignments, </w:t>
      </w:r>
      <w:r w:rsidRPr="006B4FCF">
        <w:rPr>
          <w:sz w:val="21"/>
          <w:szCs w:val="21"/>
        </w:rPr>
        <w:t xml:space="preserve">CEFOs have completed CDC’s Epidemic Intelligence Service training </w:t>
      </w:r>
      <w:r w:rsidR="00AF4349" w:rsidRPr="006B4FCF">
        <w:rPr>
          <w:sz w:val="21"/>
          <w:szCs w:val="21"/>
        </w:rPr>
        <w:t>program</w:t>
      </w:r>
      <w:r w:rsidR="00AF4349">
        <w:rPr>
          <w:color w:val="0D0D0D"/>
          <w:sz w:val="21"/>
          <w:szCs w:val="21"/>
          <w:vertAlign w:val="superscript"/>
        </w:rPr>
        <w:t>2</w:t>
      </w:r>
      <w:r w:rsidR="00AF4349" w:rsidRPr="006B4FCF">
        <w:rPr>
          <w:sz w:val="21"/>
          <w:szCs w:val="21"/>
        </w:rPr>
        <w:t xml:space="preserve"> </w:t>
      </w:r>
      <w:r w:rsidRPr="006B4FCF">
        <w:rPr>
          <w:sz w:val="21"/>
          <w:szCs w:val="21"/>
        </w:rPr>
        <w:t xml:space="preserve">or comparable training. CEFOs </w:t>
      </w:r>
      <w:r w:rsidR="00755FB7" w:rsidRPr="006B4FCF">
        <w:rPr>
          <w:rFonts w:eastAsia="Arial Unicode MS"/>
          <w:sz w:val="21"/>
          <w:szCs w:val="21"/>
        </w:rPr>
        <w:t>are professionals with experience in epidemiology and surveillance, public health preparedness, research, training, and policy development.</w:t>
      </w:r>
    </w:p>
    <w:p w:rsidR="006B4FCF" w:rsidRPr="006B4FCF" w:rsidRDefault="006B4FCF" w:rsidP="005D783D">
      <w:pPr>
        <w:pStyle w:val="Default"/>
        <w:rPr>
          <w:bCs/>
          <w:sz w:val="21"/>
          <w:szCs w:val="21"/>
        </w:rPr>
      </w:pPr>
    </w:p>
    <w:p w:rsidR="005D783D" w:rsidRPr="006B4FCF" w:rsidRDefault="005D783D" w:rsidP="005D783D">
      <w:pPr>
        <w:pStyle w:val="Default"/>
        <w:rPr>
          <w:bCs/>
          <w:sz w:val="21"/>
          <w:szCs w:val="21"/>
        </w:rPr>
      </w:pPr>
      <w:r w:rsidRPr="006B4FCF">
        <w:rPr>
          <w:bCs/>
          <w:sz w:val="21"/>
          <w:szCs w:val="21"/>
        </w:rPr>
        <w:t>CEFO activities include:</w:t>
      </w:r>
    </w:p>
    <w:p w:rsidR="005D783D" w:rsidRPr="006B4FCF" w:rsidRDefault="005D783D" w:rsidP="005D783D">
      <w:pPr>
        <w:pStyle w:val="Default"/>
        <w:numPr>
          <w:ilvl w:val="0"/>
          <w:numId w:val="16"/>
        </w:numPr>
        <w:rPr>
          <w:sz w:val="21"/>
          <w:szCs w:val="21"/>
        </w:rPr>
      </w:pPr>
      <w:r w:rsidRPr="006B4FCF">
        <w:rPr>
          <w:color w:val="auto"/>
          <w:sz w:val="21"/>
          <w:szCs w:val="21"/>
        </w:rPr>
        <w:t xml:space="preserve">Strengthening state and local surveillance systems </w:t>
      </w:r>
    </w:p>
    <w:p w:rsidR="005D783D" w:rsidRPr="006B4FCF" w:rsidRDefault="005D783D" w:rsidP="005D783D">
      <w:pPr>
        <w:pStyle w:val="Default"/>
        <w:numPr>
          <w:ilvl w:val="0"/>
          <w:numId w:val="16"/>
        </w:numPr>
        <w:rPr>
          <w:sz w:val="21"/>
          <w:szCs w:val="21"/>
        </w:rPr>
      </w:pPr>
      <w:r w:rsidRPr="006B4FCF">
        <w:rPr>
          <w:color w:val="auto"/>
          <w:sz w:val="21"/>
          <w:szCs w:val="21"/>
        </w:rPr>
        <w:t xml:space="preserve">Conducting outbreak investigations and response </w:t>
      </w:r>
    </w:p>
    <w:p w:rsidR="005D783D" w:rsidRPr="006B4FCF" w:rsidRDefault="005D783D" w:rsidP="005D783D">
      <w:pPr>
        <w:pStyle w:val="Default"/>
        <w:numPr>
          <w:ilvl w:val="0"/>
          <w:numId w:val="16"/>
        </w:numPr>
        <w:rPr>
          <w:sz w:val="21"/>
          <w:szCs w:val="21"/>
        </w:rPr>
      </w:pPr>
      <w:r w:rsidRPr="006B4FCF">
        <w:rPr>
          <w:color w:val="auto"/>
          <w:sz w:val="21"/>
          <w:szCs w:val="21"/>
        </w:rPr>
        <w:t>Developing response plans for major public health emergencies</w:t>
      </w:r>
    </w:p>
    <w:p w:rsidR="005D783D" w:rsidRPr="006B4FCF" w:rsidRDefault="005D783D" w:rsidP="005D783D">
      <w:pPr>
        <w:pStyle w:val="Default"/>
        <w:numPr>
          <w:ilvl w:val="0"/>
          <w:numId w:val="16"/>
        </w:numPr>
        <w:rPr>
          <w:sz w:val="21"/>
          <w:szCs w:val="21"/>
        </w:rPr>
      </w:pPr>
      <w:r w:rsidRPr="006B4FCF">
        <w:rPr>
          <w:color w:val="auto"/>
          <w:sz w:val="21"/>
          <w:szCs w:val="21"/>
        </w:rPr>
        <w:t>Building partnerships with government</w:t>
      </w:r>
      <w:r w:rsidR="00755FB7" w:rsidRPr="006B4FCF">
        <w:rPr>
          <w:color w:val="auto"/>
          <w:sz w:val="21"/>
          <w:szCs w:val="21"/>
        </w:rPr>
        <w:t xml:space="preserve"> </w:t>
      </w:r>
      <w:r w:rsidRPr="006B4FCF">
        <w:rPr>
          <w:color w:val="auto"/>
          <w:sz w:val="21"/>
          <w:szCs w:val="21"/>
        </w:rPr>
        <w:t>agencies and other organizations for emergency preparedness</w:t>
      </w:r>
    </w:p>
    <w:p w:rsidR="005D783D" w:rsidRPr="006B4FCF" w:rsidRDefault="005D783D" w:rsidP="005D783D">
      <w:pPr>
        <w:pStyle w:val="Default"/>
        <w:numPr>
          <w:ilvl w:val="0"/>
          <w:numId w:val="16"/>
        </w:numPr>
        <w:rPr>
          <w:sz w:val="21"/>
          <w:szCs w:val="21"/>
        </w:rPr>
      </w:pPr>
      <w:r w:rsidRPr="006B4FCF">
        <w:rPr>
          <w:color w:val="auto"/>
          <w:sz w:val="21"/>
          <w:szCs w:val="21"/>
        </w:rPr>
        <w:t xml:space="preserve">Serving as liaisons to CDC and </w:t>
      </w:r>
      <w:r w:rsidR="00AF4349">
        <w:rPr>
          <w:color w:val="auto"/>
          <w:sz w:val="21"/>
          <w:szCs w:val="21"/>
        </w:rPr>
        <w:t>U.S. Department of Health and Human Services</w:t>
      </w:r>
      <w:r w:rsidR="00AF4349" w:rsidRPr="006B4FCF">
        <w:rPr>
          <w:color w:val="auto"/>
          <w:sz w:val="21"/>
          <w:szCs w:val="21"/>
        </w:rPr>
        <w:t xml:space="preserve"> </w:t>
      </w:r>
      <w:r w:rsidRPr="006B4FCF">
        <w:rPr>
          <w:color w:val="auto"/>
          <w:sz w:val="21"/>
          <w:szCs w:val="21"/>
        </w:rPr>
        <w:t xml:space="preserve">response teams and other resources </w:t>
      </w:r>
    </w:p>
    <w:p w:rsidR="005D783D" w:rsidRPr="006B4FCF" w:rsidRDefault="005D783D" w:rsidP="005D783D">
      <w:pPr>
        <w:pStyle w:val="Default"/>
        <w:numPr>
          <w:ilvl w:val="0"/>
          <w:numId w:val="16"/>
        </w:numPr>
        <w:rPr>
          <w:sz w:val="21"/>
          <w:szCs w:val="21"/>
        </w:rPr>
      </w:pPr>
      <w:r w:rsidRPr="006B4FCF">
        <w:rPr>
          <w:color w:val="auto"/>
          <w:sz w:val="21"/>
          <w:szCs w:val="21"/>
        </w:rPr>
        <w:t xml:space="preserve">Leading portions of the state’s planning and response activities for pandemic influenza </w:t>
      </w:r>
    </w:p>
    <w:p w:rsidR="005D783D" w:rsidRPr="006B4FCF" w:rsidRDefault="005D783D" w:rsidP="005D783D">
      <w:pPr>
        <w:pStyle w:val="Default"/>
        <w:numPr>
          <w:ilvl w:val="0"/>
          <w:numId w:val="16"/>
        </w:numPr>
        <w:rPr>
          <w:sz w:val="21"/>
          <w:szCs w:val="21"/>
        </w:rPr>
      </w:pPr>
      <w:r w:rsidRPr="006B4FCF">
        <w:rPr>
          <w:color w:val="auto"/>
          <w:sz w:val="21"/>
          <w:szCs w:val="21"/>
        </w:rPr>
        <w:t xml:space="preserve">Leading or participating in </w:t>
      </w:r>
      <w:r w:rsidR="00755FB7" w:rsidRPr="006B4FCF">
        <w:rPr>
          <w:color w:val="auto"/>
          <w:sz w:val="21"/>
          <w:szCs w:val="21"/>
        </w:rPr>
        <w:t xml:space="preserve">federal, </w:t>
      </w:r>
      <w:r w:rsidRPr="006B4FCF">
        <w:rPr>
          <w:color w:val="auto"/>
          <w:sz w:val="21"/>
          <w:szCs w:val="21"/>
        </w:rPr>
        <w:t xml:space="preserve">state or local emergency response exercises </w:t>
      </w:r>
    </w:p>
    <w:p w:rsidR="005D783D" w:rsidRPr="006B4FCF" w:rsidRDefault="005D783D" w:rsidP="005D783D">
      <w:pPr>
        <w:pStyle w:val="Default"/>
        <w:numPr>
          <w:ilvl w:val="0"/>
          <w:numId w:val="16"/>
        </w:numPr>
        <w:rPr>
          <w:sz w:val="21"/>
          <w:szCs w:val="21"/>
        </w:rPr>
      </w:pPr>
      <w:r w:rsidRPr="006B4FCF">
        <w:rPr>
          <w:color w:val="auto"/>
          <w:sz w:val="21"/>
          <w:szCs w:val="21"/>
        </w:rPr>
        <w:t xml:space="preserve">Providing expertise on the design of epidemiologic investigations, conducting studies as appropriate, analyzing data, and publishing findings </w:t>
      </w:r>
    </w:p>
    <w:p w:rsidR="005D783D" w:rsidRPr="006B4FCF" w:rsidRDefault="005D783D" w:rsidP="00376AFE">
      <w:pPr>
        <w:pStyle w:val="Default"/>
        <w:rPr>
          <w:sz w:val="21"/>
          <w:szCs w:val="21"/>
        </w:rPr>
      </w:pPr>
    </w:p>
    <w:p w:rsidR="00376AFE" w:rsidRPr="006B4FCF" w:rsidRDefault="00B03060" w:rsidP="00376AFE">
      <w:pPr>
        <w:pStyle w:val="Default"/>
        <w:rPr>
          <w:sz w:val="21"/>
          <w:szCs w:val="21"/>
        </w:rPr>
      </w:pPr>
      <w:r w:rsidRPr="006B4FCF">
        <w:rPr>
          <w:sz w:val="21"/>
          <w:szCs w:val="21"/>
        </w:rPr>
        <w:t xml:space="preserve">CEFOs are assigned </w:t>
      </w:r>
      <w:r w:rsidR="009617BE" w:rsidRPr="006B4FCF">
        <w:rPr>
          <w:sz w:val="21"/>
          <w:szCs w:val="21"/>
        </w:rPr>
        <w:t xml:space="preserve">to state, local, or territorial public health departments </w:t>
      </w:r>
      <w:r w:rsidRPr="006B4FCF">
        <w:rPr>
          <w:sz w:val="21"/>
          <w:szCs w:val="21"/>
        </w:rPr>
        <w:t xml:space="preserve">by request. </w:t>
      </w:r>
      <w:r w:rsidR="009617BE" w:rsidRPr="006B4FCF">
        <w:rPr>
          <w:sz w:val="21"/>
          <w:szCs w:val="21"/>
        </w:rPr>
        <w:t>H</w:t>
      </w:r>
      <w:r w:rsidR="00376AFE" w:rsidRPr="006B4FCF">
        <w:rPr>
          <w:sz w:val="21"/>
          <w:szCs w:val="21"/>
        </w:rPr>
        <w:t>ealth department</w:t>
      </w:r>
      <w:r w:rsidR="009617BE" w:rsidRPr="006B4FCF">
        <w:rPr>
          <w:sz w:val="21"/>
          <w:szCs w:val="21"/>
        </w:rPr>
        <w:t>s</w:t>
      </w:r>
      <w:r w:rsidR="00376AFE" w:rsidRPr="006B4FCF">
        <w:rPr>
          <w:sz w:val="21"/>
          <w:szCs w:val="21"/>
        </w:rPr>
        <w:t xml:space="preserve"> may contact the CEFO Program </w:t>
      </w:r>
      <w:r w:rsidRPr="006B4FCF">
        <w:rPr>
          <w:sz w:val="21"/>
          <w:szCs w:val="21"/>
        </w:rPr>
        <w:t>to initiate</w:t>
      </w:r>
      <w:r w:rsidR="00376AFE" w:rsidRPr="006B4FCF">
        <w:rPr>
          <w:sz w:val="21"/>
          <w:szCs w:val="21"/>
        </w:rPr>
        <w:t xml:space="preserve"> a request for a CEFO. </w:t>
      </w:r>
      <w:r w:rsidRPr="006B4FCF">
        <w:rPr>
          <w:sz w:val="21"/>
          <w:szCs w:val="21"/>
        </w:rPr>
        <w:t xml:space="preserve">Once the request is approved, </w:t>
      </w:r>
      <w:r w:rsidR="00376AFE" w:rsidRPr="006B4FCF">
        <w:rPr>
          <w:sz w:val="21"/>
          <w:szCs w:val="21"/>
        </w:rPr>
        <w:t xml:space="preserve">CEFO Program </w:t>
      </w:r>
      <w:r w:rsidRPr="006B4FCF">
        <w:rPr>
          <w:sz w:val="21"/>
          <w:szCs w:val="21"/>
        </w:rPr>
        <w:t>s</w:t>
      </w:r>
      <w:r w:rsidR="00376AFE" w:rsidRPr="006B4FCF">
        <w:rPr>
          <w:sz w:val="21"/>
          <w:szCs w:val="21"/>
        </w:rPr>
        <w:t>taff</w:t>
      </w:r>
      <w:r w:rsidRPr="006B4FCF">
        <w:rPr>
          <w:sz w:val="21"/>
          <w:szCs w:val="21"/>
        </w:rPr>
        <w:t xml:space="preserve"> </w:t>
      </w:r>
      <w:r w:rsidR="00376AFE" w:rsidRPr="006B4FCF">
        <w:rPr>
          <w:sz w:val="21"/>
          <w:szCs w:val="21"/>
        </w:rPr>
        <w:t xml:space="preserve">work closely with the </w:t>
      </w:r>
      <w:r w:rsidRPr="006B4FCF">
        <w:rPr>
          <w:sz w:val="21"/>
          <w:szCs w:val="21"/>
        </w:rPr>
        <w:t xml:space="preserve">requesting </w:t>
      </w:r>
      <w:r w:rsidR="00376AFE" w:rsidRPr="006B4FCF">
        <w:rPr>
          <w:sz w:val="21"/>
          <w:szCs w:val="21"/>
        </w:rPr>
        <w:t xml:space="preserve">health department </w:t>
      </w:r>
      <w:r w:rsidRPr="006B4FCF">
        <w:rPr>
          <w:sz w:val="21"/>
          <w:szCs w:val="21"/>
        </w:rPr>
        <w:t xml:space="preserve">to </w:t>
      </w:r>
      <w:r w:rsidR="00376AFE" w:rsidRPr="006B4FCF">
        <w:rPr>
          <w:sz w:val="21"/>
          <w:szCs w:val="21"/>
        </w:rPr>
        <w:t>identif</w:t>
      </w:r>
      <w:r w:rsidRPr="006B4FCF">
        <w:rPr>
          <w:sz w:val="21"/>
          <w:szCs w:val="21"/>
        </w:rPr>
        <w:t xml:space="preserve">y </w:t>
      </w:r>
      <w:r w:rsidR="00376AFE" w:rsidRPr="006B4FCF">
        <w:rPr>
          <w:sz w:val="21"/>
          <w:szCs w:val="21"/>
        </w:rPr>
        <w:t xml:space="preserve">priority </w:t>
      </w:r>
      <w:r w:rsidR="009617BE" w:rsidRPr="006B4FCF">
        <w:rPr>
          <w:sz w:val="21"/>
          <w:szCs w:val="21"/>
        </w:rPr>
        <w:t xml:space="preserve">areas of </w:t>
      </w:r>
      <w:r w:rsidR="00376AFE" w:rsidRPr="006B4FCF">
        <w:rPr>
          <w:sz w:val="21"/>
          <w:szCs w:val="21"/>
        </w:rPr>
        <w:t xml:space="preserve">work and coordinate recruitment of CEFO candidates. Assignments take into account several factors, </w:t>
      </w:r>
      <w:r w:rsidRPr="006B4FCF">
        <w:rPr>
          <w:sz w:val="21"/>
          <w:szCs w:val="21"/>
        </w:rPr>
        <w:t>including</w:t>
      </w:r>
      <w:r w:rsidR="00AF4349">
        <w:rPr>
          <w:sz w:val="21"/>
          <w:szCs w:val="21"/>
        </w:rPr>
        <w:t>:</w:t>
      </w:r>
      <w:r w:rsidR="00376AFE" w:rsidRPr="006B4FCF">
        <w:rPr>
          <w:sz w:val="21"/>
          <w:szCs w:val="21"/>
        </w:rPr>
        <w:t xml:space="preserve"> </w:t>
      </w:r>
    </w:p>
    <w:p w:rsidR="00376AFE" w:rsidRPr="006B4FCF" w:rsidRDefault="00376AFE" w:rsidP="00376AFE">
      <w:pPr>
        <w:pStyle w:val="Default"/>
        <w:numPr>
          <w:ilvl w:val="0"/>
          <w:numId w:val="16"/>
        </w:numPr>
        <w:rPr>
          <w:sz w:val="21"/>
          <w:szCs w:val="21"/>
        </w:rPr>
      </w:pPr>
      <w:r w:rsidRPr="006B4FCF">
        <w:rPr>
          <w:color w:val="auto"/>
          <w:sz w:val="21"/>
          <w:szCs w:val="21"/>
        </w:rPr>
        <w:t>Potential risk for major public health emergencies</w:t>
      </w:r>
    </w:p>
    <w:p w:rsidR="00376AFE" w:rsidRPr="006B4FCF" w:rsidRDefault="00376AFE" w:rsidP="00376AFE">
      <w:pPr>
        <w:pStyle w:val="Default"/>
        <w:numPr>
          <w:ilvl w:val="0"/>
          <w:numId w:val="16"/>
        </w:numPr>
        <w:rPr>
          <w:sz w:val="21"/>
          <w:szCs w:val="21"/>
        </w:rPr>
      </w:pPr>
      <w:r w:rsidRPr="006B4FCF">
        <w:rPr>
          <w:color w:val="auto"/>
          <w:sz w:val="21"/>
          <w:szCs w:val="21"/>
        </w:rPr>
        <w:t>Existing epidemiologic capacity</w:t>
      </w:r>
    </w:p>
    <w:p w:rsidR="00376AFE" w:rsidRPr="006B4FCF" w:rsidRDefault="00E94953" w:rsidP="00376AFE">
      <w:pPr>
        <w:pStyle w:val="Default"/>
        <w:numPr>
          <w:ilvl w:val="0"/>
          <w:numId w:val="16"/>
        </w:numPr>
        <w:rPr>
          <w:sz w:val="21"/>
          <w:szCs w:val="21"/>
        </w:rPr>
      </w:pPr>
      <w:r>
        <w:rPr>
          <w:color w:val="auto"/>
          <w:sz w:val="21"/>
          <w:szCs w:val="21"/>
        </w:rPr>
        <w:t xml:space="preserve">The requesting public health </w:t>
      </w:r>
      <w:r w:rsidR="00033D76">
        <w:rPr>
          <w:color w:val="auto"/>
          <w:sz w:val="21"/>
          <w:szCs w:val="21"/>
        </w:rPr>
        <w:t>department’s</w:t>
      </w:r>
      <w:r w:rsidR="00033D76" w:rsidRPr="006B4FCF">
        <w:rPr>
          <w:color w:val="auto"/>
          <w:sz w:val="21"/>
          <w:szCs w:val="21"/>
        </w:rPr>
        <w:t xml:space="preserve"> commitment</w:t>
      </w:r>
      <w:r w:rsidR="00376AFE" w:rsidRPr="006B4FCF">
        <w:rPr>
          <w:color w:val="auto"/>
          <w:sz w:val="21"/>
          <w:szCs w:val="21"/>
        </w:rPr>
        <w:t xml:space="preserve"> to support and utilize the skills and knowledge of a CEFO assignee</w:t>
      </w:r>
    </w:p>
    <w:p w:rsidR="00376AFE" w:rsidRPr="006B4FCF" w:rsidRDefault="00376AFE" w:rsidP="00376AFE">
      <w:pPr>
        <w:pStyle w:val="Default"/>
        <w:rPr>
          <w:sz w:val="21"/>
          <w:szCs w:val="21"/>
        </w:rPr>
      </w:pPr>
    </w:p>
    <w:p w:rsidR="00376AFE" w:rsidRPr="006B4FCF" w:rsidRDefault="00EE2C01" w:rsidP="00376AFE">
      <w:pPr>
        <w:pStyle w:val="Default"/>
        <w:rPr>
          <w:sz w:val="21"/>
          <w:szCs w:val="21"/>
        </w:rPr>
      </w:pPr>
      <w:r>
        <w:rPr>
          <w:rFonts w:eastAsia="Arial Unicode MS"/>
          <w:sz w:val="21"/>
          <w:szCs w:val="21"/>
        </w:rPr>
        <w:t xml:space="preserve">CEFO positions are funded through </w:t>
      </w:r>
      <w:r w:rsidR="00AF4349">
        <w:rPr>
          <w:rFonts w:eastAsia="Arial Unicode MS"/>
          <w:sz w:val="21"/>
          <w:szCs w:val="21"/>
        </w:rPr>
        <w:t xml:space="preserve">CDC’s </w:t>
      </w:r>
      <w:r>
        <w:rPr>
          <w:rFonts w:eastAsia="Arial Unicode MS"/>
          <w:sz w:val="21"/>
          <w:szCs w:val="21"/>
        </w:rPr>
        <w:t xml:space="preserve">Public Health Emergency Preparedness cooperative agreement. </w:t>
      </w:r>
      <w:r w:rsidRPr="00517093">
        <w:rPr>
          <w:rFonts w:eastAsia="Arial Unicode MS"/>
          <w:sz w:val="21"/>
          <w:szCs w:val="21"/>
        </w:rPr>
        <w:t xml:space="preserve">The requesting agency </w:t>
      </w:r>
      <w:r>
        <w:rPr>
          <w:rFonts w:eastAsia="Arial Unicode MS"/>
          <w:sz w:val="21"/>
          <w:szCs w:val="21"/>
        </w:rPr>
        <w:t>supports an initial CEFO assignment of two years</w:t>
      </w:r>
      <w:r w:rsidRPr="00517093">
        <w:rPr>
          <w:rFonts w:eastAsia="Arial Unicode MS"/>
          <w:sz w:val="21"/>
          <w:szCs w:val="21"/>
        </w:rPr>
        <w:t xml:space="preserve"> with the option to renew the request annually.</w:t>
      </w:r>
      <w:r>
        <w:rPr>
          <w:rFonts w:eastAsia="Arial Unicode MS"/>
          <w:sz w:val="21"/>
          <w:szCs w:val="21"/>
        </w:rPr>
        <w:t xml:space="preserve"> </w:t>
      </w:r>
      <w:r w:rsidR="00376AFE" w:rsidRPr="006B4FCF">
        <w:rPr>
          <w:sz w:val="21"/>
          <w:szCs w:val="21"/>
        </w:rPr>
        <w:t xml:space="preserve">As of </w:t>
      </w:r>
      <w:r w:rsidR="003A279C" w:rsidRPr="006B4FCF">
        <w:rPr>
          <w:sz w:val="21"/>
          <w:szCs w:val="21"/>
        </w:rPr>
        <w:t>October 2010, there are 30 CEFO assignees located in 23</w:t>
      </w:r>
      <w:r w:rsidR="00376AFE" w:rsidRPr="006B4FCF">
        <w:rPr>
          <w:sz w:val="21"/>
          <w:szCs w:val="21"/>
        </w:rPr>
        <w:t xml:space="preserve"> state or local public health departments.</w:t>
      </w:r>
    </w:p>
    <w:p w:rsidR="00376AFE" w:rsidRPr="006B4FCF" w:rsidRDefault="00376AFE" w:rsidP="00376AFE">
      <w:pPr>
        <w:pStyle w:val="Default"/>
        <w:rPr>
          <w:sz w:val="21"/>
          <w:szCs w:val="21"/>
        </w:rPr>
      </w:pPr>
    </w:p>
    <w:p w:rsidR="00EE2C01" w:rsidRPr="00AF4349" w:rsidRDefault="00E61235" w:rsidP="00755FB7">
      <w:pPr>
        <w:pStyle w:val="Default"/>
        <w:rPr>
          <w:sz w:val="20"/>
          <w:szCs w:val="20"/>
        </w:rPr>
      </w:pPr>
      <w:r w:rsidRPr="006B4FCF">
        <w:rPr>
          <w:rFonts w:eastAsia="Arial Unicode MS"/>
          <w:sz w:val="21"/>
          <w:szCs w:val="21"/>
        </w:rPr>
        <w:t xml:space="preserve">Visit </w:t>
      </w:r>
      <w:hyperlink r:id="rId10" w:history="1">
        <w:r w:rsidRPr="006B4FCF">
          <w:rPr>
            <w:rStyle w:val="Hyperlink"/>
            <w:rFonts w:eastAsia="Arial Unicode MS" w:cs="Arial"/>
            <w:sz w:val="21"/>
            <w:szCs w:val="21"/>
          </w:rPr>
          <w:t>http://emergency.cdc.gov/cdcpreparedness/science/cefo.asp</w:t>
        </w:r>
      </w:hyperlink>
      <w:r w:rsidRPr="006B4FCF">
        <w:rPr>
          <w:rFonts w:eastAsia="Arial Unicode MS"/>
          <w:color w:val="1F497D"/>
          <w:sz w:val="21"/>
          <w:szCs w:val="21"/>
        </w:rPr>
        <w:t xml:space="preserve"> </w:t>
      </w:r>
      <w:r w:rsidRPr="006B4FCF">
        <w:rPr>
          <w:rFonts w:eastAsia="Arial Unicode MS"/>
          <w:color w:val="auto"/>
          <w:sz w:val="21"/>
          <w:szCs w:val="21"/>
        </w:rPr>
        <w:t xml:space="preserve">for additional information </w:t>
      </w:r>
      <w:r w:rsidR="00A80DFD">
        <w:rPr>
          <w:rFonts w:eastAsia="Arial Unicode MS"/>
          <w:color w:val="auto"/>
          <w:sz w:val="21"/>
          <w:szCs w:val="21"/>
        </w:rPr>
        <w:t xml:space="preserve">about the CEFO Program. </w:t>
      </w:r>
      <w:r w:rsidRPr="006B4FCF">
        <w:rPr>
          <w:rFonts w:eastAsia="Arial Unicode MS"/>
          <w:color w:val="auto"/>
          <w:sz w:val="21"/>
          <w:szCs w:val="21"/>
        </w:rPr>
        <w:t>For questions, contact the CEFO Program directly</w:t>
      </w:r>
      <w:r w:rsidRPr="006B4FCF">
        <w:rPr>
          <w:rFonts w:eastAsia="Arial Unicode MS"/>
          <w:color w:val="1F497D"/>
          <w:sz w:val="21"/>
          <w:szCs w:val="21"/>
        </w:rPr>
        <w:t xml:space="preserve"> </w:t>
      </w:r>
      <w:r w:rsidRPr="006B4FCF">
        <w:rPr>
          <w:rFonts w:eastAsia="Arial Unicode MS"/>
          <w:sz w:val="21"/>
          <w:szCs w:val="21"/>
        </w:rPr>
        <w:t xml:space="preserve">at </w:t>
      </w:r>
      <w:hyperlink r:id="rId11" w:history="1">
        <w:r w:rsidRPr="006B4FCF">
          <w:rPr>
            <w:rStyle w:val="Hyperlink"/>
            <w:rFonts w:eastAsia="Arial Unicode MS" w:cs="Arial"/>
            <w:color w:val="auto"/>
            <w:sz w:val="21"/>
            <w:szCs w:val="21"/>
          </w:rPr>
          <w:t>cefo@cdc.gov</w:t>
        </w:r>
      </w:hyperlink>
      <w:r w:rsidRPr="006B4FCF">
        <w:rPr>
          <w:rFonts w:eastAsia="Arial Unicode MS"/>
          <w:sz w:val="21"/>
          <w:szCs w:val="21"/>
        </w:rPr>
        <w:t xml:space="preserve"> or </w:t>
      </w:r>
      <w:r w:rsidRPr="006B4FCF">
        <w:rPr>
          <w:color w:val="auto"/>
          <w:sz w:val="21"/>
          <w:szCs w:val="21"/>
        </w:rPr>
        <w:t>(770) 488-2624</w:t>
      </w:r>
      <w:r w:rsidRPr="006B4FCF">
        <w:rPr>
          <w:rFonts w:eastAsia="Arial Unicode MS"/>
          <w:color w:val="auto"/>
          <w:sz w:val="21"/>
          <w:szCs w:val="21"/>
        </w:rPr>
        <w:t>.</w:t>
      </w:r>
    </w:p>
    <w:sectPr w:rsidR="00EE2C01" w:rsidRPr="00AF4349" w:rsidSect="002929CD">
      <w:type w:val="continuous"/>
      <w:pgSz w:w="12240" w:h="15840"/>
      <w:pgMar w:top="1080" w:right="1152" w:bottom="2160" w:left="122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C6B" w:rsidRDefault="00691C6B">
      <w:r>
        <w:separator/>
      </w:r>
    </w:p>
  </w:endnote>
  <w:endnote w:type="continuationSeparator" w:id="0">
    <w:p w:rsidR="00691C6B" w:rsidRDefault="00691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C6B" w:rsidRPr="00AB6752" w:rsidRDefault="001102E0">
    <w:pPr>
      <w:pStyle w:val="Footer"/>
      <w:rPr>
        <w:rFonts w:ascii="Arial" w:hAnsi="Arial" w:cs="Arial"/>
        <w:color w:val="C0C0C0"/>
        <w:sz w:val="16"/>
        <w:szCs w:val="16"/>
      </w:rPr>
    </w:pPr>
    <w:r w:rsidRPr="001102E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6.6pt;margin-top:-20.05pt;width:99pt;height:18pt;z-index:251658752" stroked="f">
          <v:textbox style="mso-next-textbox:#_x0000_s2050">
            <w:txbxContent>
              <w:p w:rsidR="00691C6B" w:rsidRDefault="0070022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March </w:t>
                </w:r>
                <w:r w:rsidR="00B6730B">
                  <w:rPr>
                    <w:rFonts w:ascii="Arial" w:hAnsi="Arial" w:cs="Arial"/>
                    <w:sz w:val="16"/>
                    <w:szCs w:val="16"/>
                  </w:rPr>
                  <w:t>14, 2011</w:t>
                </w:r>
              </w:p>
              <w:p w:rsidR="00691C6B" w:rsidRPr="00AF7193" w:rsidRDefault="00691C6B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</w:txbxContent>
          </v:textbox>
        </v:shape>
      </w:pict>
    </w:r>
    <w:r w:rsidR="00691C6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-373380</wp:posOffset>
          </wp:positionH>
          <wp:positionV relativeFrom="paragraph">
            <wp:posOffset>-445135</wp:posOffset>
          </wp:positionV>
          <wp:extent cx="1400175" cy="819150"/>
          <wp:effectExtent l="19050" t="0" r="9525" b="0"/>
          <wp:wrapNone/>
          <wp:docPr id="3" name="Picture 3" descr="HHS-CDCcolor[1]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HS-CDCcolor[1]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1C6B" w:rsidRPr="004C07C6">
      <w:rPr>
        <w:rFonts w:ascii="Arial" w:hAnsi="Arial" w:cs="Arial"/>
        <w:color w:val="C0C0C0"/>
      </w:rPr>
      <w:t xml:space="preserve">                                                                                       </w:t>
    </w:r>
    <w:r w:rsidR="00691C6B">
      <w:rPr>
        <w:rFonts w:ascii="Arial" w:hAnsi="Arial" w:cs="Arial"/>
        <w:color w:val="C0C0C0"/>
      </w:rPr>
      <w:t xml:space="preserve">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C6B" w:rsidRDefault="00691C6B">
      <w:r>
        <w:separator/>
      </w:r>
    </w:p>
  </w:footnote>
  <w:footnote w:type="continuationSeparator" w:id="0">
    <w:p w:rsidR="00691C6B" w:rsidRDefault="00691C6B">
      <w:r>
        <w:continuationSeparator/>
      </w:r>
    </w:p>
  </w:footnote>
  <w:footnote w:id="1">
    <w:p w:rsidR="00691C6B" w:rsidRDefault="00691C6B">
      <w:pPr>
        <w:pStyle w:val="FootnoteText"/>
        <w:rPr>
          <w:rFonts w:ascii="Arial" w:hAnsi="Arial" w:cs="Arial"/>
          <w:sz w:val="16"/>
          <w:szCs w:val="16"/>
        </w:rPr>
      </w:pPr>
      <w:r w:rsidRPr="00E91459">
        <w:rPr>
          <w:rStyle w:val="FootnoteReference"/>
          <w:rFonts w:ascii="Arial" w:hAnsi="Arial" w:cs="Arial"/>
          <w:sz w:val="16"/>
          <w:szCs w:val="16"/>
        </w:rPr>
        <w:footnoteRef/>
      </w:r>
      <w:r w:rsidRPr="00E91459">
        <w:rPr>
          <w:rFonts w:ascii="Arial" w:hAnsi="Arial" w:cs="Arial"/>
          <w:sz w:val="16"/>
          <w:szCs w:val="16"/>
        </w:rPr>
        <w:t xml:space="preserve"> </w:t>
      </w:r>
      <w:r w:rsidR="00C12C34">
        <w:rPr>
          <w:rFonts w:ascii="Arial" w:hAnsi="Arial" w:cs="Arial"/>
          <w:sz w:val="16"/>
          <w:szCs w:val="16"/>
        </w:rPr>
        <w:t xml:space="preserve">Located in the </w:t>
      </w:r>
      <w:r w:rsidRPr="00E91459">
        <w:rPr>
          <w:rFonts w:ascii="Arial" w:hAnsi="Arial" w:cs="Arial"/>
          <w:sz w:val="16"/>
          <w:szCs w:val="16"/>
        </w:rPr>
        <w:t>Office of Science and Public Health Practice in CDC’s Office of Public Health Preparedness and Response</w:t>
      </w:r>
    </w:p>
    <w:p w:rsidR="00691C6B" w:rsidRDefault="00691C6B" w:rsidP="00691C6B">
      <w:pPr>
        <w:pStyle w:val="Default"/>
        <w:rPr>
          <w:sz w:val="16"/>
          <w:szCs w:val="16"/>
        </w:rPr>
      </w:pPr>
      <w:r w:rsidRPr="00691C6B">
        <w:rPr>
          <w:smallCaps/>
          <w:sz w:val="16"/>
          <w:szCs w:val="16"/>
          <w:vertAlign w:val="superscript"/>
        </w:rPr>
        <w:t>2</w:t>
      </w:r>
      <w:r w:rsidRPr="006B4FCF">
        <w:rPr>
          <w:sz w:val="16"/>
          <w:szCs w:val="16"/>
        </w:rPr>
        <w:t xml:space="preserve"> Epidemic Intelligence Service (EIS) is a unique 2-year post-graduate training program of service and on-the-job learning in applied </w:t>
      </w:r>
      <w:r w:rsidR="002929CD">
        <w:rPr>
          <w:sz w:val="16"/>
          <w:szCs w:val="16"/>
        </w:rPr>
        <w:t xml:space="preserve">        </w:t>
      </w:r>
      <w:r w:rsidRPr="006B4FCF">
        <w:rPr>
          <w:sz w:val="16"/>
          <w:szCs w:val="16"/>
        </w:rPr>
        <w:t xml:space="preserve">epidemiology. More info may be found at </w:t>
      </w:r>
      <w:hyperlink r:id="rId1" w:history="1">
        <w:r w:rsidRPr="006B4FCF">
          <w:rPr>
            <w:rStyle w:val="Hyperlink"/>
            <w:rFonts w:cs="Arial"/>
            <w:sz w:val="16"/>
            <w:szCs w:val="16"/>
          </w:rPr>
          <w:t>http://www.cdc.gov/eis/index.html</w:t>
        </w:r>
      </w:hyperlink>
      <w:r w:rsidRPr="006B4FCF">
        <w:rPr>
          <w:sz w:val="16"/>
          <w:szCs w:val="16"/>
        </w:rPr>
        <w:t xml:space="preserve">. </w:t>
      </w:r>
    </w:p>
    <w:p w:rsidR="002929CD" w:rsidRPr="00AF4349" w:rsidRDefault="002929CD" w:rsidP="00691C6B">
      <w:pPr>
        <w:pStyle w:val="Defaul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E0" w:rsidRDefault="001102E0">
    <w:pPr>
      <w:pStyle w:val="Header"/>
      <w:tabs>
        <w:tab w:val="clear" w:pos="4320"/>
        <w:tab w:val="clear" w:pos="8640"/>
        <w:tab w:val="right" w:pos="9504"/>
      </w:tabs>
    </w:pPr>
    <w:r>
      <w:rPr>
        <w:noProof/>
      </w:rPr>
      <w:pict>
        <v:rect id="_x0000_s2049" style="position:absolute;margin-left:-35.4pt;margin-top:24.05pt;width:554.25pt;height:697.5pt;z-index:251656704" strokecolor="#0065b0" strokeweight="1.5pt"/>
      </w:pict>
    </w:r>
    <w:r w:rsidR="003A2236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4E3C"/>
    <w:multiLevelType w:val="hybridMultilevel"/>
    <w:tmpl w:val="3C364438"/>
    <w:lvl w:ilvl="0" w:tplc="6546C8E8">
      <w:start w:val="1"/>
      <w:numFmt w:val="bullet"/>
      <w:lvlText w:val=""/>
      <w:lvlJc w:val="left"/>
      <w:pPr>
        <w:ind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5145D"/>
    <w:multiLevelType w:val="hybridMultilevel"/>
    <w:tmpl w:val="C9C0506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8A3E15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1F497D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FA4C9D"/>
    <w:multiLevelType w:val="hybridMultilevel"/>
    <w:tmpl w:val="AC2461F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CF9301F"/>
    <w:multiLevelType w:val="hybridMultilevel"/>
    <w:tmpl w:val="A77231D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0DE1F65"/>
    <w:multiLevelType w:val="hybridMultilevel"/>
    <w:tmpl w:val="02967B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2E43AC0"/>
    <w:multiLevelType w:val="hybridMultilevel"/>
    <w:tmpl w:val="48DA4D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EA237B3"/>
    <w:multiLevelType w:val="hybridMultilevel"/>
    <w:tmpl w:val="2234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23795"/>
    <w:multiLevelType w:val="hybridMultilevel"/>
    <w:tmpl w:val="1A86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04916"/>
    <w:multiLevelType w:val="hybridMultilevel"/>
    <w:tmpl w:val="2CE47FE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54A5BF1"/>
    <w:multiLevelType w:val="hybridMultilevel"/>
    <w:tmpl w:val="D3C26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57307EE"/>
    <w:multiLevelType w:val="hybridMultilevel"/>
    <w:tmpl w:val="B92E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D76EE"/>
    <w:multiLevelType w:val="hybridMultilevel"/>
    <w:tmpl w:val="C910EA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E736E3B"/>
    <w:multiLevelType w:val="hybridMultilevel"/>
    <w:tmpl w:val="5A5CD1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3E978BD"/>
    <w:multiLevelType w:val="hybridMultilevel"/>
    <w:tmpl w:val="7F9AB2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7403257"/>
    <w:multiLevelType w:val="hybridMultilevel"/>
    <w:tmpl w:val="F140B8F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AAC603B"/>
    <w:multiLevelType w:val="hybridMultilevel"/>
    <w:tmpl w:val="29DA02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11"/>
  </w:num>
  <w:num w:numId="9">
    <w:abstractNumId w:val="5"/>
  </w:num>
  <w:num w:numId="10">
    <w:abstractNumId w:val="12"/>
  </w:num>
  <w:num w:numId="11">
    <w:abstractNumId w:val="15"/>
  </w:num>
  <w:num w:numId="12">
    <w:abstractNumId w:val="3"/>
  </w:num>
  <w:num w:numId="13">
    <w:abstractNumId w:val="4"/>
  </w:num>
  <w:num w:numId="14">
    <w:abstractNumId w:val="13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401E"/>
    <w:rsid w:val="00007F74"/>
    <w:rsid w:val="00013C08"/>
    <w:rsid w:val="00015BB8"/>
    <w:rsid w:val="00021198"/>
    <w:rsid w:val="0002606A"/>
    <w:rsid w:val="000335CA"/>
    <w:rsid w:val="00033D76"/>
    <w:rsid w:val="00034ECF"/>
    <w:rsid w:val="00040449"/>
    <w:rsid w:val="00043F3C"/>
    <w:rsid w:val="00044D8B"/>
    <w:rsid w:val="00046D59"/>
    <w:rsid w:val="000515F9"/>
    <w:rsid w:val="000641AF"/>
    <w:rsid w:val="00071F5A"/>
    <w:rsid w:val="00073F8C"/>
    <w:rsid w:val="00084243"/>
    <w:rsid w:val="0009005C"/>
    <w:rsid w:val="00093A7C"/>
    <w:rsid w:val="000A227F"/>
    <w:rsid w:val="000A5CA9"/>
    <w:rsid w:val="000A5D91"/>
    <w:rsid w:val="000B0DA6"/>
    <w:rsid w:val="000B1635"/>
    <w:rsid w:val="000B25DC"/>
    <w:rsid w:val="000C63FB"/>
    <w:rsid w:val="000D19D2"/>
    <w:rsid w:val="000D364D"/>
    <w:rsid w:val="000D4F76"/>
    <w:rsid w:val="000F0A4A"/>
    <w:rsid w:val="000F1494"/>
    <w:rsid w:val="000F3BEE"/>
    <w:rsid w:val="000F44FF"/>
    <w:rsid w:val="001102E0"/>
    <w:rsid w:val="0011239E"/>
    <w:rsid w:val="00112E82"/>
    <w:rsid w:val="001170AB"/>
    <w:rsid w:val="00143B64"/>
    <w:rsid w:val="00147D67"/>
    <w:rsid w:val="00151EE5"/>
    <w:rsid w:val="00153531"/>
    <w:rsid w:val="001544A7"/>
    <w:rsid w:val="0015637C"/>
    <w:rsid w:val="00163700"/>
    <w:rsid w:val="00163CB3"/>
    <w:rsid w:val="001755EB"/>
    <w:rsid w:val="001777F2"/>
    <w:rsid w:val="00181F4F"/>
    <w:rsid w:val="0018202F"/>
    <w:rsid w:val="00182956"/>
    <w:rsid w:val="00183910"/>
    <w:rsid w:val="0018399D"/>
    <w:rsid w:val="00184D90"/>
    <w:rsid w:val="00195434"/>
    <w:rsid w:val="001A1132"/>
    <w:rsid w:val="001A3E0C"/>
    <w:rsid w:val="001A611C"/>
    <w:rsid w:val="001B0137"/>
    <w:rsid w:val="001B292E"/>
    <w:rsid w:val="001B6DF6"/>
    <w:rsid w:val="001E244C"/>
    <w:rsid w:val="001E3086"/>
    <w:rsid w:val="001E4E87"/>
    <w:rsid w:val="001F0F1F"/>
    <w:rsid w:val="00202D70"/>
    <w:rsid w:val="00204A38"/>
    <w:rsid w:val="00243165"/>
    <w:rsid w:val="00243DA1"/>
    <w:rsid w:val="00245524"/>
    <w:rsid w:val="00274A5F"/>
    <w:rsid w:val="00283A78"/>
    <w:rsid w:val="00287C58"/>
    <w:rsid w:val="002929CD"/>
    <w:rsid w:val="002D2538"/>
    <w:rsid w:val="002D4CC7"/>
    <w:rsid w:val="002D527E"/>
    <w:rsid w:val="002E549D"/>
    <w:rsid w:val="0030009E"/>
    <w:rsid w:val="00310223"/>
    <w:rsid w:val="0031056A"/>
    <w:rsid w:val="00313695"/>
    <w:rsid w:val="00313D3D"/>
    <w:rsid w:val="00322651"/>
    <w:rsid w:val="003300AD"/>
    <w:rsid w:val="003332F2"/>
    <w:rsid w:val="003368F7"/>
    <w:rsid w:val="00342177"/>
    <w:rsid w:val="00351BBE"/>
    <w:rsid w:val="00361DAF"/>
    <w:rsid w:val="00376AFE"/>
    <w:rsid w:val="0038397A"/>
    <w:rsid w:val="003912EE"/>
    <w:rsid w:val="003913C0"/>
    <w:rsid w:val="003A2236"/>
    <w:rsid w:val="003A279C"/>
    <w:rsid w:val="003A76BE"/>
    <w:rsid w:val="003E018C"/>
    <w:rsid w:val="003F15DC"/>
    <w:rsid w:val="003F40D8"/>
    <w:rsid w:val="0041109F"/>
    <w:rsid w:val="004136CC"/>
    <w:rsid w:val="00417A40"/>
    <w:rsid w:val="00425C43"/>
    <w:rsid w:val="00430E18"/>
    <w:rsid w:val="00431264"/>
    <w:rsid w:val="00432962"/>
    <w:rsid w:val="00444A75"/>
    <w:rsid w:val="00445DD8"/>
    <w:rsid w:val="00466EC2"/>
    <w:rsid w:val="00475FCC"/>
    <w:rsid w:val="00484455"/>
    <w:rsid w:val="004844C5"/>
    <w:rsid w:val="00486769"/>
    <w:rsid w:val="00492045"/>
    <w:rsid w:val="004B5571"/>
    <w:rsid w:val="004C07C6"/>
    <w:rsid w:val="004D09A1"/>
    <w:rsid w:val="004D3425"/>
    <w:rsid w:val="00512641"/>
    <w:rsid w:val="005217F1"/>
    <w:rsid w:val="00525781"/>
    <w:rsid w:val="0052597A"/>
    <w:rsid w:val="00534A66"/>
    <w:rsid w:val="00542D14"/>
    <w:rsid w:val="00552173"/>
    <w:rsid w:val="00564BD8"/>
    <w:rsid w:val="00580D0F"/>
    <w:rsid w:val="0058219A"/>
    <w:rsid w:val="0058345D"/>
    <w:rsid w:val="0059464C"/>
    <w:rsid w:val="0059637E"/>
    <w:rsid w:val="00596F2B"/>
    <w:rsid w:val="005A7686"/>
    <w:rsid w:val="005B7E75"/>
    <w:rsid w:val="005C341A"/>
    <w:rsid w:val="005C7CA9"/>
    <w:rsid w:val="005D0983"/>
    <w:rsid w:val="005D46BB"/>
    <w:rsid w:val="005D6F67"/>
    <w:rsid w:val="005D783D"/>
    <w:rsid w:val="005E6B7D"/>
    <w:rsid w:val="005E703B"/>
    <w:rsid w:val="005F5CC5"/>
    <w:rsid w:val="00607F8F"/>
    <w:rsid w:val="00616E9F"/>
    <w:rsid w:val="00633371"/>
    <w:rsid w:val="00636459"/>
    <w:rsid w:val="006407FD"/>
    <w:rsid w:val="00641BFC"/>
    <w:rsid w:val="00653967"/>
    <w:rsid w:val="00666E0A"/>
    <w:rsid w:val="00681EC5"/>
    <w:rsid w:val="00691C6B"/>
    <w:rsid w:val="00693097"/>
    <w:rsid w:val="006A1611"/>
    <w:rsid w:val="006A61CC"/>
    <w:rsid w:val="006B4FCF"/>
    <w:rsid w:val="006C7C5A"/>
    <w:rsid w:val="006D1ED5"/>
    <w:rsid w:val="006D7D3A"/>
    <w:rsid w:val="00700221"/>
    <w:rsid w:val="00712FE9"/>
    <w:rsid w:val="00722B0D"/>
    <w:rsid w:val="007233A8"/>
    <w:rsid w:val="00727BE4"/>
    <w:rsid w:val="00733AFC"/>
    <w:rsid w:val="00735F2B"/>
    <w:rsid w:val="00743ACE"/>
    <w:rsid w:val="00755FB7"/>
    <w:rsid w:val="00764EBD"/>
    <w:rsid w:val="00765C7A"/>
    <w:rsid w:val="0076608C"/>
    <w:rsid w:val="00775ADE"/>
    <w:rsid w:val="007A3924"/>
    <w:rsid w:val="007A3F60"/>
    <w:rsid w:val="007A56FA"/>
    <w:rsid w:val="007A7FA6"/>
    <w:rsid w:val="007D3CEE"/>
    <w:rsid w:val="007E2B7D"/>
    <w:rsid w:val="007F4313"/>
    <w:rsid w:val="00803066"/>
    <w:rsid w:val="00824A2E"/>
    <w:rsid w:val="00826BF6"/>
    <w:rsid w:val="00830E60"/>
    <w:rsid w:val="00850AD0"/>
    <w:rsid w:val="008573B1"/>
    <w:rsid w:val="00857E0C"/>
    <w:rsid w:val="0086123F"/>
    <w:rsid w:val="00862EC5"/>
    <w:rsid w:val="0087099F"/>
    <w:rsid w:val="00870AFD"/>
    <w:rsid w:val="00886657"/>
    <w:rsid w:val="008927F8"/>
    <w:rsid w:val="0089338C"/>
    <w:rsid w:val="0089483B"/>
    <w:rsid w:val="008C1C3E"/>
    <w:rsid w:val="008C71C3"/>
    <w:rsid w:val="008E1F9E"/>
    <w:rsid w:val="008E4D3E"/>
    <w:rsid w:val="008E55A9"/>
    <w:rsid w:val="008F07FF"/>
    <w:rsid w:val="00905DF9"/>
    <w:rsid w:val="00956D53"/>
    <w:rsid w:val="009617BE"/>
    <w:rsid w:val="00965850"/>
    <w:rsid w:val="009825A8"/>
    <w:rsid w:val="009876BF"/>
    <w:rsid w:val="009949A2"/>
    <w:rsid w:val="009A14FC"/>
    <w:rsid w:val="009A60CC"/>
    <w:rsid w:val="009A7C7E"/>
    <w:rsid w:val="009B26A6"/>
    <w:rsid w:val="009B7977"/>
    <w:rsid w:val="009E4944"/>
    <w:rsid w:val="009E6C3A"/>
    <w:rsid w:val="009F253E"/>
    <w:rsid w:val="009F4B22"/>
    <w:rsid w:val="00A05B23"/>
    <w:rsid w:val="00A133B1"/>
    <w:rsid w:val="00A143A4"/>
    <w:rsid w:val="00A1742E"/>
    <w:rsid w:val="00A17B00"/>
    <w:rsid w:val="00A259C1"/>
    <w:rsid w:val="00A44A20"/>
    <w:rsid w:val="00A51726"/>
    <w:rsid w:val="00A57209"/>
    <w:rsid w:val="00A60D1E"/>
    <w:rsid w:val="00A63BA3"/>
    <w:rsid w:val="00A67EBF"/>
    <w:rsid w:val="00A70D13"/>
    <w:rsid w:val="00A7288B"/>
    <w:rsid w:val="00A752BC"/>
    <w:rsid w:val="00A80DFD"/>
    <w:rsid w:val="00A95E8B"/>
    <w:rsid w:val="00AA28AA"/>
    <w:rsid w:val="00AA6753"/>
    <w:rsid w:val="00AB6752"/>
    <w:rsid w:val="00AD2B32"/>
    <w:rsid w:val="00AE25C5"/>
    <w:rsid w:val="00AF3C5C"/>
    <w:rsid w:val="00AF4349"/>
    <w:rsid w:val="00AF7193"/>
    <w:rsid w:val="00AF7D31"/>
    <w:rsid w:val="00B00BB2"/>
    <w:rsid w:val="00B03060"/>
    <w:rsid w:val="00B05C94"/>
    <w:rsid w:val="00B17230"/>
    <w:rsid w:val="00B23EA4"/>
    <w:rsid w:val="00B3401E"/>
    <w:rsid w:val="00B36EFC"/>
    <w:rsid w:val="00B37AD5"/>
    <w:rsid w:val="00B53BAE"/>
    <w:rsid w:val="00B5428B"/>
    <w:rsid w:val="00B56CDA"/>
    <w:rsid w:val="00B5790C"/>
    <w:rsid w:val="00B60760"/>
    <w:rsid w:val="00B6730B"/>
    <w:rsid w:val="00B73D3C"/>
    <w:rsid w:val="00B75587"/>
    <w:rsid w:val="00B94D4B"/>
    <w:rsid w:val="00B9578D"/>
    <w:rsid w:val="00BB05E2"/>
    <w:rsid w:val="00BB0B21"/>
    <w:rsid w:val="00BB0F5B"/>
    <w:rsid w:val="00BB37D5"/>
    <w:rsid w:val="00BC7E02"/>
    <w:rsid w:val="00BD4B28"/>
    <w:rsid w:val="00BD4F51"/>
    <w:rsid w:val="00BF3DEB"/>
    <w:rsid w:val="00BF63A0"/>
    <w:rsid w:val="00C1057D"/>
    <w:rsid w:val="00C12C34"/>
    <w:rsid w:val="00C14B3C"/>
    <w:rsid w:val="00C21116"/>
    <w:rsid w:val="00C26EB6"/>
    <w:rsid w:val="00C30F34"/>
    <w:rsid w:val="00C3727C"/>
    <w:rsid w:val="00C4597E"/>
    <w:rsid w:val="00C60CB6"/>
    <w:rsid w:val="00C71335"/>
    <w:rsid w:val="00C7267D"/>
    <w:rsid w:val="00C806C4"/>
    <w:rsid w:val="00C8680B"/>
    <w:rsid w:val="00C95E0B"/>
    <w:rsid w:val="00CB743F"/>
    <w:rsid w:val="00CC0970"/>
    <w:rsid w:val="00CD26C9"/>
    <w:rsid w:val="00CD71AC"/>
    <w:rsid w:val="00CE6F58"/>
    <w:rsid w:val="00D05F28"/>
    <w:rsid w:val="00D067AB"/>
    <w:rsid w:val="00D12E8F"/>
    <w:rsid w:val="00D220D3"/>
    <w:rsid w:val="00D32792"/>
    <w:rsid w:val="00D55F90"/>
    <w:rsid w:val="00D6329A"/>
    <w:rsid w:val="00D8010B"/>
    <w:rsid w:val="00D923D2"/>
    <w:rsid w:val="00D96B8C"/>
    <w:rsid w:val="00DB07A7"/>
    <w:rsid w:val="00DB4123"/>
    <w:rsid w:val="00DD5795"/>
    <w:rsid w:val="00DF214B"/>
    <w:rsid w:val="00DF4B93"/>
    <w:rsid w:val="00E01D45"/>
    <w:rsid w:val="00E0692F"/>
    <w:rsid w:val="00E1223A"/>
    <w:rsid w:val="00E1735A"/>
    <w:rsid w:val="00E30227"/>
    <w:rsid w:val="00E32A8D"/>
    <w:rsid w:val="00E375E4"/>
    <w:rsid w:val="00E37DEF"/>
    <w:rsid w:val="00E43E5E"/>
    <w:rsid w:val="00E523AA"/>
    <w:rsid w:val="00E61235"/>
    <w:rsid w:val="00E67E60"/>
    <w:rsid w:val="00E73997"/>
    <w:rsid w:val="00E73A18"/>
    <w:rsid w:val="00E83FD0"/>
    <w:rsid w:val="00E90708"/>
    <w:rsid w:val="00E91459"/>
    <w:rsid w:val="00E94953"/>
    <w:rsid w:val="00E96EDF"/>
    <w:rsid w:val="00EA0DA1"/>
    <w:rsid w:val="00ED7F1A"/>
    <w:rsid w:val="00EE2C01"/>
    <w:rsid w:val="00F027F3"/>
    <w:rsid w:val="00F067FA"/>
    <w:rsid w:val="00F1011E"/>
    <w:rsid w:val="00F25F5F"/>
    <w:rsid w:val="00F26F83"/>
    <w:rsid w:val="00F33492"/>
    <w:rsid w:val="00F412CE"/>
    <w:rsid w:val="00F41B61"/>
    <w:rsid w:val="00F422B1"/>
    <w:rsid w:val="00F55708"/>
    <w:rsid w:val="00F64000"/>
    <w:rsid w:val="00F648B5"/>
    <w:rsid w:val="00F64C5C"/>
    <w:rsid w:val="00F70188"/>
    <w:rsid w:val="00F8267E"/>
    <w:rsid w:val="00F83FE6"/>
    <w:rsid w:val="00FA4A4F"/>
    <w:rsid w:val="00FB7E88"/>
    <w:rsid w:val="00FC6222"/>
    <w:rsid w:val="00FE31DE"/>
    <w:rsid w:val="00FF02E4"/>
    <w:rsid w:val="00FF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B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83A78"/>
    <w:pPr>
      <w:suppressAutoHyphens/>
      <w:autoSpaceDE w:val="0"/>
      <w:autoSpaceDN w:val="0"/>
      <w:adjustRightInd w:val="0"/>
      <w:spacing w:before="100" w:after="100" w:line="288" w:lineRule="auto"/>
      <w:textAlignment w:val="center"/>
    </w:pPr>
    <w:rPr>
      <w:rFonts w:ascii="Helvetica Medium" w:hAnsi="Helvetica Medium" w:cs="Helvetica Medium"/>
      <w:color w:val="000000"/>
      <w:sz w:val="18"/>
      <w:szCs w:val="18"/>
    </w:rPr>
  </w:style>
  <w:style w:type="paragraph" w:customStyle="1" w:styleId="indent">
    <w:name w:val="indent"/>
    <w:basedOn w:val="Normal"/>
    <w:uiPriority w:val="99"/>
    <w:rsid w:val="00283A78"/>
    <w:pPr>
      <w:suppressAutoHyphens/>
      <w:autoSpaceDE w:val="0"/>
      <w:autoSpaceDN w:val="0"/>
      <w:adjustRightInd w:val="0"/>
      <w:spacing w:before="100" w:after="100" w:line="288" w:lineRule="auto"/>
      <w:ind w:left="150"/>
      <w:textAlignment w:val="center"/>
    </w:pPr>
    <w:rPr>
      <w:rFonts w:ascii="TimesNewRomanPSMT" w:hAnsi="TimesNewRomanPSMT" w:cs="TimesNewRomanPSMT"/>
      <w:color w:val="000000"/>
    </w:rPr>
  </w:style>
  <w:style w:type="character" w:styleId="Strong">
    <w:name w:val="Strong"/>
    <w:basedOn w:val="DefaultParagraphFont"/>
    <w:uiPriority w:val="99"/>
    <w:qFormat/>
    <w:rsid w:val="00283A78"/>
    <w:rPr>
      <w:rFonts w:cs="Times New Roman"/>
      <w:b/>
      <w:bCs/>
      <w:w w:val="100"/>
    </w:rPr>
  </w:style>
  <w:style w:type="character" w:customStyle="1" w:styleId="text3617font1">
    <w:name w:val="text3617font1"/>
    <w:uiPriority w:val="99"/>
    <w:rsid w:val="00283A78"/>
    <w:rPr>
      <w:rFonts w:ascii="ArialMT" w:hAnsi="ArialMT"/>
      <w:color w:val="010101"/>
      <w:w w:val="100"/>
      <w:sz w:val="20"/>
    </w:rPr>
  </w:style>
  <w:style w:type="character" w:customStyle="1" w:styleId="text3617font3">
    <w:name w:val="text3617font3"/>
    <w:uiPriority w:val="99"/>
    <w:rsid w:val="00283A78"/>
    <w:rPr>
      <w:rFonts w:ascii="ArialMT" w:hAnsi="ArialMT"/>
      <w:color w:val="010101"/>
      <w:w w:val="100"/>
      <w:sz w:val="15"/>
    </w:rPr>
  </w:style>
  <w:style w:type="character" w:customStyle="1" w:styleId="text3617font4">
    <w:name w:val="text3617font4"/>
    <w:uiPriority w:val="99"/>
    <w:rsid w:val="00283A78"/>
    <w:rPr>
      <w:rFonts w:ascii="ArialMT" w:hAnsi="ArialMT"/>
      <w:color w:val="000000"/>
      <w:w w:val="100"/>
      <w:sz w:val="24"/>
    </w:rPr>
  </w:style>
  <w:style w:type="character" w:customStyle="1" w:styleId="text3763font1">
    <w:name w:val="text3763font1"/>
    <w:uiPriority w:val="99"/>
    <w:rsid w:val="00283A78"/>
    <w:rPr>
      <w:rFonts w:ascii="ArialMT" w:hAnsi="ArialMT"/>
      <w:color w:val="010101"/>
      <w:w w:val="100"/>
      <w:sz w:val="20"/>
    </w:rPr>
  </w:style>
  <w:style w:type="character" w:customStyle="1" w:styleId="text3855font2">
    <w:name w:val="text3855font2"/>
    <w:uiPriority w:val="99"/>
    <w:rsid w:val="00283A78"/>
    <w:rPr>
      <w:rFonts w:ascii="ArialMT" w:hAnsi="ArialMT"/>
      <w:color w:val="010101"/>
      <w:w w:val="100"/>
      <w:sz w:val="18"/>
    </w:rPr>
  </w:style>
  <w:style w:type="character" w:customStyle="1" w:styleId="text11001font2">
    <w:name w:val="text11001font2"/>
    <w:uiPriority w:val="99"/>
    <w:rsid w:val="00283A78"/>
    <w:rPr>
      <w:rFonts w:ascii="ArialMT" w:hAnsi="ArialMT"/>
      <w:color w:val="010101"/>
      <w:w w:val="100"/>
      <w:sz w:val="18"/>
    </w:rPr>
  </w:style>
  <w:style w:type="character" w:customStyle="1" w:styleId="text7908font1">
    <w:name w:val="text7908font1"/>
    <w:uiPriority w:val="99"/>
    <w:rsid w:val="00283A78"/>
    <w:rPr>
      <w:rFonts w:ascii="ArialMT" w:hAnsi="ArialMT"/>
      <w:color w:val="010101"/>
      <w:w w:val="100"/>
      <w:sz w:val="20"/>
    </w:rPr>
  </w:style>
  <w:style w:type="character" w:customStyle="1" w:styleId="text7908font2">
    <w:name w:val="text7908font2"/>
    <w:uiPriority w:val="99"/>
    <w:rsid w:val="00283A78"/>
    <w:rPr>
      <w:rFonts w:ascii="ArialMT" w:hAnsi="ArialMT"/>
      <w:color w:val="010101"/>
      <w:w w:val="100"/>
      <w:sz w:val="20"/>
    </w:rPr>
  </w:style>
  <w:style w:type="character" w:customStyle="1" w:styleId="text4284font1">
    <w:name w:val="text4284font1"/>
    <w:uiPriority w:val="99"/>
    <w:rsid w:val="00283A78"/>
    <w:rPr>
      <w:rFonts w:ascii="ArialMT" w:hAnsi="ArialMT"/>
      <w:color w:val="010101"/>
      <w:w w:val="100"/>
      <w:sz w:val="20"/>
    </w:rPr>
  </w:style>
  <w:style w:type="character" w:customStyle="1" w:styleId="text4097font1">
    <w:name w:val="text4097font1"/>
    <w:uiPriority w:val="99"/>
    <w:rsid w:val="00283A78"/>
    <w:rPr>
      <w:rFonts w:ascii="ArialMT" w:hAnsi="ArialMT"/>
      <w:color w:val="010101"/>
      <w:w w:val="100"/>
      <w:sz w:val="20"/>
    </w:rPr>
  </w:style>
  <w:style w:type="character" w:customStyle="1" w:styleId="text4097font2">
    <w:name w:val="text4097font2"/>
    <w:uiPriority w:val="99"/>
    <w:rsid w:val="00283A78"/>
    <w:rPr>
      <w:rFonts w:ascii="ArialMT" w:hAnsi="ArialMT"/>
      <w:color w:val="010101"/>
      <w:w w:val="100"/>
      <w:sz w:val="20"/>
    </w:rPr>
  </w:style>
  <w:style w:type="character" w:customStyle="1" w:styleId="text3802font1">
    <w:name w:val="text3802font1"/>
    <w:uiPriority w:val="99"/>
    <w:rsid w:val="00283A78"/>
    <w:rPr>
      <w:rFonts w:ascii="ArialMT" w:hAnsi="ArialMT"/>
      <w:color w:val="010101"/>
      <w:w w:val="100"/>
      <w:sz w:val="20"/>
    </w:rPr>
  </w:style>
  <w:style w:type="character" w:customStyle="1" w:styleId="text3802font2">
    <w:name w:val="text3802font2"/>
    <w:uiPriority w:val="99"/>
    <w:rsid w:val="00283A78"/>
    <w:rPr>
      <w:rFonts w:ascii="ArialMT" w:hAnsi="ArialMT"/>
      <w:color w:val="010101"/>
      <w:w w:val="100"/>
      <w:sz w:val="20"/>
    </w:rPr>
  </w:style>
  <w:style w:type="paragraph" w:customStyle="1" w:styleId="BasicParagraph">
    <w:name w:val="[Basic Paragraph]"/>
    <w:basedOn w:val="Normal"/>
    <w:uiPriority w:val="99"/>
    <w:rsid w:val="00D05F28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Header">
    <w:name w:val="header"/>
    <w:basedOn w:val="Normal"/>
    <w:link w:val="HeaderChar"/>
    <w:uiPriority w:val="99"/>
    <w:rsid w:val="006A16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1F9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A16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1F9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6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1F9E"/>
    <w:rPr>
      <w:rFonts w:cs="Times New Roman"/>
      <w:sz w:val="2"/>
    </w:rPr>
  </w:style>
  <w:style w:type="character" w:styleId="Emphasis">
    <w:name w:val="Emphasis"/>
    <w:basedOn w:val="DefaultParagraphFont"/>
    <w:uiPriority w:val="99"/>
    <w:qFormat/>
    <w:rsid w:val="001755EB"/>
    <w:rPr>
      <w:rFonts w:cs="Times New Roman"/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rsid w:val="008C1C3E"/>
    <w:pPr>
      <w:pBdr>
        <w:bottom w:val="single" w:sz="8" w:space="4" w:color="4F81BD"/>
      </w:pBdr>
      <w:spacing w:line="480" w:lineRule="exact"/>
      <w:contextualSpacing/>
    </w:pPr>
    <w:rPr>
      <w:rFonts w:ascii="Cambria" w:hAnsi="Cambria"/>
      <w:b/>
      <w:color w:val="FFFFF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C1C3E"/>
    <w:rPr>
      <w:rFonts w:ascii="Cambria" w:hAnsi="Cambria" w:cs="Times New Roman"/>
      <w:b/>
      <w:color w:val="FFFFF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5217F1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1E4E87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basedOn w:val="DefaultParagraphFont"/>
    <w:uiPriority w:val="99"/>
    <w:rsid w:val="005B7E75"/>
    <w:rPr>
      <w:rFonts w:cs="Times New Roman"/>
      <w:color w:val="0000FF"/>
      <w:u w:val="single"/>
    </w:rPr>
  </w:style>
  <w:style w:type="paragraph" w:customStyle="1" w:styleId="Default">
    <w:name w:val="Default"/>
    <w:rsid w:val="00376AF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0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E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E6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4D90"/>
    <w:rPr>
      <w:color w:val="800080"/>
      <w:u w:val="single"/>
    </w:rPr>
  </w:style>
  <w:style w:type="paragraph" w:styleId="NoSpacing">
    <w:name w:val="No Spacing"/>
    <w:uiPriority w:val="1"/>
    <w:qFormat/>
    <w:rsid w:val="00EE2C01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434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4349"/>
  </w:style>
  <w:style w:type="character" w:styleId="EndnoteReference">
    <w:name w:val="endnote reference"/>
    <w:basedOn w:val="DefaultParagraphFont"/>
    <w:uiPriority w:val="99"/>
    <w:semiHidden/>
    <w:unhideWhenUsed/>
    <w:rsid w:val="00AF434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43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349"/>
  </w:style>
  <w:style w:type="character" w:styleId="FootnoteReference">
    <w:name w:val="footnote reference"/>
    <w:basedOn w:val="DefaultParagraphFont"/>
    <w:uiPriority w:val="99"/>
    <w:semiHidden/>
    <w:unhideWhenUsed/>
    <w:rsid w:val="00AF43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fo@cdc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mergency.cdc.gov/cdcpreparedness/science/cefo.as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.gov/ei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B699-FA59-45FF-84F4-D4EB862A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Profiles</vt:lpstr>
    </vt:vector>
  </TitlesOfParts>
  <Company>ITSO</Company>
  <LinksUpToDate>false</LinksUpToDate>
  <CharactersWithSpaces>2929</CharactersWithSpaces>
  <SharedDoc>false</SharedDoc>
  <HLinks>
    <vt:vector size="18" baseType="variant">
      <vt:variant>
        <vt:i4>6029389</vt:i4>
      </vt:variant>
      <vt:variant>
        <vt:i4>6</vt:i4>
      </vt:variant>
      <vt:variant>
        <vt:i4>0</vt:i4>
      </vt:variant>
      <vt:variant>
        <vt:i4>5</vt:i4>
      </vt:variant>
      <vt:variant>
        <vt:lpwstr>http://www.cdc.gov/eis/index.html</vt:lpwstr>
      </vt:variant>
      <vt:variant>
        <vt:lpwstr/>
      </vt:variant>
      <vt:variant>
        <vt:i4>131111</vt:i4>
      </vt:variant>
      <vt:variant>
        <vt:i4>3</vt:i4>
      </vt:variant>
      <vt:variant>
        <vt:i4>0</vt:i4>
      </vt:variant>
      <vt:variant>
        <vt:i4>5</vt:i4>
      </vt:variant>
      <vt:variant>
        <vt:lpwstr>mailto:cefo@cdc.gov</vt:lpwstr>
      </vt:variant>
      <vt:variant>
        <vt:lpwstr/>
      </vt:variant>
      <vt:variant>
        <vt:i4>65618</vt:i4>
      </vt:variant>
      <vt:variant>
        <vt:i4>0</vt:i4>
      </vt:variant>
      <vt:variant>
        <vt:i4>0</vt:i4>
      </vt:variant>
      <vt:variant>
        <vt:i4>5</vt:i4>
      </vt:variant>
      <vt:variant>
        <vt:lpwstr>http://emergency.cdc.gov/cdcpreparedness/science/cefo.asp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Profiles</dc:title>
  <dc:subject/>
  <dc:creator>fwa6</dc:creator>
  <cp:keywords/>
  <dc:description/>
  <cp:lastModifiedBy>Centers for Disease Control &amp; Prevention</cp:lastModifiedBy>
  <cp:revision>6</cp:revision>
  <cp:lastPrinted>2011-03-14T17:13:00Z</cp:lastPrinted>
  <dcterms:created xsi:type="dcterms:W3CDTF">2011-03-14T20:21:00Z</dcterms:created>
  <dcterms:modified xsi:type="dcterms:W3CDTF">2011-03-14T21:13:00Z</dcterms:modified>
</cp:coreProperties>
</file>