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CD" w:rsidRDefault="00AD33CD" w:rsidP="003C7E5A">
      <w:pPr>
        <w:pStyle w:val="Heading1"/>
        <w:spacing w:after="0" w:line="240" w:lineRule="auto"/>
        <w:jc w:val="center"/>
        <w:rPr>
          <w:sz w:val="28"/>
          <w:szCs w:val="28"/>
        </w:rPr>
      </w:pPr>
      <w:r w:rsidRPr="00475382">
        <w:rPr>
          <w:sz w:val="28"/>
          <w:szCs w:val="28"/>
        </w:rPr>
        <w:t>Supporting Statement</w:t>
      </w:r>
    </w:p>
    <w:p w:rsidR="003C7E5A" w:rsidRDefault="003C7E5A" w:rsidP="003C7E5A">
      <w:pPr>
        <w:pStyle w:val="Heading1"/>
        <w:spacing w:after="0" w:line="240" w:lineRule="auto"/>
        <w:jc w:val="center"/>
        <w:rPr>
          <w:sz w:val="28"/>
          <w:szCs w:val="28"/>
        </w:rPr>
      </w:pPr>
    </w:p>
    <w:p w:rsidR="003C7E5A" w:rsidRDefault="003C7E5A" w:rsidP="003C7E5A">
      <w:pPr>
        <w:spacing w:line="240" w:lineRule="auto"/>
      </w:pPr>
    </w:p>
    <w:p w:rsidR="003C7E5A" w:rsidRDefault="003C7E5A" w:rsidP="003C7E5A">
      <w:pPr>
        <w:spacing w:line="240" w:lineRule="auto"/>
      </w:pPr>
      <w:r>
        <w:t>REQUEST FOR CLEARANCE FOR CONDUCTING A CUSTOMER SATISFACTION STUDY FOR THE NATIONAL SCIENCE FOUNDATION’S (NSF’s) MATH AND SCIENCE PARTNERSHIP (MSP) PROGRAM</w:t>
      </w:r>
    </w:p>
    <w:p w:rsidR="003C7E5A" w:rsidRDefault="003C7E5A" w:rsidP="003C7E5A">
      <w:pPr>
        <w:spacing w:line="240" w:lineRule="auto"/>
      </w:pPr>
    </w:p>
    <w:p w:rsidR="003C7E5A" w:rsidRDefault="003C7E5A" w:rsidP="003C7E5A">
      <w:pPr>
        <w:pStyle w:val="Heading2"/>
        <w:spacing w:after="0" w:line="240" w:lineRule="auto"/>
      </w:pPr>
      <w:r>
        <w:t>Section A</w:t>
      </w:r>
    </w:p>
    <w:p w:rsidR="003C7E5A" w:rsidRDefault="003C7E5A" w:rsidP="003C7E5A">
      <w:pPr>
        <w:pStyle w:val="Heading2"/>
        <w:spacing w:after="0" w:line="240" w:lineRule="auto"/>
      </w:pPr>
    </w:p>
    <w:p w:rsidR="003C7E5A" w:rsidRDefault="003C7E5A" w:rsidP="003C7E5A">
      <w:pPr>
        <w:pStyle w:val="Heading3"/>
        <w:spacing w:after="0" w:line="240" w:lineRule="auto"/>
      </w:pPr>
      <w:r>
        <w:t>Introduction</w:t>
      </w:r>
    </w:p>
    <w:p w:rsidR="003C7E5A" w:rsidRPr="002A1A93" w:rsidRDefault="003C7E5A" w:rsidP="003C7E5A"/>
    <w:p w:rsidR="003C7E5A" w:rsidRDefault="003C7E5A" w:rsidP="003C7E5A">
      <w:pPr>
        <w:pStyle w:val="SP-SglSpPara"/>
        <w:ind w:firstLine="0"/>
      </w:pPr>
      <w:r>
        <w:t>The National Science Foundation’s Math and Science Partnership (MSP) program is a major R&amp;D effort intended to explore strategies for improving science, technology, engineering, and mathematics (STEM) education at both the K–12 and higher education levels. Building on the research evidence regarding potential factors that affect teaching and learning, the MSP has identified five key features that are common to the program’s funded partnerships. These features are as follows:</w:t>
      </w:r>
    </w:p>
    <w:p w:rsidR="003C7E5A" w:rsidRDefault="003C7E5A" w:rsidP="003C7E5A">
      <w:pPr>
        <w:pStyle w:val="SP-SglSpPara"/>
      </w:pPr>
    </w:p>
    <w:p w:rsidR="003C7E5A" w:rsidRDefault="003C7E5A" w:rsidP="003C7E5A">
      <w:pPr>
        <w:pStyle w:val="N1-1stBullet"/>
        <w:numPr>
          <w:ilvl w:val="0"/>
          <w:numId w:val="4"/>
        </w:numPr>
      </w:pPr>
      <w:r w:rsidRPr="004569A1">
        <w:rPr>
          <w:b/>
        </w:rPr>
        <w:t>Partnership-driven</w:t>
      </w:r>
      <w:r>
        <w:t>—engaging disciplinary faculty in mathematics, the sciences, and engineering, as well as administrators in higher education, with key administrators, teachers, and guidance counselors in K–12 core partner organizations and other relevant entities.</w:t>
      </w:r>
    </w:p>
    <w:p w:rsidR="003C7E5A" w:rsidRDefault="003C7E5A" w:rsidP="003C7E5A">
      <w:pPr>
        <w:pStyle w:val="N1-1stBullet"/>
        <w:numPr>
          <w:ilvl w:val="0"/>
          <w:numId w:val="4"/>
        </w:numPr>
      </w:pPr>
      <w:r>
        <w:rPr>
          <w:b/>
        </w:rPr>
        <w:t>Teacher quality, quantity, and diversity</w:t>
      </w:r>
      <w:r>
        <w:t>—enhancing the quality, quantity, and diversity of K–12 teachers of mathematics and/or the sciences. This enhancement can occur at many points along the teacher development continuum, from recruiting to teacher preparation to ongoing supports for practicing teachers.</w:t>
      </w:r>
    </w:p>
    <w:p w:rsidR="003C7E5A" w:rsidRDefault="003C7E5A" w:rsidP="003C7E5A">
      <w:pPr>
        <w:pStyle w:val="N1-1stBullet"/>
        <w:numPr>
          <w:ilvl w:val="0"/>
          <w:numId w:val="4"/>
        </w:numPr>
      </w:pPr>
      <w:r>
        <w:rPr>
          <w:b/>
        </w:rPr>
        <w:t>Challenging courses and curricula</w:t>
      </w:r>
      <w:r>
        <w:t>—ensuring teachers and students access to challenging mathematics and/or science courses and curricula.</w:t>
      </w:r>
    </w:p>
    <w:p w:rsidR="003C7E5A" w:rsidRPr="000A6F65" w:rsidRDefault="003C7E5A" w:rsidP="003C7E5A">
      <w:pPr>
        <w:pStyle w:val="N1-1stBullet"/>
        <w:numPr>
          <w:ilvl w:val="0"/>
          <w:numId w:val="4"/>
        </w:numPr>
      </w:pPr>
      <w:r>
        <w:rPr>
          <w:b/>
        </w:rPr>
        <w:t>Evidence-b</w:t>
      </w:r>
      <w:r w:rsidRPr="000A6F65">
        <w:rPr>
          <w:b/>
        </w:rPr>
        <w:t xml:space="preserve">ased </w:t>
      </w:r>
      <w:r>
        <w:rPr>
          <w:b/>
        </w:rPr>
        <w:t>d</w:t>
      </w:r>
      <w:r w:rsidRPr="000A6F65">
        <w:rPr>
          <w:b/>
        </w:rPr>
        <w:t xml:space="preserve">esign and </w:t>
      </w:r>
      <w:r>
        <w:rPr>
          <w:b/>
        </w:rPr>
        <w:t>o</w:t>
      </w:r>
      <w:r w:rsidRPr="000A6F65">
        <w:rPr>
          <w:b/>
        </w:rPr>
        <w:t>utcomes</w:t>
      </w:r>
      <w:r>
        <w:t>—building on current research on learning and teaching and contributing to the research base through the collection of evidence on learning, effectiveness of partnerships contributions made by institutions of higher education (IHE) faculty, and new institutional policies and practices.</w:t>
      </w:r>
    </w:p>
    <w:p w:rsidR="003C7E5A" w:rsidRDefault="003C7E5A" w:rsidP="003C7E5A">
      <w:pPr>
        <w:pStyle w:val="N1-1stBullet"/>
        <w:numPr>
          <w:ilvl w:val="0"/>
          <w:numId w:val="4"/>
        </w:numPr>
      </w:pPr>
      <w:r>
        <w:rPr>
          <w:b/>
        </w:rPr>
        <w:t>Institutional change and sustainability</w:t>
      </w:r>
      <w:r>
        <w:t>—promoting sustainability of institutional change among core partners at the higher education and K–12 levels through redirection of resources and change in policies and practices.</w:t>
      </w:r>
    </w:p>
    <w:p w:rsidR="003C7E5A" w:rsidRPr="005301A2" w:rsidRDefault="003C7E5A" w:rsidP="003C7E5A">
      <w:pPr>
        <w:spacing w:line="240" w:lineRule="auto"/>
      </w:pPr>
      <w:r>
        <w:t xml:space="preserve">Underlying the effort is a conjecture that the deep engagement of IHE faculty to enhance K–12 </w:t>
      </w:r>
      <w:r w:rsidRPr="005301A2">
        <w:t>education provides a value-added beyond other approaches that share the goal of increasing the quality and equity of K–12 teaching and learning.  In an effort to further diversify the types of IHEs engaged in the MSP effort, NSF established the MSP-Start Partnership component to expand the work of the program to include IHEs of varying scope, size, experience and perspectives emphasizing minority-serving institutions, community colleges and primarily undergraduate institutions.</w:t>
      </w:r>
    </w:p>
    <w:p w:rsidR="003C7E5A" w:rsidRPr="005301A2" w:rsidRDefault="003C7E5A" w:rsidP="003C7E5A">
      <w:pPr>
        <w:spacing w:line="240" w:lineRule="auto"/>
      </w:pPr>
    </w:p>
    <w:p w:rsidR="003C7E5A" w:rsidRDefault="003C7E5A" w:rsidP="003C7E5A">
      <w:pPr>
        <w:spacing w:line="240" w:lineRule="auto"/>
      </w:pPr>
      <w:r w:rsidRPr="005301A2">
        <w:t xml:space="preserve">This request for Office of Management and Budget (OMB) review asks for clearance to conduct customer satisfaction surveys with MSP-Start project participants at the end of each project’s </w:t>
      </w:r>
      <w:r w:rsidRPr="005301A2">
        <w:lastRenderedPageBreak/>
        <w:t>award period.  The purpose is to obtain information that can be used to understand factors that influence projects’ abilities to develop successful MSP Partnerships between IHEs and K–12 schools, especially among institutions not heavily represented in the MSP community.  The proposed customer satisfaction research will meet this need by exploring MSP-Start project participants’ engagement in MSP-Start activities and the factors that facilitated or hindered each participant’s ability to contribute to the program.  It will also obtain information on the extent to which project participants feel that their project successfully defined participant roles, made effective use of participants’ skills and backgrounds, respected the contributions and opinions of all participants, and instilled a shared sense of responsibility and accountability for attaining the desired goals of the MSP-Start initiative.  The surveys will also gather participants’ advice for future MSP partnership efforts.</w:t>
      </w:r>
    </w:p>
    <w:p w:rsidR="003C7E5A" w:rsidRDefault="003C7E5A" w:rsidP="003C7E5A">
      <w:pPr>
        <w:spacing w:line="240" w:lineRule="auto"/>
      </w:pPr>
    </w:p>
    <w:p w:rsidR="003C7E5A" w:rsidRDefault="003C7E5A" w:rsidP="003C7E5A">
      <w:pPr>
        <w:spacing w:line="240" w:lineRule="auto"/>
      </w:pPr>
    </w:p>
    <w:p w:rsidR="003C7E5A" w:rsidRDefault="003C7E5A" w:rsidP="003C7E5A">
      <w:pPr>
        <w:pStyle w:val="Heading3"/>
        <w:spacing w:after="0" w:line="240" w:lineRule="auto"/>
        <w:rPr>
          <w:bCs/>
        </w:rPr>
      </w:pPr>
      <w:r w:rsidRPr="004835F4">
        <w:rPr>
          <w:bCs/>
        </w:rPr>
        <w:t>A. Overview of the MSP Program</w:t>
      </w:r>
    </w:p>
    <w:p w:rsidR="003C7E5A" w:rsidRDefault="003C7E5A" w:rsidP="003C7E5A">
      <w:pPr>
        <w:pStyle w:val="Heading3"/>
        <w:spacing w:after="0" w:line="240" w:lineRule="auto"/>
        <w:rPr>
          <w:bCs/>
        </w:rPr>
      </w:pPr>
    </w:p>
    <w:p w:rsidR="003C7E5A" w:rsidRDefault="003C7E5A" w:rsidP="003C7E5A">
      <w:pPr>
        <w:spacing w:line="240" w:lineRule="auto"/>
      </w:pPr>
      <w:r>
        <w:t>The MSP program is a major effort under the aegis of President Bush's national education initiative, No Child Left Behind. To date, NSF has made over $600 million in commitments to partnership activities in a research and development portfolio that spans the nation. The goals for the program are to</w:t>
      </w:r>
    </w:p>
    <w:p w:rsidR="003C7E5A" w:rsidRDefault="003C7E5A" w:rsidP="003C7E5A">
      <w:pPr>
        <w:spacing w:line="240" w:lineRule="auto"/>
      </w:pPr>
    </w:p>
    <w:p w:rsidR="003C7E5A" w:rsidRDefault="003C7E5A" w:rsidP="003C7E5A">
      <w:pPr>
        <w:numPr>
          <w:ilvl w:val="0"/>
          <w:numId w:val="2"/>
        </w:numPr>
        <w:spacing w:line="240" w:lineRule="auto"/>
      </w:pPr>
      <w:r>
        <w:t xml:space="preserve">Ensure that all K-12 students have access to, are prepared for, and are encouraged to participate and succeed in challenging curricula and advanced mathematics and science courses; </w:t>
      </w:r>
    </w:p>
    <w:p w:rsidR="003C7E5A" w:rsidRDefault="003C7E5A" w:rsidP="003C7E5A">
      <w:pPr>
        <w:spacing w:line="240" w:lineRule="auto"/>
      </w:pPr>
    </w:p>
    <w:p w:rsidR="003C7E5A" w:rsidRDefault="003C7E5A" w:rsidP="003C7E5A">
      <w:pPr>
        <w:numPr>
          <w:ilvl w:val="0"/>
          <w:numId w:val="2"/>
        </w:numPr>
        <w:spacing w:line="240" w:lineRule="auto"/>
      </w:pPr>
      <w:r>
        <w:t xml:space="preserve">Enhance the quality, quantity, and diversity of the K-12 mathematics and science teacher workforce; and </w:t>
      </w:r>
    </w:p>
    <w:p w:rsidR="003C7E5A" w:rsidRDefault="003C7E5A" w:rsidP="003C7E5A">
      <w:pPr>
        <w:spacing w:line="240" w:lineRule="auto"/>
      </w:pPr>
    </w:p>
    <w:p w:rsidR="003C7E5A" w:rsidRDefault="003C7E5A" w:rsidP="003C7E5A">
      <w:pPr>
        <w:numPr>
          <w:ilvl w:val="0"/>
          <w:numId w:val="2"/>
        </w:numPr>
        <w:spacing w:line="240" w:lineRule="auto"/>
      </w:pPr>
      <w:r>
        <w:t xml:space="preserve">Develop evidence-based outcomes that contribute to our understanding of how students effectively learn mathematics and science. </w:t>
      </w:r>
    </w:p>
    <w:p w:rsidR="003C7E5A" w:rsidRDefault="003C7E5A" w:rsidP="003C7E5A">
      <w:pPr>
        <w:spacing w:line="240" w:lineRule="auto"/>
      </w:pPr>
    </w:p>
    <w:p w:rsidR="003C7E5A" w:rsidRDefault="003C7E5A" w:rsidP="003C7E5A">
      <w:pPr>
        <w:spacing w:line="240" w:lineRule="auto"/>
      </w:pPr>
      <w:r>
        <w:t>Individual projects funded by the MSP program aim to address the aforementioned issues by incorporating a depth and quality of creative strategic actions that extend beyond commonplace approaches. Although all MSP projects share a focus on the same set of fundamental issues, individual MSP projects differ in their scope and are categorized accordingly. The MSP program provides partnership awards in the following four distinct areas:</w:t>
      </w:r>
    </w:p>
    <w:p w:rsidR="003C7E5A" w:rsidRDefault="003C7E5A" w:rsidP="003C7E5A">
      <w:pPr>
        <w:spacing w:line="240" w:lineRule="auto"/>
      </w:pPr>
    </w:p>
    <w:p w:rsidR="003C7E5A" w:rsidRDefault="003C7E5A" w:rsidP="003C7E5A">
      <w:pPr>
        <w:numPr>
          <w:ilvl w:val="0"/>
          <w:numId w:val="3"/>
        </w:numPr>
        <w:spacing w:line="240" w:lineRule="auto"/>
      </w:pPr>
      <w:r>
        <w:t xml:space="preserve">Comprehensive Partnerships implement change in mathematics and/or science educational practices in both Institutions of Higher Education (IHEs) and in schools and school districts, resulting in improved student achievement across the K-12 continuum. </w:t>
      </w:r>
    </w:p>
    <w:p w:rsidR="003C7E5A" w:rsidRDefault="003C7E5A" w:rsidP="003C7E5A">
      <w:pPr>
        <w:spacing w:line="240" w:lineRule="auto"/>
      </w:pPr>
    </w:p>
    <w:p w:rsidR="003C7E5A" w:rsidRDefault="003C7E5A" w:rsidP="003C7E5A">
      <w:pPr>
        <w:numPr>
          <w:ilvl w:val="0"/>
          <w:numId w:val="3"/>
        </w:numPr>
        <w:spacing w:line="240" w:lineRule="auto"/>
      </w:pPr>
      <w:r>
        <w:t xml:space="preserve">Targeted Partnerships focus on improved K-12 student achievement in a narrower grade range or disciplinary focus within mathematics or science. </w:t>
      </w:r>
    </w:p>
    <w:p w:rsidR="003C7E5A" w:rsidRDefault="003C7E5A" w:rsidP="003C7E5A">
      <w:pPr>
        <w:spacing w:line="240" w:lineRule="auto"/>
      </w:pPr>
    </w:p>
    <w:p w:rsidR="003C7E5A" w:rsidRDefault="003C7E5A" w:rsidP="003C7E5A">
      <w:pPr>
        <w:numPr>
          <w:ilvl w:val="0"/>
          <w:numId w:val="3"/>
        </w:numPr>
        <w:spacing w:line="240" w:lineRule="auto"/>
      </w:pPr>
      <w:r>
        <w:t xml:space="preserve">Institute Partnerships, also referred to as Teacher Institutes for the 21st Century, focus on the development of mathematics and science teachers as school- and district-based intellectual leaders and master teachers. </w:t>
      </w:r>
    </w:p>
    <w:p w:rsidR="003C7E5A" w:rsidRDefault="003C7E5A" w:rsidP="003C7E5A">
      <w:pPr>
        <w:spacing w:line="240" w:lineRule="auto"/>
        <w:ind w:left="1080"/>
      </w:pPr>
    </w:p>
    <w:p w:rsidR="003C7E5A" w:rsidRDefault="003C7E5A" w:rsidP="003C7E5A">
      <w:pPr>
        <w:numPr>
          <w:ilvl w:val="0"/>
          <w:numId w:val="3"/>
        </w:numPr>
        <w:spacing w:line="240" w:lineRule="auto"/>
      </w:pPr>
      <w:r>
        <w:t xml:space="preserve">MSP-Start Partnerships are for awardees new to the MSP program, especially from minority-serving institutions, community colleges and primarily undergraduate </w:t>
      </w:r>
      <w:r>
        <w:lastRenderedPageBreak/>
        <w:t>institutions, to support the necessary data analysis, project design, evaluation and team building activities needed to develop a full MSP Targeted or Institute Project.</w:t>
      </w:r>
    </w:p>
    <w:p w:rsidR="003C7E5A" w:rsidRDefault="003C7E5A" w:rsidP="003C7E5A">
      <w:pPr>
        <w:spacing w:line="240" w:lineRule="auto"/>
      </w:pPr>
    </w:p>
    <w:p w:rsidR="003C7E5A" w:rsidRDefault="003C7E5A" w:rsidP="003C7E5A">
      <w:pPr>
        <w:spacing w:line="240" w:lineRule="auto"/>
      </w:pPr>
    </w:p>
    <w:p w:rsidR="003C7E5A" w:rsidRDefault="003C7E5A" w:rsidP="003C7E5A">
      <w:pPr>
        <w:pStyle w:val="NormalWeb"/>
        <w:spacing w:before="0" w:beforeAutospacing="0" w:after="0" w:afterAutospacing="0"/>
        <w:jc w:val="both"/>
        <w:rPr>
          <w:sz w:val="22"/>
          <w:szCs w:val="22"/>
        </w:rPr>
      </w:pPr>
      <w:r w:rsidRPr="00477625">
        <w:rPr>
          <w:sz w:val="22"/>
          <w:szCs w:val="22"/>
        </w:rPr>
        <w:t xml:space="preserve">This clearance </w:t>
      </w:r>
      <w:r>
        <w:rPr>
          <w:sz w:val="22"/>
          <w:szCs w:val="22"/>
        </w:rPr>
        <w:t xml:space="preserve">request </w:t>
      </w:r>
      <w:r w:rsidRPr="00477625">
        <w:rPr>
          <w:sz w:val="22"/>
          <w:szCs w:val="22"/>
        </w:rPr>
        <w:t>covers</w:t>
      </w:r>
      <w:r>
        <w:rPr>
          <w:sz w:val="22"/>
          <w:szCs w:val="22"/>
        </w:rPr>
        <w:t xml:space="preserve"> a series of online surveys that are designed to obtain customer satisfaction data from principal investigators (PIs) and other participants from each of the MSP-Start Partnership projects.</w:t>
      </w:r>
    </w:p>
    <w:p w:rsidR="003C7E5A" w:rsidRDefault="003C7E5A" w:rsidP="003C7E5A">
      <w:pPr>
        <w:spacing w:line="240" w:lineRule="auto"/>
      </w:pPr>
    </w:p>
    <w:p w:rsidR="003C7E5A" w:rsidRDefault="003C7E5A" w:rsidP="003C7E5A">
      <w:pPr>
        <w:pStyle w:val="Heading3"/>
        <w:spacing w:after="0" w:line="240" w:lineRule="auto"/>
      </w:pPr>
      <w:r>
        <w:t>A.1. Circumstances Requiring the Collection of Data</w:t>
      </w:r>
    </w:p>
    <w:p w:rsidR="003C7E5A" w:rsidRDefault="003C7E5A" w:rsidP="003C7E5A">
      <w:pPr>
        <w:pStyle w:val="Heading3"/>
        <w:spacing w:after="0" w:line="240" w:lineRule="auto"/>
      </w:pPr>
    </w:p>
    <w:p w:rsidR="003C7E5A" w:rsidRPr="00BF4A6F" w:rsidRDefault="003C7E5A" w:rsidP="003C7E5A">
      <w:pPr>
        <w:spacing w:line="240" w:lineRule="auto"/>
      </w:pPr>
      <w:r>
        <w:t xml:space="preserve">MSP-Start Partnerships are a new component of the MSP Program, and currently no data are being collected from these awardees.  In an MSP-Start Partnership award, a lead organization identifies the appropriate K–12, higher education, and other institutions that are anticipated to </w:t>
      </w:r>
      <w:r w:rsidRPr="005301A2">
        <w:t>come together to form a partnership, and engages a broad team of personnel in these organization in one to two years of partnership activities that are a necessary prerequisite to a strong project design.  MSP-Start awardees conduct the data collection, analysis, team building, and evaluation necessary for developing a proposal for a full MSP Targeted or Institute Partnership.  In order to increase engagement in the MSP program and enhance the quality of MSP partnerships, it is essential that NSF understand the motivations and experiences of MSP-Start participants, as well as the best practices for developing successful MSP partnerships, especially among IHEs that are not heavily represented among the MSP community, and share this information with current and future projects.</w:t>
      </w:r>
      <w:r>
        <w:t xml:space="preserve"> </w:t>
      </w:r>
    </w:p>
    <w:p w:rsidR="003C7E5A" w:rsidRPr="00BF4A6F" w:rsidRDefault="003C7E5A" w:rsidP="003C7E5A">
      <w:pPr>
        <w:spacing w:line="240" w:lineRule="auto"/>
      </w:pPr>
    </w:p>
    <w:p w:rsidR="003C7E5A" w:rsidRDefault="003C7E5A" w:rsidP="003C7E5A">
      <w:pPr>
        <w:spacing w:line="240" w:lineRule="auto"/>
      </w:pPr>
      <w:r w:rsidRPr="00BF4A6F">
        <w:t>The information to be collected in these</w:t>
      </w:r>
      <w:r>
        <w:t xml:space="preserve"> online surveys represents the minimum effort required to evaluate customer satisfaction with the MSP-Start program. It is expected that the surveys will take 45 minutes for each respondent. Individual respondents will not be asked to participate in more than one survey and the survey will only be administered once to each participant. </w:t>
      </w:r>
    </w:p>
    <w:p w:rsidR="003C7E5A" w:rsidRDefault="003C7E5A" w:rsidP="003C7E5A">
      <w:pPr>
        <w:spacing w:line="240" w:lineRule="auto"/>
      </w:pPr>
    </w:p>
    <w:p w:rsidR="003C7E5A" w:rsidRDefault="003C7E5A" w:rsidP="003C7E5A">
      <w:pPr>
        <w:pStyle w:val="Heading3"/>
        <w:spacing w:after="0" w:line="240" w:lineRule="auto"/>
      </w:pPr>
      <w:r>
        <w:t>A.2. Purposes and Uses of the Data</w:t>
      </w:r>
    </w:p>
    <w:p w:rsidR="003C7E5A" w:rsidRDefault="003C7E5A" w:rsidP="003C7E5A">
      <w:pPr>
        <w:pStyle w:val="Heading3"/>
        <w:spacing w:after="0" w:line="240" w:lineRule="auto"/>
      </w:pPr>
    </w:p>
    <w:p w:rsidR="003C7E5A" w:rsidRDefault="003C7E5A" w:rsidP="003C7E5A">
      <w:pPr>
        <w:spacing w:line="240" w:lineRule="auto"/>
      </w:pPr>
      <w:r w:rsidRPr="005301A2">
        <w:t>Westat, NSF's contractor for the online management information system, has provided NSF with a series of reports displaying aggregated data for MSP Comprehensive, Targeted, and Institute projects.  While these reports have provided</w:t>
      </w:r>
      <w:r w:rsidRPr="007A4E07">
        <w:t xml:space="preserve"> summary data on project </w:t>
      </w:r>
      <w:r>
        <w:t xml:space="preserve">participation </w:t>
      </w:r>
      <w:r w:rsidRPr="007A4E07">
        <w:t>trends</w:t>
      </w:r>
      <w:r>
        <w:t xml:space="preserve"> from full partnership projects</w:t>
      </w:r>
      <w:r w:rsidRPr="007A4E07">
        <w:t xml:space="preserve">, they have not been able to provide data on the factors that contribute to the development of </w:t>
      </w:r>
      <w:r>
        <w:t xml:space="preserve">successful </w:t>
      </w:r>
      <w:r w:rsidRPr="007A4E07">
        <w:t xml:space="preserve">partnerships.  Now that NSF has launched the MSP-Start program which supports one to two years of partnership activities </w:t>
      </w:r>
      <w:r>
        <w:t>focused on building a</w:t>
      </w:r>
      <w:r w:rsidRPr="007A4E07">
        <w:t xml:space="preserve"> strong MSP project design, </w:t>
      </w:r>
      <w:r>
        <w:t xml:space="preserve">the Foundation is </w:t>
      </w:r>
      <w:r w:rsidRPr="007A4E07">
        <w:t xml:space="preserve">in a position to collect and report on </w:t>
      </w:r>
      <w:r>
        <w:t>participants’ satisfaction with their experiences associated with planning and developing MSP partnerships</w:t>
      </w:r>
      <w:r w:rsidRPr="007A4E07">
        <w:t>.  The report that results from th</w:t>
      </w:r>
      <w:r>
        <w:t>ese</w:t>
      </w:r>
      <w:r w:rsidRPr="007A4E07">
        <w:t xml:space="preserve"> survey</w:t>
      </w:r>
      <w:r>
        <w:t>s</w:t>
      </w:r>
      <w:r w:rsidRPr="007A4E07">
        <w:t xml:space="preserve"> will be used to disseminate information to current and future MSP projects about potentially promising practices that lead to strong partnerships prepared to engage in MSP-type work.</w:t>
      </w:r>
    </w:p>
    <w:p w:rsidR="003C7E5A" w:rsidRDefault="003C7E5A" w:rsidP="003C7E5A">
      <w:pPr>
        <w:spacing w:line="240" w:lineRule="auto"/>
      </w:pPr>
    </w:p>
    <w:p w:rsidR="003C7E5A" w:rsidRDefault="003C7E5A" w:rsidP="003C7E5A">
      <w:pPr>
        <w:pStyle w:val="Heading3"/>
        <w:spacing w:after="0" w:line="240" w:lineRule="auto"/>
      </w:pPr>
      <w:r>
        <w:t>A.3. Use of Information Technology to Reduce Burden</w:t>
      </w:r>
    </w:p>
    <w:p w:rsidR="003C7E5A" w:rsidRDefault="003C7E5A" w:rsidP="003C7E5A">
      <w:pPr>
        <w:pStyle w:val="Heading3"/>
        <w:spacing w:after="0" w:line="240" w:lineRule="auto"/>
      </w:pPr>
    </w:p>
    <w:p w:rsidR="003C7E5A" w:rsidRPr="00477625" w:rsidRDefault="003C7E5A" w:rsidP="003C7E5A">
      <w:pPr>
        <w:pStyle w:val="NormalWeb"/>
        <w:spacing w:before="0" w:beforeAutospacing="0" w:after="0" w:afterAutospacing="0"/>
        <w:jc w:val="both"/>
        <w:rPr>
          <w:sz w:val="22"/>
          <w:szCs w:val="22"/>
        </w:rPr>
      </w:pPr>
      <w:r w:rsidRPr="00477625">
        <w:rPr>
          <w:sz w:val="22"/>
          <w:szCs w:val="22"/>
        </w:rPr>
        <w:t>The MSP</w:t>
      </w:r>
      <w:r>
        <w:rPr>
          <w:sz w:val="22"/>
          <w:szCs w:val="22"/>
        </w:rPr>
        <w:t>-Start data collection effort will make</w:t>
      </w:r>
      <w:r w:rsidRPr="00477625">
        <w:rPr>
          <w:sz w:val="22"/>
          <w:szCs w:val="22"/>
        </w:rPr>
        <w:t xml:space="preserve"> maximum use of computer technology to minimize the response burden</w:t>
      </w:r>
      <w:r>
        <w:rPr>
          <w:sz w:val="22"/>
          <w:szCs w:val="22"/>
        </w:rPr>
        <w:t xml:space="preserve">. </w:t>
      </w:r>
      <w:r w:rsidRPr="00477625">
        <w:rPr>
          <w:sz w:val="22"/>
          <w:szCs w:val="22"/>
        </w:rPr>
        <w:t xml:space="preserve"> </w:t>
      </w:r>
      <w:r>
        <w:rPr>
          <w:sz w:val="22"/>
          <w:szCs w:val="22"/>
        </w:rPr>
        <w:t xml:space="preserve">Participants will </w:t>
      </w:r>
      <w:r w:rsidRPr="00477625">
        <w:rPr>
          <w:sz w:val="22"/>
          <w:szCs w:val="22"/>
        </w:rPr>
        <w:t>use a worldwide Web browser to submit the required data over the Internet using specially developed MSP online data collection system software</w:t>
      </w:r>
      <w:r>
        <w:rPr>
          <w:sz w:val="22"/>
          <w:szCs w:val="22"/>
        </w:rPr>
        <w:t>.</w:t>
      </w:r>
      <w:r w:rsidRPr="00477625">
        <w:rPr>
          <w:sz w:val="22"/>
          <w:szCs w:val="22"/>
        </w:rPr>
        <w:t xml:space="preserve"> </w:t>
      </w:r>
      <w:r>
        <w:rPr>
          <w:sz w:val="22"/>
          <w:szCs w:val="22"/>
        </w:rPr>
        <w:t xml:space="preserve"> </w:t>
      </w:r>
      <w:r w:rsidRPr="00477625">
        <w:rPr>
          <w:sz w:val="22"/>
          <w:szCs w:val="22"/>
        </w:rPr>
        <w:t xml:space="preserve">EHR favors Web-based systems because they facilitate respondents' data entry across computer platforms. One feature of the system is the thorough editing of data for completeness, validity, and consistency prior to final submittal. Editing is performed as data are entered. Questionable or incomplete entries are called to respondents' attention before they are submitted </w:t>
      </w:r>
      <w:r w:rsidRPr="00477625">
        <w:rPr>
          <w:sz w:val="22"/>
          <w:szCs w:val="22"/>
        </w:rPr>
        <w:lastRenderedPageBreak/>
        <w:t>to NSF. Features such as automatic tabulations, checkboxes, standard menus, and predefined charts and graphics facilitate the reporting process, provide useful and rapid feedback to the data providers, and reduce burden.</w:t>
      </w:r>
    </w:p>
    <w:p w:rsidR="003C7E5A" w:rsidRDefault="003C7E5A" w:rsidP="003C7E5A">
      <w:pPr>
        <w:spacing w:line="240" w:lineRule="auto"/>
      </w:pPr>
    </w:p>
    <w:p w:rsidR="003C7E5A" w:rsidRDefault="003C7E5A" w:rsidP="003C7E5A">
      <w:pPr>
        <w:pStyle w:val="Heading3"/>
        <w:spacing w:after="0" w:line="240" w:lineRule="auto"/>
      </w:pPr>
      <w:r>
        <w:t>A.4. Efforts to Identify Duplication</w:t>
      </w:r>
    </w:p>
    <w:p w:rsidR="003C7E5A" w:rsidRDefault="003C7E5A" w:rsidP="003C7E5A">
      <w:pPr>
        <w:pStyle w:val="Heading3"/>
        <w:spacing w:after="0" w:line="240" w:lineRule="auto"/>
      </w:pPr>
    </w:p>
    <w:p w:rsidR="003C7E5A" w:rsidRDefault="003C7E5A" w:rsidP="003C7E5A">
      <w:pPr>
        <w:spacing w:line="240" w:lineRule="auto"/>
      </w:pPr>
      <w:r>
        <w:t>The information collected via these surveys will not be duplicated by other data collection. An internal panel of program staff have reviewed the surveys to verify that the information sought is not already available and that the surveys are congruent with the agency’s customer satisfaction program and NSF’s need to obtain information about MSP-Start project activities.</w:t>
      </w:r>
    </w:p>
    <w:p w:rsidR="003C7E5A" w:rsidRDefault="003C7E5A" w:rsidP="003C7E5A">
      <w:pPr>
        <w:spacing w:line="240" w:lineRule="auto"/>
      </w:pPr>
    </w:p>
    <w:p w:rsidR="003C7E5A" w:rsidRPr="005301A2" w:rsidRDefault="003C7E5A" w:rsidP="003C7E5A">
      <w:pPr>
        <w:pStyle w:val="Heading3"/>
        <w:spacing w:after="0" w:line="240" w:lineRule="auto"/>
      </w:pPr>
      <w:r w:rsidRPr="005301A2">
        <w:t>A.5. Small Business</w:t>
      </w:r>
    </w:p>
    <w:p w:rsidR="003C7E5A" w:rsidRPr="005301A2" w:rsidRDefault="003C7E5A" w:rsidP="003C7E5A">
      <w:pPr>
        <w:pStyle w:val="Heading3"/>
        <w:spacing w:after="0" w:line="240" w:lineRule="auto"/>
      </w:pPr>
    </w:p>
    <w:p w:rsidR="003C7E5A" w:rsidRPr="00BF29FB" w:rsidRDefault="003C7E5A" w:rsidP="003C7E5A">
      <w:r w:rsidRPr="005301A2">
        <w:t>No information is to be collected from small businesses.</w:t>
      </w:r>
    </w:p>
    <w:p w:rsidR="003C7E5A" w:rsidRDefault="003C7E5A" w:rsidP="003C7E5A">
      <w:pPr>
        <w:spacing w:line="240" w:lineRule="auto"/>
      </w:pPr>
    </w:p>
    <w:p w:rsidR="003C7E5A" w:rsidRDefault="003C7E5A" w:rsidP="003C7E5A">
      <w:pPr>
        <w:pStyle w:val="Heading3"/>
        <w:spacing w:after="0" w:line="240" w:lineRule="auto"/>
      </w:pPr>
      <w:r>
        <w:t>A.6. Consequences of Not Collecting the Information</w:t>
      </w:r>
    </w:p>
    <w:p w:rsidR="003C7E5A" w:rsidRDefault="003C7E5A" w:rsidP="003C7E5A">
      <w:pPr>
        <w:pStyle w:val="Heading3"/>
        <w:spacing w:after="0" w:line="240" w:lineRule="auto"/>
      </w:pPr>
    </w:p>
    <w:p w:rsidR="003C7E5A" w:rsidRPr="005301A2" w:rsidRDefault="003C7E5A" w:rsidP="003C7E5A">
      <w:pPr>
        <w:spacing w:line="240" w:lineRule="auto"/>
        <w:rPr>
          <w:color w:val="FF0000"/>
        </w:rPr>
      </w:pPr>
      <w:r w:rsidRPr="005301A2">
        <w:t>Without collecting this information, it would not be possible to systematically examine best practices for attracting motivated PIs to participate with the MSP, and effectively using the skills and knowledge of IHE faculty, K–12 district and school representatives, and outside business organizations to create successful partnerships. In addition, this information can inform future NSF efforts that will enhance the satisfaction of participants in other programs beyond the MSP.</w:t>
      </w:r>
    </w:p>
    <w:p w:rsidR="003C7E5A" w:rsidRPr="005301A2" w:rsidRDefault="003C7E5A" w:rsidP="003C7E5A">
      <w:pPr>
        <w:spacing w:line="240" w:lineRule="auto"/>
      </w:pPr>
    </w:p>
    <w:p w:rsidR="003C7E5A" w:rsidRDefault="003C7E5A" w:rsidP="003C7E5A">
      <w:pPr>
        <w:spacing w:line="240" w:lineRule="auto"/>
      </w:pPr>
      <w:r w:rsidRPr="005301A2">
        <w:rPr>
          <w:rStyle w:val="Heading3Char"/>
        </w:rPr>
        <w:t>A.7. Special Circumstances Justifying Inconsistencies</w:t>
      </w:r>
      <w:r w:rsidRPr="00A965BB">
        <w:rPr>
          <w:rStyle w:val="Heading3Char"/>
        </w:rPr>
        <w:t xml:space="preserve"> </w:t>
      </w:r>
      <w:r w:rsidRPr="00595D6C">
        <w:rPr>
          <w:rStyle w:val="Heading3Char"/>
        </w:rPr>
        <w:t>with Guidelines in 5 CFR 1320.6</w:t>
      </w:r>
      <w:r>
        <w:t xml:space="preserve"> </w:t>
      </w:r>
    </w:p>
    <w:p w:rsidR="003C7E5A" w:rsidRDefault="003C7E5A" w:rsidP="003C7E5A">
      <w:pPr>
        <w:spacing w:line="240" w:lineRule="auto"/>
      </w:pPr>
    </w:p>
    <w:p w:rsidR="003C7E5A" w:rsidRDefault="003C7E5A" w:rsidP="003C7E5A">
      <w:pPr>
        <w:spacing w:line="240" w:lineRule="auto"/>
      </w:pPr>
      <w:r>
        <w:t>Not applicable.</w:t>
      </w:r>
    </w:p>
    <w:p w:rsidR="003C7E5A" w:rsidRDefault="003C7E5A" w:rsidP="003C7E5A">
      <w:pPr>
        <w:spacing w:line="240" w:lineRule="auto"/>
      </w:pPr>
    </w:p>
    <w:p w:rsidR="003C7E5A" w:rsidRDefault="003C7E5A" w:rsidP="003C7E5A">
      <w:pPr>
        <w:pStyle w:val="Heading3"/>
        <w:spacing w:after="0" w:line="240" w:lineRule="auto"/>
      </w:pPr>
      <w:r>
        <w:t>A.8. Consultation Outside the Agency</w:t>
      </w:r>
    </w:p>
    <w:p w:rsidR="003C7E5A" w:rsidRDefault="003C7E5A" w:rsidP="003C7E5A">
      <w:pPr>
        <w:pStyle w:val="Heading3"/>
        <w:spacing w:after="0" w:line="240" w:lineRule="auto"/>
      </w:pPr>
    </w:p>
    <w:p w:rsidR="003C7E5A" w:rsidRDefault="003C7E5A" w:rsidP="003C7E5A">
      <w:pPr>
        <w:spacing w:line="240" w:lineRule="auto"/>
      </w:pPr>
      <w:r>
        <w:t>Westat shared drafts of the MSP-Start participant surveys with MSP-Start project PIs during the MSP Program’s Learning Network Conference in January 2009</w:t>
      </w:r>
      <w:r w:rsidR="005C6B88">
        <w:t xml:space="preserve"> and January 2010</w:t>
      </w:r>
      <w:r>
        <w:t xml:space="preserve">.  Feedback from the project PIs </w:t>
      </w:r>
      <w:r w:rsidR="005C6B88">
        <w:t xml:space="preserve">has been </w:t>
      </w:r>
      <w:r>
        <w:t xml:space="preserve">incorporated into the final drafts of the surveys.  </w:t>
      </w:r>
    </w:p>
    <w:p w:rsidR="003C7E5A" w:rsidRDefault="003C7E5A" w:rsidP="003C7E5A">
      <w:pPr>
        <w:spacing w:line="240" w:lineRule="auto"/>
      </w:pPr>
    </w:p>
    <w:p w:rsidR="003C7E5A" w:rsidRDefault="003C7E5A" w:rsidP="003C7E5A">
      <w:pPr>
        <w:pStyle w:val="Heading3"/>
        <w:spacing w:after="0" w:line="240" w:lineRule="auto"/>
      </w:pPr>
      <w:r>
        <w:t>A.9. Payments or Gifts to Respondents</w:t>
      </w:r>
    </w:p>
    <w:p w:rsidR="003C7E5A" w:rsidRDefault="003C7E5A" w:rsidP="003C7E5A">
      <w:pPr>
        <w:pStyle w:val="Heading3"/>
        <w:spacing w:after="0" w:line="240" w:lineRule="auto"/>
      </w:pPr>
    </w:p>
    <w:p w:rsidR="003C7E5A" w:rsidRDefault="003C7E5A" w:rsidP="003C7E5A">
      <w:pPr>
        <w:spacing w:line="240" w:lineRule="auto"/>
      </w:pPr>
      <w:r>
        <w:t>Not applicable.</w:t>
      </w:r>
    </w:p>
    <w:p w:rsidR="003C7E5A" w:rsidRDefault="003C7E5A" w:rsidP="003C7E5A">
      <w:pPr>
        <w:spacing w:line="240" w:lineRule="auto"/>
      </w:pPr>
    </w:p>
    <w:p w:rsidR="003C7E5A" w:rsidRDefault="003C7E5A" w:rsidP="003C7E5A">
      <w:pPr>
        <w:pStyle w:val="Heading3"/>
        <w:spacing w:after="0" w:line="240" w:lineRule="auto"/>
      </w:pPr>
      <w:r>
        <w:t>A.10. Assurance of Confidentiality</w:t>
      </w:r>
    </w:p>
    <w:p w:rsidR="003C7E5A" w:rsidRDefault="003C7E5A" w:rsidP="003C7E5A">
      <w:pPr>
        <w:pStyle w:val="Heading3"/>
        <w:spacing w:after="0" w:line="240" w:lineRule="auto"/>
      </w:pPr>
    </w:p>
    <w:p w:rsidR="003C7E5A" w:rsidRDefault="003C7E5A" w:rsidP="003C7E5A">
      <w:r w:rsidRPr="0053106E">
        <w:t xml:space="preserve">Respondents will be advised that no information on specific individuals will be reported and no quotes </w:t>
      </w:r>
      <w:r>
        <w:t xml:space="preserve">or information </w:t>
      </w:r>
      <w:r w:rsidRPr="0053106E">
        <w:t xml:space="preserve">that could </w:t>
      </w:r>
      <w:r>
        <w:t xml:space="preserve">reveal </w:t>
      </w:r>
      <w:r w:rsidRPr="0053106E">
        <w:t>the identity or affiliation of individual respondents will be reported to NSF.</w:t>
      </w:r>
    </w:p>
    <w:p w:rsidR="003C7E5A" w:rsidRDefault="003C7E5A" w:rsidP="003C7E5A">
      <w:pPr>
        <w:spacing w:line="240" w:lineRule="auto"/>
      </w:pPr>
    </w:p>
    <w:p w:rsidR="003C7E5A" w:rsidRDefault="003C7E5A" w:rsidP="003C7E5A">
      <w:pPr>
        <w:pStyle w:val="Heading3"/>
        <w:spacing w:after="0" w:line="240" w:lineRule="auto"/>
      </w:pPr>
      <w:r>
        <w:t>A.11. Questions of a Sensitive Nature</w:t>
      </w:r>
    </w:p>
    <w:p w:rsidR="003C7E5A" w:rsidRDefault="003C7E5A" w:rsidP="003C7E5A">
      <w:pPr>
        <w:pStyle w:val="Heading3"/>
        <w:spacing w:after="0" w:line="240" w:lineRule="auto"/>
      </w:pPr>
    </w:p>
    <w:p w:rsidR="003C7E5A" w:rsidRPr="0030621F" w:rsidRDefault="003C7E5A" w:rsidP="003C7E5A">
      <w:pPr>
        <w:spacing w:line="240" w:lineRule="auto"/>
      </w:pPr>
      <w:r w:rsidRPr="0030621F">
        <w:t xml:space="preserve">The </w:t>
      </w:r>
      <w:r>
        <w:t>surveys</w:t>
      </w:r>
      <w:r w:rsidRPr="0030621F">
        <w:t xml:space="preserve"> will include questions on participants’ </w:t>
      </w:r>
      <w:r>
        <w:t>perception of their MSP-Start program’s success in building a successful partnership, including whether or not their skills and backgrounds were maximized by their MSP-Start project</w:t>
      </w:r>
      <w:r w:rsidRPr="0030621F">
        <w:t xml:space="preserve">. As such, </w:t>
      </w:r>
      <w:r>
        <w:t xml:space="preserve">respondents may be concerned about their </w:t>
      </w:r>
      <w:r w:rsidRPr="00035B3F">
        <w:t>responses impacting their employment, salary, promotion, or project participation. Respondents</w:t>
      </w:r>
      <w:r w:rsidRPr="0030621F">
        <w:t xml:space="preserve"> will be assured that their </w:t>
      </w:r>
      <w:r>
        <w:t xml:space="preserve">individual </w:t>
      </w:r>
      <w:r w:rsidRPr="0030621F">
        <w:t>response</w:t>
      </w:r>
      <w:r>
        <w:t xml:space="preserve">s will not be shared with others within their </w:t>
      </w:r>
      <w:r>
        <w:lastRenderedPageBreak/>
        <w:t>organization, with their</w:t>
      </w:r>
      <w:r w:rsidRPr="0030621F">
        <w:t xml:space="preserve"> </w:t>
      </w:r>
      <w:r>
        <w:t xml:space="preserve">MSP </w:t>
      </w:r>
      <w:r w:rsidRPr="0030621F">
        <w:t>project</w:t>
      </w:r>
      <w:r>
        <w:t>, or with NSF program staff</w:t>
      </w:r>
      <w:r w:rsidRPr="0030621F">
        <w:t>, and that all results will</w:t>
      </w:r>
      <w:r>
        <w:t xml:space="preserve"> only</w:t>
      </w:r>
      <w:r w:rsidRPr="0030621F">
        <w:t xml:space="preserve"> be presented in an</w:t>
      </w:r>
      <w:r>
        <w:t xml:space="preserve"> anonymous and</w:t>
      </w:r>
      <w:r w:rsidRPr="0030621F">
        <w:t xml:space="preserve"> aggregated form.</w:t>
      </w:r>
    </w:p>
    <w:p w:rsidR="003C7E5A" w:rsidRPr="0030621F" w:rsidRDefault="003C7E5A" w:rsidP="003C7E5A">
      <w:pPr>
        <w:spacing w:line="240" w:lineRule="auto"/>
      </w:pPr>
    </w:p>
    <w:p w:rsidR="003C7E5A" w:rsidRDefault="003C7E5A" w:rsidP="003C7E5A">
      <w:pPr>
        <w:pStyle w:val="Heading3"/>
        <w:spacing w:after="0" w:line="240" w:lineRule="auto"/>
      </w:pPr>
      <w:r>
        <w:t>A.12. Estimates of Response Burden</w:t>
      </w:r>
    </w:p>
    <w:p w:rsidR="003C7E5A" w:rsidRDefault="003C7E5A" w:rsidP="003C7E5A">
      <w:pPr>
        <w:pStyle w:val="Heading3"/>
        <w:spacing w:after="0" w:line="240" w:lineRule="auto"/>
      </w:pPr>
    </w:p>
    <w:p w:rsidR="003C7E5A" w:rsidRDefault="003C7E5A" w:rsidP="003C7E5A">
      <w:pPr>
        <w:spacing w:line="240" w:lineRule="auto"/>
      </w:pPr>
      <w:r>
        <w:t xml:space="preserve">The estimated response burden for each individual respondent is approximately 45 minutes. </w:t>
      </w:r>
    </w:p>
    <w:p w:rsidR="003C7E5A" w:rsidRDefault="003C7E5A" w:rsidP="003C7E5A">
      <w:pPr>
        <w:spacing w:line="240" w:lineRule="auto"/>
      </w:pPr>
    </w:p>
    <w:p w:rsidR="003C7E5A" w:rsidRDefault="003C7E5A" w:rsidP="003C7E5A">
      <w:pPr>
        <w:pStyle w:val="Heading3"/>
        <w:spacing w:after="0" w:line="240" w:lineRule="auto"/>
      </w:pPr>
      <w:r>
        <w:t>A.12.1. Number of Respondents, Frequency of Response, and Annual Hour Burden</w:t>
      </w:r>
    </w:p>
    <w:p w:rsidR="003C7E5A" w:rsidRPr="0030621F" w:rsidRDefault="003C7E5A" w:rsidP="003C7E5A">
      <w:pPr>
        <w:pStyle w:val="Heading3"/>
        <w:spacing w:after="0" w:line="240" w:lineRule="auto"/>
      </w:pPr>
    </w:p>
    <w:p w:rsidR="003C7E5A" w:rsidRPr="00310A74" w:rsidRDefault="003C7E5A" w:rsidP="003C7E5A">
      <w:pPr>
        <w:spacing w:line="240" w:lineRule="auto"/>
      </w:pPr>
      <w:r w:rsidRPr="00A20543">
        <w:t xml:space="preserve">All respondents will be MSP-Start project participants. </w:t>
      </w:r>
      <w:r>
        <w:t xml:space="preserve"> </w:t>
      </w:r>
      <w:r w:rsidRPr="00A20543">
        <w:t>Each respondent will complete a single survey</w:t>
      </w:r>
      <w:r>
        <w:t xml:space="preserve">.  </w:t>
      </w:r>
      <w:r w:rsidRPr="00A20543">
        <w:t xml:space="preserve">The </w:t>
      </w:r>
      <w:r w:rsidRPr="00310A74">
        <w:t>survey will be administered once at the end of each MSP-Start award and the burden will be approximately 45 minutes per survey</w:t>
      </w:r>
      <w:r w:rsidR="00F7008E" w:rsidRPr="00310A74">
        <w:t xml:space="preserve">—with an additional 30 minutes for PIs to complete an administrative sign-in sheet </w:t>
      </w:r>
      <w:r w:rsidRPr="00310A74">
        <w:t>(see Chart 1).  A total of 12</w:t>
      </w:r>
      <w:r w:rsidR="00F7008E" w:rsidRPr="00310A74">
        <w:t>6</w:t>
      </w:r>
      <w:r w:rsidRPr="00310A74">
        <w:t xml:space="preserve"> respondents from the first cohort of MSP-Start projects will be surveyed in 2010, 112 respondents from the second cohort of MSP-Start projects will be surveyed in 2011, and </w:t>
      </w:r>
      <w:r w:rsidR="00310A74" w:rsidRPr="00310A74">
        <w:t>28</w:t>
      </w:r>
      <w:r w:rsidRPr="00310A74">
        <w:t xml:space="preserve"> respondents from the third cohort will be surveyed in 2012.</w:t>
      </w:r>
      <w:r w:rsidR="00C80610">
        <w:t xml:space="preserve">  Overall, 266 respondents will complete a survey, for a total response burden of 209 hours over a 3-year period.</w:t>
      </w:r>
    </w:p>
    <w:p w:rsidR="003C7E5A" w:rsidRPr="00310A74" w:rsidRDefault="003C7E5A" w:rsidP="003C7E5A">
      <w:pPr>
        <w:spacing w:line="240" w:lineRule="auto"/>
      </w:pPr>
    </w:p>
    <w:p w:rsidR="003C7E5A" w:rsidRPr="0030621F" w:rsidRDefault="003C7E5A" w:rsidP="003C7E5A">
      <w:pPr>
        <w:spacing w:after="120" w:line="240" w:lineRule="auto"/>
        <w:rPr>
          <w:b/>
        </w:rPr>
      </w:pPr>
      <w:r w:rsidRPr="0030621F">
        <w:rPr>
          <w:b/>
        </w:rPr>
        <w:t xml:space="preserve">Chart 1. Burden Hours for </w:t>
      </w:r>
      <w:r>
        <w:rPr>
          <w:b/>
        </w:rPr>
        <w:t>MSP-Start Surveys</w:t>
      </w:r>
    </w:p>
    <w:tbl>
      <w:tblPr>
        <w:tblW w:w="0" w:type="auto"/>
        <w:tblLook w:val="04A0"/>
      </w:tblPr>
      <w:tblGrid>
        <w:gridCol w:w="2358"/>
        <w:gridCol w:w="2070"/>
        <w:gridCol w:w="2214"/>
        <w:gridCol w:w="2214"/>
      </w:tblGrid>
      <w:tr w:rsidR="003C7E5A" w:rsidRPr="0030621F">
        <w:tc>
          <w:tcPr>
            <w:tcW w:w="2358" w:type="dxa"/>
            <w:tcBorders>
              <w:top w:val="double" w:sz="4" w:space="0" w:color="auto"/>
              <w:left w:val="double" w:sz="4" w:space="0" w:color="auto"/>
              <w:bottom w:val="single" w:sz="4" w:space="0" w:color="auto"/>
              <w:right w:val="single" w:sz="4" w:space="0" w:color="auto"/>
            </w:tcBorders>
            <w:vAlign w:val="center"/>
          </w:tcPr>
          <w:p w:rsidR="003C7E5A" w:rsidRPr="002B51CB" w:rsidRDefault="003C7E5A" w:rsidP="003C7E5A">
            <w:pPr>
              <w:spacing w:line="240" w:lineRule="auto"/>
              <w:jc w:val="center"/>
              <w:rPr>
                <w:sz w:val="20"/>
              </w:rPr>
            </w:pPr>
            <w:r w:rsidRPr="002B51CB">
              <w:rPr>
                <w:b/>
                <w:sz w:val="20"/>
              </w:rPr>
              <w:t>Participant</w:t>
            </w:r>
          </w:p>
        </w:tc>
        <w:tc>
          <w:tcPr>
            <w:tcW w:w="2070" w:type="dxa"/>
            <w:tcBorders>
              <w:top w:val="double" w:sz="4" w:space="0" w:color="auto"/>
              <w:left w:val="single" w:sz="4" w:space="0" w:color="auto"/>
              <w:bottom w:val="single" w:sz="4" w:space="0" w:color="auto"/>
              <w:right w:val="single" w:sz="4" w:space="0" w:color="auto"/>
            </w:tcBorders>
            <w:vAlign w:val="center"/>
          </w:tcPr>
          <w:p w:rsidR="003C7E5A" w:rsidRPr="002B51CB" w:rsidRDefault="003C7E5A" w:rsidP="003C7E5A">
            <w:pPr>
              <w:spacing w:line="240" w:lineRule="auto"/>
              <w:jc w:val="center"/>
              <w:rPr>
                <w:sz w:val="20"/>
              </w:rPr>
            </w:pPr>
            <w:r w:rsidRPr="002B51CB">
              <w:rPr>
                <w:b/>
                <w:sz w:val="20"/>
              </w:rPr>
              <w:t>Number of Respondents</w:t>
            </w:r>
          </w:p>
        </w:tc>
        <w:tc>
          <w:tcPr>
            <w:tcW w:w="2214" w:type="dxa"/>
            <w:tcBorders>
              <w:top w:val="double" w:sz="4" w:space="0" w:color="auto"/>
              <w:left w:val="single" w:sz="4" w:space="0" w:color="auto"/>
              <w:bottom w:val="single" w:sz="4" w:space="0" w:color="auto"/>
              <w:right w:val="single" w:sz="4" w:space="0" w:color="auto"/>
            </w:tcBorders>
            <w:vAlign w:val="center"/>
          </w:tcPr>
          <w:p w:rsidR="003C7E5A" w:rsidRPr="002B51CB" w:rsidRDefault="003C7E5A" w:rsidP="003C7E5A">
            <w:pPr>
              <w:spacing w:line="240" w:lineRule="auto"/>
              <w:jc w:val="center"/>
              <w:rPr>
                <w:sz w:val="20"/>
              </w:rPr>
            </w:pPr>
            <w:r w:rsidRPr="002B51CB">
              <w:rPr>
                <w:b/>
                <w:sz w:val="20"/>
              </w:rPr>
              <w:t>Burden per</w:t>
            </w:r>
            <w:r>
              <w:rPr>
                <w:b/>
                <w:sz w:val="20"/>
              </w:rPr>
              <w:t xml:space="preserve"> </w:t>
            </w:r>
            <w:r w:rsidRPr="002B51CB">
              <w:rPr>
                <w:b/>
                <w:sz w:val="20"/>
              </w:rPr>
              <w:t>Respondent</w:t>
            </w:r>
          </w:p>
        </w:tc>
        <w:tc>
          <w:tcPr>
            <w:tcW w:w="2214" w:type="dxa"/>
            <w:tcBorders>
              <w:top w:val="double" w:sz="4" w:space="0" w:color="auto"/>
              <w:left w:val="single" w:sz="4" w:space="0" w:color="auto"/>
              <w:bottom w:val="single" w:sz="4" w:space="0" w:color="auto"/>
              <w:right w:val="double" w:sz="4" w:space="0" w:color="auto"/>
            </w:tcBorders>
            <w:vAlign w:val="center"/>
          </w:tcPr>
          <w:p w:rsidR="003C7E5A" w:rsidRPr="002B51CB" w:rsidRDefault="003C7E5A" w:rsidP="003C7E5A">
            <w:pPr>
              <w:spacing w:line="240" w:lineRule="auto"/>
              <w:jc w:val="center"/>
              <w:rPr>
                <w:sz w:val="20"/>
              </w:rPr>
            </w:pPr>
            <w:r>
              <w:rPr>
                <w:b/>
                <w:sz w:val="20"/>
              </w:rPr>
              <w:t>Total Burden</w:t>
            </w:r>
            <w:r w:rsidR="00310A74">
              <w:rPr>
                <w:b/>
                <w:sz w:val="20"/>
              </w:rPr>
              <w:t xml:space="preserve"> (hours)</w:t>
            </w:r>
            <w:r w:rsidRPr="002B51CB">
              <w:rPr>
                <w:b/>
                <w:sz w:val="20"/>
              </w:rPr>
              <w:t>*</w:t>
            </w:r>
          </w:p>
        </w:tc>
      </w:tr>
      <w:tr w:rsidR="003C7E5A" w:rsidRPr="0030621F">
        <w:tc>
          <w:tcPr>
            <w:tcW w:w="8856" w:type="dxa"/>
            <w:gridSpan w:val="4"/>
            <w:tcBorders>
              <w:top w:val="single" w:sz="4" w:space="0" w:color="auto"/>
              <w:left w:val="double" w:sz="4" w:space="0" w:color="auto"/>
              <w:bottom w:val="single" w:sz="4" w:space="0" w:color="auto"/>
              <w:right w:val="double" w:sz="4" w:space="0" w:color="auto"/>
            </w:tcBorders>
          </w:tcPr>
          <w:p w:rsidR="003C7E5A" w:rsidRPr="003C41F4" w:rsidRDefault="003C7E5A" w:rsidP="003C7E5A">
            <w:pPr>
              <w:spacing w:line="240" w:lineRule="auto"/>
              <w:jc w:val="center"/>
              <w:rPr>
                <w:i/>
                <w:sz w:val="20"/>
              </w:rPr>
            </w:pPr>
            <w:r w:rsidRPr="003C41F4">
              <w:rPr>
                <w:i/>
                <w:sz w:val="20"/>
              </w:rPr>
              <w:t>Cohort 1</w:t>
            </w:r>
          </w:p>
        </w:tc>
      </w:tr>
      <w:tr w:rsidR="00310A74" w:rsidRPr="0030621F">
        <w:tc>
          <w:tcPr>
            <w:tcW w:w="2358" w:type="dxa"/>
            <w:tcBorders>
              <w:top w:val="single" w:sz="4" w:space="0" w:color="auto"/>
              <w:left w:val="double" w:sz="4" w:space="0" w:color="auto"/>
              <w:bottom w:val="single" w:sz="4" w:space="0" w:color="auto"/>
              <w:right w:val="single" w:sz="4" w:space="0" w:color="auto"/>
            </w:tcBorders>
          </w:tcPr>
          <w:p w:rsidR="00310A74" w:rsidRDefault="00310A74" w:rsidP="003C7E5A">
            <w:pPr>
              <w:spacing w:line="240" w:lineRule="auto"/>
              <w:jc w:val="left"/>
              <w:rPr>
                <w:sz w:val="20"/>
              </w:rPr>
            </w:pPr>
            <w:r>
              <w:rPr>
                <w:sz w:val="20"/>
              </w:rPr>
              <w:t>PI</w:t>
            </w:r>
          </w:p>
        </w:tc>
        <w:tc>
          <w:tcPr>
            <w:tcW w:w="2070" w:type="dxa"/>
            <w:tcBorders>
              <w:top w:val="single" w:sz="4" w:space="0" w:color="auto"/>
              <w:left w:val="single" w:sz="4" w:space="0" w:color="auto"/>
              <w:bottom w:val="single" w:sz="4" w:space="0" w:color="auto"/>
              <w:right w:val="single" w:sz="4" w:space="0" w:color="auto"/>
            </w:tcBorders>
            <w:vAlign w:val="center"/>
          </w:tcPr>
          <w:p w:rsidR="00310A74" w:rsidRDefault="00310A74" w:rsidP="00F7008E">
            <w:pPr>
              <w:spacing w:line="240" w:lineRule="auto"/>
              <w:jc w:val="right"/>
              <w:rPr>
                <w:sz w:val="20"/>
              </w:rPr>
            </w:pPr>
            <w:r>
              <w:rPr>
                <w:sz w:val="20"/>
              </w:rPr>
              <w:t>9</w:t>
            </w:r>
          </w:p>
        </w:tc>
        <w:tc>
          <w:tcPr>
            <w:tcW w:w="2214" w:type="dxa"/>
            <w:tcBorders>
              <w:top w:val="single" w:sz="4" w:space="0" w:color="auto"/>
              <w:left w:val="single" w:sz="4" w:space="0" w:color="auto"/>
              <w:bottom w:val="single" w:sz="4" w:space="0" w:color="auto"/>
              <w:right w:val="single" w:sz="4" w:space="0" w:color="auto"/>
            </w:tcBorders>
            <w:vAlign w:val="center"/>
          </w:tcPr>
          <w:p w:rsidR="00310A74" w:rsidRDefault="00310A74" w:rsidP="00310A74">
            <w:pPr>
              <w:spacing w:line="240" w:lineRule="auto"/>
              <w:jc w:val="center"/>
              <w:rPr>
                <w:sz w:val="20"/>
              </w:rPr>
            </w:pPr>
            <w:r>
              <w:rPr>
                <w:sz w:val="20"/>
              </w:rPr>
              <w:t>75 minutes</w:t>
            </w:r>
          </w:p>
        </w:tc>
        <w:tc>
          <w:tcPr>
            <w:tcW w:w="2214" w:type="dxa"/>
            <w:tcBorders>
              <w:top w:val="single" w:sz="4" w:space="0" w:color="auto"/>
              <w:left w:val="single" w:sz="4" w:space="0" w:color="auto"/>
              <w:bottom w:val="single" w:sz="4" w:space="0" w:color="auto"/>
              <w:right w:val="double" w:sz="4" w:space="0" w:color="auto"/>
            </w:tcBorders>
            <w:vAlign w:val="center"/>
          </w:tcPr>
          <w:p w:rsidR="00310A74" w:rsidRDefault="00310A74" w:rsidP="00F7008E">
            <w:pPr>
              <w:spacing w:line="240" w:lineRule="auto"/>
              <w:jc w:val="right"/>
              <w:rPr>
                <w:sz w:val="20"/>
              </w:rPr>
            </w:pPr>
            <w:r>
              <w:rPr>
                <w:sz w:val="20"/>
              </w:rPr>
              <w:t>11.25</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2B51CB" w:rsidRDefault="003C7E5A" w:rsidP="003C7E5A">
            <w:pPr>
              <w:spacing w:line="240" w:lineRule="auto"/>
              <w:jc w:val="left"/>
              <w:rPr>
                <w:sz w:val="20"/>
              </w:rPr>
            </w:pPr>
            <w:r>
              <w:rPr>
                <w:sz w:val="20"/>
              </w:rPr>
              <w:t>Co-PI</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2B51CB" w:rsidRDefault="00310A74" w:rsidP="00F7008E">
            <w:pPr>
              <w:spacing w:line="240" w:lineRule="auto"/>
              <w:jc w:val="right"/>
              <w:rPr>
                <w:sz w:val="20"/>
              </w:rPr>
            </w:pPr>
            <w:r>
              <w:rPr>
                <w:sz w:val="20"/>
              </w:rPr>
              <w:t>18</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10A74" w:rsidP="00310A74">
            <w:pPr>
              <w:spacing w:line="240" w:lineRule="auto"/>
              <w:jc w:val="center"/>
              <w:rPr>
                <w:sz w:val="20"/>
              </w:rPr>
            </w:pPr>
            <w:r>
              <w:rPr>
                <w:sz w:val="20"/>
              </w:rPr>
              <w:t>4</w:t>
            </w:r>
            <w:r w:rsidR="003C7E5A">
              <w:rPr>
                <w:sz w:val="20"/>
              </w:rPr>
              <w:t>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310A74" w:rsidP="00310A74">
            <w:pPr>
              <w:spacing w:line="240" w:lineRule="auto"/>
              <w:jc w:val="right"/>
              <w:rPr>
                <w:sz w:val="20"/>
              </w:rPr>
            </w:pPr>
            <w:r>
              <w:rPr>
                <w:sz w:val="20"/>
              </w:rPr>
              <w:t>13.50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3C7E5A" w:rsidP="00F7008E">
            <w:pPr>
              <w:spacing w:line="240" w:lineRule="auto"/>
              <w:jc w:val="right"/>
              <w:rPr>
                <w:sz w:val="20"/>
              </w:rPr>
            </w:pPr>
            <w:r>
              <w:rPr>
                <w:sz w:val="20"/>
              </w:rPr>
              <w:t>45</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3C7E5A" w:rsidP="00310A74">
            <w:pPr>
              <w:spacing w:line="240" w:lineRule="auto"/>
              <w:jc w:val="right"/>
              <w:rPr>
                <w:sz w:val="20"/>
              </w:rPr>
            </w:pPr>
            <w:r>
              <w:rPr>
                <w:sz w:val="20"/>
              </w:rPr>
              <w:t>33.75</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3C7E5A" w:rsidP="00F7008E">
            <w:pPr>
              <w:spacing w:line="240" w:lineRule="auto"/>
              <w:jc w:val="right"/>
              <w:rPr>
                <w:sz w:val="20"/>
              </w:rPr>
            </w:pPr>
            <w:r w:rsidRPr="00C02B4A">
              <w:rPr>
                <w:sz w:val="20"/>
              </w:rPr>
              <w:t>36</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3C7E5A" w:rsidP="00310A74">
            <w:pPr>
              <w:spacing w:line="240" w:lineRule="auto"/>
              <w:jc w:val="right"/>
              <w:rPr>
                <w:sz w:val="20"/>
              </w:rPr>
            </w:pPr>
            <w:r>
              <w:rPr>
                <w:sz w:val="20"/>
              </w:rPr>
              <w:t>27.00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3C7E5A" w:rsidP="00F7008E">
            <w:pPr>
              <w:spacing w:line="240" w:lineRule="auto"/>
              <w:jc w:val="right"/>
              <w:rPr>
                <w:sz w:val="20"/>
              </w:rPr>
            </w:pPr>
            <w:r w:rsidRPr="00C02B4A">
              <w:rPr>
                <w:sz w:val="20"/>
              </w:rPr>
              <w:t>18</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3C7E5A" w:rsidP="00310A74">
            <w:pPr>
              <w:spacing w:line="240" w:lineRule="auto"/>
              <w:jc w:val="right"/>
              <w:rPr>
                <w:sz w:val="20"/>
              </w:rPr>
            </w:pPr>
            <w:r>
              <w:rPr>
                <w:sz w:val="20"/>
              </w:rPr>
              <w:t>13.50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3C41F4" w:rsidRDefault="003C7E5A" w:rsidP="003C7E5A">
            <w:pPr>
              <w:spacing w:line="240" w:lineRule="auto"/>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3C41F4" w:rsidRDefault="003C7E5A" w:rsidP="00F7008E">
            <w:pPr>
              <w:spacing w:line="240" w:lineRule="auto"/>
              <w:jc w:val="right"/>
              <w:rPr>
                <w:sz w:val="20"/>
              </w:rPr>
            </w:pPr>
            <w:r w:rsidRPr="003C41F4">
              <w:rPr>
                <w:sz w:val="20"/>
              </w:rPr>
              <w:t>12</w:t>
            </w:r>
            <w:r w:rsidR="00F7008E">
              <w:rPr>
                <w:sz w:val="20"/>
              </w:rPr>
              <w:t>6</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3C41F4" w:rsidRDefault="003C7E5A" w:rsidP="00310A74">
            <w:pPr>
              <w:spacing w:line="240" w:lineRule="auto"/>
              <w:jc w:val="center"/>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3C41F4" w:rsidRDefault="00310A74" w:rsidP="00310A74">
            <w:pPr>
              <w:spacing w:line="240" w:lineRule="auto"/>
              <w:jc w:val="right"/>
              <w:rPr>
                <w:sz w:val="20"/>
              </w:rPr>
            </w:pPr>
            <w:r>
              <w:rPr>
                <w:sz w:val="20"/>
              </w:rPr>
              <w:t>99.00</w:t>
            </w:r>
          </w:p>
        </w:tc>
      </w:tr>
      <w:tr w:rsidR="003C7E5A" w:rsidRPr="0030621F">
        <w:tc>
          <w:tcPr>
            <w:tcW w:w="8856" w:type="dxa"/>
            <w:gridSpan w:val="4"/>
            <w:tcBorders>
              <w:top w:val="single" w:sz="4" w:space="0" w:color="auto"/>
              <w:left w:val="double" w:sz="4" w:space="0" w:color="auto"/>
              <w:bottom w:val="single" w:sz="4" w:space="0" w:color="auto"/>
              <w:right w:val="double" w:sz="4" w:space="0" w:color="auto"/>
            </w:tcBorders>
          </w:tcPr>
          <w:p w:rsidR="003C7E5A" w:rsidRPr="003C41F4" w:rsidRDefault="003C7E5A" w:rsidP="003C7E5A">
            <w:pPr>
              <w:spacing w:line="240" w:lineRule="auto"/>
              <w:jc w:val="center"/>
              <w:rPr>
                <w:i/>
                <w:sz w:val="20"/>
              </w:rPr>
            </w:pPr>
            <w:r w:rsidRPr="003C41F4">
              <w:rPr>
                <w:i/>
                <w:sz w:val="20"/>
              </w:rPr>
              <w:t>Cohort 2</w:t>
            </w:r>
          </w:p>
        </w:tc>
      </w:tr>
      <w:tr w:rsidR="00310A74" w:rsidRPr="0030621F">
        <w:tc>
          <w:tcPr>
            <w:tcW w:w="2358" w:type="dxa"/>
            <w:tcBorders>
              <w:top w:val="single" w:sz="4" w:space="0" w:color="auto"/>
              <w:left w:val="double" w:sz="4" w:space="0" w:color="auto"/>
              <w:bottom w:val="single" w:sz="4" w:space="0" w:color="auto"/>
              <w:right w:val="single" w:sz="4" w:space="0" w:color="auto"/>
            </w:tcBorders>
          </w:tcPr>
          <w:p w:rsidR="00310A74" w:rsidRDefault="00310A74" w:rsidP="003C7E5A">
            <w:pPr>
              <w:spacing w:line="240" w:lineRule="auto"/>
              <w:jc w:val="left"/>
              <w:rPr>
                <w:sz w:val="20"/>
              </w:rPr>
            </w:pPr>
            <w:r>
              <w:rPr>
                <w:sz w:val="20"/>
              </w:rPr>
              <w:t>PI</w:t>
            </w:r>
          </w:p>
        </w:tc>
        <w:tc>
          <w:tcPr>
            <w:tcW w:w="2070" w:type="dxa"/>
            <w:tcBorders>
              <w:top w:val="single" w:sz="4" w:space="0" w:color="auto"/>
              <w:left w:val="single" w:sz="4" w:space="0" w:color="auto"/>
              <w:bottom w:val="single" w:sz="4" w:space="0" w:color="auto"/>
              <w:right w:val="single" w:sz="4" w:space="0" w:color="auto"/>
            </w:tcBorders>
            <w:vAlign w:val="center"/>
          </w:tcPr>
          <w:p w:rsidR="00310A74" w:rsidRDefault="00310A74" w:rsidP="00F7008E">
            <w:pPr>
              <w:spacing w:line="240" w:lineRule="auto"/>
              <w:jc w:val="right"/>
              <w:rPr>
                <w:sz w:val="20"/>
              </w:rPr>
            </w:pPr>
            <w:r>
              <w:rPr>
                <w:sz w:val="20"/>
              </w:rPr>
              <w:t>8</w:t>
            </w:r>
          </w:p>
        </w:tc>
        <w:tc>
          <w:tcPr>
            <w:tcW w:w="2214" w:type="dxa"/>
            <w:tcBorders>
              <w:top w:val="single" w:sz="4" w:space="0" w:color="auto"/>
              <w:left w:val="single" w:sz="4" w:space="0" w:color="auto"/>
              <w:bottom w:val="single" w:sz="4" w:space="0" w:color="auto"/>
              <w:right w:val="single" w:sz="4" w:space="0" w:color="auto"/>
            </w:tcBorders>
            <w:vAlign w:val="center"/>
          </w:tcPr>
          <w:p w:rsidR="00310A74" w:rsidRDefault="00310A74" w:rsidP="00310A74">
            <w:pPr>
              <w:spacing w:line="240" w:lineRule="auto"/>
              <w:jc w:val="center"/>
              <w:rPr>
                <w:sz w:val="20"/>
              </w:rPr>
            </w:pPr>
            <w:r>
              <w:rPr>
                <w:sz w:val="20"/>
              </w:rPr>
              <w:t>75 minutes</w:t>
            </w:r>
          </w:p>
        </w:tc>
        <w:tc>
          <w:tcPr>
            <w:tcW w:w="2214" w:type="dxa"/>
            <w:tcBorders>
              <w:top w:val="single" w:sz="4" w:space="0" w:color="auto"/>
              <w:left w:val="single" w:sz="4" w:space="0" w:color="auto"/>
              <w:bottom w:val="single" w:sz="4" w:space="0" w:color="auto"/>
              <w:right w:val="double" w:sz="4" w:space="0" w:color="auto"/>
            </w:tcBorders>
            <w:vAlign w:val="center"/>
          </w:tcPr>
          <w:p w:rsidR="00310A74" w:rsidRDefault="00B63F88" w:rsidP="00F7008E">
            <w:pPr>
              <w:spacing w:line="240" w:lineRule="auto"/>
              <w:jc w:val="right"/>
              <w:rPr>
                <w:sz w:val="20"/>
              </w:rPr>
            </w:pPr>
            <w:r>
              <w:rPr>
                <w:sz w:val="20"/>
              </w:rPr>
              <w:t>10.00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2B51CB" w:rsidRDefault="00F7008E" w:rsidP="003C7E5A">
            <w:pPr>
              <w:spacing w:line="240" w:lineRule="auto"/>
              <w:jc w:val="left"/>
              <w:rPr>
                <w:sz w:val="20"/>
              </w:rPr>
            </w:pPr>
            <w:r>
              <w:rPr>
                <w:sz w:val="20"/>
              </w:rPr>
              <w:t>Co-PI</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2B51CB" w:rsidRDefault="00B63F88" w:rsidP="00F7008E">
            <w:pPr>
              <w:spacing w:line="240" w:lineRule="auto"/>
              <w:jc w:val="right"/>
              <w:rPr>
                <w:sz w:val="20"/>
              </w:rPr>
            </w:pPr>
            <w:r>
              <w:rPr>
                <w:sz w:val="20"/>
              </w:rPr>
              <w:t>16</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310A74" w:rsidP="00310A74">
            <w:pPr>
              <w:spacing w:line="240" w:lineRule="auto"/>
              <w:jc w:val="center"/>
              <w:rPr>
                <w:sz w:val="20"/>
              </w:rPr>
            </w:pPr>
            <w:r>
              <w:rPr>
                <w:sz w:val="20"/>
              </w:rPr>
              <w:t>4</w:t>
            </w:r>
            <w:r w:rsidR="00F7008E">
              <w:rPr>
                <w:sz w:val="20"/>
              </w:rPr>
              <w:t>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B63F88" w:rsidP="00B63F88">
            <w:pPr>
              <w:spacing w:line="240" w:lineRule="auto"/>
              <w:jc w:val="right"/>
              <w:rPr>
                <w:sz w:val="20"/>
              </w:rPr>
            </w:pPr>
            <w:r>
              <w:rPr>
                <w:sz w:val="20"/>
              </w:rPr>
              <w:t>12</w:t>
            </w:r>
            <w:r w:rsidR="00F7008E">
              <w:rPr>
                <w:sz w:val="20"/>
              </w:rPr>
              <w:t>.00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C02B4A" w:rsidRDefault="00F7008E" w:rsidP="00F7008E">
            <w:pPr>
              <w:spacing w:line="240" w:lineRule="auto"/>
              <w:jc w:val="right"/>
              <w:rPr>
                <w:sz w:val="20"/>
              </w:rPr>
            </w:pPr>
            <w:r>
              <w:rPr>
                <w:sz w:val="20"/>
              </w:rPr>
              <w:t>40</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F7008E"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F7008E" w:rsidP="00310A74">
            <w:pPr>
              <w:spacing w:line="240" w:lineRule="auto"/>
              <w:jc w:val="right"/>
              <w:rPr>
                <w:sz w:val="20"/>
              </w:rPr>
            </w:pPr>
            <w:r>
              <w:rPr>
                <w:sz w:val="20"/>
              </w:rPr>
              <w:t>30.00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C02B4A" w:rsidRDefault="00F7008E" w:rsidP="00F7008E">
            <w:pPr>
              <w:spacing w:line="240" w:lineRule="auto"/>
              <w:jc w:val="right"/>
              <w:rPr>
                <w:sz w:val="20"/>
              </w:rPr>
            </w:pPr>
            <w:r w:rsidRPr="00C02B4A">
              <w:rPr>
                <w:sz w:val="20"/>
              </w:rPr>
              <w:t>3</w:t>
            </w:r>
            <w:r>
              <w:rPr>
                <w:sz w:val="20"/>
              </w:rPr>
              <w:t>2</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F7008E"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F7008E" w:rsidP="00310A74">
            <w:pPr>
              <w:spacing w:line="240" w:lineRule="auto"/>
              <w:jc w:val="right"/>
              <w:rPr>
                <w:sz w:val="20"/>
              </w:rPr>
            </w:pPr>
            <w:r>
              <w:rPr>
                <w:sz w:val="20"/>
              </w:rPr>
              <w:t>24.00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C02B4A" w:rsidRDefault="00F7008E" w:rsidP="00F7008E">
            <w:pPr>
              <w:spacing w:line="240" w:lineRule="auto"/>
              <w:jc w:val="right"/>
              <w:rPr>
                <w:sz w:val="20"/>
              </w:rPr>
            </w:pPr>
            <w:r w:rsidRPr="00C02B4A">
              <w:rPr>
                <w:sz w:val="20"/>
              </w:rPr>
              <w:t>1</w:t>
            </w:r>
            <w:r>
              <w:rPr>
                <w:sz w:val="20"/>
              </w:rPr>
              <w:t>6</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F7008E"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F7008E" w:rsidP="00310A74">
            <w:pPr>
              <w:spacing w:line="240" w:lineRule="auto"/>
              <w:jc w:val="right"/>
              <w:rPr>
                <w:sz w:val="20"/>
              </w:rPr>
            </w:pPr>
            <w:r>
              <w:rPr>
                <w:sz w:val="20"/>
              </w:rPr>
              <w:t>12.00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3C41F4" w:rsidRDefault="00F7008E" w:rsidP="00F7008E">
            <w:pPr>
              <w:spacing w:line="240" w:lineRule="auto"/>
              <w:jc w:val="right"/>
              <w:rPr>
                <w:sz w:val="20"/>
              </w:rPr>
            </w:pPr>
            <w:r w:rsidRPr="003C41F4">
              <w:rPr>
                <w:sz w:val="20"/>
              </w:rPr>
              <w:t>1</w:t>
            </w:r>
            <w:r>
              <w:rPr>
                <w:sz w:val="20"/>
              </w:rPr>
              <w:t>12</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3C41F4" w:rsidRDefault="00F7008E" w:rsidP="00AD33CD">
            <w:pPr>
              <w:spacing w:line="240" w:lineRule="auto"/>
              <w:jc w:val="right"/>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3C41F4" w:rsidRDefault="00B63F88" w:rsidP="00B63F88">
            <w:pPr>
              <w:spacing w:line="240" w:lineRule="auto"/>
              <w:jc w:val="right"/>
              <w:rPr>
                <w:sz w:val="20"/>
              </w:rPr>
            </w:pPr>
            <w:r>
              <w:rPr>
                <w:sz w:val="20"/>
              </w:rPr>
              <w:t>88</w:t>
            </w:r>
            <w:r w:rsidR="00F7008E" w:rsidRPr="003C41F4">
              <w:rPr>
                <w:sz w:val="20"/>
              </w:rPr>
              <w:t>.</w:t>
            </w:r>
            <w:r w:rsidR="00F7008E">
              <w:rPr>
                <w:sz w:val="20"/>
              </w:rPr>
              <w:t>00</w:t>
            </w:r>
          </w:p>
        </w:tc>
      </w:tr>
      <w:tr w:rsidR="003C7E5A" w:rsidRPr="0030621F">
        <w:tc>
          <w:tcPr>
            <w:tcW w:w="8856" w:type="dxa"/>
            <w:gridSpan w:val="4"/>
            <w:tcBorders>
              <w:top w:val="single" w:sz="4" w:space="0" w:color="auto"/>
              <w:left w:val="double" w:sz="4" w:space="0" w:color="auto"/>
              <w:bottom w:val="single" w:sz="4" w:space="0" w:color="auto"/>
              <w:right w:val="double" w:sz="4" w:space="0" w:color="auto"/>
            </w:tcBorders>
          </w:tcPr>
          <w:p w:rsidR="003C7E5A" w:rsidRPr="003C41F4" w:rsidRDefault="003C7E5A" w:rsidP="003C7E5A">
            <w:pPr>
              <w:spacing w:line="240" w:lineRule="auto"/>
              <w:jc w:val="center"/>
              <w:rPr>
                <w:i/>
                <w:sz w:val="20"/>
              </w:rPr>
            </w:pPr>
            <w:r w:rsidRPr="003C41F4">
              <w:rPr>
                <w:i/>
                <w:sz w:val="20"/>
              </w:rPr>
              <w:t>Cohort 3</w:t>
            </w:r>
          </w:p>
        </w:tc>
      </w:tr>
      <w:tr w:rsidR="00310A74" w:rsidRPr="0030621F">
        <w:tc>
          <w:tcPr>
            <w:tcW w:w="2358" w:type="dxa"/>
            <w:tcBorders>
              <w:top w:val="single" w:sz="4" w:space="0" w:color="auto"/>
              <w:left w:val="double" w:sz="4" w:space="0" w:color="auto"/>
              <w:bottom w:val="single" w:sz="4" w:space="0" w:color="auto"/>
              <w:right w:val="single" w:sz="4" w:space="0" w:color="auto"/>
            </w:tcBorders>
          </w:tcPr>
          <w:p w:rsidR="00310A74" w:rsidRDefault="00310A74" w:rsidP="003C7E5A">
            <w:pPr>
              <w:spacing w:line="240" w:lineRule="auto"/>
              <w:jc w:val="left"/>
              <w:rPr>
                <w:sz w:val="20"/>
              </w:rPr>
            </w:pPr>
            <w:r>
              <w:rPr>
                <w:sz w:val="20"/>
              </w:rPr>
              <w:t>PI</w:t>
            </w:r>
          </w:p>
        </w:tc>
        <w:tc>
          <w:tcPr>
            <w:tcW w:w="2070" w:type="dxa"/>
            <w:tcBorders>
              <w:top w:val="single" w:sz="4" w:space="0" w:color="auto"/>
              <w:left w:val="single" w:sz="4" w:space="0" w:color="auto"/>
              <w:bottom w:val="single" w:sz="4" w:space="0" w:color="auto"/>
              <w:right w:val="single" w:sz="4" w:space="0" w:color="auto"/>
            </w:tcBorders>
            <w:vAlign w:val="center"/>
          </w:tcPr>
          <w:p w:rsidR="00310A74" w:rsidRDefault="00B63F88" w:rsidP="00AD33CD">
            <w:pPr>
              <w:spacing w:line="240" w:lineRule="auto"/>
              <w:jc w:val="right"/>
              <w:rPr>
                <w:sz w:val="20"/>
              </w:rPr>
            </w:pPr>
            <w:r>
              <w:rPr>
                <w:sz w:val="20"/>
              </w:rPr>
              <w:t>2</w:t>
            </w:r>
          </w:p>
        </w:tc>
        <w:tc>
          <w:tcPr>
            <w:tcW w:w="2214" w:type="dxa"/>
            <w:tcBorders>
              <w:top w:val="single" w:sz="4" w:space="0" w:color="auto"/>
              <w:left w:val="single" w:sz="4" w:space="0" w:color="auto"/>
              <w:bottom w:val="single" w:sz="4" w:space="0" w:color="auto"/>
              <w:right w:val="single" w:sz="4" w:space="0" w:color="auto"/>
            </w:tcBorders>
            <w:vAlign w:val="center"/>
          </w:tcPr>
          <w:p w:rsidR="00310A74" w:rsidRDefault="00B63F88" w:rsidP="00310A74">
            <w:pPr>
              <w:spacing w:line="240" w:lineRule="auto"/>
              <w:jc w:val="center"/>
              <w:rPr>
                <w:sz w:val="20"/>
              </w:rPr>
            </w:pPr>
            <w:r>
              <w:rPr>
                <w:sz w:val="20"/>
              </w:rPr>
              <w:t>75 minutes</w:t>
            </w:r>
          </w:p>
        </w:tc>
        <w:tc>
          <w:tcPr>
            <w:tcW w:w="2214" w:type="dxa"/>
            <w:tcBorders>
              <w:top w:val="single" w:sz="4" w:space="0" w:color="auto"/>
              <w:left w:val="single" w:sz="4" w:space="0" w:color="auto"/>
              <w:bottom w:val="single" w:sz="4" w:space="0" w:color="auto"/>
              <w:right w:val="double" w:sz="4" w:space="0" w:color="auto"/>
            </w:tcBorders>
            <w:vAlign w:val="center"/>
          </w:tcPr>
          <w:p w:rsidR="00310A74" w:rsidRDefault="00B63F88" w:rsidP="00F7008E">
            <w:pPr>
              <w:spacing w:line="240" w:lineRule="auto"/>
              <w:jc w:val="right"/>
              <w:rPr>
                <w:sz w:val="20"/>
              </w:rPr>
            </w:pPr>
            <w:r>
              <w:rPr>
                <w:sz w:val="20"/>
              </w:rPr>
              <w:t>2.50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2B51CB" w:rsidRDefault="00F7008E" w:rsidP="003C7E5A">
            <w:pPr>
              <w:spacing w:line="240" w:lineRule="auto"/>
              <w:jc w:val="left"/>
              <w:rPr>
                <w:sz w:val="20"/>
              </w:rPr>
            </w:pPr>
            <w:r>
              <w:rPr>
                <w:sz w:val="20"/>
              </w:rPr>
              <w:t>Co-PI</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2B51CB" w:rsidRDefault="00B63F88" w:rsidP="00B63F88">
            <w:pPr>
              <w:spacing w:line="240" w:lineRule="auto"/>
              <w:jc w:val="right"/>
              <w:rPr>
                <w:sz w:val="20"/>
              </w:rPr>
            </w:pPr>
            <w:r>
              <w:rPr>
                <w:sz w:val="20"/>
              </w:rPr>
              <w:t>4</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B63F88" w:rsidP="00B63F88">
            <w:pPr>
              <w:spacing w:line="240" w:lineRule="auto"/>
              <w:jc w:val="center"/>
              <w:rPr>
                <w:sz w:val="20"/>
              </w:rPr>
            </w:pPr>
            <w:r>
              <w:rPr>
                <w:sz w:val="20"/>
              </w:rPr>
              <w:t>4</w:t>
            </w:r>
            <w:r w:rsidR="00F7008E">
              <w:rPr>
                <w:sz w:val="20"/>
              </w:rPr>
              <w:t>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B63F88" w:rsidP="00B63F88">
            <w:pPr>
              <w:spacing w:line="240" w:lineRule="auto"/>
              <w:jc w:val="right"/>
              <w:rPr>
                <w:sz w:val="20"/>
              </w:rPr>
            </w:pPr>
            <w:r>
              <w:rPr>
                <w:sz w:val="20"/>
              </w:rPr>
              <w:t>3</w:t>
            </w:r>
            <w:r w:rsidR="00F7008E">
              <w:rPr>
                <w:sz w:val="20"/>
              </w:rPr>
              <w:t>.</w:t>
            </w:r>
            <w:r>
              <w:rPr>
                <w:sz w:val="20"/>
              </w:rPr>
              <w:t>0</w:t>
            </w:r>
            <w:r w:rsidR="00F7008E">
              <w:rPr>
                <w:sz w:val="20"/>
              </w:rPr>
              <w:t>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C02B4A" w:rsidRDefault="00F7008E" w:rsidP="00AD33CD">
            <w:pPr>
              <w:spacing w:line="240" w:lineRule="auto"/>
              <w:jc w:val="right"/>
              <w:rPr>
                <w:sz w:val="20"/>
              </w:rPr>
            </w:pPr>
            <w:r>
              <w:rPr>
                <w:sz w:val="20"/>
              </w:rPr>
              <w:t>10</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F7008E"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F7008E" w:rsidP="00B63F88">
            <w:pPr>
              <w:spacing w:line="240" w:lineRule="auto"/>
              <w:jc w:val="right"/>
              <w:rPr>
                <w:sz w:val="20"/>
              </w:rPr>
            </w:pPr>
            <w:r>
              <w:rPr>
                <w:sz w:val="20"/>
              </w:rPr>
              <w:t>7.50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C02B4A" w:rsidRDefault="00F7008E" w:rsidP="00AD33CD">
            <w:pPr>
              <w:spacing w:line="240" w:lineRule="auto"/>
              <w:jc w:val="right"/>
              <w:rPr>
                <w:sz w:val="20"/>
              </w:rPr>
            </w:pPr>
            <w:r>
              <w:rPr>
                <w:sz w:val="20"/>
              </w:rPr>
              <w:t>8</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F7008E"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F7008E" w:rsidP="00B63F88">
            <w:pPr>
              <w:spacing w:line="240" w:lineRule="auto"/>
              <w:jc w:val="right"/>
              <w:rPr>
                <w:sz w:val="20"/>
              </w:rPr>
            </w:pPr>
            <w:r>
              <w:rPr>
                <w:sz w:val="20"/>
              </w:rPr>
              <w:t>6.00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C02B4A" w:rsidRDefault="00F7008E" w:rsidP="00AD33CD">
            <w:pPr>
              <w:spacing w:line="240" w:lineRule="auto"/>
              <w:jc w:val="right"/>
              <w:rPr>
                <w:sz w:val="20"/>
              </w:rPr>
            </w:pPr>
            <w:r>
              <w:rPr>
                <w:sz w:val="20"/>
              </w:rPr>
              <w:t>4</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991ECD" w:rsidRDefault="00F7008E" w:rsidP="00310A74">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2B51CB" w:rsidRDefault="00F7008E" w:rsidP="00B63F88">
            <w:pPr>
              <w:spacing w:line="240" w:lineRule="auto"/>
              <w:jc w:val="right"/>
              <w:rPr>
                <w:sz w:val="20"/>
              </w:rPr>
            </w:pPr>
            <w:r>
              <w:rPr>
                <w:sz w:val="20"/>
              </w:rPr>
              <w:t>3.00</w:t>
            </w:r>
          </w:p>
        </w:tc>
      </w:tr>
      <w:tr w:rsidR="00F7008E" w:rsidRPr="0030621F">
        <w:tc>
          <w:tcPr>
            <w:tcW w:w="2358" w:type="dxa"/>
            <w:tcBorders>
              <w:top w:val="single" w:sz="4" w:space="0" w:color="auto"/>
              <w:left w:val="double" w:sz="4" w:space="0" w:color="auto"/>
              <w:bottom w:val="single" w:sz="4" w:space="0" w:color="auto"/>
              <w:right w:val="single" w:sz="4" w:space="0" w:color="auto"/>
            </w:tcBorders>
          </w:tcPr>
          <w:p w:rsidR="00F7008E" w:rsidRPr="00B428C5" w:rsidRDefault="00F7008E" w:rsidP="003C7E5A">
            <w:pPr>
              <w:spacing w:line="240" w:lineRule="auto"/>
              <w:jc w:val="left"/>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F7008E" w:rsidRPr="003C41F4" w:rsidRDefault="00F7008E" w:rsidP="00AD33CD">
            <w:pPr>
              <w:spacing w:line="240" w:lineRule="auto"/>
              <w:jc w:val="right"/>
              <w:rPr>
                <w:sz w:val="20"/>
              </w:rPr>
            </w:pPr>
            <w:r>
              <w:rPr>
                <w:sz w:val="20"/>
              </w:rPr>
              <w:t>28</w:t>
            </w:r>
          </w:p>
        </w:tc>
        <w:tc>
          <w:tcPr>
            <w:tcW w:w="2214" w:type="dxa"/>
            <w:tcBorders>
              <w:top w:val="single" w:sz="4" w:space="0" w:color="auto"/>
              <w:left w:val="single" w:sz="4" w:space="0" w:color="auto"/>
              <w:bottom w:val="single" w:sz="4" w:space="0" w:color="auto"/>
              <w:right w:val="single" w:sz="4" w:space="0" w:color="auto"/>
            </w:tcBorders>
            <w:vAlign w:val="center"/>
          </w:tcPr>
          <w:p w:rsidR="00F7008E" w:rsidRPr="003C41F4" w:rsidRDefault="00F7008E" w:rsidP="00AD33CD">
            <w:pPr>
              <w:spacing w:line="240" w:lineRule="auto"/>
              <w:jc w:val="right"/>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F7008E" w:rsidRPr="003C41F4" w:rsidRDefault="00F7008E" w:rsidP="00F32E43">
            <w:pPr>
              <w:spacing w:line="240" w:lineRule="auto"/>
              <w:jc w:val="right"/>
              <w:rPr>
                <w:sz w:val="20"/>
              </w:rPr>
            </w:pPr>
            <w:r>
              <w:rPr>
                <w:sz w:val="20"/>
              </w:rPr>
              <w:t>2</w:t>
            </w:r>
            <w:r w:rsidR="00F32E43">
              <w:rPr>
                <w:sz w:val="20"/>
              </w:rPr>
              <w:t>2</w:t>
            </w:r>
            <w:r w:rsidRPr="003C41F4">
              <w:rPr>
                <w:sz w:val="20"/>
              </w:rPr>
              <w:t>.</w:t>
            </w:r>
            <w:r>
              <w:rPr>
                <w:sz w:val="20"/>
              </w:rPr>
              <w:t>00</w:t>
            </w:r>
          </w:p>
        </w:tc>
      </w:tr>
      <w:tr w:rsidR="003C7E5A" w:rsidRPr="0030621F">
        <w:tc>
          <w:tcPr>
            <w:tcW w:w="8856" w:type="dxa"/>
            <w:gridSpan w:val="4"/>
            <w:tcBorders>
              <w:top w:val="single" w:sz="4" w:space="0" w:color="auto"/>
              <w:left w:val="double" w:sz="4" w:space="0" w:color="auto"/>
              <w:bottom w:val="single" w:sz="4" w:space="0" w:color="auto"/>
              <w:right w:val="double" w:sz="4" w:space="0" w:color="auto"/>
            </w:tcBorders>
          </w:tcPr>
          <w:p w:rsidR="003C7E5A" w:rsidRPr="003C41F4" w:rsidRDefault="003C7E5A" w:rsidP="003C7E5A">
            <w:pPr>
              <w:spacing w:line="240" w:lineRule="auto"/>
              <w:jc w:val="center"/>
              <w:rPr>
                <w:i/>
                <w:sz w:val="20"/>
              </w:rPr>
            </w:pPr>
            <w:r w:rsidRPr="003C41F4">
              <w:rPr>
                <w:i/>
                <w:sz w:val="20"/>
              </w:rPr>
              <w:t>Total</w:t>
            </w:r>
          </w:p>
        </w:tc>
      </w:tr>
      <w:tr w:rsidR="00310A74" w:rsidRPr="0030621F">
        <w:tc>
          <w:tcPr>
            <w:tcW w:w="2358" w:type="dxa"/>
            <w:tcBorders>
              <w:top w:val="single" w:sz="4" w:space="0" w:color="auto"/>
              <w:left w:val="double" w:sz="4" w:space="0" w:color="auto"/>
              <w:bottom w:val="single" w:sz="4" w:space="0" w:color="auto"/>
              <w:right w:val="single" w:sz="4" w:space="0" w:color="auto"/>
            </w:tcBorders>
          </w:tcPr>
          <w:p w:rsidR="00310A74" w:rsidRDefault="00310A74" w:rsidP="003C7E5A">
            <w:pPr>
              <w:spacing w:line="240" w:lineRule="auto"/>
              <w:jc w:val="left"/>
              <w:rPr>
                <w:sz w:val="20"/>
              </w:rPr>
            </w:pPr>
            <w:r>
              <w:rPr>
                <w:sz w:val="20"/>
              </w:rPr>
              <w:t>PI</w:t>
            </w:r>
          </w:p>
        </w:tc>
        <w:tc>
          <w:tcPr>
            <w:tcW w:w="2070" w:type="dxa"/>
            <w:tcBorders>
              <w:top w:val="single" w:sz="4" w:space="0" w:color="auto"/>
              <w:left w:val="single" w:sz="4" w:space="0" w:color="auto"/>
              <w:bottom w:val="single" w:sz="4" w:space="0" w:color="auto"/>
              <w:right w:val="single" w:sz="4" w:space="0" w:color="auto"/>
            </w:tcBorders>
            <w:vAlign w:val="center"/>
          </w:tcPr>
          <w:p w:rsidR="00310A74" w:rsidRDefault="00F32E43" w:rsidP="00F7008E">
            <w:pPr>
              <w:spacing w:line="240" w:lineRule="auto"/>
              <w:jc w:val="right"/>
              <w:rPr>
                <w:sz w:val="20"/>
              </w:rPr>
            </w:pPr>
            <w:r>
              <w:rPr>
                <w:sz w:val="20"/>
              </w:rPr>
              <w:t>19</w:t>
            </w:r>
          </w:p>
        </w:tc>
        <w:tc>
          <w:tcPr>
            <w:tcW w:w="2214" w:type="dxa"/>
            <w:tcBorders>
              <w:top w:val="single" w:sz="4" w:space="0" w:color="auto"/>
              <w:left w:val="single" w:sz="4" w:space="0" w:color="auto"/>
              <w:bottom w:val="single" w:sz="4" w:space="0" w:color="auto"/>
              <w:right w:val="single" w:sz="4" w:space="0" w:color="auto"/>
            </w:tcBorders>
            <w:vAlign w:val="center"/>
          </w:tcPr>
          <w:p w:rsidR="00310A74" w:rsidRDefault="00F32E43" w:rsidP="003C7E5A">
            <w:pPr>
              <w:spacing w:line="240" w:lineRule="auto"/>
              <w:jc w:val="center"/>
              <w:rPr>
                <w:sz w:val="20"/>
              </w:rPr>
            </w:pPr>
            <w:r>
              <w:rPr>
                <w:sz w:val="20"/>
              </w:rPr>
              <w:t>75 minutes</w:t>
            </w:r>
          </w:p>
        </w:tc>
        <w:tc>
          <w:tcPr>
            <w:tcW w:w="2214" w:type="dxa"/>
            <w:tcBorders>
              <w:top w:val="single" w:sz="4" w:space="0" w:color="auto"/>
              <w:left w:val="single" w:sz="4" w:space="0" w:color="auto"/>
              <w:bottom w:val="single" w:sz="4" w:space="0" w:color="auto"/>
              <w:right w:val="double" w:sz="4" w:space="0" w:color="auto"/>
            </w:tcBorders>
            <w:vAlign w:val="center"/>
          </w:tcPr>
          <w:p w:rsidR="00310A74" w:rsidRDefault="00F32E43" w:rsidP="00F7008E">
            <w:pPr>
              <w:spacing w:line="240" w:lineRule="auto"/>
              <w:jc w:val="right"/>
              <w:rPr>
                <w:sz w:val="20"/>
              </w:rPr>
            </w:pPr>
            <w:r>
              <w:rPr>
                <w:sz w:val="20"/>
              </w:rPr>
              <w:t>23.75</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2B51CB" w:rsidRDefault="003C7E5A" w:rsidP="003C7E5A">
            <w:pPr>
              <w:spacing w:line="240" w:lineRule="auto"/>
              <w:jc w:val="left"/>
              <w:rPr>
                <w:sz w:val="20"/>
              </w:rPr>
            </w:pPr>
            <w:r>
              <w:rPr>
                <w:sz w:val="20"/>
              </w:rPr>
              <w:t>Co-PI</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2B51CB" w:rsidRDefault="00F32E43" w:rsidP="00F7008E">
            <w:pPr>
              <w:spacing w:line="240" w:lineRule="auto"/>
              <w:jc w:val="right"/>
              <w:rPr>
                <w:sz w:val="20"/>
              </w:rPr>
            </w:pPr>
            <w:r>
              <w:rPr>
                <w:sz w:val="20"/>
              </w:rPr>
              <w:t>38</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F32E43" w:rsidP="00F32E43">
            <w:pPr>
              <w:spacing w:line="240" w:lineRule="auto"/>
              <w:jc w:val="center"/>
              <w:rPr>
                <w:sz w:val="20"/>
              </w:rPr>
            </w:pPr>
            <w:r>
              <w:rPr>
                <w:sz w:val="20"/>
              </w:rPr>
              <w:t>4</w:t>
            </w:r>
            <w:r w:rsidR="003C7E5A">
              <w:rPr>
                <w:sz w:val="20"/>
              </w:rPr>
              <w:t>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F32E43" w:rsidP="00F32E43">
            <w:pPr>
              <w:spacing w:line="240" w:lineRule="auto"/>
              <w:jc w:val="right"/>
              <w:rPr>
                <w:sz w:val="20"/>
              </w:rPr>
            </w:pPr>
            <w:r>
              <w:rPr>
                <w:sz w:val="20"/>
              </w:rPr>
              <w:t>28.50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F7008E" w:rsidP="00F7008E">
            <w:pPr>
              <w:spacing w:line="240" w:lineRule="auto"/>
              <w:jc w:val="right"/>
              <w:rPr>
                <w:sz w:val="20"/>
              </w:rPr>
            </w:pPr>
            <w:r>
              <w:rPr>
                <w:sz w:val="20"/>
              </w:rPr>
              <w:t>95</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F7008E" w:rsidP="00B63F88">
            <w:pPr>
              <w:spacing w:line="240" w:lineRule="auto"/>
              <w:jc w:val="right"/>
              <w:rPr>
                <w:sz w:val="20"/>
              </w:rPr>
            </w:pPr>
            <w:r>
              <w:rPr>
                <w:sz w:val="20"/>
              </w:rPr>
              <w:t>71.25</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F7008E" w:rsidP="00F7008E">
            <w:pPr>
              <w:spacing w:line="240" w:lineRule="auto"/>
              <w:jc w:val="right"/>
              <w:rPr>
                <w:sz w:val="20"/>
              </w:rPr>
            </w:pPr>
            <w:r>
              <w:rPr>
                <w:sz w:val="20"/>
              </w:rPr>
              <w:t>76</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F7008E" w:rsidP="00B63F88">
            <w:pPr>
              <w:spacing w:line="240" w:lineRule="auto"/>
              <w:jc w:val="right"/>
              <w:rPr>
                <w:sz w:val="20"/>
              </w:rPr>
            </w:pPr>
            <w:r>
              <w:rPr>
                <w:sz w:val="20"/>
              </w:rPr>
              <w:t>57.00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F7008E" w:rsidP="00F7008E">
            <w:pPr>
              <w:spacing w:line="240" w:lineRule="auto"/>
              <w:jc w:val="right"/>
              <w:rPr>
                <w:sz w:val="20"/>
              </w:rPr>
            </w:pPr>
            <w:r>
              <w:rPr>
                <w:sz w:val="20"/>
              </w:rPr>
              <w:t>38</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F7008E" w:rsidP="00B63F88">
            <w:pPr>
              <w:spacing w:line="240" w:lineRule="auto"/>
              <w:jc w:val="right"/>
              <w:rPr>
                <w:sz w:val="20"/>
              </w:rPr>
            </w:pPr>
            <w:r>
              <w:rPr>
                <w:sz w:val="20"/>
              </w:rPr>
              <w:t>28.50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F7008E" w:rsidP="00F7008E">
            <w:pPr>
              <w:spacing w:line="240" w:lineRule="auto"/>
              <w:jc w:val="right"/>
              <w:rPr>
                <w:sz w:val="20"/>
              </w:rPr>
            </w:pPr>
            <w:r>
              <w:rPr>
                <w:sz w:val="20"/>
              </w:rPr>
              <w:t>266</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F32E43" w:rsidP="00B63F88">
            <w:pPr>
              <w:spacing w:line="240" w:lineRule="auto"/>
              <w:jc w:val="right"/>
              <w:rPr>
                <w:sz w:val="20"/>
              </w:rPr>
            </w:pPr>
            <w:r>
              <w:rPr>
                <w:sz w:val="20"/>
              </w:rPr>
              <w:t>209.00</w:t>
            </w:r>
          </w:p>
        </w:tc>
      </w:tr>
      <w:tr w:rsidR="003C7E5A" w:rsidRPr="0030621F">
        <w:tc>
          <w:tcPr>
            <w:tcW w:w="8856" w:type="dxa"/>
            <w:gridSpan w:val="4"/>
            <w:tcBorders>
              <w:top w:val="single" w:sz="4" w:space="0" w:color="auto"/>
              <w:left w:val="double" w:sz="4" w:space="0" w:color="auto"/>
              <w:bottom w:val="double" w:sz="4" w:space="0" w:color="auto"/>
              <w:right w:val="double" w:sz="4" w:space="0" w:color="auto"/>
            </w:tcBorders>
          </w:tcPr>
          <w:p w:rsidR="003C7E5A" w:rsidRPr="002B51CB" w:rsidRDefault="003C7E5A" w:rsidP="00B63F88">
            <w:pPr>
              <w:spacing w:line="240" w:lineRule="auto"/>
              <w:rPr>
                <w:sz w:val="20"/>
              </w:rPr>
            </w:pPr>
            <w:r w:rsidRPr="002B51CB">
              <w:rPr>
                <w:sz w:val="20"/>
              </w:rPr>
              <w:t xml:space="preserve">*=Number of Respondents x Burden </w:t>
            </w:r>
            <w:r w:rsidR="00B63F88">
              <w:rPr>
                <w:sz w:val="20"/>
              </w:rPr>
              <w:t>Per Respondent/60 minutes</w:t>
            </w:r>
          </w:p>
        </w:tc>
      </w:tr>
    </w:tbl>
    <w:p w:rsidR="003C7E5A" w:rsidRPr="0030621F" w:rsidRDefault="003C7E5A" w:rsidP="003C7E5A">
      <w:pPr>
        <w:spacing w:line="240" w:lineRule="auto"/>
      </w:pPr>
    </w:p>
    <w:p w:rsidR="003C7E5A" w:rsidRPr="0030621F" w:rsidRDefault="003C7E5A" w:rsidP="003C7E5A">
      <w:pPr>
        <w:tabs>
          <w:tab w:val="right" w:pos="3240"/>
          <w:tab w:val="right" w:pos="5310"/>
          <w:tab w:val="right" w:pos="7380"/>
        </w:tabs>
        <w:spacing w:line="240" w:lineRule="auto"/>
        <w:ind w:left="360"/>
      </w:pPr>
      <w:r w:rsidRPr="0030621F">
        <w:tab/>
      </w:r>
      <w:r w:rsidRPr="0030621F">
        <w:tab/>
      </w:r>
      <w:r w:rsidRPr="0030621F">
        <w:tab/>
      </w:r>
    </w:p>
    <w:p w:rsidR="003C7E5A" w:rsidRDefault="003C7E5A" w:rsidP="003C7E5A">
      <w:pPr>
        <w:pStyle w:val="Heading3"/>
        <w:spacing w:after="0" w:line="240" w:lineRule="auto"/>
      </w:pPr>
      <w:r>
        <w:lastRenderedPageBreak/>
        <w:t>A.12.2. Hour Burden Estimates by Each Form and Aggregate Hour Burdens</w:t>
      </w:r>
    </w:p>
    <w:p w:rsidR="003C7E5A" w:rsidRDefault="003C7E5A" w:rsidP="003C7E5A">
      <w:pPr>
        <w:pStyle w:val="Heading3"/>
        <w:spacing w:after="0" w:line="240" w:lineRule="auto"/>
      </w:pPr>
    </w:p>
    <w:p w:rsidR="003C7E5A" w:rsidRDefault="003C7E5A" w:rsidP="003C7E5A">
      <w:r>
        <w:t xml:space="preserve">The customer satisfaction surveys will utilize four distinct surveys—one for MSP-Start project PIs, one for IHE Participants, one for K–12 Participants, and one for Business Participants.  The response </w:t>
      </w:r>
      <w:r w:rsidRPr="00A20543">
        <w:t>burden for each of these surveys is 45 minutes.</w:t>
      </w:r>
      <w:r>
        <w:t xml:space="preserve">  The 75-minute burden for the PI includes time required to complete the administrative screens that are needed to initiate the surveys for other members of the MSP-START partnership.</w:t>
      </w:r>
    </w:p>
    <w:p w:rsidR="003C7E5A" w:rsidRDefault="003C7E5A" w:rsidP="003C7E5A">
      <w:pPr>
        <w:spacing w:after="120" w:line="240" w:lineRule="auto"/>
        <w:rPr>
          <w:b/>
        </w:rPr>
      </w:pPr>
    </w:p>
    <w:p w:rsidR="003C7E5A" w:rsidRPr="0030621F" w:rsidRDefault="003C7E5A" w:rsidP="003C7E5A">
      <w:pPr>
        <w:spacing w:after="120" w:line="240" w:lineRule="auto"/>
        <w:rPr>
          <w:b/>
        </w:rPr>
      </w:pPr>
      <w:r w:rsidRPr="0030621F">
        <w:rPr>
          <w:b/>
        </w:rPr>
        <w:t xml:space="preserve">Chart </w:t>
      </w:r>
      <w:r>
        <w:rPr>
          <w:b/>
        </w:rPr>
        <w:t>2</w:t>
      </w:r>
      <w:r w:rsidRPr="0030621F">
        <w:rPr>
          <w:b/>
        </w:rPr>
        <w:t xml:space="preserve">. </w:t>
      </w:r>
      <w:r>
        <w:rPr>
          <w:b/>
          <w:bCs/>
        </w:rPr>
        <w:t>OMB Burden Calculation for Customer Satisfaction Survey, by Survey Form</w:t>
      </w:r>
    </w:p>
    <w:tbl>
      <w:tblPr>
        <w:tblW w:w="0" w:type="auto"/>
        <w:tblLook w:val="04A0"/>
      </w:tblPr>
      <w:tblGrid>
        <w:gridCol w:w="2358"/>
        <w:gridCol w:w="2070"/>
        <w:gridCol w:w="2214"/>
        <w:gridCol w:w="2214"/>
      </w:tblGrid>
      <w:tr w:rsidR="0030174B" w:rsidRPr="0030621F">
        <w:tc>
          <w:tcPr>
            <w:tcW w:w="2358" w:type="dxa"/>
            <w:tcBorders>
              <w:top w:val="double" w:sz="4" w:space="0" w:color="auto"/>
              <w:left w:val="double" w:sz="4" w:space="0" w:color="auto"/>
              <w:bottom w:val="single" w:sz="4" w:space="0" w:color="auto"/>
              <w:right w:val="single" w:sz="4" w:space="0" w:color="auto"/>
            </w:tcBorders>
            <w:vAlign w:val="center"/>
          </w:tcPr>
          <w:p w:rsidR="0030174B" w:rsidRPr="002B51CB" w:rsidRDefault="0030174B" w:rsidP="00AD33CD">
            <w:pPr>
              <w:spacing w:line="240" w:lineRule="auto"/>
              <w:jc w:val="center"/>
              <w:rPr>
                <w:sz w:val="20"/>
              </w:rPr>
            </w:pPr>
            <w:r w:rsidRPr="002B51CB">
              <w:rPr>
                <w:b/>
                <w:sz w:val="20"/>
              </w:rPr>
              <w:t>Participant</w:t>
            </w:r>
          </w:p>
        </w:tc>
        <w:tc>
          <w:tcPr>
            <w:tcW w:w="2070" w:type="dxa"/>
            <w:tcBorders>
              <w:top w:val="double" w:sz="4" w:space="0" w:color="auto"/>
              <w:left w:val="single" w:sz="4" w:space="0" w:color="auto"/>
              <w:bottom w:val="single" w:sz="4" w:space="0" w:color="auto"/>
              <w:right w:val="single" w:sz="4" w:space="0" w:color="auto"/>
            </w:tcBorders>
            <w:vAlign w:val="center"/>
          </w:tcPr>
          <w:p w:rsidR="0030174B" w:rsidRPr="002B51CB" w:rsidRDefault="0030174B" w:rsidP="00AD33CD">
            <w:pPr>
              <w:spacing w:line="240" w:lineRule="auto"/>
              <w:jc w:val="center"/>
              <w:rPr>
                <w:sz w:val="20"/>
              </w:rPr>
            </w:pPr>
            <w:r w:rsidRPr="002B51CB">
              <w:rPr>
                <w:b/>
                <w:sz w:val="20"/>
              </w:rPr>
              <w:t>Number of Respondents</w:t>
            </w:r>
          </w:p>
        </w:tc>
        <w:tc>
          <w:tcPr>
            <w:tcW w:w="2214" w:type="dxa"/>
            <w:tcBorders>
              <w:top w:val="double" w:sz="4" w:space="0" w:color="auto"/>
              <w:left w:val="single" w:sz="4" w:space="0" w:color="auto"/>
              <w:bottom w:val="single" w:sz="4" w:space="0" w:color="auto"/>
              <w:right w:val="single" w:sz="4" w:space="0" w:color="auto"/>
            </w:tcBorders>
            <w:vAlign w:val="center"/>
          </w:tcPr>
          <w:p w:rsidR="0030174B" w:rsidRPr="002B51CB" w:rsidRDefault="0030174B" w:rsidP="00AD33CD">
            <w:pPr>
              <w:spacing w:line="240" w:lineRule="auto"/>
              <w:jc w:val="center"/>
              <w:rPr>
                <w:sz w:val="20"/>
              </w:rPr>
            </w:pPr>
            <w:r w:rsidRPr="002B51CB">
              <w:rPr>
                <w:b/>
                <w:sz w:val="20"/>
              </w:rPr>
              <w:t>Burden per</w:t>
            </w:r>
            <w:r>
              <w:rPr>
                <w:b/>
                <w:sz w:val="20"/>
              </w:rPr>
              <w:t xml:space="preserve"> </w:t>
            </w:r>
            <w:r w:rsidRPr="002B51CB">
              <w:rPr>
                <w:b/>
                <w:sz w:val="20"/>
              </w:rPr>
              <w:t>Respondent</w:t>
            </w:r>
          </w:p>
        </w:tc>
        <w:tc>
          <w:tcPr>
            <w:tcW w:w="2214" w:type="dxa"/>
            <w:tcBorders>
              <w:top w:val="double" w:sz="4" w:space="0" w:color="auto"/>
              <w:left w:val="single" w:sz="4" w:space="0" w:color="auto"/>
              <w:bottom w:val="single" w:sz="4" w:space="0" w:color="auto"/>
              <w:right w:val="double" w:sz="4" w:space="0" w:color="auto"/>
            </w:tcBorders>
            <w:vAlign w:val="center"/>
          </w:tcPr>
          <w:p w:rsidR="0030174B" w:rsidRPr="002B51CB" w:rsidRDefault="0030174B" w:rsidP="00AD33CD">
            <w:pPr>
              <w:spacing w:line="240" w:lineRule="auto"/>
              <w:jc w:val="center"/>
              <w:rPr>
                <w:sz w:val="20"/>
              </w:rPr>
            </w:pPr>
            <w:r>
              <w:rPr>
                <w:b/>
                <w:sz w:val="20"/>
              </w:rPr>
              <w:t>Total Burden (hours)</w:t>
            </w:r>
            <w:r w:rsidRPr="002B51CB">
              <w:rPr>
                <w:b/>
                <w:sz w:val="20"/>
              </w:rPr>
              <w:t>*</w:t>
            </w:r>
          </w:p>
        </w:tc>
      </w:tr>
      <w:tr w:rsidR="003C7E5A" w:rsidRPr="0030621F">
        <w:tc>
          <w:tcPr>
            <w:tcW w:w="8856" w:type="dxa"/>
            <w:gridSpan w:val="4"/>
            <w:tcBorders>
              <w:top w:val="single" w:sz="4" w:space="0" w:color="auto"/>
              <w:left w:val="double" w:sz="4" w:space="0" w:color="auto"/>
              <w:bottom w:val="single" w:sz="4" w:space="0" w:color="auto"/>
              <w:right w:val="double" w:sz="4" w:space="0" w:color="auto"/>
            </w:tcBorders>
          </w:tcPr>
          <w:p w:rsidR="003C7E5A" w:rsidRPr="003C41F4" w:rsidRDefault="003C7E5A" w:rsidP="003C7E5A">
            <w:pPr>
              <w:spacing w:line="240" w:lineRule="auto"/>
              <w:jc w:val="center"/>
              <w:rPr>
                <w:i/>
                <w:sz w:val="20"/>
              </w:rPr>
            </w:pPr>
            <w:r w:rsidRPr="003C41F4">
              <w:rPr>
                <w:i/>
                <w:sz w:val="20"/>
              </w:rPr>
              <w:t>Cohort 1</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Default="00C80610" w:rsidP="00C80610">
            <w:pPr>
              <w:spacing w:line="240" w:lineRule="auto"/>
              <w:jc w:val="left"/>
              <w:rPr>
                <w:sz w:val="20"/>
              </w:rPr>
            </w:pPr>
            <w:r>
              <w:rPr>
                <w:sz w:val="20"/>
              </w:rPr>
              <w:t>PI administrative form</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Default="00C80610" w:rsidP="00C80610">
            <w:pPr>
              <w:spacing w:line="240" w:lineRule="auto"/>
              <w:jc w:val="right"/>
              <w:rPr>
                <w:sz w:val="20"/>
              </w:rPr>
            </w:pPr>
            <w:r>
              <w:rPr>
                <w:sz w:val="20"/>
              </w:rPr>
              <w:t>9</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Default="00C80610" w:rsidP="00C80610">
            <w:pPr>
              <w:spacing w:line="240" w:lineRule="auto"/>
              <w:jc w:val="center"/>
              <w:rPr>
                <w:sz w:val="20"/>
              </w:rPr>
            </w:pPr>
            <w:r>
              <w:rPr>
                <w:sz w:val="20"/>
              </w:rPr>
              <w:t>30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Default="00C80610" w:rsidP="00C80610">
            <w:pPr>
              <w:spacing w:line="240" w:lineRule="auto"/>
              <w:jc w:val="right"/>
              <w:rPr>
                <w:sz w:val="20"/>
              </w:rPr>
            </w:pPr>
            <w:r>
              <w:rPr>
                <w:sz w:val="20"/>
              </w:rPr>
              <w:t>4.50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2B51CB" w:rsidRDefault="003C7E5A" w:rsidP="003C7E5A">
            <w:pPr>
              <w:spacing w:line="240" w:lineRule="auto"/>
              <w:jc w:val="left"/>
              <w:rPr>
                <w:sz w:val="20"/>
              </w:rPr>
            </w:pPr>
            <w:r>
              <w:rPr>
                <w:sz w:val="20"/>
              </w:rPr>
              <w:t>PI/Co-PI</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2B51CB" w:rsidRDefault="003C7E5A" w:rsidP="00C80610">
            <w:pPr>
              <w:spacing w:line="240" w:lineRule="auto"/>
              <w:jc w:val="right"/>
              <w:rPr>
                <w:sz w:val="20"/>
              </w:rPr>
            </w:pPr>
            <w:r>
              <w:rPr>
                <w:sz w:val="20"/>
              </w:rPr>
              <w:t>2</w:t>
            </w:r>
            <w:r w:rsidR="00C80610">
              <w:rPr>
                <w:sz w:val="20"/>
              </w:rPr>
              <w:t>7</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C80610" w:rsidP="00C80610">
            <w:pPr>
              <w:spacing w:line="240" w:lineRule="auto"/>
              <w:jc w:val="center"/>
              <w:rPr>
                <w:sz w:val="20"/>
              </w:rPr>
            </w:pPr>
            <w:r>
              <w:rPr>
                <w:sz w:val="20"/>
              </w:rPr>
              <w:t>4</w:t>
            </w:r>
            <w:r w:rsidR="003C7E5A">
              <w:rPr>
                <w:sz w:val="20"/>
              </w:rPr>
              <w:t>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C80610" w:rsidP="00C80610">
            <w:pPr>
              <w:spacing w:line="240" w:lineRule="auto"/>
              <w:jc w:val="right"/>
              <w:rPr>
                <w:sz w:val="20"/>
              </w:rPr>
            </w:pPr>
            <w:r>
              <w:rPr>
                <w:sz w:val="20"/>
              </w:rPr>
              <w:t>20.25</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3C7E5A" w:rsidP="00C80610">
            <w:pPr>
              <w:spacing w:line="240" w:lineRule="auto"/>
              <w:jc w:val="right"/>
              <w:rPr>
                <w:sz w:val="20"/>
              </w:rPr>
            </w:pPr>
            <w:r>
              <w:rPr>
                <w:sz w:val="20"/>
              </w:rPr>
              <w:t>45</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C80610" w:rsidP="00C80610">
            <w:pPr>
              <w:spacing w:line="240" w:lineRule="auto"/>
              <w:jc w:val="right"/>
              <w:rPr>
                <w:sz w:val="20"/>
              </w:rPr>
            </w:pPr>
            <w:r>
              <w:rPr>
                <w:sz w:val="20"/>
              </w:rPr>
              <w:t>33.75</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3C7E5A" w:rsidP="00C80610">
            <w:pPr>
              <w:spacing w:line="240" w:lineRule="auto"/>
              <w:jc w:val="right"/>
              <w:rPr>
                <w:sz w:val="20"/>
              </w:rPr>
            </w:pPr>
            <w:r w:rsidRPr="00C02B4A">
              <w:rPr>
                <w:sz w:val="20"/>
              </w:rPr>
              <w:t>36</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C80610" w:rsidP="00C80610">
            <w:pPr>
              <w:spacing w:line="240" w:lineRule="auto"/>
              <w:jc w:val="right"/>
              <w:rPr>
                <w:sz w:val="20"/>
              </w:rPr>
            </w:pPr>
            <w:r>
              <w:rPr>
                <w:sz w:val="20"/>
              </w:rPr>
              <w:t>27.00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B428C5" w:rsidRDefault="003C7E5A"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C02B4A" w:rsidRDefault="003C7E5A" w:rsidP="00C80610">
            <w:pPr>
              <w:spacing w:line="240" w:lineRule="auto"/>
              <w:jc w:val="right"/>
              <w:rPr>
                <w:sz w:val="20"/>
              </w:rPr>
            </w:pPr>
            <w:r w:rsidRPr="00C02B4A">
              <w:rPr>
                <w:sz w:val="20"/>
              </w:rPr>
              <w:t>18</w:t>
            </w: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991ECD" w:rsidRDefault="003C7E5A" w:rsidP="003C7E5A">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2B51CB" w:rsidRDefault="00C80610" w:rsidP="00C80610">
            <w:pPr>
              <w:spacing w:line="240" w:lineRule="auto"/>
              <w:jc w:val="right"/>
              <w:rPr>
                <w:sz w:val="20"/>
              </w:rPr>
            </w:pPr>
            <w:r>
              <w:rPr>
                <w:sz w:val="20"/>
              </w:rPr>
              <w:t>13.50</w:t>
            </w:r>
          </w:p>
        </w:tc>
      </w:tr>
      <w:tr w:rsidR="003C7E5A" w:rsidRPr="0030621F">
        <w:tc>
          <w:tcPr>
            <w:tcW w:w="2358" w:type="dxa"/>
            <w:tcBorders>
              <w:top w:val="single" w:sz="4" w:space="0" w:color="auto"/>
              <w:left w:val="double" w:sz="4" w:space="0" w:color="auto"/>
              <w:bottom w:val="single" w:sz="4" w:space="0" w:color="auto"/>
              <w:right w:val="single" w:sz="4" w:space="0" w:color="auto"/>
            </w:tcBorders>
          </w:tcPr>
          <w:p w:rsidR="003C7E5A" w:rsidRPr="003C41F4" w:rsidRDefault="003C7E5A" w:rsidP="003C7E5A">
            <w:pPr>
              <w:spacing w:line="240" w:lineRule="auto"/>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3C7E5A" w:rsidRPr="003C41F4" w:rsidRDefault="003C7E5A" w:rsidP="00C80610">
            <w:pPr>
              <w:spacing w:line="240" w:lineRule="auto"/>
              <w:jc w:val="right"/>
              <w:rPr>
                <w:sz w:val="20"/>
              </w:rPr>
            </w:pPr>
          </w:p>
        </w:tc>
        <w:tc>
          <w:tcPr>
            <w:tcW w:w="2214" w:type="dxa"/>
            <w:tcBorders>
              <w:top w:val="single" w:sz="4" w:space="0" w:color="auto"/>
              <w:left w:val="single" w:sz="4" w:space="0" w:color="auto"/>
              <w:bottom w:val="single" w:sz="4" w:space="0" w:color="auto"/>
              <w:right w:val="single" w:sz="4" w:space="0" w:color="auto"/>
            </w:tcBorders>
            <w:vAlign w:val="center"/>
          </w:tcPr>
          <w:p w:rsidR="003C7E5A" w:rsidRPr="003C41F4" w:rsidRDefault="003C7E5A" w:rsidP="003C7E5A">
            <w:pPr>
              <w:spacing w:line="240" w:lineRule="auto"/>
              <w:jc w:val="right"/>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3C7E5A" w:rsidRPr="003C41F4" w:rsidRDefault="00C80610" w:rsidP="00C80610">
            <w:pPr>
              <w:spacing w:line="240" w:lineRule="auto"/>
              <w:jc w:val="right"/>
              <w:rPr>
                <w:sz w:val="20"/>
              </w:rPr>
            </w:pPr>
            <w:r>
              <w:rPr>
                <w:sz w:val="20"/>
              </w:rPr>
              <w:t>99.00</w:t>
            </w:r>
          </w:p>
        </w:tc>
      </w:tr>
      <w:tr w:rsidR="003C7E5A" w:rsidRPr="0030621F">
        <w:tc>
          <w:tcPr>
            <w:tcW w:w="8856" w:type="dxa"/>
            <w:gridSpan w:val="4"/>
            <w:tcBorders>
              <w:top w:val="single" w:sz="4" w:space="0" w:color="auto"/>
              <w:left w:val="double" w:sz="4" w:space="0" w:color="auto"/>
              <w:bottom w:val="single" w:sz="4" w:space="0" w:color="auto"/>
              <w:right w:val="double" w:sz="4" w:space="0" w:color="auto"/>
            </w:tcBorders>
          </w:tcPr>
          <w:p w:rsidR="003C7E5A" w:rsidRPr="003C41F4" w:rsidRDefault="003C7E5A" w:rsidP="003C7E5A">
            <w:pPr>
              <w:spacing w:line="240" w:lineRule="auto"/>
              <w:jc w:val="center"/>
              <w:rPr>
                <w:i/>
                <w:sz w:val="20"/>
              </w:rPr>
            </w:pPr>
            <w:r w:rsidRPr="003C41F4">
              <w:rPr>
                <w:i/>
                <w:sz w:val="20"/>
              </w:rPr>
              <w:t>Cohort 2</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Default="00C80610" w:rsidP="00C80610">
            <w:pPr>
              <w:spacing w:line="240" w:lineRule="auto"/>
              <w:jc w:val="left"/>
              <w:rPr>
                <w:sz w:val="20"/>
              </w:rPr>
            </w:pPr>
            <w:r>
              <w:rPr>
                <w:sz w:val="20"/>
              </w:rPr>
              <w:t>PI administrative form</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2B51CB" w:rsidRDefault="00C80610" w:rsidP="00C80610">
            <w:pPr>
              <w:spacing w:line="240" w:lineRule="auto"/>
              <w:jc w:val="right"/>
              <w:rPr>
                <w:sz w:val="20"/>
              </w:rPr>
            </w:pPr>
            <w:r>
              <w:rPr>
                <w:sz w:val="20"/>
              </w:rPr>
              <w:t>8</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Default="00C80610" w:rsidP="00AD33CD">
            <w:pPr>
              <w:spacing w:line="240" w:lineRule="auto"/>
              <w:jc w:val="center"/>
              <w:rPr>
                <w:sz w:val="20"/>
              </w:rPr>
            </w:pPr>
            <w:r>
              <w:rPr>
                <w:sz w:val="20"/>
              </w:rPr>
              <w:t>30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C80610" w:rsidP="00C80610">
            <w:pPr>
              <w:spacing w:line="240" w:lineRule="auto"/>
              <w:jc w:val="right"/>
              <w:rPr>
                <w:sz w:val="20"/>
              </w:rPr>
            </w:pPr>
            <w:r>
              <w:rPr>
                <w:sz w:val="20"/>
              </w:rPr>
              <w:t>4.00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2B51CB" w:rsidRDefault="00C80610" w:rsidP="003C7E5A">
            <w:pPr>
              <w:spacing w:line="240" w:lineRule="auto"/>
              <w:jc w:val="left"/>
              <w:rPr>
                <w:sz w:val="20"/>
              </w:rPr>
            </w:pPr>
            <w:r>
              <w:rPr>
                <w:sz w:val="20"/>
              </w:rPr>
              <w:t>PI/Co-PI</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2B51CB" w:rsidRDefault="00C80610" w:rsidP="00C80610">
            <w:pPr>
              <w:spacing w:line="240" w:lineRule="auto"/>
              <w:jc w:val="right"/>
              <w:rPr>
                <w:sz w:val="20"/>
              </w:rPr>
            </w:pPr>
            <w:r>
              <w:rPr>
                <w:sz w:val="20"/>
              </w:rPr>
              <w:t>24</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C80610" w:rsidP="00C80610">
            <w:pPr>
              <w:spacing w:line="240" w:lineRule="auto"/>
              <w:jc w:val="right"/>
              <w:rPr>
                <w:sz w:val="20"/>
              </w:rPr>
            </w:pPr>
            <w:r>
              <w:rPr>
                <w:sz w:val="20"/>
              </w:rPr>
              <w:t>18.00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r>
              <w:rPr>
                <w:sz w:val="20"/>
              </w:rPr>
              <w:t>40</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30.00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r w:rsidRPr="00C02B4A">
              <w:rPr>
                <w:sz w:val="20"/>
              </w:rPr>
              <w:t>3</w:t>
            </w:r>
            <w:r>
              <w:rPr>
                <w:sz w:val="20"/>
              </w:rPr>
              <w:t>2</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24.00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r w:rsidRPr="00C02B4A">
              <w:rPr>
                <w:sz w:val="20"/>
              </w:rPr>
              <w:t>1</w:t>
            </w:r>
            <w:r>
              <w:rPr>
                <w:sz w:val="20"/>
              </w:rPr>
              <w:t>6</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12.00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3C7E5A">
            <w:pPr>
              <w:spacing w:line="240" w:lineRule="auto"/>
              <w:jc w:val="center"/>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88.00</w:t>
            </w:r>
          </w:p>
        </w:tc>
      </w:tr>
      <w:tr w:rsidR="00C80610" w:rsidRPr="0030621F">
        <w:tc>
          <w:tcPr>
            <w:tcW w:w="8856" w:type="dxa"/>
            <w:gridSpan w:val="4"/>
            <w:tcBorders>
              <w:top w:val="single" w:sz="4" w:space="0" w:color="auto"/>
              <w:left w:val="double" w:sz="4" w:space="0" w:color="auto"/>
              <w:bottom w:val="single" w:sz="4" w:space="0" w:color="auto"/>
              <w:right w:val="double" w:sz="4" w:space="0" w:color="auto"/>
            </w:tcBorders>
          </w:tcPr>
          <w:p w:rsidR="00C80610" w:rsidRPr="003C41F4" w:rsidRDefault="00C80610" w:rsidP="003C7E5A">
            <w:pPr>
              <w:spacing w:line="240" w:lineRule="auto"/>
              <w:jc w:val="center"/>
              <w:rPr>
                <w:i/>
                <w:sz w:val="20"/>
              </w:rPr>
            </w:pPr>
            <w:r w:rsidRPr="003C41F4">
              <w:rPr>
                <w:i/>
                <w:sz w:val="20"/>
              </w:rPr>
              <w:t>Cohort 3</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Default="00C80610" w:rsidP="003C7E5A">
            <w:pPr>
              <w:spacing w:line="240" w:lineRule="auto"/>
              <w:jc w:val="left"/>
              <w:rPr>
                <w:sz w:val="20"/>
              </w:rPr>
            </w:pPr>
            <w:r>
              <w:rPr>
                <w:sz w:val="20"/>
              </w:rPr>
              <w:t>PI Administrative form</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2B51CB" w:rsidRDefault="00C80610" w:rsidP="00C80610">
            <w:pPr>
              <w:spacing w:line="240" w:lineRule="auto"/>
              <w:jc w:val="right"/>
              <w:rPr>
                <w:sz w:val="20"/>
              </w:rPr>
            </w:pPr>
            <w:r>
              <w:rPr>
                <w:sz w:val="20"/>
              </w:rPr>
              <w:t>2</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Default="00C80610" w:rsidP="00AD33CD">
            <w:pPr>
              <w:spacing w:line="240" w:lineRule="auto"/>
              <w:jc w:val="center"/>
              <w:rPr>
                <w:sz w:val="20"/>
              </w:rPr>
            </w:pPr>
            <w:r>
              <w:rPr>
                <w:sz w:val="20"/>
              </w:rPr>
              <w:t>30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1.00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2B51CB" w:rsidRDefault="00C80610" w:rsidP="003C7E5A">
            <w:pPr>
              <w:spacing w:line="240" w:lineRule="auto"/>
              <w:jc w:val="left"/>
              <w:rPr>
                <w:sz w:val="20"/>
              </w:rPr>
            </w:pPr>
            <w:r>
              <w:rPr>
                <w:sz w:val="20"/>
              </w:rPr>
              <w:t>PI/Co-PI</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2B51CB" w:rsidRDefault="00C80610" w:rsidP="00C80610">
            <w:pPr>
              <w:spacing w:line="240" w:lineRule="auto"/>
              <w:jc w:val="right"/>
              <w:rPr>
                <w:sz w:val="20"/>
              </w:rPr>
            </w:pPr>
            <w:r>
              <w:rPr>
                <w:sz w:val="20"/>
              </w:rPr>
              <w:t>6</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4.50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r>
              <w:rPr>
                <w:sz w:val="20"/>
              </w:rPr>
              <w:t>10</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7.50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r>
              <w:rPr>
                <w:sz w:val="20"/>
              </w:rPr>
              <w:t>8</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6.00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r>
              <w:rPr>
                <w:sz w:val="20"/>
              </w:rPr>
              <w:t>4</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3.00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3C7E5A">
            <w:pPr>
              <w:spacing w:line="240" w:lineRule="auto"/>
              <w:jc w:val="center"/>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22.00</w:t>
            </w:r>
          </w:p>
        </w:tc>
      </w:tr>
      <w:tr w:rsidR="00C80610" w:rsidRPr="0030621F">
        <w:tc>
          <w:tcPr>
            <w:tcW w:w="8856" w:type="dxa"/>
            <w:gridSpan w:val="4"/>
            <w:tcBorders>
              <w:top w:val="single" w:sz="4" w:space="0" w:color="auto"/>
              <w:left w:val="double" w:sz="4" w:space="0" w:color="auto"/>
              <w:bottom w:val="single" w:sz="4" w:space="0" w:color="auto"/>
              <w:right w:val="double" w:sz="4" w:space="0" w:color="auto"/>
            </w:tcBorders>
          </w:tcPr>
          <w:p w:rsidR="00C80610" w:rsidRPr="003C41F4" w:rsidRDefault="00C80610" w:rsidP="003C7E5A">
            <w:pPr>
              <w:spacing w:line="240" w:lineRule="auto"/>
              <w:jc w:val="center"/>
              <w:rPr>
                <w:i/>
                <w:sz w:val="20"/>
              </w:rPr>
            </w:pPr>
            <w:r w:rsidRPr="003C41F4">
              <w:rPr>
                <w:i/>
                <w:sz w:val="20"/>
              </w:rPr>
              <w:t>Total</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Default="00C80610" w:rsidP="003C7E5A">
            <w:pPr>
              <w:spacing w:line="240" w:lineRule="auto"/>
              <w:jc w:val="left"/>
              <w:rPr>
                <w:sz w:val="20"/>
              </w:rPr>
            </w:pPr>
            <w:r>
              <w:rPr>
                <w:sz w:val="20"/>
              </w:rPr>
              <w:t>PI administrative form</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2B51CB" w:rsidRDefault="008D45E4" w:rsidP="00C80610">
            <w:pPr>
              <w:spacing w:line="240" w:lineRule="auto"/>
              <w:jc w:val="right"/>
              <w:rPr>
                <w:sz w:val="20"/>
              </w:rPr>
            </w:pPr>
            <w:r>
              <w:rPr>
                <w:sz w:val="20"/>
              </w:rPr>
              <w:t>19</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Default="00C80610" w:rsidP="00AD33CD">
            <w:pPr>
              <w:spacing w:line="240" w:lineRule="auto"/>
              <w:jc w:val="center"/>
              <w:rPr>
                <w:sz w:val="20"/>
              </w:rPr>
            </w:pPr>
            <w:r>
              <w:rPr>
                <w:sz w:val="20"/>
              </w:rPr>
              <w:t>30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8D45E4" w:rsidP="00C80610">
            <w:pPr>
              <w:spacing w:line="240" w:lineRule="auto"/>
              <w:jc w:val="right"/>
              <w:rPr>
                <w:sz w:val="20"/>
              </w:rPr>
            </w:pPr>
            <w:r>
              <w:rPr>
                <w:sz w:val="20"/>
              </w:rPr>
              <w:t>9.50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2B51CB" w:rsidRDefault="00C80610" w:rsidP="003C7E5A">
            <w:pPr>
              <w:spacing w:line="240" w:lineRule="auto"/>
              <w:jc w:val="left"/>
              <w:rPr>
                <w:sz w:val="20"/>
              </w:rPr>
            </w:pPr>
            <w:r>
              <w:rPr>
                <w:sz w:val="20"/>
              </w:rPr>
              <w:t>PI/Co-PI</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2B51CB" w:rsidRDefault="008D45E4" w:rsidP="00C80610">
            <w:pPr>
              <w:spacing w:line="240" w:lineRule="auto"/>
              <w:jc w:val="right"/>
              <w:rPr>
                <w:sz w:val="20"/>
              </w:rPr>
            </w:pPr>
            <w:r>
              <w:rPr>
                <w:sz w:val="20"/>
              </w:rPr>
              <w:t>57</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8D45E4" w:rsidP="00C80610">
            <w:pPr>
              <w:spacing w:line="240" w:lineRule="auto"/>
              <w:jc w:val="right"/>
              <w:rPr>
                <w:sz w:val="20"/>
              </w:rPr>
            </w:pPr>
            <w:r>
              <w:rPr>
                <w:sz w:val="20"/>
              </w:rPr>
              <w:t>42.75</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IHE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8D45E4" w:rsidP="00C80610">
            <w:pPr>
              <w:spacing w:line="240" w:lineRule="auto"/>
              <w:jc w:val="right"/>
              <w:rPr>
                <w:sz w:val="20"/>
              </w:rPr>
            </w:pPr>
            <w:r>
              <w:rPr>
                <w:sz w:val="20"/>
              </w:rPr>
              <w:t>95</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8D45E4" w:rsidP="00C80610">
            <w:pPr>
              <w:spacing w:line="240" w:lineRule="auto"/>
              <w:jc w:val="right"/>
              <w:rPr>
                <w:sz w:val="20"/>
              </w:rPr>
            </w:pPr>
            <w:r>
              <w:rPr>
                <w:sz w:val="20"/>
              </w:rPr>
              <w:t>71.25</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K–12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8D45E4" w:rsidP="00C80610">
            <w:pPr>
              <w:spacing w:line="240" w:lineRule="auto"/>
              <w:jc w:val="right"/>
              <w:rPr>
                <w:sz w:val="20"/>
              </w:rPr>
            </w:pPr>
            <w:r>
              <w:rPr>
                <w:sz w:val="20"/>
              </w:rPr>
              <w:t>76</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8D45E4" w:rsidP="00C80610">
            <w:pPr>
              <w:spacing w:line="240" w:lineRule="auto"/>
              <w:jc w:val="right"/>
              <w:rPr>
                <w:sz w:val="20"/>
              </w:rPr>
            </w:pPr>
            <w:r>
              <w:rPr>
                <w:sz w:val="20"/>
              </w:rPr>
              <w:t>57.00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sidRPr="00B428C5">
              <w:rPr>
                <w:sz w:val="20"/>
              </w:rPr>
              <w:t>Business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8D45E4" w:rsidP="00C80610">
            <w:pPr>
              <w:spacing w:line="240" w:lineRule="auto"/>
              <w:jc w:val="right"/>
              <w:rPr>
                <w:sz w:val="20"/>
              </w:rPr>
            </w:pPr>
            <w:r>
              <w:rPr>
                <w:sz w:val="20"/>
              </w:rPr>
              <w:t>38</w:t>
            </w: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AD33CD">
            <w:pPr>
              <w:spacing w:line="240" w:lineRule="auto"/>
              <w:jc w:val="center"/>
              <w:rPr>
                <w:sz w:val="20"/>
              </w:rPr>
            </w:pPr>
            <w:r w:rsidRPr="00991ECD">
              <w:rPr>
                <w:sz w:val="20"/>
              </w:rPr>
              <w:t>45 minutes</w:t>
            </w: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8D45E4" w:rsidP="00C80610">
            <w:pPr>
              <w:spacing w:line="240" w:lineRule="auto"/>
              <w:jc w:val="right"/>
              <w:rPr>
                <w:sz w:val="20"/>
              </w:rPr>
            </w:pPr>
            <w:r>
              <w:rPr>
                <w:sz w:val="20"/>
              </w:rPr>
              <w:t>28.50</w:t>
            </w:r>
          </w:p>
        </w:tc>
      </w:tr>
      <w:tr w:rsidR="00C80610" w:rsidRPr="0030621F">
        <w:tc>
          <w:tcPr>
            <w:tcW w:w="2358" w:type="dxa"/>
            <w:tcBorders>
              <w:top w:val="single" w:sz="4" w:space="0" w:color="auto"/>
              <w:left w:val="double" w:sz="4" w:space="0" w:color="auto"/>
              <w:bottom w:val="single" w:sz="4" w:space="0" w:color="auto"/>
              <w:right w:val="single" w:sz="4" w:space="0" w:color="auto"/>
            </w:tcBorders>
          </w:tcPr>
          <w:p w:rsidR="00C80610" w:rsidRPr="00B428C5" w:rsidRDefault="00C80610" w:rsidP="003C7E5A">
            <w:pPr>
              <w:spacing w:line="240" w:lineRule="auto"/>
              <w:jc w:val="left"/>
              <w:rPr>
                <w:sz w:val="20"/>
              </w:rPr>
            </w:pPr>
            <w:r>
              <w:rPr>
                <w:sz w:val="20"/>
              </w:rPr>
              <w:t>Total</w:t>
            </w:r>
          </w:p>
        </w:tc>
        <w:tc>
          <w:tcPr>
            <w:tcW w:w="2070" w:type="dxa"/>
            <w:tcBorders>
              <w:top w:val="single" w:sz="4" w:space="0" w:color="auto"/>
              <w:left w:val="single" w:sz="4" w:space="0" w:color="auto"/>
              <w:bottom w:val="single" w:sz="4" w:space="0" w:color="auto"/>
              <w:right w:val="single" w:sz="4" w:space="0" w:color="auto"/>
            </w:tcBorders>
            <w:vAlign w:val="center"/>
          </w:tcPr>
          <w:p w:rsidR="00C80610" w:rsidRPr="00C02B4A" w:rsidRDefault="00C80610" w:rsidP="00C80610">
            <w:pPr>
              <w:spacing w:line="240" w:lineRule="auto"/>
              <w:jc w:val="right"/>
              <w:rPr>
                <w:sz w:val="20"/>
              </w:rPr>
            </w:pPr>
          </w:p>
        </w:tc>
        <w:tc>
          <w:tcPr>
            <w:tcW w:w="2214" w:type="dxa"/>
            <w:tcBorders>
              <w:top w:val="single" w:sz="4" w:space="0" w:color="auto"/>
              <w:left w:val="single" w:sz="4" w:space="0" w:color="auto"/>
              <w:bottom w:val="single" w:sz="4" w:space="0" w:color="auto"/>
              <w:right w:val="single" w:sz="4" w:space="0" w:color="auto"/>
            </w:tcBorders>
            <w:vAlign w:val="center"/>
          </w:tcPr>
          <w:p w:rsidR="00C80610" w:rsidRPr="00991ECD" w:rsidRDefault="00C80610" w:rsidP="003C7E5A">
            <w:pPr>
              <w:spacing w:line="240" w:lineRule="auto"/>
              <w:jc w:val="center"/>
              <w:rPr>
                <w:sz w:val="20"/>
              </w:rPr>
            </w:pPr>
          </w:p>
        </w:tc>
        <w:tc>
          <w:tcPr>
            <w:tcW w:w="2214" w:type="dxa"/>
            <w:tcBorders>
              <w:top w:val="single" w:sz="4" w:space="0" w:color="auto"/>
              <w:left w:val="single" w:sz="4" w:space="0" w:color="auto"/>
              <w:bottom w:val="single" w:sz="4" w:space="0" w:color="auto"/>
              <w:right w:val="double" w:sz="4" w:space="0" w:color="auto"/>
            </w:tcBorders>
            <w:vAlign w:val="center"/>
          </w:tcPr>
          <w:p w:rsidR="00C80610" w:rsidRPr="002B51CB" w:rsidRDefault="0030174B" w:rsidP="00C80610">
            <w:pPr>
              <w:spacing w:line="240" w:lineRule="auto"/>
              <w:jc w:val="right"/>
              <w:rPr>
                <w:sz w:val="20"/>
              </w:rPr>
            </w:pPr>
            <w:r>
              <w:rPr>
                <w:sz w:val="20"/>
              </w:rPr>
              <w:t>209.00</w:t>
            </w:r>
          </w:p>
        </w:tc>
      </w:tr>
      <w:tr w:rsidR="0030174B" w:rsidRPr="0030621F">
        <w:tc>
          <w:tcPr>
            <w:tcW w:w="8856" w:type="dxa"/>
            <w:gridSpan w:val="4"/>
            <w:tcBorders>
              <w:top w:val="single" w:sz="4" w:space="0" w:color="auto"/>
              <w:left w:val="double" w:sz="4" w:space="0" w:color="auto"/>
              <w:bottom w:val="double" w:sz="4" w:space="0" w:color="auto"/>
              <w:right w:val="double" w:sz="4" w:space="0" w:color="auto"/>
            </w:tcBorders>
          </w:tcPr>
          <w:p w:rsidR="0030174B" w:rsidRPr="002B51CB" w:rsidRDefault="0030174B" w:rsidP="00AD33CD">
            <w:pPr>
              <w:spacing w:line="240" w:lineRule="auto"/>
              <w:rPr>
                <w:sz w:val="20"/>
              </w:rPr>
            </w:pPr>
            <w:r w:rsidRPr="002B51CB">
              <w:rPr>
                <w:sz w:val="20"/>
              </w:rPr>
              <w:t xml:space="preserve">*=Number of Respondents x Burden </w:t>
            </w:r>
            <w:r>
              <w:rPr>
                <w:sz w:val="20"/>
              </w:rPr>
              <w:t>Per Respondent/60 minutes</w:t>
            </w:r>
          </w:p>
        </w:tc>
      </w:tr>
    </w:tbl>
    <w:p w:rsidR="003C7E5A" w:rsidRPr="0030621F" w:rsidRDefault="003C7E5A" w:rsidP="003C7E5A">
      <w:pPr>
        <w:spacing w:line="240" w:lineRule="auto"/>
      </w:pPr>
    </w:p>
    <w:p w:rsidR="003C7E5A" w:rsidRDefault="003C7E5A" w:rsidP="003C7E5A">
      <w:pPr>
        <w:pStyle w:val="Heading3"/>
        <w:spacing w:after="0" w:line="240" w:lineRule="auto"/>
        <w:rPr>
          <w:szCs w:val="22"/>
        </w:rPr>
      </w:pPr>
    </w:p>
    <w:p w:rsidR="003C7E5A" w:rsidRDefault="003C7E5A" w:rsidP="003C7E5A">
      <w:pPr>
        <w:pStyle w:val="Heading3"/>
        <w:spacing w:after="0" w:line="240" w:lineRule="auto"/>
        <w:rPr>
          <w:szCs w:val="22"/>
        </w:rPr>
      </w:pPr>
    </w:p>
    <w:p w:rsidR="003C7E5A" w:rsidRPr="002B51CB" w:rsidRDefault="003C7E5A" w:rsidP="003C7E5A">
      <w:pPr>
        <w:pStyle w:val="Heading3"/>
        <w:spacing w:after="0" w:line="240" w:lineRule="auto"/>
        <w:rPr>
          <w:szCs w:val="22"/>
        </w:rPr>
      </w:pPr>
      <w:r w:rsidRPr="002B51CB">
        <w:rPr>
          <w:szCs w:val="22"/>
        </w:rPr>
        <w:t>A.12.3. Estimates of Annualized Cost to Respondents for the Hour Burdens</w:t>
      </w:r>
    </w:p>
    <w:p w:rsidR="003C7E5A" w:rsidRPr="00F505CC" w:rsidRDefault="003C7E5A" w:rsidP="003C7E5A">
      <w:pPr>
        <w:pStyle w:val="NormalWeb"/>
        <w:rPr>
          <w:sz w:val="22"/>
          <w:szCs w:val="22"/>
        </w:rPr>
      </w:pPr>
      <w:r w:rsidRPr="00F505CC">
        <w:rPr>
          <w:sz w:val="22"/>
          <w:szCs w:val="22"/>
        </w:rPr>
        <w:t>The overall cost to respondents</w:t>
      </w:r>
      <w:r w:rsidR="002B67A0" w:rsidRPr="00F505CC">
        <w:rPr>
          <w:sz w:val="22"/>
          <w:szCs w:val="22"/>
        </w:rPr>
        <w:t xml:space="preserve"> over the 3-year period is </w:t>
      </w:r>
      <w:r w:rsidRPr="00F505CC">
        <w:rPr>
          <w:sz w:val="22"/>
          <w:szCs w:val="22"/>
        </w:rPr>
        <w:t>estimated to be $</w:t>
      </w:r>
      <w:r w:rsidR="002B67A0" w:rsidRPr="00F505CC">
        <w:rPr>
          <w:sz w:val="22"/>
          <w:szCs w:val="22"/>
        </w:rPr>
        <w:t>8</w:t>
      </w:r>
      <w:r w:rsidRPr="00F505CC">
        <w:rPr>
          <w:sz w:val="22"/>
          <w:szCs w:val="22"/>
        </w:rPr>
        <w:t>,</w:t>
      </w:r>
      <w:r w:rsidR="004A7C70" w:rsidRPr="00F505CC">
        <w:rPr>
          <w:sz w:val="22"/>
          <w:szCs w:val="22"/>
        </w:rPr>
        <w:t>1</w:t>
      </w:r>
      <w:r w:rsidR="00C96BA7">
        <w:rPr>
          <w:sz w:val="22"/>
          <w:szCs w:val="22"/>
        </w:rPr>
        <w:t>85</w:t>
      </w:r>
      <w:r w:rsidRPr="00F505CC">
        <w:rPr>
          <w:sz w:val="22"/>
          <w:szCs w:val="22"/>
        </w:rPr>
        <w:t xml:space="preserve">. The hourly wage rates for CoPI respondents and IHE Participant respondents were based on information found in the Department of Education's National Center for Educational Statistics </w:t>
      </w:r>
      <w:r w:rsidRPr="00F505CC">
        <w:rPr>
          <w:i/>
          <w:sz w:val="22"/>
          <w:szCs w:val="22"/>
        </w:rPr>
        <w:t>Employees in Postsecondary Institutions, Fall 200</w:t>
      </w:r>
      <w:r w:rsidR="006A2F7E" w:rsidRPr="00F505CC">
        <w:rPr>
          <w:i/>
          <w:sz w:val="22"/>
          <w:szCs w:val="22"/>
        </w:rPr>
        <w:t>8,</w:t>
      </w:r>
      <w:r w:rsidRPr="00F505CC">
        <w:rPr>
          <w:i/>
          <w:sz w:val="22"/>
          <w:szCs w:val="22"/>
        </w:rPr>
        <w:t xml:space="preserve"> and Salaries of Full-Time Instructional </w:t>
      </w:r>
      <w:r w:rsidR="006A2F7E" w:rsidRPr="00F505CC">
        <w:rPr>
          <w:i/>
          <w:sz w:val="22"/>
          <w:szCs w:val="22"/>
        </w:rPr>
        <w:t>Staff</w:t>
      </w:r>
      <w:r w:rsidRPr="00F505CC">
        <w:rPr>
          <w:i/>
          <w:sz w:val="22"/>
          <w:szCs w:val="22"/>
        </w:rPr>
        <w:t>, 200</w:t>
      </w:r>
      <w:r w:rsidR="006A2F7E" w:rsidRPr="00F505CC">
        <w:rPr>
          <w:i/>
          <w:sz w:val="22"/>
          <w:szCs w:val="22"/>
        </w:rPr>
        <w:t>8</w:t>
      </w:r>
      <w:r w:rsidRPr="00F505CC">
        <w:rPr>
          <w:i/>
          <w:sz w:val="22"/>
          <w:szCs w:val="22"/>
        </w:rPr>
        <w:t>-0</w:t>
      </w:r>
      <w:r w:rsidR="006A2F7E" w:rsidRPr="00F505CC">
        <w:rPr>
          <w:i/>
          <w:sz w:val="22"/>
          <w:szCs w:val="22"/>
        </w:rPr>
        <w:t>9</w:t>
      </w:r>
      <w:r w:rsidRPr="00F505CC">
        <w:rPr>
          <w:i/>
          <w:sz w:val="22"/>
          <w:szCs w:val="22"/>
        </w:rPr>
        <w:t xml:space="preserve"> </w:t>
      </w:r>
      <w:r w:rsidR="006A2F7E" w:rsidRPr="00F505CC">
        <w:rPr>
          <w:sz w:val="22"/>
          <w:szCs w:val="22"/>
        </w:rPr>
        <w:t>(Table 4</w:t>
      </w:r>
      <w:r w:rsidRPr="00F505CC">
        <w:rPr>
          <w:sz w:val="22"/>
          <w:szCs w:val="22"/>
        </w:rPr>
        <w:t xml:space="preserve">, </w:t>
      </w:r>
      <w:r w:rsidR="006A2F7E" w:rsidRPr="00F505CC">
        <w:rPr>
          <w:sz w:val="22"/>
          <w:szCs w:val="22"/>
        </w:rPr>
        <w:t>Adjusted 9-month average salaries of full-time instructional staff at Title</w:t>
      </w:r>
      <w:r w:rsidRPr="00F505CC">
        <w:rPr>
          <w:sz w:val="22"/>
          <w:szCs w:val="22"/>
        </w:rPr>
        <w:t xml:space="preserve"> IV degree-granting institutions, by academic rank, control and level of institution, and gender: United States, </w:t>
      </w:r>
      <w:r w:rsidR="006A2F7E" w:rsidRPr="00F505CC">
        <w:rPr>
          <w:sz w:val="22"/>
          <w:szCs w:val="22"/>
        </w:rPr>
        <w:lastRenderedPageBreak/>
        <w:t>academic year 2009-09</w:t>
      </w:r>
      <w:r w:rsidRPr="00F505CC">
        <w:rPr>
          <w:sz w:val="22"/>
          <w:szCs w:val="22"/>
        </w:rPr>
        <w:t xml:space="preserve">), </w:t>
      </w:r>
      <w:hyperlink r:id="rId5" w:history="1">
        <w:r w:rsidR="004A7C70" w:rsidRPr="00F505CC">
          <w:rPr>
            <w:rStyle w:val="Hyperlink"/>
            <w:sz w:val="22"/>
            <w:szCs w:val="22"/>
          </w:rPr>
          <w:t>http://nces.ed.gov/pubs2010/2010165.pdf</w:t>
        </w:r>
      </w:hyperlink>
      <w:r w:rsidR="004A7C70" w:rsidRPr="00F505CC">
        <w:rPr>
          <w:sz w:val="22"/>
          <w:szCs w:val="22"/>
        </w:rPr>
        <w:t xml:space="preserve">. The hourly wage rates for </w:t>
      </w:r>
      <w:r w:rsidR="00C859A4" w:rsidRPr="00F505CC">
        <w:rPr>
          <w:sz w:val="22"/>
          <w:szCs w:val="22"/>
        </w:rPr>
        <w:t>B</w:t>
      </w:r>
      <w:r w:rsidR="00E90FEA" w:rsidRPr="00F505CC">
        <w:rPr>
          <w:sz w:val="22"/>
          <w:szCs w:val="22"/>
        </w:rPr>
        <w:t xml:space="preserve">usiness, and </w:t>
      </w:r>
      <w:r w:rsidR="00C859A4" w:rsidRPr="00F505CC">
        <w:rPr>
          <w:sz w:val="22"/>
          <w:szCs w:val="22"/>
        </w:rPr>
        <w:t>PI and K-12 P</w:t>
      </w:r>
      <w:r w:rsidR="00E90FEA" w:rsidRPr="00F505CC">
        <w:rPr>
          <w:sz w:val="22"/>
          <w:szCs w:val="22"/>
        </w:rPr>
        <w:t xml:space="preserve">articipant respondents </w:t>
      </w:r>
      <w:r w:rsidR="004A7C70" w:rsidRPr="00F505CC">
        <w:rPr>
          <w:sz w:val="22"/>
          <w:szCs w:val="22"/>
        </w:rPr>
        <w:t xml:space="preserve">were based on information found in </w:t>
      </w:r>
      <w:r w:rsidR="006A2F7E" w:rsidRPr="00F505CC">
        <w:rPr>
          <w:sz w:val="22"/>
          <w:szCs w:val="22"/>
        </w:rPr>
        <w:t xml:space="preserve">the U.S. Department of Labor, Bureau of Labor Statistics, </w:t>
      </w:r>
      <w:r w:rsidR="00E90FEA" w:rsidRPr="00F505CC">
        <w:rPr>
          <w:sz w:val="22"/>
          <w:szCs w:val="22"/>
        </w:rPr>
        <w:t xml:space="preserve">Occupational Employment Statistics (OES) Survey, </w:t>
      </w:r>
      <w:r w:rsidR="006A2F7E" w:rsidRPr="00F505CC">
        <w:rPr>
          <w:sz w:val="22"/>
          <w:szCs w:val="22"/>
        </w:rPr>
        <w:t xml:space="preserve">May 2008 </w:t>
      </w:r>
      <w:r w:rsidR="002D650C" w:rsidRPr="00F505CC">
        <w:rPr>
          <w:sz w:val="22"/>
          <w:szCs w:val="22"/>
        </w:rPr>
        <w:t xml:space="preserve">National </w:t>
      </w:r>
      <w:r w:rsidR="004A7C70" w:rsidRPr="00F505CC">
        <w:rPr>
          <w:sz w:val="22"/>
          <w:szCs w:val="22"/>
        </w:rPr>
        <w:t>Occupational</w:t>
      </w:r>
      <w:r w:rsidR="006A2F7E" w:rsidRPr="00F505CC">
        <w:rPr>
          <w:sz w:val="22"/>
          <w:szCs w:val="22"/>
        </w:rPr>
        <w:t xml:space="preserve"> Employment </w:t>
      </w:r>
      <w:r w:rsidR="002D650C" w:rsidRPr="00F505CC">
        <w:rPr>
          <w:sz w:val="22"/>
          <w:szCs w:val="22"/>
        </w:rPr>
        <w:t>and Wage Estimates, http://www.bls.gov/oes/current/oes_nat.htm</w:t>
      </w:r>
      <w:r w:rsidR="00A46136" w:rsidRPr="00F505CC">
        <w:rPr>
          <w:sz w:val="22"/>
          <w:szCs w:val="22"/>
        </w:rPr>
        <w:t>.</w:t>
      </w:r>
    </w:p>
    <w:p w:rsidR="003C7E5A" w:rsidRPr="00F505CC" w:rsidRDefault="003C7E5A" w:rsidP="003C7E5A">
      <w:pPr>
        <w:pStyle w:val="NormalWeb"/>
        <w:rPr>
          <w:sz w:val="22"/>
          <w:szCs w:val="22"/>
        </w:rPr>
      </w:pPr>
      <w:r w:rsidRPr="00F505CC">
        <w:rPr>
          <w:sz w:val="22"/>
          <w:szCs w:val="22"/>
        </w:rPr>
        <w:t>Calculations are shown in Chart 3.</w:t>
      </w:r>
    </w:p>
    <w:p w:rsidR="003C7E5A" w:rsidRPr="00F505CC" w:rsidRDefault="003C7E5A" w:rsidP="003C7E5A">
      <w:pPr>
        <w:pStyle w:val="NormalWeb"/>
        <w:rPr>
          <w:sz w:val="22"/>
          <w:szCs w:val="22"/>
        </w:rPr>
      </w:pPr>
      <w:r w:rsidRPr="00F505CC">
        <w:rPr>
          <w:b/>
          <w:bCs/>
          <w:sz w:val="22"/>
          <w:szCs w:val="22"/>
        </w:rPr>
        <w:t xml:space="preserve">Chart 3. Annualized Cost to Respondents, by Type of Respondent           </w:t>
      </w:r>
      <w:r w:rsidRPr="00F505CC">
        <w:rPr>
          <w:sz w:val="22"/>
          <w:szCs w:val="22"/>
        </w:rPr>
        <w:t xml:space="preserve">                          </w:t>
      </w:r>
    </w:p>
    <w:tbl>
      <w:tblPr>
        <w:tblW w:w="8196" w:type="dxa"/>
        <w:tblCellSpacing w:w="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0"/>
        <w:gridCol w:w="1342"/>
        <w:gridCol w:w="2152"/>
        <w:gridCol w:w="2152"/>
      </w:tblGrid>
      <w:tr w:rsidR="003C7E5A" w:rsidRPr="00F505CC">
        <w:trPr>
          <w:tblCellSpacing w:w="0" w:type="dxa"/>
        </w:trPr>
        <w:tc>
          <w:tcPr>
            <w:tcW w:w="2550" w:type="dxa"/>
            <w:tcBorders>
              <w:top w:val="double" w:sz="4" w:space="0" w:color="auto"/>
              <w:left w:val="double" w:sz="4" w:space="0" w:color="auto"/>
            </w:tcBorders>
            <w:shd w:val="clear" w:color="auto" w:fill="auto"/>
            <w:vAlign w:val="center"/>
          </w:tcPr>
          <w:p w:rsidR="003C7E5A" w:rsidRPr="00F505CC" w:rsidRDefault="003C7E5A" w:rsidP="003C7E5A">
            <w:pPr>
              <w:pStyle w:val="NormalWeb"/>
              <w:jc w:val="center"/>
              <w:rPr>
                <w:sz w:val="20"/>
                <w:szCs w:val="20"/>
              </w:rPr>
            </w:pPr>
            <w:r w:rsidRPr="00F505CC">
              <w:rPr>
                <w:b/>
                <w:bCs/>
                <w:sz w:val="20"/>
                <w:szCs w:val="20"/>
              </w:rPr>
              <w:t>  </w:t>
            </w:r>
          </w:p>
        </w:tc>
        <w:tc>
          <w:tcPr>
            <w:tcW w:w="1342" w:type="dxa"/>
            <w:tcBorders>
              <w:top w:val="double" w:sz="4" w:space="0" w:color="auto"/>
            </w:tcBorders>
            <w:shd w:val="clear" w:color="auto" w:fill="auto"/>
            <w:vAlign w:val="center"/>
          </w:tcPr>
          <w:p w:rsidR="003C7E5A" w:rsidRPr="00F505CC" w:rsidRDefault="003C7E5A" w:rsidP="003C7E5A">
            <w:pPr>
              <w:pStyle w:val="NormalWeb"/>
              <w:jc w:val="center"/>
              <w:rPr>
                <w:sz w:val="20"/>
                <w:szCs w:val="20"/>
              </w:rPr>
            </w:pPr>
            <w:r w:rsidRPr="00F505CC">
              <w:rPr>
                <w:b/>
                <w:bCs/>
                <w:sz w:val="20"/>
                <w:szCs w:val="20"/>
              </w:rPr>
              <w:t>Hour Burden</w:t>
            </w:r>
          </w:p>
        </w:tc>
        <w:tc>
          <w:tcPr>
            <w:tcW w:w="2152" w:type="dxa"/>
            <w:tcBorders>
              <w:top w:val="double" w:sz="4" w:space="0" w:color="auto"/>
            </w:tcBorders>
            <w:shd w:val="clear" w:color="auto" w:fill="auto"/>
            <w:vAlign w:val="center"/>
          </w:tcPr>
          <w:p w:rsidR="003C7E5A" w:rsidRPr="00F505CC" w:rsidRDefault="003C7E5A" w:rsidP="003C7E5A">
            <w:pPr>
              <w:pStyle w:val="NormalWeb"/>
              <w:jc w:val="center"/>
              <w:rPr>
                <w:sz w:val="20"/>
                <w:szCs w:val="20"/>
              </w:rPr>
            </w:pPr>
            <w:r w:rsidRPr="00F505CC">
              <w:rPr>
                <w:b/>
                <w:bCs/>
                <w:sz w:val="20"/>
                <w:szCs w:val="20"/>
              </w:rPr>
              <w:t>Estimated Hourly Wage Rate</w:t>
            </w:r>
          </w:p>
        </w:tc>
        <w:tc>
          <w:tcPr>
            <w:tcW w:w="2152" w:type="dxa"/>
            <w:tcBorders>
              <w:top w:val="double" w:sz="4" w:space="0" w:color="auto"/>
              <w:right w:val="double" w:sz="4" w:space="0" w:color="auto"/>
            </w:tcBorders>
            <w:shd w:val="clear" w:color="auto" w:fill="auto"/>
            <w:vAlign w:val="center"/>
          </w:tcPr>
          <w:p w:rsidR="003C7E5A" w:rsidRPr="00F505CC" w:rsidRDefault="003C7E5A" w:rsidP="003C7E5A">
            <w:pPr>
              <w:pStyle w:val="NormalWeb"/>
              <w:jc w:val="center"/>
              <w:rPr>
                <w:sz w:val="20"/>
                <w:szCs w:val="20"/>
              </w:rPr>
            </w:pPr>
            <w:r w:rsidRPr="00F505CC">
              <w:rPr>
                <w:b/>
                <w:bCs/>
                <w:sz w:val="20"/>
                <w:szCs w:val="20"/>
              </w:rPr>
              <w:t>Estimated Cost to Respondents*</w:t>
            </w:r>
          </w:p>
        </w:tc>
      </w:tr>
      <w:tr w:rsidR="003C7E5A" w:rsidRPr="00F505CC">
        <w:trPr>
          <w:trHeight w:val="458"/>
          <w:tblCellSpacing w:w="0" w:type="dxa"/>
        </w:trPr>
        <w:tc>
          <w:tcPr>
            <w:tcW w:w="2550" w:type="dxa"/>
            <w:tcBorders>
              <w:left w:val="double" w:sz="4" w:space="0" w:color="auto"/>
            </w:tcBorders>
            <w:shd w:val="clear" w:color="auto" w:fill="auto"/>
            <w:noWrap/>
            <w:vAlign w:val="center"/>
          </w:tcPr>
          <w:p w:rsidR="003C7E5A" w:rsidRPr="00F505CC" w:rsidRDefault="003C7E5A" w:rsidP="002D34CC">
            <w:pPr>
              <w:pStyle w:val="NormalWeb"/>
              <w:rPr>
                <w:sz w:val="20"/>
                <w:szCs w:val="20"/>
              </w:rPr>
            </w:pPr>
            <w:r w:rsidRPr="00F505CC">
              <w:rPr>
                <w:sz w:val="20"/>
                <w:szCs w:val="20"/>
              </w:rPr>
              <w:t>PI</w:t>
            </w:r>
            <w:r w:rsidR="00556EE6" w:rsidRPr="00F505CC">
              <w:rPr>
                <w:sz w:val="20"/>
                <w:szCs w:val="20"/>
              </w:rPr>
              <w:t xml:space="preserve"> (IHE Faculty)</w:t>
            </w:r>
            <w:r w:rsidR="00A90A64" w:rsidRPr="00F505CC">
              <w:rPr>
                <w:sz w:val="20"/>
                <w:szCs w:val="20"/>
              </w:rPr>
              <w:t xml:space="preserve"> </w:t>
            </w:r>
          </w:p>
        </w:tc>
        <w:tc>
          <w:tcPr>
            <w:tcW w:w="1342" w:type="dxa"/>
            <w:shd w:val="clear" w:color="auto" w:fill="auto"/>
            <w:noWrap/>
            <w:vAlign w:val="center"/>
          </w:tcPr>
          <w:p w:rsidR="003C7E5A" w:rsidRPr="00F505CC" w:rsidRDefault="003C7E5A" w:rsidP="003C7E5A">
            <w:pPr>
              <w:pStyle w:val="NormalWeb"/>
              <w:jc w:val="right"/>
              <w:rPr>
                <w:sz w:val="20"/>
                <w:szCs w:val="20"/>
              </w:rPr>
            </w:pPr>
            <w:r w:rsidRPr="00F505CC">
              <w:rPr>
                <w:sz w:val="20"/>
                <w:szCs w:val="20"/>
              </w:rPr>
              <w:t>9.5</w:t>
            </w:r>
          </w:p>
        </w:tc>
        <w:tc>
          <w:tcPr>
            <w:tcW w:w="2152" w:type="dxa"/>
            <w:shd w:val="clear" w:color="auto" w:fill="auto"/>
            <w:noWrap/>
            <w:vAlign w:val="center"/>
          </w:tcPr>
          <w:p w:rsidR="003C7E5A" w:rsidRPr="00F505CC" w:rsidRDefault="00875E8C" w:rsidP="00C96BA7">
            <w:pPr>
              <w:pStyle w:val="NormalWeb"/>
              <w:jc w:val="right"/>
              <w:rPr>
                <w:sz w:val="20"/>
                <w:szCs w:val="20"/>
              </w:rPr>
            </w:pPr>
            <w:r w:rsidRPr="00F505CC">
              <w:rPr>
                <w:sz w:val="20"/>
                <w:szCs w:val="20"/>
              </w:rPr>
              <w:t>$ 4</w:t>
            </w:r>
            <w:r w:rsidR="00C96BA7">
              <w:rPr>
                <w:sz w:val="20"/>
                <w:szCs w:val="20"/>
              </w:rPr>
              <w:t>8</w:t>
            </w:r>
            <w:r w:rsidRPr="00F505CC">
              <w:rPr>
                <w:sz w:val="20"/>
                <w:szCs w:val="20"/>
              </w:rPr>
              <w:t>.</w:t>
            </w:r>
            <w:r w:rsidR="00C96BA7">
              <w:rPr>
                <w:sz w:val="20"/>
                <w:szCs w:val="20"/>
              </w:rPr>
              <w:t>87</w:t>
            </w:r>
            <w:r w:rsidRPr="00F505CC">
              <w:rPr>
                <w:sz w:val="20"/>
                <w:szCs w:val="20"/>
              </w:rPr>
              <w:t xml:space="preserve"> </w:t>
            </w:r>
          </w:p>
        </w:tc>
        <w:tc>
          <w:tcPr>
            <w:tcW w:w="2152" w:type="dxa"/>
            <w:tcBorders>
              <w:right w:val="double" w:sz="4" w:space="0" w:color="auto"/>
            </w:tcBorders>
            <w:shd w:val="clear" w:color="auto" w:fill="auto"/>
            <w:noWrap/>
            <w:vAlign w:val="center"/>
          </w:tcPr>
          <w:p w:rsidR="003C7E5A" w:rsidRPr="00F505CC" w:rsidRDefault="00556EE6" w:rsidP="00C96BA7">
            <w:pPr>
              <w:pStyle w:val="NormalWeb"/>
              <w:jc w:val="right"/>
              <w:rPr>
                <w:sz w:val="20"/>
                <w:szCs w:val="20"/>
              </w:rPr>
            </w:pPr>
            <w:r w:rsidRPr="00F505CC">
              <w:rPr>
                <w:sz w:val="20"/>
                <w:szCs w:val="20"/>
              </w:rPr>
              <w:t>$</w:t>
            </w:r>
            <w:r w:rsidR="002D34CC" w:rsidRPr="00F505CC">
              <w:t xml:space="preserve"> </w:t>
            </w:r>
            <w:r w:rsidR="002D34CC" w:rsidRPr="00F505CC">
              <w:rPr>
                <w:sz w:val="20"/>
                <w:szCs w:val="20"/>
              </w:rPr>
              <w:t>4</w:t>
            </w:r>
            <w:r w:rsidR="00C96BA7">
              <w:rPr>
                <w:sz w:val="20"/>
                <w:szCs w:val="20"/>
              </w:rPr>
              <w:t>64</w:t>
            </w:r>
            <w:r w:rsidR="002D34CC" w:rsidRPr="00F505CC">
              <w:rPr>
                <w:sz w:val="20"/>
                <w:szCs w:val="20"/>
              </w:rPr>
              <w:t>.</w:t>
            </w:r>
            <w:r w:rsidR="00C96BA7">
              <w:rPr>
                <w:sz w:val="20"/>
                <w:szCs w:val="20"/>
              </w:rPr>
              <w:t>27</w:t>
            </w:r>
          </w:p>
        </w:tc>
      </w:tr>
      <w:tr w:rsidR="00556EE6" w:rsidRPr="00F505CC">
        <w:trPr>
          <w:trHeight w:val="458"/>
          <w:tblCellSpacing w:w="0" w:type="dxa"/>
        </w:trPr>
        <w:tc>
          <w:tcPr>
            <w:tcW w:w="2550" w:type="dxa"/>
            <w:tcBorders>
              <w:left w:val="double" w:sz="4" w:space="0" w:color="auto"/>
            </w:tcBorders>
            <w:shd w:val="clear" w:color="auto" w:fill="auto"/>
            <w:noWrap/>
            <w:vAlign w:val="center"/>
          </w:tcPr>
          <w:p w:rsidR="00556EE6" w:rsidRPr="00F505CC" w:rsidRDefault="00556EE6" w:rsidP="003C7E5A">
            <w:pPr>
              <w:pStyle w:val="NormalWeb"/>
              <w:rPr>
                <w:bCs/>
                <w:sz w:val="20"/>
                <w:szCs w:val="20"/>
              </w:rPr>
            </w:pPr>
            <w:r w:rsidRPr="00F505CC">
              <w:rPr>
                <w:sz w:val="20"/>
                <w:szCs w:val="20"/>
              </w:rPr>
              <w:t>CoPI (IHE Faculty)</w:t>
            </w:r>
          </w:p>
        </w:tc>
        <w:tc>
          <w:tcPr>
            <w:tcW w:w="1342" w:type="dxa"/>
            <w:shd w:val="clear" w:color="auto" w:fill="auto"/>
            <w:noWrap/>
            <w:vAlign w:val="center"/>
          </w:tcPr>
          <w:p w:rsidR="00556EE6" w:rsidRPr="00F505CC" w:rsidRDefault="00556EE6" w:rsidP="003C7E5A">
            <w:pPr>
              <w:spacing w:line="240" w:lineRule="auto"/>
              <w:jc w:val="right"/>
              <w:rPr>
                <w:sz w:val="20"/>
              </w:rPr>
            </w:pPr>
            <w:r w:rsidRPr="00F505CC">
              <w:rPr>
                <w:sz w:val="20"/>
              </w:rPr>
              <w:t>42.75</w:t>
            </w:r>
          </w:p>
        </w:tc>
        <w:tc>
          <w:tcPr>
            <w:tcW w:w="2152" w:type="dxa"/>
            <w:shd w:val="clear" w:color="auto" w:fill="auto"/>
            <w:noWrap/>
            <w:vAlign w:val="center"/>
          </w:tcPr>
          <w:p w:rsidR="00556EE6" w:rsidRPr="00F505CC" w:rsidRDefault="00D42AD0" w:rsidP="002D34CC">
            <w:pPr>
              <w:pStyle w:val="NormalWeb"/>
              <w:jc w:val="right"/>
              <w:rPr>
                <w:sz w:val="20"/>
                <w:szCs w:val="20"/>
              </w:rPr>
            </w:pPr>
            <w:r w:rsidRPr="00F505CC">
              <w:rPr>
                <w:sz w:val="20"/>
                <w:szCs w:val="20"/>
              </w:rPr>
              <w:t>$</w:t>
            </w:r>
            <w:r w:rsidR="00556EE6" w:rsidRPr="00F505CC">
              <w:rPr>
                <w:sz w:val="20"/>
                <w:szCs w:val="20"/>
              </w:rPr>
              <w:t>4</w:t>
            </w:r>
            <w:r w:rsidR="002D34CC" w:rsidRPr="00F505CC">
              <w:rPr>
                <w:sz w:val="20"/>
                <w:szCs w:val="20"/>
              </w:rPr>
              <w:t>8.87</w:t>
            </w:r>
          </w:p>
        </w:tc>
        <w:tc>
          <w:tcPr>
            <w:tcW w:w="2152" w:type="dxa"/>
            <w:tcBorders>
              <w:right w:val="double" w:sz="4" w:space="0" w:color="auto"/>
            </w:tcBorders>
            <w:shd w:val="clear" w:color="auto" w:fill="auto"/>
            <w:noWrap/>
            <w:vAlign w:val="center"/>
          </w:tcPr>
          <w:p w:rsidR="00556EE6" w:rsidRPr="00F505CC" w:rsidRDefault="00556EE6" w:rsidP="003C7E5A">
            <w:pPr>
              <w:pStyle w:val="NormalWeb"/>
              <w:jc w:val="right"/>
              <w:rPr>
                <w:sz w:val="20"/>
                <w:szCs w:val="20"/>
              </w:rPr>
            </w:pPr>
            <w:r w:rsidRPr="00F505CC">
              <w:rPr>
                <w:sz w:val="20"/>
                <w:szCs w:val="20"/>
              </w:rPr>
              <w:t>$</w:t>
            </w:r>
            <w:r w:rsidR="002D34CC" w:rsidRPr="00F505CC">
              <w:t xml:space="preserve"> </w:t>
            </w:r>
            <w:r w:rsidR="002D34CC" w:rsidRPr="00F505CC">
              <w:rPr>
                <w:sz w:val="20"/>
                <w:szCs w:val="20"/>
              </w:rPr>
              <w:t>2089.19</w:t>
            </w:r>
          </w:p>
        </w:tc>
      </w:tr>
      <w:tr w:rsidR="003C7E5A" w:rsidRPr="00F505CC">
        <w:trPr>
          <w:trHeight w:val="458"/>
          <w:tblCellSpacing w:w="0" w:type="dxa"/>
        </w:trPr>
        <w:tc>
          <w:tcPr>
            <w:tcW w:w="2550" w:type="dxa"/>
            <w:tcBorders>
              <w:left w:val="double" w:sz="4" w:space="0" w:color="auto"/>
            </w:tcBorders>
            <w:shd w:val="clear" w:color="auto" w:fill="auto"/>
            <w:noWrap/>
            <w:vAlign w:val="center"/>
          </w:tcPr>
          <w:p w:rsidR="003C7E5A" w:rsidRPr="00F505CC" w:rsidRDefault="003C7E5A" w:rsidP="002D34CC">
            <w:pPr>
              <w:pStyle w:val="NormalWeb"/>
              <w:rPr>
                <w:bCs/>
                <w:sz w:val="20"/>
                <w:szCs w:val="20"/>
              </w:rPr>
            </w:pPr>
            <w:r w:rsidRPr="00F505CC">
              <w:rPr>
                <w:bCs/>
                <w:sz w:val="20"/>
                <w:szCs w:val="20"/>
              </w:rPr>
              <w:t>IHE Participants</w:t>
            </w:r>
            <w:r w:rsidR="00A90A64" w:rsidRPr="00F505CC">
              <w:rPr>
                <w:bCs/>
                <w:sz w:val="20"/>
                <w:szCs w:val="20"/>
              </w:rPr>
              <w:t xml:space="preserve"> </w:t>
            </w:r>
          </w:p>
        </w:tc>
        <w:tc>
          <w:tcPr>
            <w:tcW w:w="1342" w:type="dxa"/>
            <w:shd w:val="clear" w:color="auto" w:fill="auto"/>
            <w:noWrap/>
            <w:vAlign w:val="center"/>
          </w:tcPr>
          <w:p w:rsidR="003C7E5A" w:rsidRPr="00F505CC" w:rsidRDefault="00556EE6" w:rsidP="003C7E5A">
            <w:pPr>
              <w:spacing w:line="240" w:lineRule="auto"/>
              <w:jc w:val="right"/>
              <w:rPr>
                <w:sz w:val="20"/>
              </w:rPr>
            </w:pPr>
            <w:r w:rsidRPr="00F505CC">
              <w:rPr>
                <w:sz w:val="20"/>
              </w:rPr>
              <w:t>71.25</w:t>
            </w:r>
          </w:p>
        </w:tc>
        <w:tc>
          <w:tcPr>
            <w:tcW w:w="2152" w:type="dxa"/>
            <w:shd w:val="clear" w:color="auto" w:fill="auto"/>
            <w:noWrap/>
            <w:vAlign w:val="center"/>
          </w:tcPr>
          <w:p w:rsidR="003C7E5A" w:rsidRPr="00F505CC" w:rsidRDefault="00D42AD0" w:rsidP="002D34CC">
            <w:pPr>
              <w:pStyle w:val="NormalWeb"/>
              <w:jc w:val="right"/>
              <w:rPr>
                <w:sz w:val="20"/>
                <w:szCs w:val="20"/>
              </w:rPr>
            </w:pPr>
            <w:r w:rsidRPr="00F505CC">
              <w:rPr>
                <w:sz w:val="20"/>
                <w:szCs w:val="20"/>
              </w:rPr>
              <w:t>$</w:t>
            </w:r>
            <w:r w:rsidR="002D34CC" w:rsidRPr="00F505CC">
              <w:rPr>
                <w:sz w:val="20"/>
                <w:szCs w:val="20"/>
              </w:rPr>
              <w:t>35.21</w:t>
            </w:r>
          </w:p>
        </w:tc>
        <w:tc>
          <w:tcPr>
            <w:tcW w:w="2152" w:type="dxa"/>
            <w:tcBorders>
              <w:right w:val="double" w:sz="4" w:space="0" w:color="auto"/>
            </w:tcBorders>
            <w:shd w:val="clear" w:color="auto" w:fill="auto"/>
            <w:noWrap/>
            <w:vAlign w:val="center"/>
          </w:tcPr>
          <w:p w:rsidR="003C7E5A" w:rsidRPr="00F505CC" w:rsidRDefault="00D42AD0" w:rsidP="002D34CC">
            <w:pPr>
              <w:pStyle w:val="NormalWeb"/>
              <w:jc w:val="right"/>
              <w:rPr>
                <w:sz w:val="20"/>
                <w:szCs w:val="20"/>
              </w:rPr>
            </w:pPr>
            <w:r w:rsidRPr="00F505CC">
              <w:rPr>
                <w:sz w:val="20"/>
                <w:szCs w:val="20"/>
              </w:rPr>
              <w:t>$</w:t>
            </w:r>
            <w:r w:rsidR="002D34CC" w:rsidRPr="00F505CC">
              <w:rPr>
                <w:sz w:val="20"/>
                <w:szCs w:val="20"/>
              </w:rPr>
              <w:t>2,508.71</w:t>
            </w:r>
          </w:p>
        </w:tc>
      </w:tr>
      <w:tr w:rsidR="003C7E5A" w:rsidRPr="00F505CC">
        <w:trPr>
          <w:trHeight w:val="458"/>
          <w:tblCellSpacing w:w="0" w:type="dxa"/>
        </w:trPr>
        <w:tc>
          <w:tcPr>
            <w:tcW w:w="2550" w:type="dxa"/>
            <w:tcBorders>
              <w:left w:val="double" w:sz="4" w:space="0" w:color="auto"/>
            </w:tcBorders>
            <w:shd w:val="clear" w:color="auto" w:fill="auto"/>
            <w:noWrap/>
            <w:vAlign w:val="center"/>
          </w:tcPr>
          <w:p w:rsidR="003C7E5A" w:rsidRPr="00F505CC" w:rsidRDefault="003C7E5A" w:rsidP="002D34CC">
            <w:pPr>
              <w:pStyle w:val="NormalWeb"/>
              <w:rPr>
                <w:bCs/>
                <w:sz w:val="20"/>
                <w:szCs w:val="20"/>
              </w:rPr>
            </w:pPr>
            <w:r w:rsidRPr="00F505CC">
              <w:rPr>
                <w:bCs/>
                <w:sz w:val="20"/>
                <w:szCs w:val="20"/>
              </w:rPr>
              <w:t>K–12 Participants</w:t>
            </w:r>
            <w:r w:rsidR="00A90A64" w:rsidRPr="00F505CC">
              <w:rPr>
                <w:bCs/>
                <w:sz w:val="20"/>
                <w:szCs w:val="20"/>
              </w:rPr>
              <w:t xml:space="preserve"> </w:t>
            </w:r>
          </w:p>
        </w:tc>
        <w:tc>
          <w:tcPr>
            <w:tcW w:w="1342" w:type="dxa"/>
            <w:shd w:val="clear" w:color="auto" w:fill="auto"/>
            <w:noWrap/>
            <w:vAlign w:val="center"/>
          </w:tcPr>
          <w:p w:rsidR="003C7E5A" w:rsidRPr="00F505CC" w:rsidRDefault="00556EE6" w:rsidP="00556EE6">
            <w:pPr>
              <w:spacing w:line="240" w:lineRule="auto"/>
              <w:jc w:val="right"/>
              <w:rPr>
                <w:sz w:val="20"/>
              </w:rPr>
            </w:pPr>
            <w:r w:rsidRPr="00F505CC">
              <w:rPr>
                <w:sz w:val="20"/>
              </w:rPr>
              <w:t>57.00</w:t>
            </w:r>
          </w:p>
        </w:tc>
        <w:tc>
          <w:tcPr>
            <w:tcW w:w="2152" w:type="dxa"/>
            <w:shd w:val="clear" w:color="auto" w:fill="auto"/>
            <w:noWrap/>
            <w:vAlign w:val="center"/>
          </w:tcPr>
          <w:p w:rsidR="003C7E5A" w:rsidRPr="00F505CC" w:rsidRDefault="00C96BA7" w:rsidP="002D34CC">
            <w:pPr>
              <w:pStyle w:val="NormalWeb"/>
              <w:jc w:val="right"/>
              <w:rPr>
                <w:sz w:val="20"/>
                <w:szCs w:val="20"/>
              </w:rPr>
            </w:pPr>
            <w:r>
              <w:rPr>
                <w:sz w:val="20"/>
                <w:szCs w:val="20"/>
              </w:rPr>
              <w:t>$</w:t>
            </w:r>
            <w:r w:rsidR="004C3241" w:rsidRPr="00F505CC">
              <w:rPr>
                <w:sz w:val="20"/>
                <w:szCs w:val="20"/>
              </w:rPr>
              <w:t xml:space="preserve">33.48 </w:t>
            </w:r>
          </w:p>
        </w:tc>
        <w:tc>
          <w:tcPr>
            <w:tcW w:w="2152" w:type="dxa"/>
            <w:tcBorders>
              <w:right w:val="double" w:sz="4" w:space="0" w:color="auto"/>
            </w:tcBorders>
            <w:shd w:val="clear" w:color="auto" w:fill="auto"/>
            <w:noWrap/>
            <w:vAlign w:val="center"/>
          </w:tcPr>
          <w:p w:rsidR="003C7E5A" w:rsidRPr="00F505CC" w:rsidRDefault="00D42AD0" w:rsidP="003C7E5A">
            <w:pPr>
              <w:pStyle w:val="NormalWeb"/>
              <w:jc w:val="right"/>
              <w:rPr>
                <w:sz w:val="20"/>
                <w:szCs w:val="20"/>
              </w:rPr>
            </w:pPr>
            <w:r w:rsidRPr="00F505CC">
              <w:rPr>
                <w:sz w:val="20"/>
                <w:szCs w:val="20"/>
              </w:rPr>
              <w:t>$</w:t>
            </w:r>
            <w:r w:rsidR="002D34CC" w:rsidRPr="00F505CC">
              <w:t xml:space="preserve"> </w:t>
            </w:r>
            <w:r w:rsidR="002D34CC" w:rsidRPr="00F505CC">
              <w:rPr>
                <w:sz w:val="20"/>
                <w:szCs w:val="20"/>
              </w:rPr>
              <w:t>1908.36</w:t>
            </w:r>
          </w:p>
        </w:tc>
      </w:tr>
      <w:tr w:rsidR="003C7E5A" w:rsidRPr="00F505CC" w:rsidTr="00D42AD0">
        <w:trPr>
          <w:trHeight w:val="458"/>
          <w:tblCellSpacing w:w="0" w:type="dxa"/>
        </w:trPr>
        <w:tc>
          <w:tcPr>
            <w:tcW w:w="2550" w:type="dxa"/>
            <w:tcBorders>
              <w:left w:val="double" w:sz="4" w:space="0" w:color="auto"/>
            </w:tcBorders>
            <w:shd w:val="clear" w:color="auto" w:fill="auto"/>
            <w:noWrap/>
            <w:vAlign w:val="center"/>
          </w:tcPr>
          <w:p w:rsidR="003C7E5A" w:rsidRPr="00F505CC" w:rsidRDefault="003C7E5A" w:rsidP="003C7E5A">
            <w:pPr>
              <w:pStyle w:val="NormalWeb"/>
              <w:rPr>
                <w:bCs/>
                <w:sz w:val="20"/>
                <w:szCs w:val="20"/>
              </w:rPr>
            </w:pPr>
            <w:r w:rsidRPr="00F505CC">
              <w:rPr>
                <w:bCs/>
                <w:sz w:val="20"/>
                <w:szCs w:val="20"/>
              </w:rPr>
              <w:t>Business Participants</w:t>
            </w:r>
          </w:p>
        </w:tc>
        <w:tc>
          <w:tcPr>
            <w:tcW w:w="1342" w:type="dxa"/>
            <w:shd w:val="clear" w:color="auto" w:fill="auto"/>
            <w:noWrap/>
            <w:vAlign w:val="center"/>
          </w:tcPr>
          <w:p w:rsidR="003C7E5A" w:rsidRPr="00F505CC" w:rsidRDefault="00556EE6" w:rsidP="00556EE6">
            <w:pPr>
              <w:spacing w:line="240" w:lineRule="auto"/>
              <w:jc w:val="right"/>
              <w:rPr>
                <w:sz w:val="20"/>
              </w:rPr>
            </w:pPr>
            <w:r w:rsidRPr="00F505CC">
              <w:rPr>
                <w:sz w:val="20"/>
              </w:rPr>
              <w:t>28.50</w:t>
            </w:r>
          </w:p>
        </w:tc>
        <w:tc>
          <w:tcPr>
            <w:tcW w:w="2152" w:type="dxa"/>
            <w:shd w:val="clear" w:color="auto" w:fill="auto"/>
            <w:noWrap/>
            <w:vAlign w:val="center"/>
          </w:tcPr>
          <w:p w:rsidR="003C7E5A" w:rsidRPr="00F505CC" w:rsidRDefault="00C96BA7" w:rsidP="003C7E5A">
            <w:pPr>
              <w:pStyle w:val="NormalWeb"/>
              <w:jc w:val="right"/>
              <w:rPr>
                <w:sz w:val="20"/>
                <w:szCs w:val="20"/>
              </w:rPr>
            </w:pPr>
            <w:r>
              <w:rPr>
                <w:sz w:val="20"/>
                <w:szCs w:val="20"/>
              </w:rPr>
              <w:t>$</w:t>
            </w:r>
            <w:r w:rsidR="002B67A0" w:rsidRPr="00F505CC">
              <w:rPr>
                <w:sz w:val="20"/>
                <w:szCs w:val="20"/>
              </w:rPr>
              <w:t>42.60</w:t>
            </w:r>
          </w:p>
        </w:tc>
        <w:tc>
          <w:tcPr>
            <w:tcW w:w="2152" w:type="dxa"/>
            <w:tcBorders>
              <w:right w:val="double" w:sz="4" w:space="0" w:color="auto"/>
            </w:tcBorders>
            <w:shd w:val="clear" w:color="auto" w:fill="auto"/>
            <w:noWrap/>
            <w:vAlign w:val="center"/>
          </w:tcPr>
          <w:p w:rsidR="003C7E5A" w:rsidRPr="00F505CC" w:rsidRDefault="002B67A0" w:rsidP="003C7E5A">
            <w:pPr>
              <w:pStyle w:val="NormalWeb"/>
              <w:jc w:val="right"/>
              <w:rPr>
                <w:sz w:val="20"/>
                <w:szCs w:val="20"/>
              </w:rPr>
            </w:pPr>
            <w:r w:rsidRPr="00F505CC">
              <w:rPr>
                <w:sz w:val="20"/>
                <w:szCs w:val="20"/>
              </w:rPr>
              <w:t>$</w:t>
            </w:r>
            <w:r w:rsidR="002D34CC" w:rsidRPr="00F505CC">
              <w:t xml:space="preserve"> </w:t>
            </w:r>
            <w:r w:rsidR="002D34CC" w:rsidRPr="00F505CC">
              <w:rPr>
                <w:sz w:val="20"/>
                <w:szCs w:val="20"/>
              </w:rPr>
              <w:t>1214.10</w:t>
            </w:r>
          </w:p>
        </w:tc>
      </w:tr>
      <w:tr w:rsidR="00D42AD0" w:rsidRPr="00F505CC">
        <w:trPr>
          <w:trHeight w:val="458"/>
          <w:tblCellSpacing w:w="0" w:type="dxa"/>
        </w:trPr>
        <w:tc>
          <w:tcPr>
            <w:tcW w:w="2550" w:type="dxa"/>
            <w:tcBorders>
              <w:left w:val="double" w:sz="4" w:space="0" w:color="auto"/>
              <w:bottom w:val="double" w:sz="4" w:space="0" w:color="auto"/>
            </w:tcBorders>
            <w:shd w:val="clear" w:color="auto" w:fill="auto"/>
            <w:noWrap/>
            <w:vAlign w:val="center"/>
          </w:tcPr>
          <w:p w:rsidR="00D42AD0" w:rsidRPr="00F505CC" w:rsidRDefault="00D42AD0" w:rsidP="003C7E5A">
            <w:pPr>
              <w:pStyle w:val="NormalWeb"/>
              <w:rPr>
                <w:bCs/>
                <w:sz w:val="20"/>
                <w:szCs w:val="20"/>
              </w:rPr>
            </w:pPr>
            <w:r w:rsidRPr="00F505CC">
              <w:rPr>
                <w:bCs/>
                <w:sz w:val="20"/>
                <w:szCs w:val="20"/>
              </w:rPr>
              <w:t>Total</w:t>
            </w:r>
          </w:p>
        </w:tc>
        <w:tc>
          <w:tcPr>
            <w:tcW w:w="1342" w:type="dxa"/>
            <w:tcBorders>
              <w:bottom w:val="double" w:sz="4" w:space="0" w:color="auto"/>
            </w:tcBorders>
            <w:shd w:val="clear" w:color="auto" w:fill="auto"/>
            <w:noWrap/>
            <w:vAlign w:val="center"/>
          </w:tcPr>
          <w:p w:rsidR="00D42AD0" w:rsidRPr="00F505CC" w:rsidRDefault="00A46136" w:rsidP="00556EE6">
            <w:pPr>
              <w:spacing w:line="240" w:lineRule="auto"/>
              <w:jc w:val="right"/>
              <w:rPr>
                <w:sz w:val="20"/>
              </w:rPr>
            </w:pPr>
            <w:r w:rsidRPr="00F505CC">
              <w:rPr>
                <w:sz w:val="20"/>
              </w:rPr>
              <w:t>209.00</w:t>
            </w:r>
          </w:p>
        </w:tc>
        <w:tc>
          <w:tcPr>
            <w:tcW w:w="2152" w:type="dxa"/>
            <w:tcBorders>
              <w:bottom w:val="double" w:sz="4" w:space="0" w:color="auto"/>
            </w:tcBorders>
            <w:shd w:val="clear" w:color="auto" w:fill="auto"/>
            <w:noWrap/>
            <w:vAlign w:val="center"/>
          </w:tcPr>
          <w:p w:rsidR="00D42AD0" w:rsidRPr="00F505CC" w:rsidRDefault="00D42AD0" w:rsidP="003C7E5A">
            <w:pPr>
              <w:pStyle w:val="NormalWeb"/>
              <w:jc w:val="right"/>
              <w:rPr>
                <w:sz w:val="20"/>
                <w:szCs w:val="20"/>
              </w:rPr>
            </w:pPr>
          </w:p>
        </w:tc>
        <w:tc>
          <w:tcPr>
            <w:tcW w:w="2152" w:type="dxa"/>
            <w:tcBorders>
              <w:bottom w:val="double" w:sz="4" w:space="0" w:color="auto"/>
              <w:right w:val="double" w:sz="4" w:space="0" w:color="auto"/>
            </w:tcBorders>
            <w:shd w:val="clear" w:color="auto" w:fill="auto"/>
            <w:noWrap/>
            <w:vAlign w:val="center"/>
          </w:tcPr>
          <w:p w:rsidR="00D42AD0" w:rsidRPr="00F505CC" w:rsidRDefault="00024711" w:rsidP="003C7E5A">
            <w:pPr>
              <w:pStyle w:val="NormalWeb"/>
              <w:jc w:val="right"/>
              <w:rPr>
                <w:sz w:val="20"/>
                <w:szCs w:val="20"/>
              </w:rPr>
            </w:pPr>
            <w:r>
              <w:rPr>
                <w:sz w:val="20"/>
                <w:szCs w:val="20"/>
              </w:rPr>
              <w:fldChar w:fldCharType="begin"/>
            </w:r>
            <w:r w:rsidR="00C96BA7">
              <w:rPr>
                <w:sz w:val="20"/>
                <w:szCs w:val="20"/>
              </w:rPr>
              <w:instrText xml:space="preserve"> =SUM(ABOVE) </w:instrText>
            </w:r>
            <w:r>
              <w:rPr>
                <w:sz w:val="20"/>
                <w:szCs w:val="20"/>
              </w:rPr>
              <w:fldChar w:fldCharType="separate"/>
            </w:r>
            <w:r w:rsidR="00C96BA7">
              <w:rPr>
                <w:noProof/>
                <w:sz w:val="20"/>
                <w:szCs w:val="20"/>
              </w:rPr>
              <w:t>$8,184.63</w:t>
            </w:r>
            <w:r>
              <w:rPr>
                <w:sz w:val="20"/>
                <w:szCs w:val="20"/>
              </w:rPr>
              <w:fldChar w:fldCharType="end"/>
            </w:r>
          </w:p>
        </w:tc>
      </w:tr>
    </w:tbl>
    <w:p w:rsidR="003C7E5A" w:rsidRPr="002B51CB" w:rsidRDefault="003C7E5A" w:rsidP="003C7E5A">
      <w:pPr>
        <w:rPr>
          <w:sz w:val="20"/>
        </w:rPr>
      </w:pPr>
      <w:r w:rsidRPr="00F505CC">
        <w:rPr>
          <w:sz w:val="20"/>
        </w:rPr>
        <w:t>* Annual Average Hour Burden x Estimated Hourly Wage Rate</w:t>
      </w:r>
      <w:r w:rsidRPr="002B51CB">
        <w:rPr>
          <w:sz w:val="20"/>
        </w:rPr>
        <w:t xml:space="preserve"> </w:t>
      </w:r>
    </w:p>
    <w:p w:rsidR="003C7E5A" w:rsidRPr="002B51CB" w:rsidRDefault="003C7E5A" w:rsidP="003C7E5A">
      <w:pPr>
        <w:rPr>
          <w:szCs w:val="22"/>
        </w:rPr>
      </w:pPr>
    </w:p>
    <w:p w:rsidR="003C7E5A" w:rsidRPr="002B51CB" w:rsidRDefault="003C7E5A" w:rsidP="003C7E5A">
      <w:pPr>
        <w:rPr>
          <w:szCs w:val="22"/>
        </w:rPr>
      </w:pPr>
    </w:p>
    <w:p w:rsidR="003C7E5A" w:rsidRDefault="003C7E5A" w:rsidP="003C7E5A">
      <w:pPr>
        <w:pStyle w:val="Heading3"/>
        <w:spacing w:after="0" w:line="240" w:lineRule="auto"/>
        <w:rPr>
          <w:szCs w:val="22"/>
        </w:rPr>
      </w:pPr>
    </w:p>
    <w:p w:rsidR="003C7E5A" w:rsidRPr="002B51CB" w:rsidRDefault="003C7E5A" w:rsidP="003C7E5A">
      <w:pPr>
        <w:pStyle w:val="Heading3"/>
        <w:spacing w:after="0" w:line="240" w:lineRule="auto"/>
        <w:rPr>
          <w:szCs w:val="22"/>
        </w:rPr>
      </w:pPr>
      <w:r w:rsidRPr="002B51CB">
        <w:rPr>
          <w:szCs w:val="22"/>
        </w:rPr>
        <w:t>A.13. Estimate of Total Capital and Startup Costs/Operation and Maintenance Costs to Respondents or Record Keepers</w:t>
      </w:r>
    </w:p>
    <w:p w:rsidR="003C7E5A" w:rsidRDefault="003C7E5A" w:rsidP="003C7E5A"/>
    <w:p w:rsidR="003C7E5A" w:rsidRDefault="003C7E5A" w:rsidP="003C7E5A">
      <w:r w:rsidRPr="005C5F42">
        <w:t>There is no overall annual cost burden to respondents or record keepers that results from the MSP program other than the time spent responding to the</w:t>
      </w:r>
      <w:r>
        <w:t xml:space="preserve"> surveys </w:t>
      </w:r>
      <w:r w:rsidRPr="005C5F42">
        <w:t>that are attached as appendices to this request.</w:t>
      </w:r>
    </w:p>
    <w:p w:rsidR="003C7E5A" w:rsidRDefault="003C7E5A" w:rsidP="003C7E5A"/>
    <w:p w:rsidR="003C7E5A" w:rsidRPr="00C26A87" w:rsidRDefault="003C7E5A" w:rsidP="003C7E5A">
      <w:pPr>
        <w:pStyle w:val="Heading3"/>
        <w:spacing w:after="0" w:line="240" w:lineRule="auto"/>
        <w:rPr>
          <w:szCs w:val="22"/>
        </w:rPr>
      </w:pPr>
      <w:r w:rsidRPr="00C26A87">
        <w:rPr>
          <w:szCs w:val="22"/>
        </w:rPr>
        <w:t>A.14. Estimates of Costs to the Federal Government</w:t>
      </w:r>
    </w:p>
    <w:p w:rsidR="003C7E5A" w:rsidRPr="00C26A87" w:rsidRDefault="003C7E5A" w:rsidP="003C7E5A"/>
    <w:p w:rsidR="003C7E5A" w:rsidRPr="00C26A87" w:rsidRDefault="003C7E5A" w:rsidP="003C7E5A">
      <w:r w:rsidRPr="00C26A87">
        <w:t>The total estimated cost to the government of all data collection, analysis, and reporting activities for this survey is $</w:t>
      </w:r>
      <w:r w:rsidR="00C26A87" w:rsidRPr="00C26A87">
        <w:t>87,766</w:t>
      </w:r>
      <w:r w:rsidRPr="00C26A87">
        <w:t>.  The total estimated costs are shown in Chart 4.</w:t>
      </w:r>
    </w:p>
    <w:p w:rsidR="003C7E5A" w:rsidRPr="00C26A87" w:rsidRDefault="003C7E5A" w:rsidP="003C7E5A"/>
    <w:p w:rsidR="003C7E5A" w:rsidRPr="00C26A87" w:rsidRDefault="003C7E5A" w:rsidP="003C7E5A">
      <w:pPr>
        <w:spacing w:after="120"/>
      </w:pPr>
      <w:r w:rsidRPr="00C26A87">
        <w:rPr>
          <w:rStyle w:val="Strong"/>
          <w:szCs w:val="22"/>
        </w:rPr>
        <w:t xml:space="preserve">Chart 4. Estimated Costs to the Federal Government of Collection </w:t>
      </w:r>
    </w:p>
    <w:tbl>
      <w:tblPr>
        <w:tblW w:w="8640" w:type="dxa"/>
        <w:tblCellSpacing w:w="0" w:type="dxa"/>
        <w:tblBorders>
          <w:insideH w:val="single" w:sz="4" w:space="0" w:color="auto"/>
          <w:insideV w:val="single" w:sz="4" w:space="0" w:color="auto"/>
        </w:tblBorders>
        <w:tblCellMar>
          <w:left w:w="0" w:type="dxa"/>
          <w:right w:w="0" w:type="dxa"/>
        </w:tblCellMar>
        <w:tblLook w:val="0000"/>
      </w:tblPr>
      <w:tblGrid>
        <w:gridCol w:w="5190"/>
        <w:gridCol w:w="3450"/>
      </w:tblGrid>
      <w:tr w:rsidR="003C7E5A" w:rsidRPr="00C26A87" w:rsidTr="00C26A87">
        <w:trPr>
          <w:tblCellSpacing w:w="0" w:type="dxa"/>
        </w:trPr>
        <w:tc>
          <w:tcPr>
            <w:tcW w:w="5200" w:type="dxa"/>
            <w:shd w:val="clear" w:color="auto" w:fill="auto"/>
            <w:vAlign w:val="bottom"/>
          </w:tcPr>
          <w:p w:rsidR="003C7E5A" w:rsidRPr="00C26A87" w:rsidRDefault="003C7E5A" w:rsidP="003C7E5A">
            <w:pPr>
              <w:rPr>
                <w:sz w:val="20"/>
              </w:rPr>
            </w:pPr>
            <w:r w:rsidRPr="00C26A87">
              <w:rPr>
                <w:sz w:val="20"/>
              </w:rPr>
              <w:t>Personnel</w:t>
            </w:r>
          </w:p>
        </w:tc>
        <w:tc>
          <w:tcPr>
            <w:tcW w:w="3440" w:type="dxa"/>
            <w:shd w:val="clear" w:color="auto" w:fill="auto"/>
            <w:vAlign w:val="bottom"/>
          </w:tcPr>
          <w:p w:rsidR="003C7E5A" w:rsidRPr="00C26A87" w:rsidRDefault="003C7E5A" w:rsidP="00EB08B9">
            <w:pPr>
              <w:jc w:val="right"/>
              <w:rPr>
                <w:sz w:val="20"/>
              </w:rPr>
            </w:pPr>
            <w:r w:rsidRPr="00C26A87">
              <w:rPr>
                <w:sz w:val="20"/>
              </w:rPr>
              <w:t>$</w:t>
            </w:r>
            <w:r w:rsidR="00EB08B9" w:rsidRPr="00C26A87">
              <w:rPr>
                <w:sz w:val="20"/>
              </w:rPr>
              <w:t>29,500</w:t>
            </w:r>
            <w:r w:rsidRPr="00C26A87">
              <w:rPr>
                <w:sz w:val="20"/>
              </w:rPr>
              <w:t xml:space="preserve"> </w:t>
            </w:r>
          </w:p>
        </w:tc>
      </w:tr>
      <w:tr w:rsidR="003C7E5A" w:rsidRPr="00C26A87" w:rsidTr="00C26A87">
        <w:trPr>
          <w:tblCellSpacing w:w="0" w:type="dxa"/>
        </w:trPr>
        <w:tc>
          <w:tcPr>
            <w:tcW w:w="5200" w:type="dxa"/>
            <w:shd w:val="clear" w:color="auto" w:fill="auto"/>
            <w:vAlign w:val="bottom"/>
          </w:tcPr>
          <w:p w:rsidR="003C7E5A" w:rsidRPr="00C26A87" w:rsidRDefault="003C7E5A" w:rsidP="003C7E5A">
            <w:pPr>
              <w:rPr>
                <w:sz w:val="20"/>
              </w:rPr>
            </w:pPr>
            <w:r w:rsidRPr="00C26A87">
              <w:rPr>
                <w:sz w:val="20"/>
              </w:rPr>
              <w:t>Other Direct Costs</w:t>
            </w:r>
          </w:p>
        </w:tc>
        <w:tc>
          <w:tcPr>
            <w:tcW w:w="3440" w:type="dxa"/>
            <w:shd w:val="clear" w:color="auto" w:fill="auto"/>
            <w:vAlign w:val="bottom"/>
          </w:tcPr>
          <w:p w:rsidR="003C7E5A" w:rsidRPr="00C26A87" w:rsidRDefault="00EB08B9" w:rsidP="003C7E5A">
            <w:pPr>
              <w:jc w:val="right"/>
              <w:rPr>
                <w:sz w:val="20"/>
              </w:rPr>
            </w:pPr>
            <w:r w:rsidRPr="00C26A87">
              <w:rPr>
                <w:sz w:val="20"/>
              </w:rPr>
              <w:t>$1,992</w:t>
            </w:r>
            <w:r w:rsidR="003C7E5A" w:rsidRPr="00C26A87">
              <w:rPr>
                <w:sz w:val="20"/>
              </w:rPr>
              <w:t> </w:t>
            </w:r>
          </w:p>
        </w:tc>
      </w:tr>
      <w:tr w:rsidR="003C7E5A" w:rsidRPr="00C26A87" w:rsidTr="00C26A87">
        <w:trPr>
          <w:tblCellSpacing w:w="0" w:type="dxa"/>
        </w:trPr>
        <w:tc>
          <w:tcPr>
            <w:tcW w:w="5200" w:type="dxa"/>
            <w:shd w:val="clear" w:color="auto" w:fill="auto"/>
            <w:vAlign w:val="bottom"/>
          </w:tcPr>
          <w:p w:rsidR="003C7E5A" w:rsidRPr="00C26A87" w:rsidRDefault="003C7E5A" w:rsidP="003C7E5A">
            <w:pPr>
              <w:rPr>
                <w:sz w:val="20"/>
              </w:rPr>
            </w:pPr>
            <w:r w:rsidRPr="00C26A87">
              <w:rPr>
                <w:sz w:val="20"/>
              </w:rPr>
              <w:t>Overhead</w:t>
            </w:r>
          </w:p>
        </w:tc>
        <w:tc>
          <w:tcPr>
            <w:tcW w:w="3440" w:type="dxa"/>
            <w:shd w:val="clear" w:color="auto" w:fill="auto"/>
            <w:vAlign w:val="bottom"/>
          </w:tcPr>
          <w:p w:rsidR="003C7E5A" w:rsidRPr="00C26A87" w:rsidRDefault="003C7E5A" w:rsidP="00EB08B9">
            <w:pPr>
              <w:jc w:val="right"/>
              <w:rPr>
                <w:sz w:val="20"/>
              </w:rPr>
            </w:pPr>
            <w:r w:rsidRPr="00C26A87">
              <w:rPr>
                <w:sz w:val="20"/>
              </w:rPr>
              <w:t>$</w:t>
            </w:r>
            <w:r w:rsidR="00EB08B9" w:rsidRPr="00C26A87">
              <w:rPr>
                <w:sz w:val="20"/>
              </w:rPr>
              <w:t>31,919</w:t>
            </w:r>
          </w:p>
        </w:tc>
      </w:tr>
      <w:tr w:rsidR="003C7E5A" w:rsidRPr="00C26A87" w:rsidTr="00C26A87">
        <w:trPr>
          <w:tblCellSpacing w:w="0" w:type="dxa"/>
        </w:trPr>
        <w:tc>
          <w:tcPr>
            <w:tcW w:w="5200" w:type="dxa"/>
            <w:shd w:val="clear" w:color="auto" w:fill="auto"/>
            <w:vAlign w:val="bottom"/>
          </w:tcPr>
          <w:p w:rsidR="003C7E5A" w:rsidRPr="00C26A87" w:rsidRDefault="003C7E5A" w:rsidP="003C7E5A">
            <w:pPr>
              <w:rPr>
                <w:sz w:val="20"/>
              </w:rPr>
            </w:pPr>
            <w:r w:rsidRPr="00C26A87">
              <w:rPr>
                <w:sz w:val="20"/>
              </w:rPr>
              <w:t>G&amp;A and Fee</w:t>
            </w:r>
          </w:p>
        </w:tc>
        <w:tc>
          <w:tcPr>
            <w:tcW w:w="3440" w:type="dxa"/>
            <w:shd w:val="clear" w:color="auto" w:fill="auto"/>
            <w:vAlign w:val="bottom"/>
          </w:tcPr>
          <w:p w:rsidR="003C7E5A" w:rsidRPr="00C26A87" w:rsidRDefault="003C7E5A" w:rsidP="00C26A87">
            <w:pPr>
              <w:jc w:val="right"/>
              <w:rPr>
                <w:sz w:val="20"/>
              </w:rPr>
            </w:pPr>
            <w:r w:rsidRPr="00C26A87">
              <w:rPr>
                <w:sz w:val="20"/>
              </w:rPr>
              <w:t>$</w:t>
            </w:r>
            <w:r w:rsidR="00C26A87" w:rsidRPr="00C26A87">
              <w:rPr>
                <w:sz w:val="20"/>
              </w:rPr>
              <w:t>24,355</w:t>
            </w:r>
          </w:p>
        </w:tc>
      </w:tr>
      <w:tr w:rsidR="003C7E5A" w:rsidRPr="00C26A87" w:rsidTr="00C26A87">
        <w:trPr>
          <w:tblCellSpacing w:w="0" w:type="dxa"/>
        </w:trPr>
        <w:tc>
          <w:tcPr>
            <w:tcW w:w="5200" w:type="dxa"/>
            <w:shd w:val="clear" w:color="auto" w:fill="auto"/>
            <w:vAlign w:val="bottom"/>
          </w:tcPr>
          <w:p w:rsidR="003C7E5A" w:rsidRPr="00C26A87" w:rsidRDefault="003C7E5A" w:rsidP="003C7E5A">
            <w:pPr>
              <w:rPr>
                <w:sz w:val="20"/>
              </w:rPr>
            </w:pPr>
            <w:r w:rsidRPr="00C26A87">
              <w:rPr>
                <w:sz w:val="20"/>
              </w:rPr>
              <w:t xml:space="preserve">                                 Total Costs </w:t>
            </w:r>
          </w:p>
        </w:tc>
        <w:tc>
          <w:tcPr>
            <w:tcW w:w="3440" w:type="dxa"/>
            <w:shd w:val="clear" w:color="auto" w:fill="auto"/>
            <w:noWrap/>
            <w:vAlign w:val="bottom"/>
          </w:tcPr>
          <w:p w:rsidR="003C7E5A" w:rsidRPr="00C26A87" w:rsidRDefault="003C7E5A" w:rsidP="00C26A87">
            <w:pPr>
              <w:jc w:val="right"/>
              <w:rPr>
                <w:sz w:val="20"/>
              </w:rPr>
            </w:pPr>
            <w:r w:rsidRPr="00C26A87">
              <w:rPr>
                <w:sz w:val="20"/>
              </w:rPr>
              <w:t>$</w:t>
            </w:r>
            <w:r w:rsidR="00C26A87" w:rsidRPr="00C26A87">
              <w:rPr>
                <w:sz w:val="20"/>
              </w:rPr>
              <w:t>87,766</w:t>
            </w:r>
          </w:p>
        </w:tc>
      </w:tr>
    </w:tbl>
    <w:p w:rsidR="003C7E5A" w:rsidRPr="00C26A87" w:rsidRDefault="003C7E5A" w:rsidP="003C7E5A">
      <w:pPr>
        <w:pStyle w:val="Heading3"/>
        <w:spacing w:after="0" w:line="240" w:lineRule="auto"/>
      </w:pPr>
    </w:p>
    <w:p w:rsidR="003C7E5A" w:rsidRPr="00C26A87" w:rsidRDefault="003C7E5A" w:rsidP="003C7E5A">
      <w:pPr>
        <w:pStyle w:val="Heading3"/>
        <w:spacing w:after="0" w:line="240" w:lineRule="auto"/>
      </w:pPr>
    </w:p>
    <w:p w:rsidR="003C7E5A" w:rsidRDefault="003C7E5A" w:rsidP="003C7E5A">
      <w:pPr>
        <w:pStyle w:val="Heading3"/>
        <w:spacing w:after="0" w:line="240" w:lineRule="auto"/>
      </w:pPr>
      <w:r w:rsidRPr="00C26A87">
        <w:t>A.15. Changes in Burden</w:t>
      </w:r>
    </w:p>
    <w:p w:rsidR="003C7E5A" w:rsidRDefault="003C7E5A" w:rsidP="003C7E5A">
      <w:pPr>
        <w:pStyle w:val="Heading3"/>
        <w:spacing w:after="0" w:line="240" w:lineRule="auto"/>
      </w:pPr>
    </w:p>
    <w:p w:rsidR="003C7E5A" w:rsidRDefault="003C7E5A" w:rsidP="003C7E5A">
      <w:pPr>
        <w:spacing w:line="240" w:lineRule="auto"/>
      </w:pPr>
      <w:r>
        <w:t xml:space="preserve">Not applicable. </w:t>
      </w:r>
    </w:p>
    <w:p w:rsidR="003C7E5A" w:rsidRDefault="003C7E5A" w:rsidP="003C7E5A">
      <w:pPr>
        <w:spacing w:line="240" w:lineRule="auto"/>
      </w:pPr>
    </w:p>
    <w:p w:rsidR="003C7E5A" w:rsidRDefault="003C7E5A" w:rsidP="003C7E5A">
      <w:pPr>
        <w:pStyle w:val="Heading3"/>
        <w:spacing w:after="0" w:line="240" w:lineRule="auto"/>
      </w:pPr>
    </w:p>
    <w:p w:rsidR="003C7E5A" w:rsidRDefault="003C7E5A" w:rsidP="003C7E5A">
      <w:pPr>
        <w:pStyle w:val="Heading3"/>
        <w:spacing w:after="0" w:line="240" w:lineRule="auto"/>
      </w:pPr>
      <w:r>
        <w:t>A.16. Plans for Publication, Analysis, and Schedule</w:t>
      </w:r>
    </w:p>
    <w:p w:rsidR="003C7E5A" w:rsidRDefault="003C7E5A" w:rsidP="003C7E5A">
      <w:pPr>
        <w:pStyle w:val="Heading3"/>
        <w:spacing w:after="0" w:line="240" w:lineRule="auto"/>
      </w:pPr>
    </w:p>
    <w:p w:rsidR="003C7E5A" w:rsidRPr="00477625" w:rsidRDefault="003C7E5A" w:rsidP="003C7E5A">
      <w:pPr>
        <w:pStyle w:val="NormalWeb"/>
        <w:spacing w:before="0" w:beforeAutospacing="0" w:after="0" w:afterAutospacing="0"/>
        <w:rPr>
          <w:sz w:val="22"/>
          <w:szCs w:val="22"/>
        </w:rPr>
      </w:pPr>
      <w:r w:rsidRPr="00A46136">
        <w:rPr>
          <w:sz w:val="22"/>
          <w:szCs w:val="22"/>
        </w:rPr>
        <w:t>Chart 5 summarizes the timeline for the data collection and annual contractor reports for the first year of data collection.</w:t>
      </w:r>
    </w:p>
    <w:p w:rsidR="003C7E5A" w:rsidRDefault="003C7E5A" w:rsidP="003C7E5A"/>
    <w:p w:rsidR="003C7E5A" w:rsidRPr="00E12E0B" w:rsidRDefault="003C7E5A" w:rsidP="003C7E5A"/>
    <w:p w:rsidR="003C7E5A" w:rsidRPr="00477625" w:rsidRDefault="003C7E5A" w:rsidP="003C7E5A">
      <w:pPr>
        <w:pStyle w:val="NormalWeb"/>
        <w:spacing w:before="0" w:beforeAutospacing="0" w:after="0" w:afterAutospacing="0"/>
        <w:rPr>
          <w:sz w:val="22"/>
          <w:szCs w:val="22"/>
        </w:rPr>
      </w:pPr>
      <w:r w:rsidRPr="00477625">
        <w:rPr>
          <w:b/>
          <w:bCs/>
          <w:sz w:val="22"/>
          <w:szCs w:val="22"/>
        </w:rPr>
        <w:t xml:space="preserve">Chart </w:t>
      </w:r>
      <w:r>
        <w:rPr>
          <w:b/>
          <w:bCs/>
          <w:sz w:val="22"/>
          <w:szCs w:val="22"/>
        </w:rPr>
        <w:t>5</w:t>
      </w:r>
      <w:r w:rsidRPr="00477625">
        <w:rPr>
          <w:b/>
          <w:bCs/>
          <w:sz w:val="22"/>
          <w:szCs w:val="22"/>
        </w:rPr>
        <w:t xml:space="preserve">. MSP Work plan                                                                                         </w:t>
      </w:r>
    </w:p>
    <w:tbl>
      <w:tblPr>
        <w:tblW w:w="8760" w:type="dxa"/>
        <w:tblCellSpacing w:w="0" w:type="dxa"/>
        <w:tblBorders>
          <w:top w:val="outset" w:sz="6" w:space="0" w:color="000000"/>
          <w:left w:val="outset" w:sz="6" w:space="0" w:color="000000"/>
          <w:bottom w:val="outset" w:sz="6" w:space="0" w:color="000000"/>
          <w:right w:val="outset" w:sz="6" w:space="0" w:color="000000"/>
          <w:insideH w:val="single" w:sz="4" w:space="0" w:color="auto"/>
          <w:insideV w:val="single" w:sz="4" w:space="0" w:color="auto"/>
        </w:tblBorders>
        <w:tblCellMar>
          <w:left w:w="0" w:type="dxa"/>
          <w:right w:w="0" w:type="dxa"/>
        </w:tblCellMar>
        <w:tblLook w:val="0000"/>
      </w:tblPr>
      <w:tblGrid>
        <w:gridCol w:w="6325"/>
        <w:gridCol w:w="1160"/>
        <w:gridCol w:w="1375"/>
      </w:tblGrid>
      <w:tr w:rsidR="003C7E5A" w:rsidRPr="00477625">
        <w:trPr>
          <w:tblCellSpacing w:w="0" w:type="dxa"/>
        </w:trPr>
        <w:tc>
          <w:tcPr>
            <w:tcW w:w="6285" w:type="dxa"/>
            <w:tcBorders>
              <w:top w:val="double" w:sz="4" w:space="0" w:color="auto"/>
              <w:left w:val="double" w:sz="4" w:space="0" w:color="auto"/>
            </w:tcBorders>
            <w:shd w:val="clear" w:color="auto" w:fill="auto"/>
            <w:vAlign w:val="bottom"/>
          </w:tcPr>
          <w:p w:rsidR="003C7E5A" w:rsidRPr="00AC3D7E" w:rsidRDefault="003C7E5A" w:rsidP="003C7E5A">
            <w:pPr>
              <w:pStyle w:val="NormalWeb"/>
              <w:spacing w:before="0" w:beforeAutospacing="0" w:after="0" w:afterAutospacing="0"/>
              <w:jc w:val="center"/>
              <w:rPr>
                <w:b/>
                <w:sz w:val="22"/>
                <w:szCs w:val="22"/>
              </w:rPr>
            </w:pPr>
            <w:bookmarkStart w:id="0" w:name="RANGE!B3:D34"/>
            <w:r w:rsidRPr="00AC3D7E">
              <w:rPr>
                <w:b/>
                <w:sz w:val="22"/>
                <w:szCs w:val="22"/>
              </w:rPr>
              <w:t>Data Collection Tasks</w:t>
            </w:r>
            <w:bookmarkEnd w:id="0"/>
          </w:p>
        </w:tc>
        <w:tc>
          <w:tcPr>
            <w:tcW w:w="1140" w:type="dxa"/>
            <w:tcBorders>
              <w:top w:val="double" w:sz="4" w:space="0" w:color="auto"/>
            </w:tcBorders>
            <w:shd w:val="clear" w:color="auto" w:fill="auto"/>
            <w:vAlign w:val="bottom"/>
          </w:tcPr>
          <w:p w:rsidR="003C7E5A" w:rsidRPr="00AC3D7E" w:rsidRDefault="003C7E5A" w:rsidP="003C7E5A">
            <w:pPr>
              <w:pStyle w:val="NormalWeb"/>
              <w:spacing w:before="0" w:beforeAutospacing="0" w:after="0" w:afterAutospacing="0"/>
              <w:jc w:val="center"/>
              <w:rPr>
                <w:b/>
                <w:sz w:val="22"/>
                <w:szCs w:val="22"/>
              </w:rPr>
            </w:pPr>
            <w:r w:rsidRPr="00AC3D7E">
              <w:rPr>
                <w:b/>
                <w:sz w:val="22"/>
                <w:szCs w:val="22"/>
              </w:rPr>
              <w:t>Date to start</w:t>
            </w:r>
          </w:p>
        </w:tc>
        <w:tc>
          <w:tcPr>
            <w:tcW w:w="1335" w:type="dxa"/>
            <w:tcBorders>
              <w:top w:val="double" w:sz="4" w:space="0" w:color="auto"/>
              <w:right w:val="double" w:sz="4" w:space="0" w:color="auto"/>
            </w:tcBorders>
            <w:shd w:val="clear" w:color="auto" w:fill="auto"/>
            <w:vAlign w:val="bottom"/>
          </w:tcPr>
          <w:p w:rsidR="003C7E5A" w:rsidRPr="00AC3D7E" w:rsidRDefault="003C7E5A" w:rsidP="003C7E5A">
            <w:pPr>
              <w:pStyle w:val="NormalWeb"/>
              <w:spacing w:before="0" w:beforeAutospacing="0" w:after="0" w:afterAutospacing="0"/>
              <w:jc w:val="center"/>
              <w:rPr>
                <w:b/>
                <w:sz w:val="22"/>
                <w:szCs w:val="22"/>
              </w:rPr>
            </w:pPr>
            <w:r w:rsidRPr="00AC3D7E">
              <w:rPr>
                <w:b/>
                <w:sz w:val="22"/>
                <w:szCs w:val="22"/>
              </w:rPr>
              <w:t>Date to complete</w:t>
            </w:r>
          </w:p>
        </w:tc>
      </w:tr>
      <w:tr w:rsidR="003C7E5A" w:rsidRPr="00477625">
        <w:trPr>
          <w:tblCellSpacing w:w="0" w:type="dxa"/>
        </w:trPr>
        <w:tc>
          <w:tcPr>
            <w:tcW w:w="6285" w:type="dxa"/>
            <w:tcBorders>
              <w:left w:val="double" w:sz="4" w:space="0" w:color="auto"/>
            </w:tcBorders>
            <w:shd w:val="clear" w:color="auto" w:fill="auto"/>
            <w:vAlign w:val="bottom"/>
          </w:tcPr>
          <w:p w:rsidR="003C7E5A" w:rsidRPr="00477625" w:rsidRDefault="003C7E5A" w:rsidP="003C7E5A">
            <w:pPr>
              <w:pStyle w:val="NormalWeb"/>
              <w:spacing w:before="0" w:beforeAutospacing="0" w:after="0" w:afterAutospacing="0"/>
              <w:rPr>
                <w:sz w:val="22"/>
                <w:szCs w:val="22"/>
              </w:rPr>
            </w:pPr>
            <w:r>
              <w:rPr>
                <w:sz w:val="22"/>
                <w:szCs w:val="22"/>
              </w:rPr>
              <w:t>Programming of data collection software</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12</w:t>
            </w:r>
            <w:r w:rsidRPr="00477625">
              <w:rPr>
                <w:sz w:val="22"/>
                <w:szCs w:val="22"/>
              </w:rPr>
              <w:t>/200</w:t>
            </w:r>
            <w:r>
              <w:rPr>
                <w:sz w:val="22"/>
                <w:szCs w:val="22"/>
              </w:rPr>
              <w:t>9</w:t>
            </w: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2</w:t>
            </w:r>
            <w:r w:rsidRPr="00477625">
              <w:rPr>
                <w:sz w:val="22"/>
                <w:szCs w:val="22"/>
              </w:rPr>
              <w:t>/20</w:t>
            </w:r>
            <w:r>
              <w:rPr>
                <w:sz w:val="22"/>
                <w:szCs w:val="22"/>
              </w:rPr>
              <w:t>10</w:t>
            </w:r>
          </w:p>
        </w:tc>
      </w:tr>
      <w:tr w:rsidR="003C7E5A" w:rsidRPr="00477625">
        <w:trPr>
          <w:tblCellSpacing w:w="0" w:type="dxa"/>
        </w:trPr>
        <w:tc>
          <w:tcPr>
            <w:tcW w:w="6285" w:type="dxa"/>
            <w:tcBorders>
              <w:left w:val="double" w:sz="4" w:space="0" w:color="auto"/>
            </w:tcBorders>
            <w:shd w:val="clear" w:color="auto" w:fill="auto"/>
            <w:vAlign w:val="bottom"/>
          </w:tcPr>
          <w:p w:rsidR="003C7E5A" w:rsidRPr="00477625" w:rsidRDefault="003C7E5A" w:rsidP="003C7E5A">
            <w:pPr>
              <w:pStyle w:val="NormalWeb"/>
              <w:spacing w:before="0" w:beforeAutospacing="0" w:after="0" w:afterAutospacing="0"/>
              <w:rPr>
                <w:sz w:val="22"/>
                <w:szCs w:val="22"/>
              </w:rPr>
            </w:pPr>
            <w:r w:rsidRPr="00477625">
              <w:rPr>
                <w:sz w:val="22"/>
                <w:szCs w:val="22"/>
              </w:rPr>
              <w:t>Software testing and revision</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2</w:t>
            </w:r>
            <w:r w:rsidRPr="00477625">
              <w:rPr>
                <w:sz w:val="22"/>
                <w:szCs w:val="22"/>
              </w:rPr>
              <w:t>/20</w:t>
            </w:r>
            <w:r>
              <w:rPr>
                <w:sz w:val="22"/>
                <w:szCs w:val="22"/>
              </w:rPr>
              <w:t>10</w:t>
            </w: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3</w:t>
            </w:r>
            <w:r w:rsidRPr="00477625">
              <w:rPr>
                <w:sz w:val="22"/>
                <w:szCs w:val="22"/>
              </w:rPr>
              <w:t>/20</w:t>
            </w:r>
            <w:r>
              <w:rPr>
                <w:sz w:val="22"/>
                <w:szCs w:val="22"/>
              </w:rPr>
              <w:t>10</w:t>
            </w:r>
          </w:p>
        </w:tc>
      </w:tr>
      <w:tr w:rsidR="003C7E5A" w:rsidRPr="00477625">
        <w:trPr>
          <w:tblCellSpacing w:w="0" w:type="dxa"/>
        </w:trPr>
        <w:tc>
          <w:tcPr>
            <w:tcW w:w="6285" w:type="dxa"/>
            <w:tcBorders>
              <w:lef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rPr>
                <w:sz w:val="22"/>
                <w:szCs w:val="22"/>
              </w:rPr>
            </w:pPr>
            <w:r w:rsidRPr="00477625">
              <w:rPr>
                <w:sz w:val="22"/>
                <w:szCs w:val="22"/>
              </w:rPr>
              <w:t>Submission of clearance package to OMB</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p>
        </w:tc>
      </w:tr>
      <w:tr w:rsidR="003C7E5A" w:rsidRPr="00477625">
        <w:trPr>
          <w:tblCellSpacing w:w="0" w:type="dxa"/>
        </w:trPr>
        <w:tc>
          <w:tcPr>
            <w:tcW w:w="6285" w:type="dxa"/>
            <w:tcBorders>
              <w:lef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rPr>
                <w:sz w:val="22"/>
                <w:szCs w:val="22"/>
              </w:rPr>
            </w:pPr>
            <w:r w:rsidRPr="00477625">
              <w:rPr>
                <w:sz w:val="22"/>
                <w:szCs w:val="22"/>
              </w:rPr>
              <w:t>Receipt of OMB clearance (assuming received on day 60)</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p>
        </w:tc>
      </w:tr>
      <w:tr w:rsidR="003C7E5A" w:rsidRPr="00477625">
        <w:trPr>
          <w:tblCellSpacing w:w="0" w:type="dxa"/>
        </w:trPr>
        <w:tc>
          <w:tcPr>
            <w:tcW w:w="6285" w:type="dxa"/>
            <w:tcBorders>
              <w:lef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rPr>
                <w:sz w:val="22"/>
                <w:szCs w:val="22"/>
              </w:rPr>
            </w:pPr>
            <w:r w:rsidRPr="00477625">
              <w:rPr>
                <w:sz w:val="22"/>
                <w:szCs w:val="22"/>
              </w:rPr>
              <w:t>Web data collection</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3</w:t>
            </w:r>
            <w:r w:rsidRPr="00477625">
              <w:rPr>
                <w:sz w:val="22"/>
                <w:szCs w:val="22"/>
              </w:rPr>
              <w:t>/20</w:t>
            </w:r>
            <w:r>
              <w:rPr>
                <w:sz w:val="22"/>
                <w:szCs w:val="22"/>
              </w:rPr>
              <w:t>10</w:t>
            </w: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4</w:t>
            </w:r>
            <w:r w:rsidRPr="00477625">
              <w:rPr>
                <w:sz w:val="22"/>
                <w:szCs w:val="22"/>
              </w:rPr>
              <w:t>/20</w:t>
            </w:r>
            <w:r>
              <w:rPr>
                <w:sz w:val="22"/>
                <w:szCs w:val="22"/>
              </w:rPr>
              <w:t>10</w:t>
            </w:r>
          </w:p>
        </w:tc>
      </w:tr>
      <w:tr w:rsidR="003C7E5A" w:rsidRPr="00477625">
        <w:trPr>
          <w:tblCellSpacing w:w="0" w:type="dxa"/>
        </w:trPr>
        <w:tc>
          <w:tcPr>
            <w:tcW w:w="6285" w:type="dxa"/>
            <w:tcBorders>
              <w:lef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rPr>
                <w:sz w:val="22"/>
                <w:szCs w:val="22"/>
              </w:rPr>
            </w:pPr>
            <w:r w:rsidRPr="00477625">
              <w:rPr>
                <w:sz w:val="22"/>
                <w:szCs w:val="22"/>
              </w:rPr>
              <w:t xml:space="preserve">Follow-up Phone Calls to PIs </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5</w:t>
            </w:r>
            <w:r w:rsidRPr="00477625">
              <w:rPr>
                <w:sz w:val="22"/>
                <w:szCs w:val="22"/>
              </w:rPr>
              <w:t>/20</w:t>
            </w:r>
            <w:r>
              <w:rPr>
                <w:sz w:val="22"/>
                <w:szCs w:val="22"/>
              </w:rPr>
              <w:t>10</w:t>
            </w: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5</w:t>
            </w:r>
            <w:r w:rsidRPr="00477625">
              <w:rPr>
                <w:sz w:val="22"/>
                <w:szCs w:val="22"/>
              </w:rPr>
              <w:t>/20</w:t>
            </w:r>
            <w:r>
              <w:rPr>
                <w:sz w:val="22"/>
                <w:szCs w:val="22"/>
              </w:rPr>
              <w:t>10</w:t>
            </w:r>
          </w:p>
        </w:tc>
      </w:tr>
      <w:tr w:rsidR="003C7E5A" w:rsidRPr="00477625">
        <w:trPr>
          <w:tblCellSpacing w:w="0" w:type="dxa"/>
        </w:trPr>
        <w:tc>
          <w:tcPr>
            <w:tcW w:w="6285" w:type="dxa"/>
            <w:tcBorders>
              <w:lef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rPr>
                <w:sz w:val="22"/>
                <w:szCs w:val="22"/>
              </w:rPr>
            </w:pPr>
            <w:r>
              <w:rPr>
                <w:sz w:val="22"/>
                <w:szCs w:val="22"/>
              </w:rPr>
              <w:t>Fi</w:t>
            </w:r>
            <w:r w:rsidRPr="00477625">
              <w:rPr>
                <w:sz w:val="22"/>
                <w:szCs w:val="22"/>
              </w:rPr>
              <w:t>nal Cleaning and Validation of Databases</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6</w:t>
            </w:r>
            <w:r w:rsidRPr="00477625">
              <w:rPr>
                <w:sz w:val="22"/>
                <w:szCs w:val="22"/>
              </w:rPr>
              <w:t>/20</w:t>
            </w:r>
            <w:r>
              <w:rPr>
                <w:sz w:val="22"/>
                <w:szCs w:val="22"/>
              </w:rPr>
              <w:t>10</w:t>
            </w: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6</w:t>
            </w:r>
            <w:r w:rsidRPr="00477625">
              <w:rPr>
                <w:sz w:val="22"/>
                <w:szCs w:val="22"/>
              </w:rPr>
              <w:t>/20</w:t>
            </w:r>
            <w:r>
              <w:rPr>
                <w:sz w:val="22"/>
                <w:szCs w:val="22"/>
              </w:rPr>
              <w:t>10</w:t>
            </w:r>
          </w:p>
        </w:tc>
      </w:tr>
      <w:tr w:rsidR="003C7E5A" w:rsidRPr="00477625">
        <w:trPr>
          <w:tblCellSpacing w:w="0" w:type="dxa"/>
        </w:trPr>
        <w:tc>
          <w:tcPr>
            <w:tcW w:w="6285" w:type="dxa"/>
            <w:tcBorders>
              <w:left w:val="double" w:sz="4" w:space="0" w:color="auto"/>
            </w:tcBorders>
            <w:shd w:val="clear" w:color="auto" w:fill="auto"/>
            <w:vAlign w:val="bottom"/>
          </w:tcPr>
          <w:p w:rsidR="003C7E5A" w:rsidRPr="00477625" w:rsidRDefault="003C7E5A" w:rsidP="003C7E5A">
            <w:pPr>
              <w:pStyle w:val="NormalWeb"/>
              <w:spacing w:before="0" w:beforeAutospacing="0" w:after="0" w:afterAutospacing="0"/>
              <w:rPr>
                <w:sz w:val="22"/>
                <w:szCs w:val="22"/>
              </w:rPr>
            </w:pPr>
            <w:r>
              <w:rPr>
                <w:sz w:val="22"/>
                <w:szCs w:val="22"/>
              </w:rPr>
              <w:t xml:space="preserve">Analysis and </w:t>
            </w:r>
            <w:r w:rsidRPr="00477625">
              <w:rPr>
                <w:sz w:val="22"/>
                <w:szCs w:val="22"/>
              </w:rPr>
              <w:t>Tabulations for Report</w:t>
            </w:r>
          </w:p>
        </w:tc>
        <w:tc>
          <w:tcPr>
            <w:tcW w:w="1140" w:type="dxa"/>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7</w:t>
            </w:r>
            <w:r w:rsidRPr="00477625">
              <w:rPr>
                <w:sz w:val="22"/>
                <w:szCs w:val="22"/>
              </w:rPr>
              <w:t>/20</w:t>
            </w:r>
            <w:r>
              <w:rPr>
                <w:sz w:val="22"/>
                <w:szCs w:val="22"/>
              </w:rPr>
              <w:t>10</w:t>
            </w:r>
          </w:p>
        </w:tc>
        <w:tc>
          <w:tcPr>
            <w:tcW w:w="1335" w:type="dxa"/>
            <w:tcBorders>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8</w:t>
            </w:r>
            <w:r w:rsidRPr="00477625">
              <w:rPr>
                <w:sz w:val="22"/>
                <w:szCs w:val="22"/>
              </w:rPr>
              <w:t>/20</w:t>
            </w:r>
            <w:r>
              <w:rPr>
                <w:sz w:val="22"/>
                <w:szCs w:val="22"/>
              </w:rPr>
              <w:t>10</w:t>
            </w:r>
          </w:p>
        </w:tc>
      </w:tr>
      <w:tr w:rsidR="003C7E5A" w:rsidRPr="00477625">
        <w:trPr>
          <w:tblCellSpacing w:w="0" w:type="dxa"/>
        </w:trPr>
        <w:tc>
          <w:tcPr>
            <w:tcW w:w="6285" w:type="dxa"/>
            <w:tcBorders>
              <w:left w:val="double" w:sz="4" w:space="0" w:color="auto"/>
              <w:bottom w:val="double" w:sz="4" w:space="0" w:color="auto"/>
            </w:tcBorders>
            <w:shd w:val="clear" w:color="auto" w:fill="auto"/>
            <w:vAlign w:val="bottom"/>
          </w:tcPr>
          <w:p w:rsidR="003C7E5A" w:rsidRPr="00477625" w:rsidRDefault="003C7E5A" w:rsidP="003C7E5A">
            <w:pPr>
              <w:pStyle w:val="NormalWeb"/>
              <w:spacing w:before="0" w:beforeAutospacing="0" w:after="0" w:afterAutospacing="0"/>
              <w:rPr>
                <w:sz w:val="22"/>
                <w:szCs w:val="22"/>
              </w:rPr>
            </w:pPr>
            <w:r w:rsidRPr="00477625">
              <w:rPr>
                <w:sz w:val="22"/>
                <w:szCs w:val="22"/>
              </w:rPr>
              <w:t>Report to NSF</w:t>
            </w:r>
          </w:p>
        </w:tc>
        <w:tc>
          <w:tcPr>
            <w:tcW w:w="1140" w:type="dxa"/>
            <w:tcBorders>
              <w:bottom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p>
        </w:tc>
        <w:tc>
          <w:tcPr>
            <w:tcW w:w="1335" w:type="dxa"/>
            <w:tcBorders>
              <w:bottom w:val="double" w:sz="4" w:space="0" w:color="auto"/>
              <w:right w:val="double" w:sz="4" w:space="0" w:color="auto"/>
            </w:tcBorders>
            <w:shd w:val="clear" w:color="auto" w:fill="auto"/>
            <w:noWrap/>
            <w:vAlign w:val="bottom"/>
          </w:tcPr>
          <w:p w:rsidR="003C7E5A" w:rsidRPr="00477625" w:rsidRDefault="003C7E5A" w:rsidP="003C7E5A">
            <w:pPr>
              <w:pStyle w:val="NormalWeb"/>
              <w:spacing w:before="0" w:beforeAutospacing="0" w:after="0" w:afterAutospacing="0"/>
              <w:jc w:val="center"/>
              <w:rPr>
                <w:sz w:val="22"/>
                <w:szCs w:val="22"/>
              </w:rPr>
            </w:pPr>
            <w:r>
              <w:rPr>
                <w:sz w:val="22"/>
                <w:szCs w:val="22"/>
              </w:rPr>
              <w:t>9</w:t>
            </w:r>
            <w:r w:rsidRPr="00477625">
              <w:rPr>
                <w:sz w:val="22"/>
                <w:szCs w:val="22"/>
              </w:rPr>
              <w:t>/20</w:t>
            </w:r>
            <w:r>
              <w:rPr>
                <w:sz w:val="22"/>
                <w:szCs w:val="22"/>
              </w:rPr>
              <w:t>10</w:t>
            </w:r>
          </w:p>
        </w:tc>
      </w:tr>
    </w:tbl>
    <w:p w:rsidR="003C7E5A" w:rsidRPr="00477625" w:rsidRDefault="003C7E5A" w:rsidP="003C7E5A">
      <w:pPr>
        <w:pStyle w:val="NormalWeb"/>
        <w:spacing w:before="0" w:beforeAutospacing="0" w:after="0" w:afterAutospacing="0"/>
        <w:rPr>
          <w:sz w:val="22"/>
          <w:szCs w:val="22"/>
        </w:rPr>
      </w:pPr>
      <w:r w:rsidRPr="00477625">
        <w:rPr>
          <w:sz w:val="22"/>
          <w:szCs w:val="22"/>
        </w:rPr>
        <w:t> </w:t>
      </w:r>
    </w:p>
    <w:p w:rsidR="003C7E5A" w:rsidRPr="00477625" w:rsidRDefault="003C7E5A" w:rsidP="003C7E5A">
      <w:pPr>
        <w:pStyle w:val="NormalWeb"/>
        <w:spacing w:before="0" w:beforeAutospacing="0" w:after="0" w:afterAutospacing="0"/>
        <w:rPr>
          <w:sz w:val="22"/>
          <w:szCs w:val="22"/>
        </w:rPr>
      </w:pPr>
    </w:p>
    <w:p w:rsidR="003C7E5A" w:rsidRPr="003C41F4" w:rsidRDefault="003C7E5A" w:rsidP="003C7E5A">
      <w:pPr>
        <w:pStyle w:val="NormalWeb"/>
        <w:spacing w:before="0" w:beforeAutospacing="0" w:after="0" w:afterAutospacing="0"/>
        <w:jc w:val="both"/>
        <w:rPr>
          <w:sz w:val="22"/>
          <w:szCs w:val="22"/>
        </w:rPr>
      </w:pPr>
      <w:r w:rsidRPr="003C41F4">
        <w:rPr>
          <w:sz w:val="22"/>
          <w:szCs w:val="22"/>
        </w:rPr>
        <w:t>Like many agencies, NSF is reducing its reliance on formal (i.e., traditional) publication methods and publication formats. Westat is conducting this third-party study of the MSP program on behalf of NSF and is forbidden contractually from publishing results unless NSF has made a specific exception. In short, all products of the collections are the property of NSF. After the products are delivered, NSF determines whether the quality of the products deserves publication verbatim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 site) in which to publish.</w:t>
      </w:r>
    </w:p>
    <w:p w:rsidR="003C7E5A" w:rsidRPr="003C41F4" w:rsidRDefault="003C7E5A" w:rsidP="003C7E5A">
      <w:pPr>
        <w:pStyle w:val="NormalWeb"/>
        <w:spacing w:before="0" w:beforeAutospacing="0" w:after="0" w:afterAutospacing="0"/>
        <w:jc w:val="both"/>
        <w:rPr>
          <w:sz w:val="22"/>
          <w:szCs w:val="22"/>
        </w:rPr>
      </w:pPr>
    </w:p>
    <w:p w:rsidR="003C7E5A" w:rsidRPr="00477625" w:rsidRDefault="003C7E5A" w:rsidP="003C7E5A">
      <w:pPr>
        <w:pStyle w:val="NormalWeb"/>
        <w:spacing w:before="0" w:beforeAutospacing="0" w:after="0" w:afterAutospacing="0"/>
        <w:jc w:val="both"/>
        <w:rPr>
          <w:sz w:val="22"/>
          <w:szCs w:val="22"/>
        </w:rPr>
      </w:pPr>
      <w:r w:rsidRPr="003C41F4">
        <w:rPr>
          <w:sz w:val="22"/>
          <w:szCs w:val="22"/>
        </w:rPr>
        <w:t>Before the conclusion of the study, both NSF and the funded MSP projects may use preliminary data to improve management and performance. For example, data generated by this study are expected to be inputs to other internal and external NSF reports (e.g., the GPRA Annual Performance Plan). At this time, NSF has no set timeline for publishing interim reports from this study.</w:t>
      </w:r>
    </w:p>
    <w:p w:rsidR="003C7E5A" w:rsidRPr="00D0126B" w:rsidRDefault="003C7E5A" w:rsidP="003C7E5A">
      <w:pPr>
        <w:rPr>
          <w:sz w:val="20"/>
        </w:rPr>
      </w:pPr>
    </w:p>
    <w:p w:rsidR="003C7E5A" w:rsidRPr="00D0126B" w:rsidRDefault="003C7E5A" w:rsidP="003C7E5A">
      <w:pPr>
        <w:rPr>
          <w:sz w:val="20"/>
        </w:rPr>
      </w:pPr>
    </w:p>
    <w:p w:rsidR="003C7E5A" w:rsidRDefault="003C7E5A" w:rsidP="003C7E5A">
      <w:pPr>
        <w:pStyle w:val="Heading3"/>
        <w:spacing w:after="0" w:line="240" w:lineRule="auto"/>
      </w:pPr>
      <w:r>
        <w:t>A.17. Approval to Not Display Expiration Date</w:t>
      </w:r>
    </w:p>
    <w:p w:rsidR="003C7E5A" w:rsidRDefault="003C7E5A" w:rsidP="003C7E5A">
      <w:pPr>
        <w:pStyle w:val="Heading3"/>
        <w:spacing w:after="0" w:line="240" w:lineRule="auto"/>
      </w:pPr>
    </w:p>
    <w:p w:rsidR="003C7E5A" w:rsidRDefault="003C7E5A" w:rsidP="003C7E5A">
      <w:pPr>
        <w:spacing w:line="240" w:lineRule="auto"/>
      </w:pPr>
      <w:r>
        <w:t>Not applicable.</w:t>
      </w:r>
    </w:p>
    <w:p w:rsidR="003C7E5A" w:rsidRDefault="003C7E5A" w:rsidP="003C7E5A">
      <w:pPr>
        <w:spacing w:line="240" w:lineRule="auto"/>
      </w:pPr>
    </w:p>
    <w:p w:rsidR="003C7E5A" w:rsidRDefault="003C7E5A" w:rsidP="003C7E5A">
      <w:pPr>
        <w:pStyle w:val="Heading3"/>
        <w:spacing w:after="0" w:line="240" w:lineRule="auto"/>
      </w:pPr>
    </w:p>
    <w:p w:rsidR="003C7E5A" w:rsidRDefault="003C7E5A" w:rsidP="003C7E5A">
      <w:pPr>
        <w:pStyle w:val="Heading3"/>
        <w:spacing w:after="0" w:line="240" w:lineRule="auto"/>
      </w:pPr>
      <w:r>
        <w:t>A.18. Exceptions to Item 19 or OMB Form 83-I</w:t>
      </w:r>
    </w:p>
    <w:p w:rsidR="003C7E5A" w:rsidRDefault="003C7E5A" w:rsidP="003C7E5A">
      <w:pPr>
        <w:pStyle w:val="Heading3"/>
        <w:spacing w:after="0" w:line="240" w:lineRule="auto"/>
      </w:pPr>
    </w:p>
    <w:p w:rsidR="003C7E5A" w:rsidRDefault="003C7E5A" w:rsidP="003C7E5A">
      <w:pPr>
        <w:spacing w:line="240" w:lineRule="auto"/>
      </w:pPr>
      <w:r>
        <w:t>None.</w:t>
      </w:r>
    </w:p>
    <w:p w:rsidR="003C7E5A" w:rsidRDefault="003C7E5A" w:rsidP="003C7E5A">
      <w:pPr>
        <w:spacing w:line="240" w:lineRule="auto"/>
      </w:pPr>
    </w:p>
    <w:p w:rsidR="003C7E5A" w:rsidRDefault="003C7E5A" w:rsidP="003C7E5A">
      <w:pPr>
        <w:pStyle w:val="Heading2"/>
        <w:spacing w:after="0" w:line="240" w:lineRule="auto"/>
      </w:pPr>
      <w:r>
        <w:t>Section B</w:t>
      </w:r>
    </w:p>
    <w:p w:rsidR="003C7E5A" w:rsidRDefault="003C7E5A" w:rsidP="003C7E5A">
      <w:pPr>
        <w:pStyle w:val="Heading2"/>
        <w:spacing w:after="0" w:line="240" w:lineRule="auto"/>
      </w:pPr>
    </w:p>
    <w:p w:rsidR="003C7E5A" w:rsidRDefault="003C7E5A" w:rsidP="003C7E5A">
      <w:pPr>
        <w:pStyle w:val="Heading3"/>
        <w:spacing w:after="0" w:line="240" w:lineRule="auto"/>
      </w:pPr>
      <w:r>
        <w:t>Introduction</w:t>
      </w:r>
    </w:p>
    <w:p w:rsidR="003C7E5A" w:rsidRDefault="003C7E5A" w:rsidP="003C7E5A"/>
    <w:p w:rsidR="003C7E5A" w:rsidRPr="00477625" w:rsidRDefault="003C7E5A" w:rsidP="003C7E5A">
      <w:pPr>
        <w:pStyle w:val="NormalWeb"/>
        <w:spacing w:before="0" w:beforeAutospacing="0" w:after="0" w:afterAutospacing="0"/>
        <w:jc w:val="both"/>
        <w:rPr>
          <w:sz w:val="22"/>
          <w:szCs w:val="22"/>
        </w:rPr>
      </w:pPr>
      <w:r w:rsidRPr="00477625">
        <w:rPr>
          <w:sz w:val="22"/>
          <w:szCs w:val="22"/>
        </w:rPr>
        <w:t xml:space="preserve">This data collection will be a census of the universe of </w:t>
      </w:r>
      <w:r>
        <w:rPr>
          <w:sz w:val="22"/>
          <w:szCs w:val="22"/>
        </w:rPr>
        <w:t xml:space="preserve">MSP-Start projects that NSF currently funds and </w:t>
      </w:r>
      <w:r w:rsidRPr="00477625">
        <w:rPr>
          <w:sz w:val="22"/>
          <w:szCs w:val="22"/>
        </w:rPr>
        <w:t xml:space="preserve">anticipates funding through the MSP program. </w:t>
      </w:r>
      <w:r>
        <w:rPr>
          <w:sz w:val="22"/>
          <w:szCs w:val="22"/>
        </w:rPr>
        <w:t xml:space="preserve"> Nine projects</w:t>
      </w:r>
      <w:r w:rsidRPr="00477625">
        <w:rPr>
          <w:sz w:val="22"/>
          <w:szCs w:val="22"/>
        </w:rPr>
        <w:t xml:space="preserve"> will be surveyed</w:t>
      </w:r>
      <w:r>
        <w:rPr>
          <w:sz w:val="22"/>
          <w:szCs w:val="22"/>
        </w:rPr>
        <w:t xml:space="preserve"> in 2010, and eight projects will be surveyed in 2011</w:t>
      </w:r>
      <w:r w:rsidRPr="00477625">
        <w:rPr>
          <w:sz w:val="22"/>
          <w:szCs w:val="22"/>
        </w:rPr>
        <w:t xml:space="preserve">. </w:t>
      </w:r>
      <w:r>
        <w:rPr>
          <w:sz w:val="22"/>
          <w:szCs w:val="22"/>
        </w:rPr>
        <w:t xml:space="preserve"> In 2010, r</w:t>
      </w:r>
      <w:r w:rsidRPr="00477625">
        <w:rPr>
          <w:sz w:val="22"/>
          <w:szCs w:val="22"/>
        </w:rPr>
        <w:t>esponding on behalf of these awardees will be </w:t>
      </w:r>
      <w:r w:rsidRPr="00692636">
        <w:rPr>
          <w:sz w:val="22"/>
          <w:szCs w:val="22"/>
        </w:rPr>
        <w:t xml:space="preserve">an </w:t>
      </w:r>
      <w:r w:rsidRPr="00012308">
        <w:rPr>
          <w:sz w:val="22"/>
          <w:szCs w:val="22"/>
        </w:rPr>
        <w:t>estimated 125 respondents who</w:t>
      </w:r>
      <w:r w:rsidRPr="00477625">
        <w:rPr>
          <w:sz w:val="22"/>
          <w:szCs w:val="22"/>
        </w:rPr>
        <w:t xml:space="preserve"> come from the following categori</w:t>
      </w:r>
      <w:r>
        <w:rPr>
          <w:sz w:val="22"/>
          <w:szCs w:val="22"/>
        </w:rPr>
        <w:t>es: PIs and CoPIs for MSP-Start awards, K-12 district participants</w:t>
      </w:r>
      <w:r w:rsidRPr="00477625">
        <w:rPr>
          <w:sz w:val="22"/>
          <w:szCs w:val="22"/>
        </w:rPr>
        <w:t xml:space="preserve">, IHE participants, and </w:t>
      </w:r>
      <w:r>
        <w:rPr>
          <w:sz w:val="22"/>
          <w:szCs w:val="22"/>
        </w:rPr>
        <w:t>profit/not-for-profit participants</w:t>
      </w:r>
      <w:r w:rsidRPr="00477625">
        <w:rPr>
          <w:sz w:val="22"/>
          <w:szCs w:val="22"/>
        </w:rPr>
        <w:t xml:space="preserve">. </w:t>
      </w:r>
    </w:p>
    <w:p w:rsidR="003C7E5A" w:rsidRPr="006B1836" w:rsidRDefault="003C7E5A" w:rsidP="003C7E5A"/>
    <w:p w:rsidR="003C7E5A" w:rsidRDefault="003C7E5A" w:rsidP="003C7E5A">
      <w:pPr>
        <w:pStyle w:val="Heading3"/>
        <w:spacing w:after="0" w:line="240" w:lineRule="auto"/>
      </w:pPr>
    </w:p>
    <w:p w:rsidR="003C7E5A" w:rsidRDefault="003C7E5A" w:rsidP="003C7E5A">
      <w:pPr>
        <w:pStyle w:val="Heading3"/>
        <w:spacing w:after="0" w:line="240" w:lineRule="auto"/>
      </w:pPr>
      <w:r>
        <w:t>B.1. Respondent Universe and Sampling Methods</w:t>
      </w:r>
    </w:p>
    <w:p w:rsidR="003C7E5A" w:rsidRDefault="003C7E5A" w:rsidP="003C7E5A">
      <w:pPr>
        <w:pStyle w:val="Heading3"/>
        <w:spacing w:after="0" w:line="240" w:lineRule="auto"/>
      </w:pPr>
    </w:p>
    <w:p w:rsidR="003C7E5A" w:rsidRPr="00477625" w:rsidRDefault="003C7E5A" w:rsidP="003C7E5A">
      <w:pPr>
        <w:pStyle w:val="NormalWeb"/>
        <w:spacing w:before="0" w:beforeAutospacing="0" w:after="0" w:afterAutospacing="0"/>
        <w:jc w:val="both"/>
        <w:rPr>
          <w:sz w:val="22"/>
          <w:szCs w:val="22"/>
        </w:rPr>
      </w:pPr>
      <w:r w:rsidRPr="00765D33">
        <w:rPr>
          <w:sz w:val="22"/>
          <w:szCs w:val="22"/>
        </w:rPr>
        <w:t>At the time of this submission, the universe of NSF projects consists of nine MSP-Start awards ending in 2010, eight MSP-Start awards ending in 2011, and two MSP-START awards ending in 2012.  All of these projects are being included in the MSP-Start surveys.</w:t>
      </w:r>
    </w:p>
    <w:p w:rsidR="003C7E5A" w:rsidRPr="00477625" w:rsidRDefault="003C7E5A" w:rsidP="003C7E5A">
      <w:pPr>
        <w:pStyle w:val="NormalWeb"/>
        <w:spacing w:before="0" w:beforeAutospacing="0" w:after="0" w:afterAutospacing="0"/>
        <w:jc w:val="both"/>
        <w:rPr>
          <w:sz w:val="22"/>
          <w:szCs w:val="22"/>
        </w:rPr>
      </w:pPr>
    </w:p>
    <w:p w:rsidR="003C7E5A" w:rsidRPr="00BB7D5A" w:rsidRDefault="003C7E5A" w:rsidP="003C7E5A">
      <w:pPr>
        <w:pStyle w:val="NormalWeb"/>
        <w:spacing w:before="0" w:beforeAutospacing="0" w:after="0" w:afterAutospacing="0"/>
        <w:jc w:val="both"/>
        <w:rPr>
          <w:sz w:val="22"/>
          <w:szCs w:val="22"/>
        </w:rPr>
      </w:pPr>
      <w:r w:rsidRPr="00012308">
        <w:rPr>
          <w:sz w:val="22"/>
          <w:szCs w:val="22"/>
        </w:rPr>
        <w:t xml:space="preserve">Similarly, all </w:t>
      </w:r>
      <w:r>
        <w:rPr>
          <w:sz w:val="22"/>
          <w:szCs w:val="22"/>
        </w:rPr>
        <w:t xml:space="preserve">project </w:t>
      </w:r>
      <w:r w:rsidRPr="00012308">
        <w:rPr>
          <w:sz w:val="22"/>
          <w:szCs w:val="22"/>
        </w:rPr>
        <w:t xml:space="preserve">PIs and CoPIs, IHE participants, K-12 district participants, and other business participants are included. Since the full universe for each of the populations of interest is included, no statistical sampling will be used. Chart </w:t>
      </w:r>
      <w:r>
        <w:rPr>
          <w:sz w:val="22"/>
          <w:szCs w:val="22"/>
        </w:rPr>
        <w:t>6</w:t>
      </w:r>
      <w:r w:rsidRPr="00012308">
        <w:rPr>
          <w:sz w:val="22"/>
          <w:szCs w:val="22"/>
        </w:rPr>
        <w:t xml:space="preserve"> summarizes the universe and sample</w:t>
      </w:r>
      <w:r w:rsidRPr="00BB7D5A">
        <w:rPr>
          <w:sz w:val="22"/>
          <w:szCs w:val="22"/>
        </w:rPr>
        <w:t xml:space="preserve"> information.</w:t>
      </w:r>
    </w:p>
    <w:p w:rsidR="003C7E5A" w:rsidRPr="00BB7D5A" w:rsidRDefault="003C7E5A" w:rsidP="003C7E5A">
      <w:pPr>
        <w:pStyle w:val="NormalWeb"/>
        <w:spacing w:before="0" w:beforeAutospacing="0" w:after="0" w:afterAutospacing="0"/>
        <w:jc w:val="both"/>
        <w:rPr>
          <w:sz w:val="22"/>
          <w:szCs w:val="22"/>
        </w:rPr>
      </w:pPr>
    </w:p>
    <w:p w:rsidR="003C7E5A" w:rsidRPr="00BB7D5A" w:rsidRDefault="003C7E5A" w:rsidP="00A46136">
      <w:pPr>
        <w:pStyle w:val="NormalWeb"/>
        <w:spacing w:before="0" w:beforeAutospacing="0" w:after="120" w:afterAutospacing="0"/>
        <w:rPr>
          <w:sz w:val="22"/>
          <w:szCs w:val="22"/>
        </w:rPr>
      </w:pPr>
      <w:r w:rsidRPr="00BB7D5A">
        <w:rPr>
          <w:rStyle w:val="Strong"/>
          <w:sz w:val="22"/>
          <w:szCs w:val="22"/>
        </w:rPr>
        <w:t xml:space="preserve">Chart </w:t>
      </w:r>
      <w:r>
        <w:rPr>
          <w:rStyle w:val="Strong"/>
          <w:sz w:val="22"/>
          <w:szCs w:val="22"/>
        </w:rPr>
        <w:t>6</w:t>
      </w:r>
      <w:r w:rsidRPr="00BB7D5A">
        <w:rPr>
          <w:rStyle w:val="Strong"/>
          <w:sz w:val="22"/>
          <w:szCs w:val="22"/>
        </w:rPr>
        <w:t>. Size of Universe and Sample</w:t>
      </w: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tblPr>
      <w:tblGrid>
        <w:gridCol w:w="2565"/>
        <w:gridCol w:w="2520"/>
        <w:gridCol w:w="900"/>
        <w:gridCol w:w="1260"/>
      </w:tblGrid>
      <w:tr w:rsidR="003C7E5A" w:rsidRPr="00477625">
        <w:tc>
          <w:tcPr>
            <w:tcW w:w="2565" w:type="dxa"/>
            <w:tcBorders>
              <w:top w:val="single" w:sz="4" w:space="0" w:color="000000"/>
              <w:bottom w:val="single" w:sz="4" w:space="0" w:color="000000"/>
              <w:right w:val="single" w:sz="4" w:space="0" w:color="000000"/>
            </w:tcBorders>
            <w:shd w:val="clear" w:color="auto" w:fill="auto"/>
            <w:vAlign w:val="center"/>
          </w:tcPr>
          <w:p w:rsidR="003C7E5A" w:rsidRPr="00477625" w:rsidRDefault="003C7E5A" w:rsidP="003C7E5A">
            <w:pPr>
              <w:pStyle w:val="NormalWeb"/>
              <w:spacing w:before="0" w:beforeAutospacing="0" w:after="0" w:afterAutospacing="0"/>
              <w:jc w:val="center"/>
              <w:rPr>
                <w:b/>
                <w:sz w:val="22"/>
                <w:szCs w:val="22"/>
              </w:rPr>
            </w:pPr>
            <w:r w:rsidRPr="00477625">
              <w:rPr>
                <w:b/>
                <w:sz w:val="22"/>
                <w:szCs w:val="22"/>
              </w:rPr>
              <w:t>Survey</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E5A" w:rsidRPr="00477625" w:rsidRDefault="003C7E5A" w:rsidP="003C7E5A">
            <w:pPr>
              <w:pStyle w:val="NormalWeb"/>
              <w:spacing w:before="0" w:beforeAutospacing="0" w:after="0" w:afterAutospacing="0"/>
              <w:jc w:val="center"/>
              <w:rPr>
                <w:b/>
                <w:sz w:val="22"/>
                <w:szCs w:val="22"/>
              </w:rPr>
            </w:pPr>
            <w:r w:rsidRPr="00477625">
              <w:rPr>
                <w:b/>
                <w:sz w:val="22"/>
                <w:szCs w:val="22"/>
              </w:rPr>
              <w:t>Population</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E5A" w:rsidRPr="00477625" w:rsidRDefault="003C7E5A" w:rsidP="003C7E5A">
            <w:pPr>
              <w:pStyle w:val="NormalWeb"/>
              <w:spacing w:before="0" w:beforeAutospacing="0" w:after="0" w:afterAutospacing="0"/>
              <w:jc w:val="center"/>
              <w:rPr>
                <w:b/>
                <w:sz w:val="22"/>
                <w:szCs w:val="22"/>
              </w:rPr>
            </w:pPr>
            <w:r w:rsidRPr="00477625">
              <w:rPr>
                <w:b/>
                <w:sz w:val="22"/>
                <w:szCs w:val="22"/>
              </w:rPr>
              <w:t>Universe Size</w:t>
            </w:r>
          </w:p>
        </w:tc>
        <w:tc>
          <w:tcPr>
            <w:tcW w:w="1260" w:type="dxa"/>
            <w:tcBorders>
              <w:top w:val="single" w:sz="4" w:space="0" w:color="000000"/>
              <w:left w:val="single" w:sz="4" w:space="0" w:color="000000"/>
              <w:bottom w:val="single" w:sz="4" w:space="0" w:color="000000"/>
            </w:tcBorders>
            <w:shd w:val="clear" w:color="auto" w:fill="auto"/>
            <w:vAlign w:val="center"/>
          </w:tcPr>
          <w:p w:rsidR="003C7E5A" w:rsidRPr="00477625" w:rsidRDefault="003C7E5A" w:rsidP="003C7E5A">
            <w:pPr>
              <w:pStyle w:val="NormalWeb"/>
              <w:spacing w:before="0" w:beforeAutospacing="0" w:after="0" w:afterAutospacing="0"/>
              <w:jc w:val="center"/>
              <w:rPr>
                <w:b/>
                <w:sz w:val="22"/>
                <w:szCs w:val="22"/>
              </w:rPr>
            </w:pPr>
            <w:r w:rsidRPr="00477625">
              <w:rPr>
                <w:b/>
                <w:sz w:val="22"/>
                <w:szCs w:val="22"/>
              </w:rPr>
              <w:t xml:space="preserve">Sample </w:t>
            </w:r>
            <w:r w:rsidRPr="00477625">
              <w:rPr>
                <w:b/>
                <w:sz w:val="22"/>
                <w:szCs w:val="22"/>
              </w:rPr>
              <w:br/>
              <w:t>Size</w:t>
            </w:r>
          </w:p>
        </w:tc>
      </w:tr>
      <w:tr w:rsidR="00A46136" w:rsidRPr="000E1821">
        <w:tc>
          <w:tcPr>
            <w:tcW w:w="2565" w:type="dxa"/>
            <w:tcBorders>
              <w:top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Survey for MSP-Start Principal Investigators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PIs and CoPIs for MSP-Start projects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A46136">
            <w:pPr>
              <w:jc w:val="right"/>
              <w:rPr>
                <w:szCs w:val="22"/>
              </w:rPr>
            </w:pPr>
            <w:r>
              <w:rPr>
                <w:szCs w:val="22"/>
              </w:rPr>
              <w:t>57</w:t>
            </w:r>
          </w:p>
        </w:tc>
        <w:tc>
          <w:tcPr>
            <w:tcW w:w="1260" w:type="dxa"/>
            <w:tcBorders>
              <w:top w:val="single" w:sz="4" w:space="0" w:color="000000"/>
              <w:left w:val="single" w:sz="4" w:space="0" w:color="000000"/>
              <w:bottom w:val="single" w:sz="4" w:space="0" w:color="000000"/>
            </w:tcBorders>
            <w:shd w:val="clear" w:color="auto" w:fill="auto"/>
            <w:vAlign w:val="center"/>
          </w:tcPr>
          <w:p w:rsidR="00A46136" w:rsidRPr="000E1821" w:rsidRDefault="00A46136" w:rsidP="00A46136">
            <w:pPr>
              <w:jc w:val="right"/>
              <w:rPr>
                <w:szCs w:val="22"/>
              </w:rPr>
            </w:pPr>
            <w:r>
              <w:rPr>
                <w:szCs w:val="22"/>
              </w:rPr>
              <w:t>57</w:t>
            </w:r>
          </w:p>
        </w:tc>
      </w:tr>
      <w:tr w:rsidR="00A46136" w:rsidRPr="000E1821">
        <w:tc>
          <w:tcPr>
            <w:tcW w:w="2565" w:type="dxa"/>
            <w:tcBorders>
              <w:top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Survey for MSP-Start IHE Participants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IHE participants in MSP-Start projects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A46136">
            <w:pPr>
              <w:spacing w:line="240" w:lineRule="auto"/>
              <w:jc w:val="right"/>
              <w:rPr>
                <w:sz w:val="20"/>
              </w:rPr>
            </w:pPr>
            <w:r>
              <w:rPr>
                <w:sz w:val="20"/>
              </w:rPr>
              <w:t>95</w:t>
            </w:r>
          </w:p>
        </w:tc>
        <w:tc>
          <w:tcPr>
            <w:tcW w:w="1260" w:type="dxa"/>
            <w:tcBorders>
              <w:top w:val="single" w:sz="4" w:space="0" w:color="000000"/>
              <w:left w:val="single" w:sz="4" w:space="0" w:color="000000"/>
              <w:bottom w:val="single" w:sz="4" w:space="0" w:color="000000"/>
            </w:tcBorders>
            <w:shd w:val="clear" w:color="auto" w:fill="auto"/>
            <w:vAlign w:val="center"/>
          </w:tcPr>
          <w:p w:rsidR="00A46136" w:rsidRPr="000E1821" w:rsidRDefault="00A46136" w:rsidP="00A46136">
            <w:pPr>
              <w:spacing w:line="240" w:lineRule="auto"/>
              <w:jc w:val="right"/>
              <w:rPr>
                <w:sz w:val="20"/>
              </w:rPr>
            </w:pPr>
            <w:r>
              <w:rPr>
                <w:sz w:val="20"/>
              </w:rPr>
              <w:t>95</w:t>
            </w:r>
          </w:p>
        </w:tc>
      </w:tr>
      <w:tr w:rsidR="00A46136" w:rsidRPr="000E1821">
        <w:tc>
          <w:tcPr>
            <w:tcW w:w="2565" w:type="dxa"/>
            <w:tcBorders>
              <w:top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Survey for MSP-Start K–12 Participants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K–12 participants in MSP-Start projects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A46136">
            <w:pPr>
              <w:spacing w:line="240" w:lineRule="auto"/>
              <w:jc w:val="right"/>
              <w:rPr>
                <w:sz w:val="20"/>
              </w:rPr>
            </w:pPr>
            <w:r>
              <w:rPr>
                <w:sz w:val="20"/>
              </w:rPr>
              <w:t>76</w:t>
            </w:r>
          </w:p>
        </w:tc>
        <w:tc>
          <w:tcPr>
            <w:tcW w:w="1260" w:type="dxa"/>
            <w:tcBorders>
              <w:top w:val="single" w:sz="4" w:space="0" w:color="000000"/>
              <w:left w:val="single" w:sz="4" w:space="0" w:color="000000"/>
              <w:bottom w:val="single" w:sz="4" w:space="0" w:color="000000"/>
            </w:tcBorders>
            <w:shd w:val="clear" w:color="auto" w:fill="auto"/>
            <w:vAlign w:val="center"/>
          </w:tcPr>
          <w:p w:rsidR="00A46136" w:rsidRPr="000E1821" w:rsidRDefault="00A46136" w:rsidP="00A46136">
            <w:pPr>
              <w:spacing w:line="240" w:lineRule="auto"/>
              <w:jc w:val="right"/>
              <w:rPr>
                <w:sz w:val="20"/>
              </w:rPr>
            </w:pPr>
            <w:r>
              <w:rPr>
                <w:sz w:val="20"/>
              </w:rPr>
              <w:t>76</w:t>
            </w:r>
          </w:p>
        </w:tc>
      </w:tr>
      <w:tr w:rsidR="00A46136" w:rsidRPr="000E1821">
        <w:tc>
          <w:tcPr>
            <w:tcW w:w="2565" w:type="dxa"/>
            <w:tcBorders>
              <w:top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Survey for MSP-Start Profit/Not-For-Profit Participants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3C7E5A">
            <w:pPr>
              <w:pStyle w:val="NormalWeb"/>
              <w:spacing w:before="0" w:beforeAutospacing="0" w:after="0" w:afterAutospacing="0"/>
              <w:rPr>
                <w:sz w:val="22"/>
                <w:szCs w:val="22"/>
              </w:rPr>
            </w:pPr>
            <w:r w:rsidRPr="000E1821">
              <w:rPr>
                <w:sz w:val="22"/>
                <w:szCs w:val="22"/>
              </w:rPr>
              <w:t>Profit/Not-For-Profit Business participants in MSP-Start projects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136" w:rsidRPr="000E1821" w:rsidRDefault="00A46136" w:rsidP="00A46136">
            <w:pPr>
              <w:spacing w:line="240" w:lineRule="auto"/>
              <w:jc w:val="right"/>
              <w:rPr>
                <w:sz w:val="20"/>
              </w:rPr>
            </w:pPr>
            <w:r>
              <w:rPr>
                <w:sz w:val="20"/>
              </w:rPr>
              <w:t>38</w:t>
            </w:r>
          </w:p>
        </w:tc>
        <w:tc>
          <w:tcPr>
            <w:tcW w:w="1260" w:type="dxa"/>
            <w:tcBorders>
              <w:top w:val="single" w:sz="4" w:space="0" w:color="000000"/>
              <w:left w:val="single" w:sz="4" w:space="0" w:color="000000"/>
              <w:bottom w:val="single" w:sz="4" w:space="0" w:color="000000"/>
            </w:tcBorders>
            <w:shd w:val="clear" w:color="auto" w:fill="auto"/>
            <w:vAlign w:val="center"/>
          </w:tcPr>
          <w:p w:rsidR="00A46136" w:rsidRPr="000E1821" w:rsidRDefault="00A46136" w:rsidP="00A46136">
            <w:pPr>
              <w:spacing w:line="240" w:lineRule="auto"/>
              <w:jc w:val="right"/>
              <w:rPr>
                <w:sz w:val="20"/>
              </w:rPr>
            </w:pPr>
            <w:r>
              <w:rPr>
                <w:sz w:val="20"/>
              </w:rPr>
              <w:t>38</w:t>
            </w:r>
          </w:p>
        </w:tc>
      </w:tr>
      <w:tr w:rsidR="003C7E5A" w:rsidRPr="00477625">
        <w:tc>
          <w:tcPr>
            <w:tcW w:w="5085" w:type="dxa"/>
            <w:gridSpan w:val="2"/>
            <w:tcBorders>
              <w:top w:val="single" w:sz="4" w:space="0" w:color="000000"/>
              <w:bottom w:val="single" w:sz="4" w:space="0" w:color="000000"/>
              <w:right w:val="single" w:sz="4" w:space="0" w:color="000000"/>
            </w:tcBorders>
            <w:shd w:val="clear" w:color="auto" w:fill="auto"/>
            <w:vAlign w:val="center"/>
          </w:tcPr>
          <w:p w:rsidR="003C7E5A" w:rsidRPr="000E1821" w:rsidRDefault="003C7E5A" w:rsidP="003C7E5A">
            <w:pPr>
              <w:pStyle w:val="NormalWeb"/>
              <w:spacing w:before="0" w:beforeAutospacing="0" w:after="0" w:afterAutospacing="0"/>
              <w:rPr>
                <w:b/>
                <w:sz w:val="22"/>
                <w:szCs w:val="22"/>
              </w:rPr>
            </w:pPr>
            <w:r w:rsidRPr="000E1821">
              <w:rPr>
                <w:b/>
                <w:sz w:val="22"/>
                <w:szCs w:val="22"/>
              </w:rPr>
              <w:t>Total</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E5A" w:rsidRPr="000E1821" w:rsidRDefault="00A46136" w:rsidP="00A46136">
            <w:pPr>
              <w:pStyle w:val="NormalWeb"/>
              <w:spacing w:before="0" w:beforeAutospacing="0" w:after="0" w:afterAutospacing="0"/>
              <w:jc w:val="right"/>
              <w:rPr>
                <w:b/>
                <w:sz w:val="22"/>
                <w:szCs w:val="22"/>
              </w:rPr>
            </w:pPr>
            <w:r>
              <w:rPr>
                <w:b/>
                <w:sz w:val="22"/>
                <w:szCs w:val="22"/>
              </w:rPr>
              <w:t>266</w:t>
            </w:r>
          </w:p>
        </w:tc>
        <w:tc>
          <w:tcPr>
            <w:tcW w:w="1260" w:type="dxa"/>
            <w:tcBorders>
              <w:top w:val="single" w:sz="4" w:space="0" w:color="000000"/>
              <w:left w:val="single" w:sz="4" w:space="0" w:color="000000"/>
              <w:bottom w:val="single" w:sz="4" w:space="0" w:color="000000"/>
            </w:tcBorders>
            <w:shd w:val="clear" w:color="auto" w:fill="auto"/>
            <w:vAlign w:val="center"/>
          </w:tcPr>
          <w:p w:rsidR="003C7E5A" w:rsidRPr="00A20543" w:rsidRDefault="00A46136" w:rsidP="00A46136">
            <w:pPr>
              <w:spacing w:line="240" w:lineRule="auto"/>
              <w:jc w:val="right"/>
              <w:rPr>
                <w:b/>
                <w:sz w:val="20"/>
              </w:rPr>
            </w:pPr>
            <w:r>
              <w:rPr>
                <w:b/>
                <w:sz w:val="20"/>
              </w:rPr>
              <w:t>266</w:t>
            </w:r>
          </w:p>
        </w:tc>
      </w:tr>
    </w:tbl>
    <w:p w:rsidR="003C7E5A" w:rsidRPr="00477625" w:rsidRDefault="003C7E5A" w:rsidP="003C7E5A">
      <w:pPr>
        <w:pStyle w:val="NormalWeb"/>
        <w:spacing w:before="0" w:beforeAutospacing="0" w:after="0" w:afterAutospacing="0"/>
        <w:rPr>
          <w:sz w:val="22"/>
          <w:szCs w:val="22"/>
        </w:rPr>
      </w:pPr>
      <w:r w:rsidRPr="00477625">
        <w:rPr>
          <w:sz w:val="22"/>
          <w:szCs w:val="22"/>
        </w:rPr>
        <w:t> </w:t>
      </w:r>
    </w:p>
    <w:p w:rsidR="003C7E5A" w:rsidRPr="00765D33" w:rsidRDefault="003C7E5A" w:rsidP="003C7E5A">
      <w:pPr>
        <w:pStyle w:val="NormalWeb"/>
        <w:spacing w:before="0" w:beforeAutospacing="0" w:after="0" w:afterAutospacing="0"/>
        <w:rPr>
          <w:sz w:val="22"/>
          <w:szCs w:val="22"/>
        </w:rPr>
      </w:pPr>
      <w:r w:rsidRPr="00765D33">
        <w:rPr>
          <w:sz w:val="22"/>
          <w:szCs w:val="22"/>
        </w:rPr>
        <w:t xml:space="preserve">We expect the response rate will be 100 percent.  </w:t>
      </w:r>
    </w:p>
    <w:p w:rsidR="003C7E5A" w:rsidRPr="00765D33" w:rsidRDefault="003C7E5A" w:rsidP="003C7E5A">
      <w:pPr>
        <w:spacing w:line="240" w:lineRule="auto"/>
      </w:pPr>
    </w:p>
    <w:p w:rsidR="003C7E5A" w:rsidRPr="00765D33" w:rsidRDefault="003C7E5A" w:rsidP="003C7E5A">
      <w:pPr>
        <w:spacing w:line="240" w:lineRule="auto"/>
      </w:pPr>
    </w:p>
    <w:p w:rsidR="003C7E5A" w:rsidRPr="00765D33" w:rsidRDefault="003C7E5A" w:rsidP="003C7E5A">
      <w:pPr>
        <w:pStyle w:val="Heading3"/>
        <w:spacing w:after="0" w:line="240" w:lineRule="auto"/>
      </w:pPr>
      <w:r w:rsidRPr="00765D33">
        <w:t>B.2. Information Collection Procedures/Limitations of the Study</w:t>
      </w:r>
    </w:p>
    <w:p w:rsidR="003C7E5A" w:rsidRPr="00765D33" w:rsidRDefault="003C7E5A" w:rsidP="003C7E5A">
      <w:pPr>
        <w:pStyle w:val="Heading3"/>
        <w:spacing w:after="0" w:line="240" w:lineRule="auto"/>
      </w:pPr>
    </w:p>
    <w:p w:rsidR="003C7E5A" w:rsidRPr="00765D33" w:rsidRDefault="003C7E5A" w:rsidP="003C7E5A">
      <w:pPr>
        <w:pStyle w:val="NormalWeb"/>
        <w:spacing w:before="0" w:beforeAutospacing="0" w:after="0" w:afterAutospacing="0"/>
        <w:jc w:val="both"/>
        <w:rPr>
          <w:sz w:val="22"/>
        </w:rPr>
      </w:pPr>
      <w:r w:rsidRPr="00765D33">
        <w:rPr>
          <w:sz w:val="22"/>
        </w:rPr>
        <w:t xml:space="preserve">The proposed survey system involves four Web-based surveys.  These are the surveys for PIs of MSP-Start awards, IHE participants, K-12 participants, and other profit/not-for-profit business partner participants.  Because Westat does not have names or contact information for MSP-Start </w:t>
      </w:r>
      <w:r w:rsidRPr="00765D33">
        <w:rPr>
          <w:sz w:val="22"/>
        </w:rPr>
        <w:lastRenderedPageBreak/>
        <w:t xml:space="preserve">project participants other than the PIs, the PI of each MSP project (who is required to maintain such contact information) will be asked to register all project participants to complete the survey using an Administrative screen on the Survey for MSP-Start Principal Investigators.  The PI will also be responsible for contacting all respondents and obtaining their cooperation with the survey.  </w:t>
      </w:r>
    </w:p>
    <w:p w:rsidR="00C96BA7" w:rsidRDefault="00C96BA7" w:rsidP="003C7E5A">
      <w:pPr>
        <w:pStyle w:val="Heading3"/>
        <w:spacing w:after="0" w:line="240" w:lineRule="auto"/>
      </w:pPr>
    </w:p>
    <w:p w:rsidR="003C7E5A" w:rsidRPr="00765D33" w:rsidRDefault="003C7E5A" w:rsidP="003C7E5A">
      <w:pPr>
        <w:pStyle w:val="Heading3"/>
        <w:spacing w:after="0" w:line="240" w:lineRule="auto"/>
      </w:pPr>
      <w:r w:rsidRPr="00765D33">
        <w:t>B.2.1. Statistical Methodology for Stratification and Sample Selection</w:t>
      </w:r>
    </w:p>
    <w:p w:rsidR="003C7E5A" w:rsidRPr="00765D33" w:rsidRDefault="003C7E5A" w:rsidP="003C7E5A"/>
    <w:p w:rsidR="003C7E5A" w:rsidRPr="00765D33" w:rsidRDefault="003C7E5A" w:rsidP="003C7E5A">
      <w:pPr>
        <w:pStyle w:val="NormalWeb"/>
        <w:spacing w:before="0" w:beforeAutospacing="0" w:after="0" w:afterAutospacing="0"/>
        <w:jc w:val="both"/>
        <w:rPr>
          <w:sz w:val="22"/>
          <w:szCs w:val="22"/>
        </w:rPr>
      </w:pPr>
      <w:r w:rsidRPr="00765D33">
        <w:rPr>
          <w:sz w:val="22"/>
          <w:szCs w:val="22"/>
        </w:rPr>
        <w:t xml:space="preserve">This study is a census of all MSP-Start projects and all participants within projects. No sampling methodology will be employed for respondent selection. </w:t>
      </w:r>
    </w:p>
    <w:p w:rsidR="003C7E5A" w:rsidRPr="00765D33" w:rsidRDefault="003C7E5A" w:rsidP="003C7E5A"/>
    <w:p w:rsidR="003C7E5A" w:rsidRDefault="003C7E5A" w:rsidP="003C7E5A"/>
    <w:p w:rsidR="003C7E5A" w:rsidRDefault="003C7E5A" w:rsidP="003C7E5A">
      <w:pPr>
        <w:pStyle w:val="Heading3"/>
      </w:pPr>
      <w:r>
        <w:t>B.2.2. Estimation Procedure</w:t>
      </w:r>
    </w:p>
    <w:p w:rsidR="003C7E5A" w:rsidRDefault="003C7E5A" w:rsidP="003C7E5A">
      <w:r>
        <w:t>Not Applicable</w:t>
      </w:r>
    </w:p>
    <w:p w:rsidR="003C7E5A" w:rsidRDefault="003C7E5A" w:rsidP="003C7E5A">
      <w:pPr>
        <w:pStyle w:val="Heading3"/>
      </w:pPr>
    </w:p>
    <w:p w:rsidR="003C7E5A" w:rsidRDefault="003C7E5A" w:rsidP="003C7E5A">
      <w:pPr>
        <w:pStyle w:val="Heading3"/>
      </w:pPr>
      <w:r>
        <w:t>B.2.3. Degree of Accuracy Needed for the Purpose Described in the Justification</w:t>
      </w:r>
    </w:p>
    <w:p w:rsidR="003C7E5A" w:rsidRDefault="003C7E5A" w:rsidP="003C7E5A">
      <w:r>
        <w:t>Not Applicable</w:t>
      </w:r>
    </w:p>
    <w:p w:rsidR="003C7E5A" w:rsidRDefault="003C7E5A" w:rsidP="003C7E5A"/>
    <w:p w:rsidR="003C7E5A" w:rsidRDefault="003C7E5A" w:rsidP="003C7E5A"/>
    <w:p w:rsidR="003C7E5A" w:rsidRDefault="003C7E5A" w:rsidP="003C7E5A">
      <w:pPr>
        <w:pStyle w:val="Heading3"/>
      </w:pPr>
      <w:r>
        <w:t>B.2.4. Unusual Problems Requiring Specialized Sampling Procedures</w:t>
      </w:r>
    </w:p>
    <w:p w:rsidR="003C7E5A" w:rsidRDefault="003C7E5A" w:rsidP="003C7E5A">
      <w:r>
        <w:t>Not Applicable</w:t>
      </w:r>
    </w:p>
    <w:p w:rsidR="003C7E5A" w:rsidRDefault="003C7E5A" w:rsidP="003C7E5A">
      <w:pPr>
        <w:pStyle w:val="Heading3"/>
      </w:pPr>
    </w:p>
    <w:p w:rsidR="003C7E5A" w:rsidRDefault="003C7E5A" w:rsidP="003C7E5A">
      <w:pPr>
        <w:pStyle w:val="Heading3"/>
      </w:pPr>
      <w:r>
        <w:t>B.2.5. Use of Periodic (Less Frequent Than Annual) Data Collection Cycles</w:t>
      </w:r>
    </w:p>
    <w:p w:rsidR="003C7E5A" w:rsidRDefault="003C7E5A" w:rsidP="003C7E5A">
      <w:r>
        <w:t>Not Applicable</w:t>
      </w:r>
    </w:p>
    <w:p w:rsidR="003C7E5A" w:rsidRDefault="003C7E5A" w:rsidP="003C7E5A">
      <w:pPr>
        <w:pStyle w:val="Heading3"/>
      </w:pPr>
    </w:p>
    <w:p w:rsidR="003C7E5A" w:rsidRDefault="003C7E5A" w:rsidP="003C7E5A">
      <w:pPr>
        <w:pStyle w:val="Heading3"/>
      </w:pPr>
      <w:r>
        <w:t>B.3. Methods for Maximizing the Response Rate and Addressing Issues of Nonresponse</w:t>
      </w:r>
    </w:p>
    <w:p w:rsidR="003C7E5A" w:rsidRPr="00C2038A" w:rsidRDefault="003C7E5A" w:rsidP="003C7E5A">
      <w:pPr>
        <w:pStyle w:val="NormalWeb"/>
        <w:spacing w:before="0" w:beforeAutospacing="0" w:after="0" w:afterAutospacing="0"/>
        <w:jc w:val="both"/>
        <w:rPr>
          <w:sz w:val="22"/>
          <w:szCs w:val="22"/>
        </w:rPr>
      </w:pPr>
      <w:r w:rsidRPr="00152C07">
        <w:rPr>
          <w:sz w:val="22"/>
          <w:szCs w:val="22"/>
        </w:rPr>
        <w:t xml:space="preserve">Data collected for the online monitoring information system are considered part of NSF administrative requirements for awardees.  As the premise of the MSP-Start program is to support the necessary partnership activities needed to develop a full MSP Targeted or Institute Partnership, NSF anticipates that MSP-Start awardees will submit proposals for future funding </w:t>
      </w:r>
      <w:r w:rsidRPr="00C2038A">
        <w:rPr>
          <w:sz w:val="22"/>
          <w:szCs w:val="22"/>
        </w:rPr>
        <w:t xml:space="preserve">from the MSP program.  As such, we anticipate the full cooperation of MSP-Start participants and a response rate of 100 percent for each survey.  </w:t>
      </w:r>
    </w:p>
    <w:p w:rsidR="003C7E5A" w:rsidRPr="00C2038A" w:rsidRDefault="003C7E5A" w:rsidP="003C7E5A">
      <w:pPr>
        <w:pStyle w:val="NormalWeb"/>
        <w:spacing w:before="0" w:beforeAutospacing="0" w:after="0" w:afterAutospacing="0"/>
        <w:jc w:val="both"/>
        <w:rPr>
          <w:sz w:val="22"/>
          <w:szCs w:val="22"/>
        </w:rPr>
      </w:pPr>
    </w:p>
    <w:p w:rsidR="003C7E5A" w:rsidRPr="00152C07" w:rsidRDefault="003C7E5A" w:rsidP="003C7E5A">
      <w:pPr>
        <w:pStyle w:val="NormalWeb"/>
        <w:spacing w:before="0" w:beforeAutospacing="0" w:after="0" w:afterAutospacing="0"/>
        <w:jc w:val="both"/>
        <w:rPr>
          <w:sz w:val="22"/>
          <w:szCs w:val="22"/>
        </w:rPr>
      </w:pPr>
      <w:r w:rsidRPr="00C2038A">
        <w:rPr>
          <w:sz w:val="22"/>
          <w:szCs w:val="22"/>
        </w:rPr>
        <w:t>Each MSP project's PI will be responsible for ensuring that individual data are obtained from participants in project activities. Each PI will have access to an up-to-date list located on the Web site that will indicate who still needs to respond to the survey.</w:t>
      </w:r>
      <w:r>
        <w:rPr>
          <w:sz w:val="22"/>
          <w:szCs w:val="22"/>
        </w:rPr>
        <w:t xml:space="preserve">  In addition, t</w:t>
      </w:r>
      <w:r w:rsidRPr="00152C07">
        <w:rPr>
          <w:sz w:val="22"/>
          <w:szCs w:val="22"/>
        </w:rPr>
        <w:t xml:space="preserve">hroughout the data collection cycle, Westat will provide respondents with online and telephone support to help them </w:t>
      </w:r>
      <w:r w:rsidRPr="00152C07">
        <w:rPr>
          <w:sz w:val="22"/>
          <w:szCs w:val="22"/>
        </w:rPr>
        <w:lastRenderedPageBreak/>
        <w:t xml:space="preserve">navigate the web site and address specific content issues. As the due dates for data collection approach, Westat will monitor the response patterns of individual projects to identify respondents that need additional prompting and/or assistance. Issues regarding item non-response will be handled through the Web-based system, which requires that all mandatory items be completed as a condition of final submittal to NSF. </w:t>
      </w:r>
    </w:p>
    <w:p w:rsidR="00C96BA7" w:rsidRDefault="00C96BA7" w:rsidP="003C7E5A">
      <w:pPr>
        <w:pStyle w:val="Heading3"/>
      </w:pPr>
    </w:p>
    <w:p w:rsidR="003C7E5A" w:rsidRDefault="003C7E5A" w:rsidP="003C7E5A">
      <w:pPr>
        <w:pStyle w:val="Heading3"/>
      </w:pPr>
      <w:r>
        <w:t>B.4. Tests of Procedures or Methods</w:t>
      </w:r>
    </w:p>
    <w:p w:rsidR="003C7E5A" w:rsidRPr="00477625" w:rsidRDefault="003C7E5A" w:rsidP="003C7E5A">
      <w:pPr>
        <w:pStyle w:val="NormalWeb"/>
        <w:spacing w:before="0" w:beforeAutospacing="0" w:after="0" w:afterAutospacing="0"/>
        <w:jc w:val="both"/>
        <w:rPr>
          <w:sz w:val="22"/>
          <w:szCs w:val="22"/>
        </w:rPr>
      </w:pPr>
      <w:r w:rsidRPr="00B94E06">
        <w:rPr>
          <w:sz w:val="22"/>
          <w:szCs w:val="22"/>
        </w:rPr>
        <w:t>Prior to being opened to respondents, the web instruments will be extensively tested by Westat programmers and beta-testers to ensure that the programming is properly implemented.  The system will be tested again by Westat programmers before each subsequent year of data collection begins.</w:t>
      </w:r>
      <w:r w:rsidRPr="00477625">
        <w:rPr>
          <w:sz w:val="22"/>
          <w:szCs w:val="22"/>
        </w:rPr>
        <w:t xml:space="preserve"> </w:t>
      </w:r>
    </w:p>
    <w:p w:rsidR="003C7E5A" w:rsidRDefault="003C7E5A" w:rsidP="003C7E5A">
      <w:pPr>
        <w:pStyle w:val="Heading3"/>
      </w:pPr>
    </w:p>
    <w:p w:rsidR="003C7E5A" w:rsidRDefault="003C7E5A" w:rsidP="003C7E5A">
      <w:pPr>
        <w:pStyle w:val="Heading3"/>
      </w:pPr>
      <w:r>
        <w:t>B.5. Names and Telephone Numbers of Individuals Consulted</w:t>
      </w:r>
    </w:p>
    <w:p w:rsidR="003C7E5A" w:rsidRDefault="003C7E5A" w:rsidP="003C7E5A">
      <w:pPr>
        <w:pStyle w:val="NormalWeb"/>
      </w:pPr>
      <w:r>
        <w:rPr>
          <w:b/>
          <w:bCs/>
        </w:rPr>
        <w:t xml:space="preserve">Agency Unit </w:t>
      </w:r>
    </w:p>
    <w:p w:rsidR="003C7E5A" w:rsidRDefault="003C7E5A" w:rsidP="003C7E5A">
      <w:pPr>
        <w:pStyle w:val="NormalWeb"/>
      </w:pPr>
      <w:r>
        <w:t>Philis Hauser, NSF, 703-292-5104</w:t>
      </w:r>
    </w:p>
    <w:p w:rsidR="003C7E5A" w:rsidRDefault="003C7E5A" w:rsidP="003C7E5A">
      <w:pPr>
        <w:pStyle w:val="NormalWeb"/>
      </w:pPr>
      <w:r>
        <w:rPr>
          <w:b/>
          <w:bCs/>
        </w:rPr>
        <w:t> </w:t>
      </w:r>
    </w:p>
    <w:p w:rsidR="003C7E5A" w:rsidRDefault="003C7E5A" w:rsidP="003C7E5A">
      <w:pPr>
        <w:pStyle w:val="NormalWeb"/>
      </w:pPr>
      <w:r>
        <w:rPr>
          <w:b/>
          <w:bCs/>
        </w:rPr>
        <w:t xml:space="preserve">Contractor </w:t>
      </w:r>
    </w:p>
    <w:p w:rsidR="003C7E5A" w:rsidRDefault="003C7E5A" w:rsidP="003C7E5A">
      <w:pPr>
        <w:pStyle w:val="NormalWeb"/>
      </w:pPr>
      <w:r>
        <w:t>Joy Frechtling, Westat, 301-517-4006</w:t>
      </w:r>
    </w:p>
    <w:p w:rsidR="003C7E5A" w:rsidRDefault="003C7E5A" w:rsidP="003C7E5A">
      <w:pPr>
        <w:spacing w:line="240" w:lineRule="auto"/>
      </w:pPr>
      <w:r w:rsidRPr="00FD1CBD">
        <w:rPr>
          <w:b/>
        </w:rPr>
        <w:t>ATTACHMENTS TO SECTION B:</w:t>
      </w:r>
      <w:r>
        <w:t xml:space="preserve"> </w:t>
      </w:r>
      <w:r w:rsidRPr="00C2038A">
        <w:t>Draft surveys</w:t>
      </w:r>
      <w:r>
        <w:t xml:space="preserve"> for PIs, IHE Participants, K–12 Participants, and Profit/Not-For-Profit Organization Participants</w:t>
      </w:r>
    </w:p>
    <w:sectPr w:rsidR="003C7E5A" w:rsidSect="00AA36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2454"/>
    <w:multiLevelType w:val="hybridMultilevel"/>
    <w:tmpl w:val="B596C6F0"/>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B50199"/>
    <w:multiLevelType w:val="hybridMultilevel"/>
    <w:tmpl w:val="F5F66382"/>
    <w:lvl w:ilvl="0" w:tplc="04090001">
      <w:start w:val="1"/>
      <w:numFmt w:val="bullet"/>
      <w:lvlText w:val=""/>
      <w:lvlJc w:val="left"/>
      <w:pPr>
        <w:tabs>
          <w:tab w:val="num" w:pos="936"/>
        </w:tabs>
        <w:ind w:left="936" w:hanging="360"/>
      </w:pPr>
      <w:rPr>
        <w:rFonts w:ascii="Symbol" w:hAnsi="Symbol" w:hint="default"/>
        <w:sz w:val="28"/>
        <w:szCs w:val="28"/>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
    <w:nsid w:val="2F8D7A85"/>
    <w:multiLevelType w:val="hybridMultilevel"/>
    <w:tmpl w:val="34C86B9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9F03B4B"/>
    <w:multiLevelType w:val="hybridMultilevel"/>
    <w:tmpl w:val="D1F2ACE4"/>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stylePaneSortMethod w:val="0000"/>
  <w:defaultTabStop w:val="720"/>
  <w:noPunctuationKerning/>
  <w:characterSpacingControl w:val="doNotCompress"/>
  <w:compat/>
  <w:rsids>
    <w:rsidRoot w:val="007F5AB6"/>
    <w:rsid w:val="00024711"/>
    <w:rsid w:val="0012289C"/>
    <w:rsid w:val="00133C0A"/>
    <w:rsid w:val="001D4702"/>
    <w:rsid w:val="002B67A0"/>
    <w:rsid w:val="002D34CC"/>
    <w:rsid w:val="002D650C"/>
    <w:rsid w:val="0030174B"/>
    <w:rsid w:val="00310A74"/>
    <w:rsid w:val="003C7E5A"/>
    <w:rsid w:val="004A7C70"/>
    <w:rsid w:val="004C3241"/>
    <w:rsid w:val="005352CF"/>
    <w:rsid w:val="00556EE6"/>
    <w:rsid w:val="005C6B88"/>
    <w:rsid w:val="005D2F1D"/>
    <w:rsid w:val="006A2F7E"/>
    <w:rsid w:val="007F5AB6"/>
    <w:rsid w:val="00875E8C"/>
    <w:rsid w:val="008D45E4"/>
    <w:rsid w:val="008D62BE"/>
    <w:rsid w:val="00A46136"/>
    <w:rsid w:val="00A90A64"/>
    <w:rsid w:val="00AA361C"/>
    <w:rsid w:val="00AD33CD"/>
    <w:rsid w:val="00AD61BD"/>
    <w:rsid w:val="00B63F88"/>
    <w:rsid w:val="00C26A87"/>
    <w:rsid w:val="00C80610"/>
    <w:rsid w:val="00C859A4"/>
    <w:rsid w:val="00C96BA7"/>
    <w:rsid w:val="00D42AD0"/>
    <w:rsid w:val="00E90FEA"/>
    <w:rsid w:val="00EB08B9"/>
    <w:rsid w:val="00F32E43"/>
    <w:rsid w:val="00F505CC"/>
    <w:rsid w:val="00F7008E"/>
    <w:rsid w:val="00FA252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F5AB6"/>
    <w:pPr>
      <w:spacing w:line="240" w:lineRule="atLeast"/>
      <w:jc w:val="both"/>
    </w:pPr>
    <w:rPr>
      <w:sz w:val="22"/>
    </w:rPr>
  </w:style>
  <w:style w:type="paragraph" w:styleId="Heading1">
    <w:name w:val="heading 1"/>
    <w:aliases w:val="H1-Sec.Head"/>
    <w:basedOn w:val="Normal"/>
    <w:next w:val="Normal"/>
    <w:qFormat/>
    <w:rsid w:val="007F5AB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7F5AB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qFormat/>
    <w:rsid w:val="007F5AB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qFormat/>
    <w:rsid w:val="007F5AB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F5AB6"/>
    <w:pPr>
      <w:keepLines/>
      <w:spacing w:before="360" w:line="360" w:lineRule="atLeast"/>
      <w:jc w:val="center"/>
      <w:outlineLvl w:val="4"/>
    </w:pPr>
  </w:style>
  <w:style w:type="paragraph" w:styleId="Heading6">
    <w:name w:val="heading 6"/>
    <w:basedOn w:val="Normal"/>
    <w:next w:val="Normal"/>
    <w:qFormat/>
    <w:rsid w:val="007F5AB6"/>
    <w:pPr>
      <w:keepNext/>
      <w:spacing w:before="240"/>
      <w:jc w:val="center"/>
      <w:outlineLvl w:val="5"/>
    </w:pPr>
    <w:rPr>
      <w:b/>
      <w:caps/>
    </w:rPr>
  </w:style>
  <w:style w:type="paragraph" w:styleId="Heading7">
    <w:name w:val="heading 7"/>
    <w:basedOn w:val="Normal"/>
    <w:next w:val="Normal"/>
    <w:qFormat/>
    <w:rsid w:val="007F5AB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5AB6"/>
    <w:pPr>
      <w:keepNext/>
      <w:spacing w:after="720" w:line="240" w:lineRule="atLeast"/>
      <w:jc w:val="center"/>
    </w:pPr>
    <w:rPr>
      <w:b/>
      <w:caps/>
      <w:sz w:val="22"/>
    </w:rPr>
  </w:style>
  <w:style w:type="paragraph" w:customStyle="1" w:styleId="C2-CtrSglSp">
    <w:name w:val="C2-Ctr Sgl Sp"/>
    <w:rsid w:val="007F5AB6"/>
    <w:pPr>
      <w:keepLines/>
      <w:spacing w:line="240" w:lineRule="atLeast"/>
      <w:jc w:val="center"/>
    </w:pPr>
    <w:rPr>
      <w:sz w:val="22"/>
    </w:rPr>
  </w:style>
  <w:style w:type="paragraph" w:customStyle="1" w:styleId="C3-CtrSp12">
    <w:name w:val="C3-Ctr Sp&amp;1/2"/>
    <w:rsid w:val="007F5AB6"/>
    <w:pPr>
      <w:keepLines/>
      <w:spacing w:line="360" w:lineRule="atLeast"/>
      <w:jc w:val="center"/>
    </w:pPr>
    <w:rPr>
      <w:sz w:val="22"/>
    </w:rPr>
  </w:style>
  <w:style w:type="paragraph" w:customStyle="1" w:styleId="CT-ContractInformation">
    <w:name w:val="CT-Contract Information"/>
    <w:rsid w:val="007F5AB6"/>
    <w:pPr>
      <w:tabs>
        <w:tab w:val="left" w:pos="1958"/>
      </w:tabs>
      <w:spacing w:line="240" w:lineRule="exact"/>
    </w:pPr>
    <w:rPr>
      <w:vanish/>
      <w:sz w:val="22"/>
    </w:rPr>
  </w:style>
  <w:style w:type="paragraph" w:customStyle="1" w:styleId="E1-Equation">
    <w:name w:val="E1-Equation"/>
    <w:rsid w:val="007F5AB6"/>
    <w:pPr>
      <w:tabs>
        <w:tab w:val="center" w:pos="4680"/>
        <w:tab w:val="right" w:pos="9360"/>
      </w:tabs>
      <w:spacing w:line="240" w:lineRule="atLeast"/>
      <w:jc w:val="both"/>
    </w:pPr>
    <w:rPr>
      <w:sz w:val="22"/>
    </w:rPr>
  </w:style>
  <w:style w:type="paragraph" w:customStyle="1" w:styleId="E2-Equation">
    <w:name w:val="E2-Equation"/>
    <w:basedOn w:val="E1-Equation"/>
    <w:rsid w:val="007F5AB6"/>
    <w:pPr>
      <w:tabs>
        <w:tab w:val="clear" w:pos="4680"/>
        <w:tab w:val="clear" w:pos="9360"/>
        <w:tab w:val="right" w:pos="1152"/>
        <w:tab w:val="center" w:pos="1440"/>
        <w:tab w:val="left" w:pos="1728"/>
      </w:tabs>
      <w:ind w:left="1728" w:hanging="1728"/>
    </w:pPr>
  </w:style>
  <w:style w:type="paragraph" w:styleId="Footer">
    <w:name w:val="footer"/>
    <w:basedOn w:val="Normal"/>
    <w:rsid w:val="007F5AB6"/>
    <w:pPr>
      <w:tabs>
        <w:tab w:val="center" w:pos="4320"/>
        <w:tab w:val="right" w:pos="8640"/>
      </w:tabs>
    </w:pPr>
  </w:style>
  <w:style w:type="paragraph" w:styleId="FootnoteText">
    <w:name w:val="footnote text"/>
    <w:aliases w:val="F1"/>
    <w:semiHidden/>
    <w:rsid w:val="007F5AB6"/>
    <w:pPr>
      <w:tabs>
        <w:tab w:val="left" w:pos="120"/>
      </w:tabs>
      <w:spacing w:before="120" w:line="200" w:lineRule="atLeast"/>
      <w:ind w:left="115" w:hanging="115"/>
      <w:jc w:val="both"/>
    </w:pPr>
    <w:rPr>
      <w:sz w:val="16"/>
    </w:rPr>
  </w:style>
  <w:style w:type="paragraph" w:styleId="Header">
    <w:name w:val="header"/>
    <w:basedOn w:val="Normal"/>
    <w:rsid w:val="007F5AB6"/>
    <w:pPr>
      <w:tabs>
        <w:tab w:val="center" w:pos="4320"/>
        <w:tab w:val="right" w:pos="8640"/>
      </w:tabs>
    </w:pPr>
    <w:rPr>
      <w:sz w:val="16"/>
    </w:rPr>
  </w:style>
  <w:style w:type="paragraph" w:customStyle="1" w:styleId="L1-FlLSp12">
    <w:name w:val="L1-FlL Sp&amp;1/2"/>
    <w:rsid w:val="007F5AB6"/>
    <w:pPr>
      <w:tabs>
        <w:tab w:val="left" w:pos="1152"/>
      </w:tabs>
      <w:spacing w:line="360" w:lineRule="atLeast"/>
      <w:jc w:val="both"/>
    </w:pPr>
    <w:rPr>
      <w:sz w:val="22"/>
    </w:rPr>
  </w:style>
  <w:style w:type="paragraph" w:customStyle="1" w:styleId="N0-FlLftBullet">
    <w:name w:val="N0-Fl Lft Bullet"/>
    <w:basedOn w:val="Normal"/>
    <w:rsid w:val="007F5AB6"/>
    <w:pPr>
      <w:tabs>
        <w:tab w:val="left" w:pos="576"/>
      </w:tabs>
      <w:spacing w:after="240"/>
      <w:ind w:left="576" w:hanging="576"/>
    </w:pPr>
  </w:style>
  <w:style w:type="paragraph" w:customStyle="1" w:styleId="N1-1stBullet">
    <w:name w:val="N1-1st Bullet"/>
    <w:basedOn w:val="Normal"/>
    <w:rsid w:val="007F5AB6"/>
    <w:pPr>
      <w:tabs>
        <w:tab w:val="left" w:pos="1152"/>
      </w:tabs>
      <w:spacing w:after="240"/>
      <w:ind w:left="1152" w:hanging="576"/>
    </w:pPr>
  </w:style>
  <w:style w:type="paragraph" w:customStyle="1" w:styleId="N2-2ndBullet">
    <w:name w:val="N2-2nd Bullet"/>
    <w:basedOn w:val="Normal"/>
    <w:rsid w:val="007F5AB6"/>
    <w:pPr>
      <w:numPr>
        <w:numId w:val="1"/>
      </w:numPr>
      <w:tabs>
        <w:tab w:val="left" w:pos="1728"/>
      </w:tabs>
      <w:spacing w:after="240"/>
    </w:pPr>
  </w:style>
  <w:style w:type="paragraph" w:customStyle="1" w:styleId="N3-3rdBullet">
    <w:name w:val="N3-3rd Bullet"/>
    <w:basedOn w:val="Normal"/>
    <w:rsid w:val="007F5AB6"/>
    <w:pPr>
      <w:tabs>
        <w:tab w:val="left" w:pos="2304"/>
      </w:tabs>
      <w:spacing w:after="240"/>
      <w:ind w:left="2304" w:hanging="576"/>
    </w:pPr>
  </w:style>
  <w:style w:type="paragraph" w:customStyle="1" w:styleId="N4-4thBullet">
    <w:name w:val="N4-4th Bullet"/>
    <w:basedOn w:val="Normal"/>
    <w:rsid w:val="007F5AB6"/>
    <w:pPr>
      <w:tabs>
        <w:tab w:val="left" w:pos="2880"/>
      </w:tabs>
      <w:spacing w:after="240"/>
      <w:ind w:left="2880" w:hanging="576"/>
    </w:pPr>
  </w:style>
  <w:style w:type="paragraph" w:customStyle="1" w:styleId="N5-5thBullet">
    <w:name w:val="N5-5th Bullet"/>
    <w:basedOn w:val="Normal"/>
    <w:rsid w:val="007F5AB6"/>
    <w:pPr>
      <w:tabs>
        <w:tab w:val="left" w:pos="3456"/>
      </w:tabs>
      <w:spacing w:after="240"/>
      <w:ind w:left="3456" w:hanging="576"/>
    </w:pPr>
  </w:style>
  <w:style w:type="paragraph" w:customStyle="1" w:styleId="N6-DateInd">
    <w:name w:val="N6-Date Ind."/>
    <w:basedOn w:val="Normal"/>
    <w:rsid w:val="007F5AB6"/>
    <w:pPr>
      <w:tabs>
        <w:tab w:val="left" w:pos="4910"/>
      </w:tabs>
      <w:ind w:left="4910"/>
    </w:pPr>
  </w:style>
  <w:style w:type="paragraph" w:customStyle="1" w:styleId="N7-3Block">
    <w:name w:val="N7-3&quot; Block"/>
    <w:basedOn w:val="Normal"/>
    <w:rsid w:val="007F5AB6"/>
    <w:pPr>
      <w:tabs>
        <w:tab w:val="left" w:pos="1152"/>
      </w:tabs>
      <w:ind w:left="1152" w:right="1152"/>
    </w:pPr>
  </w:style>
  <w:style w:type="paragraph" w:customStyle="1" w:styleId="N8-QxQBlock">
    <w:name w:val="N8-QxQ Block"/>
    <w:rsid w:val="007F5AB6"/>
    <w:pPr>
      <w:tabs>
        <w:tab w:val="left" w:pos="1152"/>
      </w:tabs>
      <w:spacing w:after="360" w:line="360" w:lineRule="atLeast"/>
      <w:ind w:left="1152" w:hanging="1152"/>
      <w:jc w:val="both"/>
    </w:pPr>
    <w:rPr>
      <w:sz w:val="22"/>
    </w:rPr>
  </w:style>
  <w:style w:type="paragraph" w:customStyle="1" w:styleId="P1-StandPara">
    <w:name w:val="P1-Stand Para"/>
    <w:rsid w:val="007F5AB6"/>
    <w:pPr>
      <w:spacing w:line="360" w:lineRule="atLeast"/>
      <w:ind w:firstLine="1152"/>
      <w:jc w:val="both"/>
    </w:pPr>
    <w:rPr>
      <w:sz w:val="22"/>
    </w:rPr>
  </w:style>
  <w:style w:type="paragraph" w:customStyle="1" w:styleId="Q1-BestFinQ">
    <w:name w:val="Q1-Best/Fin Q"/>
    <w:rsid w:val="007F5AB6"/>
    <w:pPr>
      <w:tabs>
        <w:tab w:val="left" w:pos="1152"/>
      </w:tabs>
      <w:spacing w:after="360" w:line="240" w:lineRule="atLeast"/>
      <w:ind w:left="1152" w:hanging="1152"/>
      <w:jc w:val="both"/>
    </w:pPr>
    <w:rPr>
      <w:b/>
      <w:sz w:val="22"/>
    </w:rPr>
  </w:style>
  <w:style w:type="paragraph" w:customStyle="1" w:styleId="R1-ResPara">
    <w:name w:val="R1-Res. Para"/>
    <w:rsid w:val="007F5AB6"/>
    <w:pPr>
      <w:spacing w:line="240" w:lineRule="exact"/>
      <w:ind w:left="288"/>
      <w:jc w:val="both"/>
    </w:pPr>
    <w:rPr>
      <w:sz w:val="22"/>
    </w:rPr>
  </w:style>
  <w:style w:type="paragraph" w:customStyle="1" w:styleId="R2-ResBullet">
    <w:name w:val="R2-Res Bullet"/>
    <w:rsid w:val="007F5AB6"/>
    <w:pPr>
      <w:tabs>
        <w:tab w:val="left" w:pos="720"/>
      </w:tabs>
      <w:spacing w:line="240" w:lineRule="exact"/>
      <w:ind w:left="720" w:hanging="432"/>
      <w:jc w:val="both"/>
    </w:pPr>
    <w:rPr>
      <w:sz w:val="22"/>
    </w:rPr>
  </w:style>
  <w:style w:type="paragraph" w:customStyle="1" w:styleId="RF-Reference">
    <w:name w:val="RF-Reference"/>
    <w:rsid w:val="007F5AB6"/>
    <w:pPr>
      <w:spacing w:line="240" w:lineRule="exact"/>
      <w:ind w:left="216" w:hanging="216"/>
    </w:pPr>
    <w:rPr>
      <w:sz w:val="22"/>
    </w:rPr>
  </w:style>
  <w:style w:type="paragraph" w:customStyle="1" w:styleId="RH-SglSpHead">
    <w:name w:val="RH-Sgl Sp Head"/>
    <w:basedOn w:val="Normal"/>
    <w:next w:val="Normal"/>
    <w:rsid w:val="007F5AB6"/>
    <w:pPr>
      <w:keepNext/>
      <w:pBdr>
        <w:bottom w:val="double" w:sz="6" w:space="1" w:color="auto"/>
      </w:pBdr>
      <w:spacing w:after="480" w:line="240" w:lineRule="exact"/>
      <w:jc w:val="left"/>
    </w:pPr>
    <w:rPr>
      <w:b/>
    </w:rPr>
  </w:style>
  <w:style w:type="paragraph" w:customStyle="1" w:styleId="RL-FlLftSgl">
    <w:name w:val="RL-Fl Lft Sgl"/>
    <w:basedOn w:val="Normal"/>
    <w:rsid w:val="007F5AB6"/>
    <w:pPr>
      <w:keepNext/>
      <w:spacing w:line="240" w:lineRule="exact"/>
    </w:pPr>
    <w:rPr>
      <w:b/>
    </w:rPr>
  </w:style>
  <w:style w:type="paragraph" w:customStyle="1" w:styleId="SH-SglSpHead">
    <w:name w:val="SH-Sgl Sp Head"/>
    <w:rsid w:val="007F5AB6"/>
    <w:pPr>
      <w:keepNext/>
      <w:tabs>
        <w:tab w:val="left" w:pos="576"/>
      </w:tabs>
      <w:spacing w:line="240" w:lineRule="atLeast"/>
      <w:ind w:left="576" w:hanging="576"/>
    </w:pPr>
    <w:rPr>
      <w:b/>
      <w:sz w:val="22"/>
    </w:rPr>
  </w:style>
  <w:style w:type="paragraph" w:customStyle="1" w:styleId="SL-FlLftSgl">
    <w:name w:val="SL-Fl Lft Sgl"/>
    <w:rsid w:val="007F5AB6"/>
    <w:pPr>
      <w:spacing w:line="240" w:lineRule="atLeast"/>
      <w:jc w:val="both"/>
    </w:pPr>
    <w:rPr>
      <w:sz w:val="22"/>
    </w:rPr>
  </w:style>
  <w:style w:type="paragraph" w:customStyle="1" w:styleId="SP-SglSpPara">
    <w:name w:val="SP-Sgl Sp Para"/>
    <w:link w:val="SP-SglSpParaChar"/>
    <w:rsid w:val="007F5AB6"/>
    <w:pPr>
      <w:tabs>
        <w:tab w:val="left" w:pos="576"/>
      </w:tabs>
      <w:spacing w:line="240" w:lineRule="atLeast"/>
      <w:ind w:firstLine="576"/>
      <w:jc w:val="both"/>
    </w:pPr>
    <w:rPr>
      <w:sz w:val="22"/>
    </w:rPr>
  </w:style>
  <w:style w:type="paragraph" w:customStyle="1" w:styleId="SU-FlLftUndln">
    <w:name w:val="SU-Fl Lft Undln"/>
    <w:rsid w:val="007F5AB6"/>
    <w:pPr>
      <w:keepNext/>
      <w:spacing w:line="240" w:lineRule="exact"/>
    </w:pPr>
    <w:rPr>
      <w:sz w:val="22"/>
      <w:u w:val="single"/>
    </w:rPr>
  </w:style>
  <w:style w:type="paragraph" w:customStyle="1" w:styleId="T0-ChapPgHd">
    <w:name w:val="T0-Chap/Pg Hd"/>
    <w:rsid w:val="007F5AB6"/>
    <w:pPr>
      <w:tabs>
        <w:tab w:val="left" w:pos="8640"/>
      </w:tabs>
      <w:spacing w:line="240" w:lineRule="atLeast"/>
      <w:jc w:val="both"/>
    </w:pPr>
    <w:rPr>
      <w:sz w:val="22"/>
      <w:u w:val="words"/>
    </w:rPr>
  </w:style>
  <w:style w:type="paragraph" w:styleId="TOC1">
    <w:name w:val="toc 1"/>
    <w:autoRedefine/>
    <w:semiHidden/>
    <w:rsid w:val="007F5AB6"/>
    <w:pPr>
      <w:tabs>
        <w:tab w:val="left" w:pos="1440"/>
        <w:tab w:val="right" w:leader="dot" w:pos="8208"/>
        <w:tab w:val="left" w:pos="8640"/>
      </w:tabs>
      <w:spacing w:line="240" w:lineRule="atLeast"/>
      <w:ind w:left="288"/>
    </w:pPr>
    <w:rPr>
      <w:caps/>
      <w:sz w:val="22"/>
    </w:rPr>
  </w:style>
  <w:style w:type="paragraph" w:styleId="TOC2">
    <w:name w:val="toc 2"/>
    <w:autoRedefine/>
    <w:semiHidden/>
    <w:rsid w:val="007F5AB6"/>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F5AB6"/>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F5AB6"/>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F5AB6"/>
    <w:rPr>
      <w:caps w:val="0"/>
    </w:rPr>
  </w:style>
  <w:style w:type="paragraph" w:customStyle="1" w:styleId="TT-TableTitle">
    <w:name w:val="TT-Table Title"/>
    <w:rsid w:val="007F5AB6"/>
    <w:pPr>
      <w:tabs>
        <w:tab w:val="left" w:pos="1152"/>
      </w:tabs>
      <w:spacing w:line="240" w:lineRule="atLeast"/>
      <w:ind w:left="1152" w:hanging="1152"/>
    </w:pPr>
    <w:rPr>
      <w:sz w:val="22"/>
    </w:rPr>
  </w:style>
  <w:style w:type="character" w:customStyle="1" w:styleId="Heading4Char">
    <w:name w:val="Heading 4 Char"/>
    <w:aliases w:val="H4 Sec.Heading Char"/>
    <w:basedOn w:val="DefaultParagraphFont"/>
    <w:link w:val="Heading4"/>
    <w:rsid w:val="00A965BB"/>
    <w:rPr>
      <w:b/>
      <w:sz w:val="22"/>
      <w:lang w:val="en-US" w:eastAsia="en-US" w:bidi="ar-SA"/>
    </w:rPr>
  </w:style>
  <w:style w:type="character" w:customStyle="1" w:styleId="Heading3Char">
    <w:name w:val="Heading 3 Char"/>
    <w:aliases w:val="H3-Sec. Head Char"/>
    <w:basedOn w:val="DefaultParagraphFont"/>
    <w:link w:val="Heading3"/>
    <w:rsid w:val="00A965BB"/>
    <w:rPr>
      <w:b/>
      <w:sz w:val="22"/>
      <w:lang w:val="en-US" w:eastAsia="en-US" w:bidi="ar-SA"/>
    </w:rPr>
  </w:style>
  <w:style w:type="paragraph" w:styleId="DocumentMap">
    <w:name w:val="Document Map"/>
    <w:basedOn w:val="Normal"/>
    <w:semiHidden/>
    <w:rsid w:val="00A965BB"/>
    <w:pPr>
      <w:shd w:val="clear" w:color="auto" w:fill="000080"/>
    </w:pPr>
    <w:rPr>
      <w:rFonts w:ascii="Tahoma" w:hAnsi="Tahoma" w:cs="Tahoma"/>
    </w:rPr>
  </w:style>
  <w:style w:type="table" w:styleId="TableGrid">
    <w:name w:val="Table Grid"/>
    <w:basedOn w:val="TableNormal"/>
    <w:rsid w:val="00670F27"/>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5200A"/>
    <w:rPr>
      <w:sz w:val="16"/>
      <w:szCs w:val="16"/>
    </w:rPr>
  </w:style>
  <w:style w:type="paragraph" w:styleId="CommentText">
    <w:name w:val="annotation text"/>
    <w:basedOn w:val="Normal"/>
    <w:semiHidden/>
    <w:rsid w:val="00F5200A"/>
    <w:rPr>
      <w:sz w:val="20"/>
    </w:rPr>
  </w:style>
  <w:style w:type="paragraph" w:styleId="CommentSubject">
    <w:name w:val="annotation subject"/>
    <w:basedOn w:val="CommentText"/>
    <w:next w:val="CommentText"/>
    <w:semiHidden/>
    <w:rsid w:val="00F5200A"/>
    <w:rPr>
      <w:b/>
      <w:bCs/>
    </w:rPr>
  </w:style>
  <w:style w:type="paragraph" w:styleId="BalloonText">
    <w:name w:val="Balloon Text"/>
    <w:basedOn w:val="Normal"/>
    <w:semiHidden/>
    <w:rsid w:val="00F5200A"/>
    <w:rPr>
      <w:rFonts w:ascii="Tahoma" w:hAnsi="Tahoma" w:cs="Tahoma"/>
      <w:sz w:val="16"/>
      <w:szCs w:val="16"/>
    </w:rPr>
  </w:style>
  <w:style w:type="character" w:customStyle="1" w:styleId="SP-SglSpParaChar">
    <w:name w:val="SP-Sgl Sp Para Char"/>
    <w:basedOn w:val="DefaultParagraphFont"/>
    <w:link w:val="SP-SglSpPara"/>
    <w:rsid w:val="00870F41"/>
    <w:rPr>
      <w:sz w:val="22"/>
      <w:lang w:val="en-US" w:eastAsia="en-US" w:bidi="ar-SA"/>
    </w:rPr>
  </w:style>
  <w:style w:type="paragraph" w:styleId="NormalWeb">
    <w:name w:val="Normal (Web)"/>
    <w:basedOn w:val="Normal"/>
    <w:rsid w:val="003A447C"/>
    <w:pPr>
      <w:spacing w:before="100" w:beforeAutospacing="1" w:after="100" w:afterAutospacing="1" w:line="240" w:lineRule="auto"/>
      <w:jc w:val="left"/>
    </w:pPr>
    <w:rPr>
      <w:sz w:val="24"/>
      <w:szCs w:val="24"/>
    </w:rPr>
  </w:style>
  <w:style w:type="character" w:styleId="Hyperlink">
    <w:name w:val="Hyperlink"/>
    <w:basedOn w:val="DefaultParagraphFont"/>
    <w:uiPriority w:val="99"/>
    <w:rsid w:val="002B51CB"/>
    <w:rPr>
      <w:color w:val="0000FF"/>
      <w:u w:val="single"/>
    </w:rPr>
  </w:style>
  <w:style w:type="character" w:styleId="Strong">
    <w:name w:val="Strong"/>
    <w:basedOn w:val="DefaultParagraphFont"/>
    <w:uiPriority w:val="22"/>
    <w:qFormat/>
    <w:rsid w:val="00D1456A"/>
    <w:rPr>
      <w:b/>
      <w:bCs/>
    </w:rPr>
  </w:style>
</w:styles>
</file>

<file path=word/webSettings.xml><?xml version="1.0" encoding="utf-8"?>
<w:webSettings xmlns:r="http://schemas.openxmlformats.org/officeDocument/2006/relationships" xmlns:w="http://schemas.openxmlformats.org/wordprocessingml/2006/main">
  <w:divs>
    <w:div w:id="79302497">
      <w:bodyDiv w:val="1"/>
      <w:marLeft w:val="0"/>
      <w:marRight w:val="0"/>
      <w:marTop w:val="0"/>
      <w:marBottom w:val="0"/>
      <w:divBdr>
        <w:top w:val="none" w:sz="0" w:space="0" w:color="auto"/>
        <w:left w:val="none" w:sz="0" w:space="0" w:color="auto"/>
        <w:bottom w:val="none" w:sz="0" w:space="0" w:color="auto"/>
        <w:right w:val="none" w:sz="0" w:space="0" w:color="auto"/>
      </w:divBdr>
    </w:div>
    <w:div w:id="1510213841">
      <w:bodyDiv w:val="1"/>
      <w:marLeft w:val="0"/>
      <w:marRight w:val="0"/>
      <w:marTop w:val="0"/>
      <w:marBottom w:val="0"/>
      <w:divBdr>
        <w:top w:val="none" w:sz="0" w:space="0" w:color="auto"/>
        <w:left w:val="none" w:sz="0" w:space="0" w:color="auto"/>
        <w:bottom w:val="none" w:sz="0" w:space="0" w:color="auto"/>
        <w:right w:val="none" w:sz="0" w:space="0" w:color="auto"/>
      </w:divBdr>
    </w:div>
    <w:div w:id="19175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ces.ed.gov/pubs2010/201016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Westat</Company>
  <LinksUpToDate>false</LinksUpToDate>
  <CharactersWithSpaces>24805</CharactersWithSpaces>
  <SharedDoc>false</SharedDoc>
  <HLinks>
    <vt:vector size="6" baseType="variant">
      <vt:variant>
        <vt:i4>3932256</vt:i4>
      </vt:variant>
      <vt:variant>
        <vt:i4>0</vt:i4>
      </vt:variant>
      <vt:variant>
        <vt:i4>0</vt:i4>
      </vt:variant>
      <vt:variant>
        <vt:i4>5</vt:i4>
      </vt:variant>
      <vt:variant>
        <vt:lpwstr>http://nces.ed.gov/pubs2007/2007150.pdf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Gavin Fulmer</dc:creator>
  <cp:keywords/>
  <cp:lastModifiedBy>splimpto</cp:lastModifiedBy>
  <cp:revision>2</cp:revision>
  <cp:lastPrinted>2010-01-18T22:32:00Z</cp:lastPrinted>
  <dcterms:created xsi:type="dcterms:W3CDTF">2010-03-16T13:07:00Z</dcterms:created>
  <dcterms:modified xsi:type="dcterms:W3CDTF">2010-03-16T13:07:00Z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