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BA7" w:rsidRDefault="00157BA7" w:rsidP="00DF148E">
      <w:pPr>
        <w:jc w:val="center"/>
        <w:rPr>
          <w:b/>
          <w:bCs/>
          <w:sz w:val="32"/>
        </w:rPr>
      </w:pPr>
      <w:r>
        <w:rPr>
          <w:b/>
          <w:bCs/>
          <w:sz w:val="32"/>
        </w:rPr>
        <w:t>DOCUMENTATION FOR THE GENERIC CLEARANCE</w:t>
      </w:r>
    </w:p>
    <w:p w:rsidR="00157BA7" w:rsidRDefault="00157BA7" w:rsidP="00DF148E">
      <w:pPr>
        <w:jc w:val="center"/>
        <w:rPr>
          <w:b/>
          <w:bCs/>
          <w:sz w:val="32"/>
        </w:rPr>
      </w:pPr>
      <w:bookmarkStart w:id="0" w:name="_Toc171497109"/>
      <w:bookmarkStart w:id="1" w:name="_Toc171497759"/>
      <w:bookmarkStart w:id="2" w:name="_Toc171498120"/>
      <w:bookmarkStart w:id="3" w:name="_Toc171500030"/>
      <w:bookmarkStart w:id="4" w:name="_Toc171503045"/>
      <w:r>
        <w:rPr>
          <w:b/>
          <w:bCs/>
          <w:sz w:val="32"/>
        </w:rPr>
        <w:t>OF CUSTOMER SERVICE SATISFACTION COLLECTIONS</w:t>
      </w:r>
      <w:bookmarkEnd w:id="0"/>
      <w:bookmarkEnd w:id="1"/>
      <w:bookmarkEnd w:id="2"/>
      <w:bookmarkEnd w:id="3"/>
      <w:bookmarkEnd w:id="4"/>
    </w:p>
    <w:p w:rsidR="00157BA7" w:rsidRDefault="00157BA7" w:rsidP="00157BA7">
      <w:pPr>
        <w:jc w:val="both"/>
      </w:pPr>
    </w:p>
    <w:p w:rsidR="00157BA7" w:rsidRDefault="001F15EE" w:rsidP="00157BA7">
      <w:pPr>
        <w:jc w:val="both"/>
      </w:pPr>
      <w:r>
        <w:rPr>
          <w:noProof/>
        </w:rPr>
        <w:pict>
          <v:line id="_x0000_s1026" style="position:absolute;left:0;text-align:left;z-index:251657728" from="0,0" to="468pt,0" o:allowincell="f" strokeweight="1.5pt"/>
        </w:pict>
      </w:r>
    </w:p>
    <w:p w:rsidR="00157BA7" w:rsidRDefault="00157BA7" w:rsidP="00157BA7">
      <w:pPr>
        <w:jc w:val="both"/>
        <w:rPr>
          <w:b/>
          <w:bCs/>
        </w:rPr>
      </w:pPr>
      <w:bookmarkStart w:id="5" w:name="_Toc171496880"/>
      <w:r>
        <w:rPr>
          <w:b/>
          <w:bCs/>
        </w:rPr>
        <w:t>TITLE OF INFORMATION COLLECTION:</w:t>
      </w:r>
      <w:bookmarkEnd w:id="5"/>
      <w:r>
        <w:rPr>
          <w:b/>
          <w:bCs/>
        </w:rPr>
        <w:t xml:space="preserve">  </w:t>
      </w:r>
    </w:p>
    <w:p w:rsidR="00157BA7" w:rsidRPr="004343A3" w:rsidRDefault="004343A3" w:rsidP="00147898">
      <w:pPr>
        <w:jc w:val="both"/>
      </w:pPr>
      <w:r>
        <w:t xml:space="preserve">Customer </w:t>
      </w:r>
      <w:r w:rsidR="004E465F">
        <w:t xml:space="preserve">Satisfaction Survey of </w:t>
      </w:r>
      <w:r>
        <w:t xml:space="preserve">the Relevance and Utility of </w:t>
      </w:r>
      <w:r w:rsidR="004E465F">
        <w:t>the What Work C</w:t>
      </w:r>
      <w:r>
        <w:t xml:space="preserve">learinghouse </w:t>
      </w:r>
      <w:r w:rsidR="00D4040E">
        <w:t>(10-day review request)</w:t>
      </w:r>
    </w:p>
    <w:p w:rsidR="00157BA7" w:rsidRDefault="00157BA7" w:rsidP="00157BA7">
      <w:pPr>
        <w:jc w:val="both"/>
      </w:pPr>
    </w:p>
    <w:p w:rsidR="00157BA7" w:rsidRDefault="00157BA7" w:rsidP="00157BA7">
      <w:pPr>
        <w:pStyle w:val="BodyTextIndent"/>
        <w:tabs>
          <w:tab w:val="left" w:pos="360"/>
        </w:tabs>
        <w:ind w:left="0"/>
        <w:jc w:val="both"/>
        <w:rPr>
          <w:b/>
          <w:bCs/>
          <w:u w:val="single"/>
        </w:rPr>
      </w:pPr>
      <w:r>
        <w:rPr>
          <w:b/>
          <w:bCs/>
        </w:rPr>
        <w:t>[</w:t>
      </w:r>
      <w:r w:rsidR="004343A3">
        <w:rPr>
          <w:b/>
          <w:bCs/>
        </w:rPr>
        <w:t>X</w:t>
      </w:r>
      <w:r>
        <w:rPr>
          <w:b/>
          <w:bCs/>
        </w:rPr>
        <w:t xml:space="preserve"> ] </w:t>
      </w:r>
      <w:r>
        <w:rPr>
          <w:b/>
          <w:bCs/>
          <w:u w:val="single"/>
        </w:rPr>
        <w:t>SURVEY</w:t>
      </w:r>
      <w:r>
        <w:rPr>
          <w:b/>
          <w:bCs/>
        </w:rPr>
        <w:t xml:space="preserve">  </w:t>
      </w:r>
      <w:r w:rsidR="004343A3">
        <w:rPr>
          <w:b/>
          <w:bCs/>
        </w:rPr>
        <w:t xml:space="preserve">       </w:t>
      </w:r>
      <w:r>
        <w:rPr>
          <w:b/>
          <w:bCs/>
        </w:rPr>
        <w:t xml:space="preserve"> [ ] </w:t>
      </w:r>
      <w:r>
        <w:rPr>
          <w:b/>
          <w:bCs/>
          <w:u w:val="single"/>
        </w:rPr>
        <w:t>FOCUS GROUP</w:t>
      </w:r>
      <w:r>
        <w:rPr>
          <w:b/>
          <w:bCs/>
        </w:rPr>
        <w:t xml:space="preserve">      [ ] </w:t>
      </w:r>
      <w:r>
        <w:rPr>
          <w:b/>
          <w:bCs/>
          <w:u w:val="single"/>
        </w:rPr>
        <w:t>SOFTWARE USABILITY TESTING</w:t>
      </w:r>
      <w:r>
        <w:rPr>
          <w:b/>
          <w:bCs/>
        </w:rPr>
        <w:t xml:space="preserve">   </w:t>
      </w:r>
    </w:p>
    <w:p w:rsidR="00157BA7" w:rsidRDefault="00157BA7" w:rsidP="00157BA7">
      <w:pPr>
        <w:jc w:val="both"/>
        <w:rPr>
          <w:b/>
        </w:rPr>
      </w:pPr>
    </w:p>
    <w:p w:rsidR="00157BA7" w:rsidRDefault="00157BA7" w:rsidP="00157BA7">
      <w:pPr>
        <w:jc w:val="both"/>
      </w:pPr>
      <w:r>
        <w:rPr>
          <w:b/>
        </w:rPr>
        <w:t>DESCRIPTION OF THIS SPECIFIC COLLECTION</w:t>
      </w:r>
      <w:r>
        <w:t xml:space="preserve"> </w:t>
      </w:r>
    </w:p>
    <w:p w:rsidR="00157BA7" w:rsidRDefault="00D4040E" w:rsidP="00157BA7">
      <w:pPr>
        <w:jc w:val="both"/>
      </w:pPr>
      <w:r>
        <w:t xml:space="preserve"> </w:t>
      </w:r>
    </w:p>
    <w:p w:rsidR="00157BA7" w:rsidRPr="00D4040E" w:rsidRDefault="00D4040E" w:rsidP="00157BA7">
      <w:pPr>
        <w:numPr>
          <w:ilvl w:val="0"/>
          <w:numId w:val="1"/>
        </w:numPr>
        <w:jc w:val="both"/>
        <w:rPr>
          <w:b/>
        </w:rPr>
      </w:pPr>
      <w:r>
        <w:rPr>
          <w:b/>
        </w:rPr>
        <w:t>Intended Purpose</w:t>
      </w:r>
    </w:p>
    <w:p w:rsidR="00D4040E" w:rsidRDefault="00D4040E" w:rsidP="00D4040E">
      <w:pPr>
        <w:ind w:left="360"/>
        <w:jc w:val="both"/>
      </w:pPr>
    </w:p>
    <w:p w:rsidR="00D4040E" w:rsidRDefault="00D4040E" w:rsidP="00A64539">
      <w:pPr>
        <w:jc w:val="both"/>
      </w:pPr>
      <w:r>
        <w:t>This submission is a request for approval of data collection activities</w:t>
      </w:r>
      <w:r w:rsidR="004E465F">
        <w:t xml:space="preserve"> to conduct a customer satisfaction survey of users of the What Works Clearinghouse (WWC) website (</w:t>
      </w:r>
      <w:hyperlink r:id="rId10" w:history="1">
        <w:r w:rsidR="004E465F" w:rsidRPr="00C90578">
          <w:rPr>
            <w:rStyle w:val="Hyperlink"/>
          </w:rPr>
          <w:t>www.whatworks.ed.gov</w:t>
        </w:r>
      </w:hyperlink>
      <w:r w:rsidR="004E465F">
        <w:t xml:space="preserve">) and its products.  </w:t>
      </w:r>
      <w:r>
        <w:t xml:space="preserve">The </w:t>
      </w:r>
      <w:r w:rsidR="004E465F">
        <w:t xml:space="preserve">mission of the Clearinghouse </w:t>
      </w:r>
      <w:r>
        <w:t xml:space="preserve">is to provide educators, and policymakers with </w:t>
      </w:r>
      <w:r w:rsidRPr="00D4040E">
        <w:t>a central and trusted source of scientific evidence for what works in education</w:t>
      </w:r>
      <w:r>
        <w:t>.</w:t>
      </w:r>
    </w:p>
    <w:p w:rsidR="004E465F" w:rsidRDefault="004E465F" w:rsidP="00D4040E">
      <w:pPr>
        <w:ind w:firstLine="360"/>
        <w:jc w:val="both"/>
      </w:pPr>
    </w:p>
    <w:p w:rsidR="004E465F" w:rsidRDefault="004E465F" w:rsidP="00A64539">
      <w:pPr>
        <w:jc w:val="both"/>
      </w:pPr>
      <w:r>
        <w:t xml:space="preserve">The purpose of conducting the customer satisfaction survey is to assess the ongoing information needs of WWC website users and potential users, and to identify areas </w:t>
      </w:r>
      <w:r w:rsidR="00817C70">
        <w:t>for</w:t>
      </w:r>
      <w:r>
        <w:t xml:space="preserve"> improvement to increase the relevance and usefulness of WWC products.</w:t>
      </w:r>
    </w:p>
    <w:p w:rsidR="00DE4CE6" w:rsidRDefault="00DE4CE6" w:rsidP="00D4040E">
      <w:pPr>
        <w:ind w:firstLine="360"/>
        <w:jc w:val="both"/>
      </w:pPr>
    </w:p>
    <w:p w:rsidR="00157BA7" w:rsidRDefault="001B3AF4" w:rsidP="001B3AF4">
      <w:pPr>
        <w:numPr>
          <w:ilvl w:val="0"/>
          <w:numId w:val="1"/>
        </w:numPr>
        <w:jc w:val="both"/>
        <w:rPr>
          <w:b/>
        </w:rPr>
      </w:pPr>
      <w:r>
        <w:rPr>
          <w:b/>
        </w:rPr>
        <w:t>Need for the Collection</w:t>
      </w:r>
    </w:p>
    <w:p w:rsidR="004E465F" w:rsidRDefault="004E465F" w:rsidP="004E465F">
      <w:pPr>
        <w:ind w:left="360"/>
        <w:jc w:val="both"/>
        <w:rPr>
          <w:b/>
        </w:rPr>
      </w:pPr>
    </w:p>
    <w:p w:rsidR="004E465F" w:rsidRDefault="004E465F" w:rsidP="00A64539">
      <w:pPr>
        <w:jc w:val="both"/>
      </w:pPr>
      <w:r>
        <w:t xml:space="preserve">Recognition </w:t>
      </w:r>
      <w:r w:rsidR="007761C1">
        <w:t xml:space="preserve">continues to increase </w:t>
      </w:r>
      <w:r>
        <w:t>among policymakers that decisions about educational programs,</w:t>
      </w:r>
      <w:r w:rsidR="00A64539">
        <w:t xml:space="preserve"> </w:t>
      </w:r>
      <w:r>
        <w:t>products, and</w:t>
      </w:r>
      <w:r w:rsidR="00A64539">
        <w:t xml:space="preserve"> practices should be based on evidence of effectiveness from high quality scientific research.  The No Child Left Behind Act (PL 107-110), for example, includes numerous requirements to use the findings from “scientifically based research” in designing and implementing educational interventions.  The implementation of this Act – with its promise to serve the educational needs of </w:t>
      </w:r>
      <w:r w:rsidR="00A64539">
        <w:rPr>
          <w:i/>
        </w:rPr>
        <w:t>all</w:t>
      </w:r>
      <w:r w:rsidR="00A64539">
        <w:t xml:space="preserve"> children, and its emphasis on “doing what works” – creates a very strong impetus to identify, select, and implement effective school improvement strategies.</w:t>
      </w:r>
    </w:p>
    <w:p w:rsidR="00A64539" w:rsidRDefault="00A64539" w:rsidP="00A64539">
      <w:pPr>
        <w:jc w:val="both"/>
      </w:pPr>
    </w:p>
    <w:p w:rsidR="00A64539" w:rsidRDefault="00817C70" w:rsidP="00A64539">
      <w:pPr>
        <w:jc w:val="both"/>
      </w:pPr>
      <w:r>
        <w:t xml:space="preserve">In order to efficiently and effectively </w:t>
      </w:r>
      <w:r w:rsidR="00957D95">
        <w:t>meet the challenge and achieve</w:t>
      </w:r>
      <w:r w:rsidR="00A64539">
        <w:t xml:space="preserve"> the promise of No Child Left Behind </w:t>
      </w:r>
      <w:r>
        <w:t>depends on</w:t>
      </w:r>
      <w:r w:rsidR="00A64539">
        <w:t xml:space="preserve"> educators, education administrators, </w:t>
      </w:r>
      <w:r w:rsidR="007761C1">
        <w:t>and</w:t>
      </w:r>
      <w:r>
        <w:t xml:space="preserve"> </w:t>
      </w:r>
      <w:r w:rsidR="00A64539">
        <w:t>parents</w:t>
      </w:r>
      <w:r w:rsidR="007761C1">
        <w:t xml:space="preserve"> </w:t>
      </w:r>
      <w:r>
        <w:t>having</w:t>
      </w:r>
      <w:r w:rsidR="00A64539">
        <w:t xml:space="preserve"> timely </w:t>
      </w:r>
      <w:r>
        <w:t xml:space="preserve">access to reliable </w:t>
      </w:r>
      <w:r w:rsidR="00A64539">
        <w:t xml:space="preserve">information </w:t>
      </w:r>
      <w:r w:rsidR="007761C1">
        <w:t xml:space="preserve">to </w:t>
      </w:r>
      <w:r w:rsidR="00A64539">
        <w:t xml:space="preserve">support </w:t>
      </w:r>
      <w:r>
        <w:t>informed decision-making</w:t>
      </w:r>
      <w:r w:rsidR="00A64539">
        <w:t xml:space="preserve">.  Those who have a stake in improving education want credible and reliable information that allows them to judge the effectiveness and quality of alternative approaches to </w:t>
      </w:r>
      <w:r>
        <w:t>improving outcomes for students</w:t>
      </w:r>
      <w:r w:rsidR="00A64539">
        <w:t xml:space="preserve">.  By transforming education into an evidence-based field, the U.S. Department of Education </w:t>
      </w:r>
      <w:r>
        <w:t>aims</w:t>
      </w:r>
      <w:r w:rsidR="00A64539">
        <w:t xml:space="preserve"> to </w:t>
      </w:r>
      <w:proofErr w:type="spellStart"/>
      <w:r w:rsidR="00A64539">
        <w:t>fultill</w:t>
      </w:r>
      <w:proofErr w:type="spellEnd"/>
      <w:r w:rsidR="00A64539">
        <w:t xml:space="preserve"> its mission of improving student outcomes and providing the information that decision makers need.</w:t>
      </w:r>
    </w:p>
    <w:p w:rsidR="00817C70" w:rsidRDefault="00817C70" w:rsidP="00A64539">
      <w:pPr>
        <w:jc w:val="both"/>
      </w:pPr>
    </w:p>
    <w:p w:rsidR="00A64539" w:rsidRDefault="00A64539" w:rsidP="00A64539">
      <w:pPr>
        <w:jc w:val="both"/>
      </w:pPr>
      <w:r>
        <w:lastRenderedPageBreak/>
        <w:t xml:space="preserve">The What Works Clearinghouse is a key part of this effort.  Established by the U.S. Department of Education’s Institute of Education Sciences in 2002, the purpose of the WWC is to offer everyone – from </w:t>
      </w:r>
      <w:r w:rsidR="007761C1">
        <w:t xml:space="preserve">elected </w:t>
      </w:r>
      <w:r>
        <w:t xml:space="preserve">officials to the public at large – a central, independent, and trusted source of scientific evidence of what works </w:t>
      </w:r>
      <w:r w:rsidR="00817C70">
        <w:t xml:space="preserve">and does not work </w:t>
      </w:r>
      <w:r>
        <w:t xml:space="preserve">in education.  </w:t>
      </w:r>
      <w:r w:rsidR="007761C1">
        <w:t>T</w:t>
      </w:r>
      <w:r>
        <w:t>o be successful, the WWC</w:t>
      </w:r>
      <w:r w:rsidR="005563BA">
        <w:t xml:space="preserve"> </w:t>
      </w:r>
      <w:r w:rsidR="007761C1">
        <w:t xml:space="preserve">must </w:t>
      </w:r>
      <w:r w:rsidR="005563BA">
        <w:t>assess the ongoing needs of its customers and potential customers regarding the Clearinghouse’s products and services, and involve key constituents in the process of its activities, in the development of its products, and in identifying areas for improvement.</w:t>
      </w:r>
    </w:p>
    <w:p w:rsidR="005563BA" w:rsidRDefault="005563BA" w:rsidP="00A64539">
      <w:pPr>
        <w:jc w:val="both"/>
      </w:pPr>
    </w:p>
    <w:p w:rsidR="001B3AF4" w:rsidRDefault="005563BA" w:rsidP="001B3AF4">
      <w:pPr>
        <w:jc w:val="both"/>
      </w:pPr>
      <w:r>
        <w:t xml:space="preserve">The WWC requests OMB clearance to administer a </w:t>
      </w:r>
      <w:r>
        <w:rPr>
          <w:i/>
        </w:rPr>
        <w:t>Survey of Customer and Potential Customer Satisfaction and Needs</w:t>
      </w:r>
      <w:r>
        <w:t>.  The online surveys are a means for the WWC to monitor its services to ensure that it produces and provides relevant online products and services that allow end users to more effectively improve educational outcomes for children.  The voluntary survey will gather information from WWC website users and potential users about the level of their satisfaction with the online services and information provided by the WWC.  WWC and ED staff will use the resulting survey data to enhance the structure and content of the website and to ensure that it is tailored to user needs and is easy for users to navigate.</w:t>
      </w:r>
    </w:p>
    <w:p w:rsidR="001B3AF4" w:rsidRPr="001B3AF4" w:rsidRDefault="001B3AF4" w:rsidP="001B3AF4">
      <w:pPr>
        <w:jc w:val="both"/>
      </w:pPr>
    </w:p>
    <w:p w:rsidR="00157BA7" w:rsidRDefault="00B62A66" w:rsidP="00157BA7">
      <w:pPr>
        <w:numPr>
          <w:ilvl w:val="0"/>
          <w:numId w:val="1"/>
        </w:numPr>
        <w:jc w:val="both"/>
        <w:rPr>
          <w:b/>
        </w:rPr>
      </w:pPr>
      <w:r>
        <w:rPr>
          <w:b/>
        </w:rPr>
        <w:t>P</w:t>
      </w:r>
      <w:r w:rsidR="00157BA7" w:rsidRPr="00D4040E">
        <w:rPr>
          <w:b/>
        </w:rPr>
        <w:t xml:space="preserve">lanned </w:t>
      </w:r>
      <w:r>
        <w:rPr>
          <w:b/>
        </w:rPr>
        <w:t>U</w:t>
      </w:r>
      <w:r w:rsidR="00157BA7" w:rsidRPr="00D4040E">
        <w:rPr>
          <w:b/>
        </w:rPr>
        <w:t xml:space="preserve">se of the </w:t>
      </w:r>
      <w:r>
        <w:rPr>
          <w:b/>
        </w:rPr>
        <w:t>Data</w:t>
      </w:r>
    </w:p>
    <w:p w:rsidR="00B62A66" w:rsidRDefault="00B62A66" w:rsidP="00B62A66">
      <w:pPr>
        <w:jc w:val="both"/>
        <w:rPr>
          <w:b/>
        </w:rPr>
      </w:pPr>
    </w:p>
    <w:p w:rsidR="00B62A66" w:rsidRDefault="00376E22" w:rsidP="00376E22">
      <w:pPr>
        <w:jc w:val="both"/>
      </w:pPr>
      <w:r>
        <w:t>T</w:t>
      </w:r>
      <w:r w:rsidR="00FE3A64">
        <w:t>he data gathered by the</w:t>
      </w:r>
      <w:r>
        <w:t xml:space="preserve"> survey </w:t>
      </w:r>
      <w:r w:rsidR="00FE3A64">
        <w:t xml:space="preserve">will be used by </w:t>
      </w:r>
      <w:r>
        <w:t xml:space="preserve">the WWC </w:t>
      </w:r>
      <w:r w:rsidR="00FE3A64">
        <w:t xml:space="preserve">and ED staff </w:t>
      </w:r>
      <w:r>
        <w:t xml:space="preserve">to monitor </w:t>
      </w:r>
      <w:r w:rsidR="00FE3A64">
        <w:t xml:space="preserve">WWC products and </w:t>
      </w:r>
      <w:r>
        <w:t xml:space="preserve">services to ensure that it produces and provides relevant online products and services that allow end users to more effectively improve educational outcomes for students.  </w:t>
      </w:r>
    </w:p>
    <w:p w:rsidR="00376E22" w:rsidRPr="00B62A66" w:rsidRDefault="00376E22" w:rsidP="00376E22">
      <w:pPr>
        <w:jc w:val="both"/>
      </w:pPr>
    </w:p>
    <w:p w:rsidR="00157BA7" w:rsidRDefault="008114F5" w:rsidP="00157BA7">
      <w:pPr>
        <w:numPr>
          <w:ilvl w:val="0"/>
          <w:numId w:val="1"/>
        </w:numPr>
        <w:jc w:val="both"/>
        <w:rPr>
          <w:b/>
        </w:rPr>
      </w:pPr>
      <w:r>
        <w:rPr>
          <w:b/>
        </w:rPr>
        <w:t>Date(s) and L</w:t>
      </w:r>
      <w:r w:rsidR="00157BA7" w:rsidRPr="00D4040E">
        <w:rPr>
          <w:b/>
        </w:rPr>
        <w:t>ocation(s)</w:t>
      </w:r>
    </w:p>
    <w:p w:rsidR="008114F5" w:rsidRDefault="008114F5" w:rsidP="008114F5">
      <w:pPr>
        <w:jc w:val="both"/>
        <w:rPr>
          <w:b/>
        </w:rPr>
      </w:pPr>
    </w:p>
    <w:p w:rsidR="008114F5" w:rsidRPr="008114F5" w:rsidRDefault="008114F5" w:rsidP="008114F5">
      <w:pPr>
        <w:ind w:firstLine="360"/>
        <w:jc w:val="both"/>
      </w:pPr>
      <w:r>
        <w:t xml:space="preserve">Data will be collected during the second </w:t>
      </w:r>
      <w:r w:rsidR="00653BC8">
        <w:t xml:space="preserve">and third </w:t>
      </w:r>
      <w:r>
        <w:t>quarter</w:t>
      </w:r>
      <w:r w:rsidR="00147898">
        <w:t>s</w:t>
      </w:r>
      <w:r>
        <w:t xml:space="preserve"> of 2011. The following table shows the time line for this study.</w:t>
      </w:r>
    </w:p>
    <w:p w:rsidR="008114F5" w:rsidRDefault="008114F5" w:rsidP="008114F5">
      <w:pPr>
        <w:jc w:val="both"/>
        <w:rPr>
          <w:b/>
        </w:rPr>
      </w:pPr>
    </w:p>
    <w:p w:rsidR="008114F5" w:rsidRPr="00463ACF" w:rsidRDefault="008114F5" w:rsidP="008114F5">
      <w:pPr>
        <w:pStyle w:val="MarkforTable"/>
        <w:spacing w:line="240" w:lineRule="auto"/>
        <w:rPr>
          <w:sz w:val="22"/>
          <w:szCs w:val="22"/>
        </w:rPr>
      </w:pPr>
      <w:r w:rsidRPr="00463ACF">
        <w:rPr>
          <w:sz w:val="22"/>
          <w:szCs w:val="22"/>
        </w:rPr>
        <w:t>sCHEDULE OF aCTIVITIES</w:t>
      </w:r>
    </w:p>
    <w:p w:rsidR="008114F5" w:rsidRPr="00EB00A1" w:rsidRDefault="008114F5" w:rsidP="008114F5">
      <w:pPr>
        <w:pStyle w:val="Gnormal"/>
        <w:spacing w:after="0"/>
        <w:rPr>
          <w:rFonts w:ascii="Times New Roman" w:hAnsi="Times New Roman"/>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3"/>
        <w:gridCol w:w="1881"/>
      </w:tblGrid>
      <w:tr w:rsidR="008114F5" w:rsidRPr="008114F5" w:rsidTr="008114F5">
        <w:trPr>
          <w:jc w:val="center"/>
        </w:trPr>
        <w:tc>
          <w:tcPr>
            <w:tcW w:w="0" w:type="auto"/>
            <w:tcBorders>
              <w:top w:val="single" w:sz="4" w:space="0" w:color="auto"/>
              <w:left w:val="nil"/>
              <w:bottom w:val="single" w:sz="4" w:space="0" w:color="auto"/>
              <w:right w:val="nil"/>
            </w:tcBorders>
            <w:vAlign w:val="bottom"/>
          </w:tcPr>
          <w:p w:rsidR="008114F5" w:rsidRPr="00463ACF" w:rsidRDefault="008114F5" w:rsidP="000F5FD6">
            <w:pPr>
              <w:spacing w:before="120" w:after="60"/>
              <w:rPr>
                <w:sz w:val="22"/>
                <w:szCs w:val="22"/>
              </w:rPr>
            </w:pPr>
            <w:r w:rsidRPr="00463ACF">
              <w:rPr>
                <w:sz w:val="22"/>
                <w:szCs w:val="22"/>
              </w:rPr>
              <w:t>Activity</w:t>
            </w:r>
          </w:p>
        </w:tc>
        <w:tc>
          <w:tcPr>
            <w:tcW w:w="1625" w:type="dxa"/>
            <w:tcBorders>
              <w:top w:val="single" w:sz="4" w:space="0" w:color="auto"/>
              <w:left w:val="nil"/>
              <w:bottom w:val="single" w:sz="4" w:space="0" w:color="auto"/>
              <w:right w:val="nil"/>
            </w:tcBorders>
            <w:vAlign w:val="bottom"/>
          </w:tcPr>
          <w:p w:rsidR="008114F5" w:rsidRPr="00463ACF" w:rsidRDefault="008114F5" w:rsidP="008114F5">
            <w:pPr>
              <w:spacing w:before="120" w:after="60"/>
              <w:rPr>
                <w:sz w:val="22"/>
                <w:szCs w:val="22"/>
              </w:rPr>
            </w:pPr>
            <w:r w:rsidRPr="00463ACF">
              <w:rPr>
                <w:sz w:val="22"/>
                <w:szCs w:val="22"/>
              </w:rPr>
              <w:t>Schedule</w:t>
            </w:r>
          </w:p>
        </w:tc>
      </w:tr>
      <w:tr w:rsidR="008114F5" w:rsidRPr="008114F5" w:rsidTr="008114F5">
        <w:trPr>
          <w:jc w:val="center"/>
        </w:trPr>
        <w:tc>
          <w:tcPr>
            <w:tcW w:w="0" w:type="auto"/>
            <w:tcBorders>
              <w:top w:val="single" w:sz="4" w:space="0" w:color="auto"/>
              <w:left w:val="nil"/>
              <w:bottom w:val="nil"/>
              <w:right w:val="nil"/>
            </w:tcBorders>
            <w:vAlign w:val="bottom"/>
          </w:tcPr>
          <w:p w:rsidR="008114F5" w:rsidRPr="00463ACF" w:rsidRDefault="008114F5" w:rsidP="00EB00A1">
            <w:pPr>
              <w:spacing w:before="120"/>
              <w:rPr>
                <w:sz w:val="22"/>
                <w:szCs w:val="22"/>
              </w:rPr>
            </w:pPr>
            <w:r w:rsidRPr="00463ACF">
              <w:rPr>
                <w:sz w:val="22"/>
                <w:szCs w:val="22"/>
              </w:rPr>
              <w:t xml:space="preserve">Prepare </w:t>
            </w:r>
            <w:r w:rsidR="00EB00A1">
              <w:rPr>
                <w:sz w:val="22"/>
                <w:szCs w:val="22"/>
              </w:rPr>
              <w:t>list</w:t>
            </w:r>
            <w:r w:rsidRPr="00463ACF">
              <w:rPr>
                <w:sz w:val="22"/>
                <w:szCs w:val="22"/>
              </w:rPr>
              <w:t xml:space="preserve"> of potential report users</w:t>
            </w:r>
          </w:p>
        </w:tc>
        <w:tc>
          <w:tcPr>
            <w:tcW w:w="0" w:type="auto"/>
            <w:tcBorders>
              <w:top w:val="single" w:sz="4" w:space="0" w:color="auto"/>
              <w:left w:val="nil"/>
              <w:bottom w:val="nil"/>
              <w:right w:val="nil"/>
            </w:tcBorders>
            <w:vAlign w:val="bottom"/>
          </w:tcPr>
          <w:p w:rsidR="008114F5" w:rsidRPr="00463ACF" w:rsidRDefault="008114F5" w:rsidP="00463ACF">
            <w:pPr>
              <w:tabs>
                <w:tab w:val="decimal" w:pos="0"/>
              </w:tabs>
              <w:spacing w:before="120"/>
              <w:ind w:right="-83"/>
              <w:rPr>
                <w:sz w:val="22"/>
                <w:szCs w:val="22"/>
              </w:rPr>
            </w:pPr>
            <w:r w:rsidRPr="00463ACF">
              <w:rPr>
                <w:sz w:val="22"/>
                <w:szCs w:val="22"/>
              </w:rPr>
              <w:t>March – May  2011</w:t>
            </w:r>
          </w:p>
        </w:tc>
      </w:tr>
      <w:tr w:rsidR="008114F5" w:rsidRPr="008114F5" w:rsidTr="000F5FD6">
        <w:trPr>
          <w:jc w:val="center"/>
        </w:trPr>
        <w:tc>
          <w:tcPr>
            <w:tcW w:w="0" w:type="auto"/>
            <w:tcBorders>
              <w:top w:val="nil"/>
              <w:left w:val="nil"/>
              <w:bottom w:val="nil"/>
              <w:right w:val="nil"/>
            </w:tcBorders>
            <w:vAlign w:val="bottom"/>
          </w:tcPr>
          <w:p w:rsidR="008114F5" w:rsidRPr="00463ACF" w:rsidRDefault="008114F5" w:rsidP="008114F5">
            <w:pPr>
              <w:rPr>
                <w:sz w:val="22"/>
                <w:szCs w:val="22"/>
              </w:rPr>
            </w:pPr>
            <w:r w:rsidRPr="00463ACF">
              <w:rPr>
                <w:sz w:val="22"/>
                <w:szCs w:val="22"/>
              </w:rPr>
              <w:t>Conduct survey</w:t>
            </w:r>
          </w:p>
        </w:tc>
        <w:tc>
          <w:tcPr>
            <w:tcW w:w="0" w:type="auto"/>
            <w:tcBorders>
              <w:top w:val="nil"/>
              <w:left w:val="nil"/>
              <w:bottom w:val="nil"/>
              <w:right w:val="nil"/>
            </w:tcBorders>
            <w:vAlign w:val="bottom"/>
          </w:tcPr>
          <w:p w:rsidR="008114F5" w:rsidRPr="00463ACF" w:rsidRDefault="008114F5" w:rsidP="00463ACF">
            <w:pPr>
              <w:tabs>
                <w:tab w:val="decimal" w:pos="0"/>
              </w:tabs>
              <w:spacing w:before="120"/>
              <w:ind w:right="-83"/>
              <w:rPr>
                <w:sz w:val="22"/>
                <w:szCs w:val="22"/>
              </w:rPr>
            </w:pPr>
            <w:r w:rsidRPr="00463ACF">
              <w:rPr>
                <w:sz w:val="22"/>
                <w:szCs w:val="22"/>
              </w:rPr>
              <w:t>April – May 2011</w:t>
            </w:r>
          </w:p>
        </w:tc>
      </w:tr>
      <w:tr w:rsidR="008114F5" w:rsidRPr="008114F5" w:rsidTr="000F5FD6">
        <w:trPr>
          <w:jc w:val="center"/>
        </w:trPr>
        <w:tc>
          <w:tcPr>
            <w:tcW w:w="0" w:type="auto"/>
            <w:tcBorders>
              <w:top w:val="nil"/>
              <w:left w:val="nil"/>
              <w:right w:val="nil"/>
            </w:tcBorders>
            <w:vAlign w:val="bottom"/>
          </w:tcPr>
          <w:p w:rsidR="008114F5" w:rsidRPr="00463ACF" w:rsidRDefault="008114F5" w:rsidP="000F5FD6">
            <w:pPr>
              <w:rPr>
                <w:sz w:val="22"/>
                <w:szCs w:val="22"/>
              </w:rPr>
            </w:pPr>
            <w:r w:rsidRPr="00463ACF">
              <w:rPr>
                <w:sz w:val="22"/>
                <w:szCs w:val="22"/>
              </w:rPr>
              <w:t>Analysis and report of findings</w:t>
            </w:r>
          </w:p>
        </w:tc>
        <w:tc>
          <w:tcPr>
            <w:tcW w:w="0" w:type="auto"/>
            <w:tcBorders>
              <w:top w:val="nil"/>
              <w:left w:val="nil"/>
              <w:right w:val="nil"/>
            </w:tcBorders>
            <w:vAlign w:val="bottom"/>
          </w:tcPr>
          <w:p w:rsidR="008114F5" w:rsidRPr="00463ACF" w:rsidRDefault="008114F5" w:rsidP="00463ACF">
            <w:pPr>
              <w:tabs>
                <w:tab w:val="decimal" w:pos="0"/>
              </w:tabs>
              <w:spacing w:before="120"/>
              <w:ind w:right="-83"/>
              <w:rPr>
                <w:sz w:val="22"/>
                <w:szCs w:val="22"/>
              </w:rPr>
            </w:pPr>
            <w:r w:rsidRPr="00463ACF">
              <w:rPr>
                <w:sz w:val="22"/>
                <w:szCs w:val="22"/>
              </w:rPr>
              <w:t>June 2011</w:t>
            </w:r>
          </w:p>
        </w:tc>
      </w:tr>
    </w:tbl>
    <w:p w:rsidR="008114F5" w:rsidRDefault="008114F5" w:rsidP="008114F5">
      <w:pPr>
        <w:jc w:val="center"/>
      </w:pPr>
    </w:p>
    <w:p w:rsidR="00157BA7" w:rsidRPr="000A7F2C" w:rsidRDefault="008114F5" w:rsidP="00157BA7">
      <w:pPr>
        <w:numPr>
          <w:ilvl w:val="0"/>
          <w:numId w:val="1"/>
        </w:numPr>
        <w:jc w:val="both"/>
        <w:rPr>
          <w:b/>
        </w:rPr>
      </w:pPr>
      <w:r w:rsidRPr="000A7F2C">
        <w:rPr>
          <w:b/>
        </w:rPr>
        <w:t>Collection Procedures</w:t>
      </w:r>
      <w:r w:rsidR="00157BA7" w:rsidRPr="000A7F2C">
        <w:rPr>
          <w:b/>
        </w:rPr>
        <w:t xml:space="preserve">  </w:t>
      </w:r>
    </w:p>
    <w:p w:rsidR="008114F5" w:rsidRDefault="008114F5" w:rsidP="008114F5">
      <w:pPr>
        <w:jc w:val="both"/>
      </w:pPr>
    </w:p>
    <w:p w:rsidR="00FA0F5D" w:rsidRDefault="00FE3A64" w:rsidP="00241AC3">
      <w:pPr>
        <w:ind w:firstLine="360"/>
        <w:jc w:val="both"/>
      </w:pPr>
      <w:r>
        <w:t>The WWC contractor</w:t>
      </w:r>
      <w:r w:rsidR="002D446A">
        <w:t>,</w:t>
      </w:r>
      <w:r w:rsidR="00241AC3">
        <w:t xml:space="preserve"> </w:t>
      </w:r>
      <w:proofErr w:type="spellStart"/>
      <w:r w:rsidR="00241AC3">
        <w:t>Mathematica</w:t>
      </w:r>
      <w:proofErr w:type="spellEnd"/>
      <w:r>
        <w:t xml:space="preserve"> Policy Research</w:t>
      </w:r>
      <w:r w:rsidR="002D446A">
        <w:t>,</w:t>
      </w:r>
      <w:r>
        <w:t xml:space="preserve"> Inc., </w:t>
      </w:r>
      <w:r w:rsidR="00241AC3">
        <w:t xml:space="preserve">will </w:t>
      </w:r>
      <w:r w:rsidR="000F5FD6">
        <w:t xml:space="preserve">contact current and </w:t>
      </w:r>
      <w:r w:rsidR="00241AC3">
        <w:t xml:space="preserve">potential users of WWC publications. </w:t>
      </w:r>
      <w:r w:rsidR="000F5FD6">
        <w:t>Potential respondents</w:t>
      </w:r>
      <w:r w:rsidR="00241AC3">
        <w:t xml:space="preserve"> will receive an email invitation to participate in </w:t>
      </w:r>
      <w:r>
        <w:t xml:space="preserve">the survey </w:t>
      </w:r>
      <w:r w:rsidR="009177A4">
        <w:t>(Attachment B)</w:t>
      </w:r>
      <w:r w:rsidR="00241AC3">
        <w:t>. The invitation will include a link to the short, web-based questionnaire</w:t>
      </w:r>
      <w:r w:rsidR="000F5FD6">
        <w:t xml:space="preserve">, which </w:t>
      </w:r>
      <w:r w:rsidR="00C24EE3">
        <w:t>will</w:t>
      </w:r>
      <w:r w:rsidR="000F5FD6">
        <w:t xml:space="preserve"> take respondents no more than </w:t>
      </w:r>
      <w:r w:rsidR="00147898">
        <w:t>1</w:t>
      </w:r>
      <w:r w:rsidR="008C2EB6">
        <w:t>0</w:t>
      </w:r>
      <w:r w:rsidR="000F5FD6">
        <w:t xml:space="preserve"> minutes </w:t>
      </w:r>
      <w:r w:rsidR="000F5FD6">
        <w:lastRenderedPageBreak/>
        <w:t>to complete</w:t>
      </w:r>
      <w:r w:rsidR="00241AC3">
        <w:t xml:space="preserve">. </w:t>
      </w:r>
      <w:r w:rsidR="00FA0F5D">
        <w:t xml:space="preserve">To improve the response rate, </w:t>
      </w:r>
      <w:r w:rsidR="00847F63">
        <w:t>non</w:t>
      </w:r>
      <w:r w:rsidR="00C24EE3">
        <w:t>-</w:t>
      </w:r>
      <w:r w:rsidR="00847F63">
        <w:t xml:space="preserve">respondents </w:t>
      </w:r>
      <w:r w:rsidR="00FA0F5D">
        <w:t xml:space="preserve">will </w:t>
      </w:r>
      <w:r w:rsidR="00847F63">
        <w:t xml:space="preserve">be </w:t>
      </w:r>
      <w:r w:rsidR="00FA0F5D">
        <w:t>sen</w:t>
      </w:r>
      <w:r w:rsidR="00847F63">
        <w:t>t</w:t>
      </w:r>
      <w:r w:rsidR="00FA0F5D">
        <w:t xml:space="preserve"> a follow-up email request </w:t>
      </w:r>
      <w:r w:rsidR="000A7F2C">
        <w:t>two</w:t>
      </w:r>
      <w:r w:rsidR="00FA0F5D">
        <w:t xml:space="preserve"> week</w:t>
      </w:r>
      <w:r w:rsidR="000A7F2C">
        <w:t>s</w:t>
      </w:r>
      <w:r w:rsidR="00FA0F5D">
        <w:t xml:space="preserve"> after the initial email invitation. </w:t>
      </w:r>
    </w:p>
    <w:p w:rsidR="00FA0F5D" w:rsidRDefault="00FA0F5D" w:rsidP="00241AC3">
      <w:pPr>
        <w:ind w:firstLine="360"/>
        <w:jc w:val="both"/>
      </w:pPr>
    </w:p>
    <w:p w:rsidR="004C5020" w:rsidRDefault="00FA0F5D" w:rsidP="000A7F2C">
      <w:pPr>
        <w:ind w:firstLine="360"/>
        <w:jc w:val="both"/>
      </w:pPr>
      <w:r>
        <w:t xml:space="preserve">The data collection plan reflects sensitivity to issues of efficiency, accuracy, and respondent burden. To conduct the </w:t>
      </w:r>
      <w:r w:rsidR="00FE3A64">
        <w:t xml:space="preserve">WWC </w:t>
      </w:r>
      <w:r w:rsidR="00817C70">
        <w:t>s</w:t>
      </w:r>
      <w:r>
        <w:t>urvey</w:t>
      </w:r>
      <w:r w:rsidR="00FE3A64">
        <w:t xml:space="preserve">, </w:t>
      </w:r>
      <w:r>
        <w:t xml:space="preserve">we will use a web-based data collection method programmed to accept only valid responses and to check for logical consistency across answers. Respondents will be able to correct any errors or clarify inconsistent data. An added advantage of web-based data collection is that respondents </w:t>
      </w:r>
      <w:r w:rsidR="007761C1">
        <w:t xml:space="preserve">can </w:t>
      </w:r>
      <w:r>
        <w:t xml:space="preserve">complete the survey at their convenience. </w:t>
      </w:r>
      <w:r w:rsidR="00817C70">
        <w:t>A</w:t>
      </w:r>
      <w:r w:rsidR="004C5020" w:rsidRPr="00214525">
        <w:t xml:space="preserve">ll communications </w:t>
      </w:r>
      <w:r w:rsidR="00B85C67">
        <w:t xml:space="preserve">with potential respondents </w:t>
      </w:r>
      <w:r w:rsidR="004C5020" w:rsidRPr="00214525">
        <w:t xml:space="preserve">will </w:t>
      </w:r>
      <w:r w:rsidR="00147898">
        <w:t>include</w:t>
      </w:r>
      <w:r w:rsidR="00B85C67">
        <w:t xml:space="preserve"> </w:t>
      </w:r>
      <w:r w:rsidR="004C5020" w:rsidRPr="00214525">
        <w:t xml:space="preserve">a project-specific email address and a toll-free </w:t>
      </w:r>
      <w:r w:rsidR="004C5020" w:rsidRPr="00D64631">
        <w:t>telephone</w:t>
      </w:r>
      <w:r w:rsidR="004C5020" w:rsidRPr="00214525">
        <w:t xml:space="preserve"> number</w:t>
      </w:r>
      <w:r w:rsidR="00B85C67">
        <w:t xml:space="preserve"> to use if </w:t>
      </w:r>
      <w:r w:rsidR="00F3451B">
        <w:t>potential respondents</w:t>
      </w:r>
      <w:r w:rsidR="00B85C67">
        <w:t xml:space="preserve"> have questions</w:t>
      </w:r>
      <w:r w:rsidR="004C5020" w:rsidRPr="00214525">
        <w:t xml:space="preserve">. </w:t>
      </w:r>
    </w:p>
    <w:p w:rsidR="004C5020" w:rsidRDefault="004C5020" w:rsidP="004C5020">
      <w:pPr>
        <w:ind w:firstLine="360"/>
        <w:jc w:val="both"/>
      </w:pPr>
    </w:p>
    <w:p w:rsidR="004C5020" w:rsidRDefault="004C5020" w:rsidP="004C5020">
      <w:pPr>
        <w:ind w:firstLine="360"/>
        <w:jc w:val="both"/>
      </w:pPr>
      <w:r>
        <w:t>This is a voluntary survey</w:t>
      </w:r>
      <w:r w:rsidR="009E7C99">
        <w:t>, as stated in the invitation,</w:t>
      </w:r>
      <w:r>
        <w:t xml:space="preserve"> and </w:t>
      </w:r>
      <w:r w:rsidR="00EB00A1">
        <w:t>respondents</w:t>
      </w:r>
      <w:r>
        <w:t xml:space="preserve"> may choose whether or not to participate. Also, they may choose to not answer specific questions included on the questionnaire. All of the responses from the survey will be kept strictly confidential</w:t>
      </w:r>
      <w:r w:rsidR="009B13AC">
        <w:t xml:space="preserve"> to the extent allowed by law</w:t>
      </w:r>
      <w:r>
        <w:t>. T</w:t>
      </w:r>
      <w:r w:rsidRPr="006C1B6F">
        <w:t xml:space="preserve">he project will adhere to </w:t>
      </w:r>
      <w:r w:rsidR="00653BC8">
        <w:t>industry standards</w:t>
      </w:r>
      <w:r>
        <w:rPr>
          <w:iCs/>
        </w:rPr>
        <w:t xml:space="preserve"> to</w:t>
      </w:r>
      <w:r w:rsidRPr="006C1B6F">
        <w:t xml:space="preserve"> protect </w:t>
      </w:r>
      <w:r>
        <w:t>survey participants</w:t>
      </w:r>
      <w:r w:rsidRPr="006C1B6F">
        <w:t xml:space="preserve"> to the extent the law allows. </w:t>
      </w:r>
      <w:r w:rsidR="000A7F2C">
        <w:t>N</w:t>
      </w:r>
      <w:r>
        <w:t xml:space="preserve">o names </w:t>
      </w:r>
      <w:r w:rsidRPr="006C1B6F">
        <w:t>will be attached to any responses</w:t>
      </w:r>
      <w:r>
        <w:t xml:space="preserve">. </w:t>
      </w:r>
      <w:proofErr w:type="spellStart"/>
      <w:r w:rsidRPr="006C1B6F">
        <w:t>Mathematica</w:t>
      </w:r>
      <w:proofErr w:type="spellEnd"/>
      <w:r w:rsidRPr="006C1B6F">
        <w:t xml:space="preserve"> has rigorous requirements in place to protect the security of the electronic </w:t>
      </w:r>
      <w:r>
        <w:t>responses.</w:t>
      </w:r>
      <w:r w:rsidRPr="006C1B6F">
        <w:t xml:space="preserve"> </w:t>
      </w:r>
      <w:r>
        <w:t xml:space="preserve">The following statement will be used to describe data confidentiality to </w:t>
      </w:r>
      <w:r w:rsidR="00EB00A1">
        <w:t>respondents</w:t>
      </w:r>
      <w:r>
        <w:t>:</w:t>
      </w:r>
    </w:p>
    <w:p w:rsidR="004C5020" w:rsidRDefault="004C5020" w:rsidP="004C5020">
      <w:pPr>
        <w:pStyle w:val="PlainText"/>
        <w:rPr>
          <w:rFonts w:ascii="Times New Roman" w:hAnsi="Times New Roman"/>
          <w:sz w:val="24"/>
          <w:szCs w:val="24"/>
        </w:rPr>
      </w:pPr>
    </w:p>
    <w:p w:rsidR="004C5020" w:rsidRDefault="004C5020" w:rsidP="004C5020">
      <w:pPr>
        <w:ind w:firstLine="360"/>
        <w:jc w:val="both"/>
        <w:rPr>
          <w:i/>
          <w:szCs w:val="24"/>
        </w:rPr>
      </w:pPr>
      <w:r>
        <w:rPr>
          <w:i/>
          <w:szCs w:val="24"/>
        </w:rPr>
        <w:t xml:space="preserve">Responses to this </w:t>
      </w:r>
      <w:r w:rsidR="009177A4">
        <w:rPr>
          <w:i/>
          <w:szCs w:val="24"/>
        </w:rPr>
        <w:t>questionnaire</w:t>
      </w:r>
      <w:r>
        <w:rPr>
          <w:i/>
          <w:szCs w:val="24"/>
        </w:rPr>
        <w:t xml:space="preserve"> will be used only for statistical purposes. The reports prepared for this study will summarize findings across the </w:t>
      </w:r>
      <w:r w:rsidR="00EB00A1">
        <w:rPr>
          <w:i/>
          <w:szCs w:val="24"/>
        </w:rPr>
        <w:t>respondents</w:t>
      </w:r>
      <w:r>
        <w:rPr>
          <w:i/>
          <w:szCs w:val="24"/>
        </w:rPr>
        <w:t xml:space="preserve"> and will not associate responses with a specific individual. We will not provide information that identifies you to anyone outside the study team, except as required by law.</w:t>
      </w:r>
    </w:p>
    <w:p w:rsidR="00B85C67" w:rsidRPr="009A2906" w:rsidRDefault="00B85C67" w:rsidP="004C5020">
      <w:pPr>
        <w:ind w:firstLine="360"/>
        <w:jc w:val="both"/>
        <w:rPr>
          <w:i/>
          <w:szCs w:val="24"/>
        </w:rPr>
      </w:pPr>
    </w:p>
    <w:p w:rsidR="004C5020" w:rsidRDefault="004C5020" w:rsidP="004C5020">
      <w:pPr>
        <w:numPr>
          <w:ilvl w:val="0"/>
          <w:numId w:val="1"/>
        </w:numPr>
        <w:jc w:val="both"/>
        <w:rPr>
          <w:b/>
        </w:rPr>
      </w:pPr>
      <w:r>
        <w:rPr>
          <w:b/>
        </w:rPr>
        <w:t>N</w:t>
      </w:r>
      <w:r w:rsidRPr="00D4040E">
        <w:rPr>
          <w:b/>
        </w:rPr>
        <w:t xml:space="preserve">umber of </w:t>
      </w:r>
      <w:r>
        <w:rPr>
          <w:b/>
        </w:rPr>
        <w:t>F</w:t>
      </w:r>
      <w:r w:rsidRPr="00D4040E">
        <w:rPr>
          <w:b/>
        </w:rPr>
        <w:t xml:space="preserve">ocus </w:t>
      </w:r>
      <w:r>
        <w:rPr>
          <w:b/>
        </w:rPr>
        <w:t>G</w:t>
      </w:r>
      <w:r w:rsidRPr="00D4040E">
        <w:rPr>
          <w:b/>
        </w:rPr>
        <w:t xml:space="preserve">roups, </w:t>
      </w:r>
      <w:r>
        <w:rPr>
          <w:b/>
        </w:rPr>
        <w:t>S</w:t>
      </w:r>
      <w:r w:rsidRPr="00D4040E">
        <w:rPr>
          <w:b/>
        </w:rPr>
        <w:t xml:space="preserve">urveys, </w:t>
      </w:r>
      <w:r>
        <w:rPr>
          <w:b/>
        </w:rPr>
        <w:t>U</w:t>
      </w:r>
      <w:r w:rsidRPr="00D4040E">
        <w:rPr>
          <w:b/>
        </w:rPr>
        <w:t xml:space="preserve">sability </w:t>
      </w:r>
      <w:r>
        <w:rPr>
          <w:b/>
        </w:rPr>
        <w:t>T</w:t>
      </w:r>
      <w:r w:rsidRPr="00D4040E">
        <w:rPr>
          <w:b/>
        </w:rPr>
        <w:t xml:space="preserve">esting </w:t>
      </w:r>
      <w:r>
        <w:rPr>
          <w:b/>
        </w:rPr>
        <w:t>S</w:t>
      </w:r>
      <w:r w:rsidRPr="00D4040E">
        <w:rPr>
          <w:b/>
        </w:rPr>
        <w:t xml:space="preserve">essions </w:t>
      </w:r>
    </w:p>
    <w:p w:rsidR="004C5020" w:rsidRDefault="004C5020" w:rsidP="004C5020">
      <w:pPr>
        <w:jc w:val="both"/>
      </w:pPr>
    </w:p>
    <w:p w:rsidR="004C5020" w:rsidRDefault="004C5020" w:rsidP="004C5020">
      <w:pPr>
        <w:ind w:firstLine="360"/>
        <w:jc w:val="both"/>
      </w:pPr>
      <w:r>
        <w:t>This request is for one data collection – a web survey. Up to nine people will be contacted to pre-test the web questionnaire.</w:t>
      </w:r>
    </w:p>
    <w:p w:rsidR="004C5020" w:rsidRDefault="004C5020" w:rsidP="004C5020">
      <w:pPr>
        <w:ind w:firstLine="360"/>
        <w:jc w:val="both"/>
      </w:pPr>
    </w:p>
    <w:p w:rsidR="004C5020" w:rsidRPr="00D4040E" w:rsidRDefault="004C5020" w:rsidP="004C5020">
      <w:pPr>
        <w:numPr>
          <w:ilvl w:val="0"/>
          <w:numId w:val="1"/>
        </w:numPr>
        <w:jc w:val="both"/>
        <w:rPr>
          <w:b/>
        </w:rPr>
      </w:pPr>
      <w:r>
        <w:rPr>
          <w:b/>
        </w:rPr>
        <w:t>D</w:t>
      </w:r>
      <w:r w:rsidRPr="00D4040E">
        <w:rPr>
          <w:b/>
        </w:rPr>
        <w:t xml:space="preserve">escription of </w:t>
      </w:r>
      <w:r>
        <w:rPr>
          <w:b/>
        </w:rPr>
        <w:t>Respondents/Participants</w:t>
      </w:r>
    </w:p>
    <w:p w:rsidR="004C5020" w:rsidRDefault="004C5020" w:rsidP="004C5020">
      <w:pPr>
        <w:ind w:left="360"/>
        <w:jc w:val="both"/>
      </w:pPr>
    </w:p>
    <w:p w:rsidR="004C5020" w:rsidRDefault="004C5020" w:rsidP="00BB6FAE">
      <w:pPr>
        <w:ind w:firstLine="360"/>
        <w:jc w:val="both"/>
      </w:pPr>
      <w:r>
        <w:t xml:space="preserve">The target population of this survey includes </w:t>
      </w:r>
      <w:r w:rsidR="00B30B20">
        <w:t>two</w:t>
      </w:r>
      <w:r>
        <w:t xml:space="preserve"> groups. The groups are:</w:t>
      </w:r>
    </w:p>
    <w:p w:rsidR="004C5020" w:rsidRDefault="004C5020" w:rsidP="00BB6FAE">
      <w:pPr>
        <w:ind w:firstLine="360"/>
        <w:jc w:val="both"/>
      </w:pPr>
    </w:p>
    <w:p w:rsidR="004C5020" w:rsidRDefault="004C5020" w:rsidP="00BB6FAE">
      <w:pPr>
        <w:pStyle w:val="ListParagraph"/>
        <w:numPr>
          <w:ilvl w:val="0"/>
          <w:numId w:val="5"/>
        </w:numPr>
        <w:contextualSpacing w:val="0"/>
        <w:jc w:val="both"/>
      </w:pPr>
      <w:r>
        <w:t>Those who currently receive WWC e-mail updates</w:t>
      </w:r>
    </w:p>
    <w:p w:rsidR="004C5020" w:rsidRDefault="004C5020" w:rsidP="00BB6FAE">
      <w:pPr>
        <w:pStyle w:val="ListParagraph"/>
        <w:numPr>
          <w:ilvl w:val="0"/>
          <w:numId w:val="5"/>
        </w:numPr>
        <w:contextualSpacing w:val="0"/>
        <w:jc w:val="both"/>
      </w:pPr>
      <w:r>
        <w:t>Those who attend conferences where the WWC ha</w:t>
      </w:r>
      <w:r w:rsidR="009E7C99">
        <w:t>s</w:t>
      </w:r>
      <w:r>
        <w:t xml:space="preserve"> an exhibit table</w:t>
      </w:r>
      <w:r w:rsidR="00B30B20">
        <w:t xml:space="preserve"> and visit the table</w:t>
      </w:r>
    </w:p>
    <w:p w:rsidR="004C5020" w:rsidRDefault="004C5020" w:rsidP="00BB6FAE">
      <w:pPr>
        <w:pStyle w:val="ParagraphLAST"/>
        <w:spacing w:after="0"/>
        <w:jc w:val="both"/>
      </w:pPr>
    </w:p>
    <w:p w:rsidR="004C5020" w:rsidRDefault="009E7C99" w:rsidP="00BB6FAE">
      <w:pPr>
        <w:ind w:firstLine="360"/>
        <w:jc w:val="both"/>
      </w:pPr>
      <w:r>
        <w:t xml:space="preserve">The contractor </w:t>
      </w:r>
      <w:r w:rsidR="00BB6FAE">
        <w:t xml:space="preserve">currently maintains a list of </w:t>
      </w:r>
      <w:r w:rsidR="001337AC">
        <w:t>6,</w:t>
      </w:r>
      <w:r w:rsidR="0098539C">
        <w:t>068</w:t>
      </w:r>
      <w:r w:rsidR="00BB6FAE">
        <w:t xml:space="preserve"> individual email addresses. These email addresses receive periodic upd</w:t>
      </w:r>
      <w:r w:rsidR="001F133B">
        <w:t>ates regarding WWC publications and are considered current users who are familiar with the WWC.</w:t>
      </w:r>
      <w:r w:rsidR="00BB6FAE">
        <w:t xml:space="preserve"> </w:t>
      </w:r>
    </w:p>
    <w:p w:rsidR="00B30B20" w:rsidRDefault="00B30B20" w:rsidP="004C5020">
      <w:pPr>
        <w:ind w:firstLine="360"/>
        <w:jc w:val="both"/>
      </w:pPr>
    </w:p>
    <w:p w:rsidR="001F133B" w:rsidRDefault="009E7C99" w:rsidP="00C468D2">
      <w:pPr>
        <w:ind w:firstLine="360"/>
        <w:jc w:val="both"/>
      </w:pPr>
      <w:r>
        <w:t xml:space="preserve">Contractor </w:t>
      </w:r>
      <w:r w:rsidR="00B30B20">
        <w:t>staff will attend five</w:t>
      </w:r>
      <w:r w:rsidR="00BB6FAE">
        <w:t xml:space="preserve"> education-related </w:t>
      </w:r>
      <w:r w:rsidR="00B30B20">
        <w:t xml:space="preserve">conferences from </w:t>
      </w:r>
      <w:r w:rsidR="000A7F2C">
        <w:t xml:space="preserve">2011 </w:t>
      </w:r>
      <w:r w:rsidR="00BB6FAE">
        <w:t>on behalf of the WWC</w:t>
      </w:r>
      <w:r w:rsidR="00B30B20">
        <w:t xml:space="preserve">. Attendees at these conferences will be educators, education decisions makers, and policymakers. </w:t>
      </w:r>
      <w:r w:rsidR="00FE3A64">
        <w:t>I</w:t>
      </w:r>
      <w:r w:rsidR="00B30B20">
        <w:t xml:space="preserve">ndividuals </w:t>
      </w:r>
      <w:r w:rsidR="00FE3A64">
        <w:t>who</w:t>
      </w:r>
      <w:r w:rsidR="00B30B20">
        <w:t xml:space="preserve"> </w:t>
      </w:r>
      <w:r w:rsidR="00BB6FAE">
        <w:t>visit the WWC Exhibit Hall B</w:t>
      </w:r>
      <w:r w:rsidR="00B30B20">
        <w:t xml:space="preserve">ooth during these </w:t>
      </w:r>
      <w:r w:rsidR="00B30B20">
        <w:lastRenderedPageBreak/>
        <w:t>conferences</w:t>
      </w:r>
      <w:r w:rsidR="00FE3A64">
        <w:t xml:space="preserve"> will be </w:t>
      </w:r>
      <w:r w:rsidR="00F3451B">
        <w:t xml:space="preserve">provided with an overview of the WWC and </w:t>
      </w:r>
      <w:r w:rsidR="00FE3A64">
        <w:t xml:space="preserve">asked </w:t>
      </w:r>
      <w:r w:rsidR="00F3451B">
        <w:t>to provide their email address to complete a short survey about the WWC</w:t>
      </w:r>
      <w:r w:rsidR="00B30B20">
        <w:t xml:space="preserve">. Based on previous years’ experience, </w:t>
      </w:r>
      <w:proofErr w:type="spellStart"/>
      <w:r w:rsidR="00BB6FAE">
        <w:t>Mathematica</w:t>
      </w:r>
      <w:proofErr w:type="spellEnd"/>
      <w:r w:rsidR="00B30B20">
        <w:t xml:space="preserve"> can expect to receive approximately </w:t>
      </w:r>
      <w:r w:rsidR="00F3451B">
        <w:t>4</w:t>
      </w:r>
      <w:r w:rsidR="00B85C67">
        <w:t xml:space="preserve">25 </w:t>
      </w:r>
      <w:r w:rsidR="00B30B20">
        <w:t xml:space="preserve">email addresses </w:t>
      </w:r>
      <w:r w:rsidR="00B85C67">
        <w:t>(</w:t>
      </w:r>
      <w:r w:rsidR="00F3451B">
        <w:t>85</w:t>
      </w:r>
      <w:r w:rsidR="00B85C67">
        <w:t xml:space="preserve"> </w:t>
      </w:r>
      <w:r w:rsidR="00B30B20">
        <w:t>from each conference</w:t>
      </w:r>
      <w:r w:rsidR="00B85C67">
        <w:t>)</w:t>
      </w:r>
      <w:r w:rsidR="00B30B20">
        <w:t xml:space="preserve">. </w:t>
      </w:r>
      <w:r w:rsidR="001F133B">
        <w:t xml:space="preserve">These individuals are considered </w:t>
      </w:r>
      <w:r w:rsidR="00FE3A64">
        <w:t xml:space="preserve">potential </w:t>
      </w:r>
      <w:r w:rsidR="001F133B">
        <w:t xml:space="preserve">users who </w:t>
      </w:r>
      <w:r w:rsidR="00FE3A64">
        <w:t xml:space="preserve">may not be </w:t>
      </w:r>
      <w:r w:rsidR="001F133B">
        <w:t xml:space="preserve">familiar with the WWC and its publications. </w:t>
      </w:r>
    </w:p>
    <w:p w:rsidR="001F133B" w:rsidRDefault="001F133B" w:rsidP="00C468D2">
      <w:pPr>
        <w:ind w:firstLine="360"/>
        <w:jc w:val="both"/>
      </w:pPr>
    </w:p>
    <w:p w:rsidR="00C468D2" w:rsidRDefault="001F133B" w:rsidP="00C468D2">
      <w:pPr>
        <w:ind w:firstLine="360"/>
        <w:jc w:val="both"/>
      </w:pPr>
      <w:r>
        <w:t xml:space="preserve">All email addresses receive an invitation to participate in the short, web-based questionnaire. </w:t>
      </w:r>
    </w:p>
    <w:p w:rsidR="004C5020" w:rsidRDefault="004C5020" w:rsidP="004C5020">
      <w:pPr>
        <w:ind w:firstLine="360"/>
        <w:jc w:val="both"/>
      </w:pPr>
    </w:p>
    <w:p w:rsidR="008C2EB6" w:rsidRDefault="008C2EB6" w:rsidP="008C2EB6">
      <w:pPr>
        <w:pStyle w:val="BodyTextIndent"/>
        <w:tabs>
          <w:tab w:val="left" w:pos="360"/>
        </w:tabs>
        <w:ind w:left="0"/>
        <w:jc w:val="both"/>
        <w:rPr>
          <w:b/>
          <w:bCs/>
          <w:u w:val="single"/>
        </w:rPr>
      </w:pPr>
    </w:p>
    <w:p w:rsidR="008C2EB6" w:rsidRDefault="008C2EB6" w:rsidP="008C2EB6">
      <w:pPr>
        <w:pStyle w:val="BodyTextIndent"/>
        <w:tabs>
          <w:tab w:val="left" w:pos="360"/>
        </w:tabs>
        <w:ind w:left="0"/>
        <w:jc w:val="both"/>
        <w:rPr>
          <w:b/>
          <w:bCs/>
        </w:rPr>
      </w:pPr>
      <w:r>
        <w:rPr>
          <w:b/>
          <w:bCs/>
          <w:u w:val="single"/>
        </w:rPr>
        <w:t>STATISTICAL INFORMATION</w:t>
      </w:r>
      <w:r>
        <w:rPr>
          <w:b/>
          <w:bCs/>
        </w:rPr>
        <w:t xml:space="preserve"> </w:t>
      </w:r>
    </w:p>
    <w:p w:rsidR="008C2EB6" w:rsidRDefault="008C2EB6" w:rsidP="008C2EB6">
      <w:pPr>
        <w:pStyle w:val="BodyTextIndent"/>
        <w:tabs>
          <w:tab w:val="left" w:pos="360"/>
        </w:tabs>
        <w:ind w:left="0"/>
        <w:jc w:val="both"/>
        <w:rPr>
          <w:b/>
          <w:bCs/>
        </w:rPr>
      </w:pPr>
    </w:p>
    <w:p w:rsidR="008C2EB6" w:rsidRDefault="008C2EB6" w:rsidP="008C2EB6">
      <w:pPr>
        <w:ind w:firstLine="360"/>
        <w:jc w:val="both"/>
      </w:pPr>
      <w:r w:rsidRPr="002C53A9">
        <w:t xml:space="preserve">The </w:t>
      </w:r>
      <w:r>
        <w:t>list</w:t>
      </w:r>
      <w:r w:rsidRPr="002C53A9">
        <w:t xml:space="preserve"> of </w:t>
      </w:r>
      <w:r>
        <w:t>those who currently receive WWC e-mail updates and those who attend conferences where the WWC had an exhibit table and visited the table will be used in their entirety (approximately 6,</w:t>
      </w:r>
      <w:r w:rsidR="00F3451B">
        <w:t>493</w:t>
      </w:r>
      <w:r>
        <w:t xml:space="preserve"> e-mail addresses</w:t>
      </w:r>
      <w:r w:rsidR="00B85C67">
        <w:t xml:space="preserve"> total</w:t>
      </w:r>
      <w:r>
        <w:t>). The list will be checked for duplicate e-mails and if any are detected, one record will be randomly selected to be retained.</w:t>
      </w:r>
    </w:p>
    <w:p w:rsidR="008C2EB6" w:rsidRDefault="008C2EB6" w:rsidP="008C2EB6">
      <w:pPr>
        <w:ind w:firstLine="360"/>
        <w:jc w:val="both"/>
      </w:pPr>
    </w:p>
    <w:p w:rsidR="008C2EB6" w:rsidRDefault="00FD4D88" w:rsidP="008C2EB6">
      <w:pPr>
        <w:ind w:firstLine="360"/>
        <w:jc w:val="both"/>
      </w:pPr>
      <w:r>
        <w:t>The contractor</w:t>
      </w:r>
      <w:r w:rsidR="008C2EB6" w:rsidRPr="009F564F">
        <w:t xml:space="preserve"> expect</w:t>
      </w:r>
      <w:r w:rsidR="008C2EB6">
        <w:t>s</w:t>
      </w:r>
      <w:r w:rsidR="008C2EB6" w:rsidRPr="009F564F">
        <w:t xml:space="preserve"> a </w:t>
      </w:r>
      <w:r w:rsidR="008C2EB6">
        <w:t>35</w:t>
      </w:r>
      <w:r w:rsidR="008C2EB6" w:rsidRPr="009F564F">
        <w:t xml:space="preserve"> percent response rate for two reasons.</w:t>
      </w:r>
    </w:p>
    <w:p w:rsidR="008C2EB6" w:rsidRDefault="008C2EB6" w:rsidP="008C2EB6">
      <w:pPr>
        <w:ind w:firstLine="360"/>
        <w:jc w:val="both"/>
      </w:pPr>
    </w:p>
    <w:p w:rsidR="008C2EB6" w:rsidRDefault="008C2EB6" w:rsidP="008C2EB6">
      <w:pPr>
        <w:pStyle w:val="ListParagraph"/>
        <w:numPr>
          <w:ilvl w:val="0"/>
          <w:numId w:val="8"/>
        </w:numPr>
        <w:jc w:val="both"/>
      </w:pPr>
      <w:r>
        <w:t>P</w:t>
      </w:r>
      <w:r w:rsidRPr="009F564F">
        <w:t xml:space="preserve">eople who “screen out” because they are not aware of any </w:t>
      </w:r>
      <w:r w:rsidR="00FD4D88">
        <w:t xml:space="preserve">What Works Clearinghouse </w:t>
      </w:r>
      <w:r>
        <w:t>publications</w:t>
      </w:r>
      <w:r w:rsidRPr="009F564F">
        <w:t xml:space="preserve"> will be considered completed cases. There is minimal burden for these </w:t>
      </w:r>
      <w:r w:rsidR="00EB00A1">
        <w:t>respondents</w:t>
      </w:r>
      <w:r w:rsidRPr="009F564F">
        <w:t xml:space="preserve"> since they will be asked few questions. </w:t>
      </w:r>
    </w:p>
    <w:p w:rsidR="008C2EB6" w:rsidRDefault="008C2EB6" w:rsidP="008C2EB6">
      <w:pPr>
        <w:pStyle w:val="ListParagraph"/>
        <w:numPr>
          <w:ilvl w:val="0"/>
          <w:numId w:val="8"/>
        </w:numPr>
        <w:jc w:val="both"/>
      </w:pPr>
      <w:r>
        <w:t xml:space="preserve">For online surveys in which there is no prior relationship with respondents, response rates </w:t>
      </w:r>
      <w:r w:rsidRPr="00F908AF">
        <w:rPr>
          <w:rStyle w:val="Emphasis"/>
          <w:i w:val="0"/>
        </w:rPr>
        <w:t>can be</w:t>
      </w:r>
      <w:r>
        <w:t xml:space="preserve"> as high as 30 percent. The What Works Clearinghouse already has a prior relationship with 6,068 potential respondents, as they receive e-mail updates. </w:t>
      </w:r>
    </w:p>
    <w:p w:rsidR="008C2EB6" w:rsidRDefault="008C2EB6" w:rsidP="008C2EB6">
      <w:pPr>
        <w:jc w:val="both"/>
      </w:pPr>
    </w:p>
    <w:p w:rsidR="008C2EB6" w:rsidRDefault="00FD4D88" w:rsidP="008C2EB6">
      <w:pPr>
        <w:jc w:val="both"/>
      </w:pPr>
      <w:r>
        <w:t>The contractor</w:t>
      </w:r>
      <w:r w:rsidR="008C2EB6">
        <w:t xml:space="preserve"> therefore </w:t>
      </w:r>
      <w:r w:rsidR="00FE3A64">
        <w:t>estimates</w:t>
      </w:r>
      <w:r w:rsidR="008C2EB6">
        <w:t xml:space="preserve"> that </w:t>
      </w:r>
      <w:r>
        <w:t>approximately</w:t>
      </w:r>
      <w:r w:rsidR="008C2EB6">
        <w:t xml:space="preserve"> 3</w:t>
      </w:r>
      <w:r>
        <w:t>5</w:t>
      </w:r>
      <w:r w:rsidR="008C2EB6">
        <w:t xml:space="preserve"> percent of respondents will complete the survey.</w:t>
      </w:r>
    </w:p>
    <w:p w:rsidR="008C2EB6" w:rsidRDefault="008C2EB6" w:rsidP="004C5020">
      <w:pPr>
        <w:jc w:val="both"/>
        <w:rPr>
          <w:b/>
        </w:rPr>
      </w:pPr>
    </w:p>
    <w:p w:rsidR="004C5020" w:rsidRDefault="004C5020" w:rsidP="004C5020">
      <w:pPr>
        <w:jc w:val="both"/>
        <w:rPr>
          <w:b/>
        </w:rPr>
      </w:pPr>
      <w:r>
        <w:rPr>
          <w:b/>
        </w:rPr>
        <w:t>AMOUNT OF ANY PROPOSED STIPEND OR INCENTIVE</w:t>
      </w:r>
    </w:p>
    <w:p w:rsidR="004C5020" w:rsidRDefault="004C5020" w:rsidP="004C5020"/>
    <w:p w:rsidR="004C5020" w:rsidRPr="002C2647" w:rsidRDefault="004C5020" w:rsidP="004C5020">
      <w:pPr>
        <w:ind w:firstLine="360"/>
        <w:jc w:val="both"/>
      </w:pPr>
      <w:r w:rsidRPr="002C2647">
        <w:t xml:space="preserve">No financial incentives or gifts will be offered to respondents. </w:t>
      </w:r>
    </w:p>
    <w:p w:rsidR="004C5020" w:rsidRDefault="004C5020" w:rsidP="004C5020">
      <w:pPr>
        <w:jc w:val="both"/>
        <w:rPr>
          <w:b/>
        </w:rPr>
      </w:pPr>
    </w:p>
    <w:p w:rsidR="00C24EE3" w:rsidRDefault="004C5020" w:rsidP="004C5020">
      <w:pPr>
        <w:jc w:val="both"/>
      </w:pPr>
      <w:r>
        <w:rPr>
          <w:b/>
        </w:rPr>
        <w:t>BURDEN HOUR COMPUTATION</w:t>
      </w:r>
      <w:r w:rsidR="00C24EE3">
        <w:rPr>
          <w:b/>
        </w:rPr>
        <w:t xml:space="preserve"> – POTENTIAL RESPONDENTS</w:t>
      </w:r>
      <w:r>
        <w:t xml:space="preserve"> </w:t>
      </w:r>
    </w:p>
    <w:p w:rsidR="00EB00A1" w:rsidRPr="00CF4652" w:rsidRDefault="00EB00A1" w:rsidP="00EB00A1">
      <w:pPr>
        <w:jc w:val="both"/>
        <w:rPr>
          <w:i/>
        </w:rPr>
      </w:pPr>
      <w:r>
        <w:rPr>
          <w:i/>
        </w:rPr>
        <w:t>(</w:t>
      </w:r>
      <w:r w:rsidRPr="00CF4652">
        <w:rPr>
          <w:i/>
        </w:rPr>
        <w:t>Number of</w:t>
      </w:r>
      <w:r>
        <w:rPr>
          <w:i/>
        </w:rPr>
        <w:t xml:space="preserve"> r</w:t>
      </w:r>
      <w:r w:rsidRPr="00CF4652">
        <w:rPr>
          <w:i/>
        </w:rPr>
        <w:t>espondents</w:t>
      </w:r>
      <w:r>
        <w:rPr>
          <w:i/>
        </w:rPr>
        <w:t xml:space="preserve"> (X) estimated response or participation time = burden hours)</w:t>
      </w:r>
    </w:p>
    <w:p w:rsidR="004C5020" w:rsidRDefault="004C5020" w:rsidP="004C5020">
      <w:pPr>
        <w:keepNext/>
        <w:keepLines/>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84"/>
        <w:gridCol w:w="2715"/>
        <w:gridCol w:w="2002"/>
        <w:gridCol w:w="1455"/>
      </w:tblGrid>
      <w:tr w:rsidR="008C2EB6" w:rsidRPr="000A7F2C" w:rsidTr="00FD4D88">
        <w:trPr>
          <w:trHeight w:val="274"/>
        </w:trPr>
        <w:tc>
          <w:tcPr>
            <w:tcW w:w="0" w:type="auto"/>
          </w:tcPr>
          <w:p w:rsidR="00323471" w:rsidRPr="000A7F2C" w:rsidRDefault="00323471" w:rsidP="000A7F2C">
            <w:pPr>
              <w:rPr>
                <w:b/>
              </w:rPr>
            </w:pPr>
            <w:r w:rsidRPr="000A7F2C">
              <w:rPr>
                <w:b/>
              </w:rPr>
              <w:t xml:space="preserve">Category of Respondent </w:t>
            </w:r>
          </w:p>
        </w:tc>
        <w:tc>
          <w:tcPr>
            <w:tcW w:w="0" w:type="auto"/>
          </w:tcPr>
          <w:p w:rsidR="00323471" w:rsidRPr="000A7F2C" w:rsidRDefault="00323471" w:rsidP="00FD4D88">
            <w:pPr>
              <w:rPr>
                <w:b/>
              </w:rPr>
            </w:pPr>
            <w:r w:rsidRPr="000A7F2C">
              <w:rPr>
                <w:b/>
              </w:rPr>
              <w:t xml:space="preserve">No. of </w:t>
            </w:r>
            <w:r w:rsidR="008C2EB6">
              <w:rPr>
                <w:b/>
              </w:rPr>
              <w:t xml:space="preserve">Potential </w:t>
            </w:r>
            <w:r w:rsidRPr="000A7F2C">
              <w:rPr>
                <w:b/>
              </w:rPr>
              <w:t>Respondents</w:t>
            </w:r>
          </w:p>
        </w:tc>
        <w:tc>
          <w:tcPr>
            <w:tcW w:w="0" w:type="auto"/>
          </w:tcPr>
          <w:p w:rsidR="00323471" w:rsidRPr="000A7F2C" w:rsidRDefault="00323471" w:rsidP="000F5FD6">
            <w:pPr>
              <w:jc w:val="both"/>
              <w:rPr>
                <w:b/>
              </w:rPr>
            </w:pPr>
            <w:r w:rsidRPr="000A7F2C">
              <w:rPr>
                <w:b/>
              </w:rPr>
              <w:t>Participation Time</w:t>
            </w:r>
            <w:r w:rsidR="009400E6">
              <w:rPr>
                <w:b/>
              </w:rPr>
              <w:t>*</w:t>
            </w:r>
          </w:p>
        </w:tc>
        <w:tc>
          <w:tcPr>
            <w:tcW w:w="0" w:type="auto"/>
          </w:tcPr>
          <w:p w:rsidR="00323471" w:rsidRPr="000A7F2C" w:rsidRDefault="00323471" w:rsidP="000F5FD6">
            <w:pPr>
              <w:jc w:val="both"/>
              <w:rPr>
                <w:b/>
              </w:rPr>
            </w:pPr>
            <w:r w:rsidRPr="000A7F2C">
              <w:rPr>
                <w:b/>
              </w:rPr>
              <w:t>Burden</w:t>
            </w:r>
          </w:p>
        </w:tc>
      </w:tr>
      <w:tr w:rsidR="008C2EB6" w:rsidRPr="000A7F2C" w:rsidTr="00FD4D88">
        <w:trPr>
          <w:trHeight w:val="274"/>
        </w:trPr>
        <w:tc>
          <w:tcPr>
            <w:tcW w:w="0" w:type="auto"/>
          </w:tcPr>
          <w:p w:rsidR="00323471" w:rsidRPr="000A7F2C" w:rsidRDefault="00323471" w:rsidP="000A7F2C">
            <w:r>
              <w:t>Current User</w:t>
            </w:r>
            <w:r w:rsidR="008C2EB6">
              <w:t>; Full Questionnaire</w:t>
            </w:r>
            <w:r>
              <w:t xml:space="preserve"> </w:t>
            </w:r>
          </w:p>
        </w:tc>
        <w:tc>
          <w:tcPr>
            <w:tcW w:w="0" w:type="auto"/>
            <w:vAlign w:val="center"/>
          </w:tcPr>
          <w:p w:rsidR="00323471" w:rsidRPr="000A7F2C" w:rsidRDefault="00323471" w:rsidP="00FD4D88">
            <w:pPr>
              <w:ind w:right="293"/>
            </w:pPr>
            <w:r w:rsidRPr="000A7F2C">
              <w:t>6,</w:t>
            </w:r>
            <w:r>
              <w:t>068</w:t>
            </w:r>
            <w:r w:rsidRPr="000A7F2C">
              <w:t xml:space="preserve"> </w:t>
            </w:r>
          </w:p>
        </w:tc>
        <w:tc>
          <w:tcPr>
            <w:tcW w:w="0" w:type="auto"/>
            <w:vAlign w:val="center"/>
          </w:tcPr>
          <w:p w:rsidR="00323471" w:rsidRPr="000A7F2C" w:rsidRDefault="00323471" w:rsidP="009400E6">
            <w:pPr>
              <w:ind w:right="632"/>
            </w:pPr>
            <w:r w:rsidRPr="000A7F2C">
              <w:t xml:space="preserve">  0.</w:t>
            </w:r>
            <w:r w:rsidR="009400E6">
              <w:t>17</w:t>
            </w:r>
            <w:r w:rsidRPr="000A7F2C">
              <w:t xml:space="preserve"> hour</w:t>
            </w:r>
          </w:p>
        </w:tc>
        <w:tc>
          <w:tcPr>
            <w:tcW w:w="0" w:type="auto"/>
            <w:vAlign w:val="center"/>
          </w:tcPr>
          <w:p w:rsidR="009400E6" w:rsidRDefault="009400E6" w:rsidP="00FD4D88">
            <w:r>
              <w:t>1,031.56</w:t>
            </w:r>
          </w:p>
          <w:p w:rsidR="00323471" w:rsidRPr="000A7F2C" w:rsidRDefault="00323471" w:rsidP="00FD4D88">
            <w:r w:rsidRPr="000A7F2C">
              <w:t>hours</w:t>
            </w:r>
          </w:p>
        </w:tc>
      </w:tr>
      <w:tr w:rsidR="008C2EB6" w:rsidRPr="000A7F2C" w:rsidTr="00FD4D88">
        <w:trPr>
          <w:trHeight w:val="274"/>
        </w:trPr>
        <w:tc>
          <w:tcPr>
            <w:tcW w:w="0" w:type="auto"/>
          </w:tcPr>
          <w:p w:rsidR="00323471" w:rsidRPr="000A7F2C" w:rsidRDefault="00323471" w:rsidP="00C24EE3">
            <w:r>
              <w:t>Non-User</w:t>
            </w:r>
            <w:r w:rsidR="008C2EB6">
              <w:t xml:space="preserve">; </w:t>
            </w:r>
            <w:r w:rsidR="00C24EE3">
              <w:t>Partial</w:t>
            </w:r>
            <w:r w:rsidR="008C2EB6">
              <w:t xml:space="preserve"> </w:t>
            </w:r>
            <w:r w:rsidR="00C24EE3">
              <w:t>Questionnaire</w:t>
            </w:r>
          </w:p>
        </w:tc>
        <w:tc>
          <w:tcPr>
            <w:tcW w:w="0" w:type="auto"/>
            <w:vAlign w:val="center"/>
          </w:tcPr>
          <w:p w:rsidR="00323471" w:rsidRPr="000A7F2C" w:rsidRDefault="00F3451B" w:rsidP="00FD4D88">
            <w:pPr>
              <w:ind w:right="293"/>
            </w:pPr>
            <w:r>
              <w:t>4</w:t>
            </w:r>
            <w:r w:rsidR="00323471">
              <w:t>25</w:t>
            </w:r>
            <w:r w:rsidR="00323471" w:rsidRPr="000A7F2C">
              <w:t xml:space="preserve"> </w:t>
            </w:r>
          </w:p>
        </w:tc>
        <w:tc>
          <w:tcPr>
            <w:tcW w:w="0" w:type="auto"/>
            <w:vAlign w:val="center"/>
          </w:tcPr>
          <w:p w:rsidR="00323471" w:rsidRPr="000A7F2C" w:rsidRDefault="00323471" w:rsidP="009400E6">
            <w:pPr>
              <w:ind w:right="632"/>
            </w:pPr>
            <w:r w:rsidRPr="000A7F2C">
              <w:t xml:space="preserve">  0.1</w:t>
            </w:r>
            <w:r w:rsidR="009400E6">
              <w:t>2</w:t>
            </w:r>
            <w:r w:rsidRPr="000A7F2C">
              <w:t xml:space="preserve"> hour</w:t>
            </w:r>
          </w:p>
        </w:tc>
        <w:tc>
          <w:tcPr>
            <w:tcW w:w="0" w:type="auto"/>
            <w:vAlign w:val="center"/>
          </w:tcPr>
          <w:p w:rsidR="009400E6" w:rsidRDefault="009400E6" w:rsidP="00FD4D88">
            <w:r>
              <w:t>51.0</w:t>
            </w:r>
            <w:r w:rsidR="00323471" w:rsidRPr="000A7F2C">
              <w:t xml:space="preserve"> </w:t>
            </w:r>
          </w:p>
          <w:p w:rsidR="00323471" w:rsidRPr="000A7F2C" w:rsidRDefault="00323471" w:rsidP="00FD4D88">
            <w:r w:rsidRPr="000A7F2C">
              <w:t>hours</w:t>
            </w:r>
          </w:p>
        </w:tc>
      </w:tr>
      <w:tr w:rsidR="008C2EB6" w:rsidRPr="000A7F2C" w:rsidTr="00FD4D88">
        <w:trPr>
          <w:trHeight w:val="274"/>
        </w:trPr>
        <w:tc>
          <w:tcPr>
            <w:tcW w:w="0" w:type="auto"/>
          </w:tcPr>
          <w:p w:rsidR="008C2EB6" w:rsidRPr="000A7F2C" w:rsidRDefault="008C2EB6" w:rsidP="008C2EB6">
            <w:pPr>
              <w:jc w:val="right"/>
              <w:rPr>
                <w:b/>
              </w:rPr>
            </w:pPr>
            <w:r w:rsidRPr="000A7F2C">
              <w:rPr>
                <w:b/>
              </w:rPr>
              <w:t>Total</w:t>
            </w:r>
          </w:p>
        </w:tc>
        <w:tc>
          <w:tcPr>
            <w:tcW w:w="0" w:type="auto"/>
            <w:vAlign w:val="center"/>
          </w:tcPr>
          <w:p w:rsidR="008C2EB6" w:rsidRPr="000A7F2C" w:rsidRDefault="008C2EB6" w:rsidP="00F3451B">
            <w:pPr>
              <w:ind w:right="293"/>
              <w:rPr>
                <w:b/>
              </w:rPr>
            </w:pPr>
            <w:r w:rsidRPr="000A7F2C">
              <w:rPr>
                <w:b/>
              </w:rPr>
              <w:t>6,</w:t>
            </w:r>
            <w:r w:rsidR="00F3451B">
              <w:rPr>
                <w:b/>
              </w:rPr>
              <w:t>4</w:t>
            </w:r>
            <w:r w:rsidRPr="000A7F2C">
              <w:rPr>
                <w:b/>
              </w:rPr>
              <w:t>93 potential respondents</w:t>
            </w:r>
          </w:p>
        </w:tc>
        <w:tc>
          <w:tcPr>
            <w:tcW w:w="0" w:type="auto"/>
            <w:vAlign w:val="center"/>
          </w:tcPr>
          <w:p w:rsidR="008C2EB6" w:rsidRPr="000A7F2C" w:rsidRDefault="008C2EB6" w:rsidP="00FD4D88">
            <w:pPr>
              <w:rPr>
                <w:b/>
              </w:rPr>
            </w:pPr>
          </w:p>
        </w:tc>
        <w:tc>
          <w:tcPr>
            <w:tcW w:w="0" w:type="auto"/>
            <w:vAlign w:val="center"/>
          </w:tcPr>
          <w:p w:rsidR="008C2EB6" w:rsidRPr="000A7F2C" w:rsidRDefault="009400E6" w:rsidP="00FD4D88">
            <w:pPr>
              <w:rPr>
                <w:b/>
              </w:rPr>
            </w:pPr>
            <w:r>
              <w:rPr>
                <w:b/>
              </w:rPr>
              <w:t>1,082.56</w:t>
            </w:r>
            <w:r w:rsidR="008C2EB6" w:rsidRPr="000A7F2C">
              <w:rPr>
                <w:b/>
              </w:rPr>
              <w:t xml:space="preserve"> hours</w:t>
            </w:r>
          </w:p>
        </w:tc>
      </w:tr>
    </w:tbl>
    <w:p w:rsidR="009400E6" w:rsidRPr="00EB00A1" w:rsidRDefault="009400E6" w:rsidP="009400E6">
      <w:pPr>
        <w:jc w:val="both"/>
        <w:rPr>
          <w:sz w:val="20"/>
        </w:rPr>
      </w:pPr>
      <w:r>
        <w:rPr>
          <w:sz w:val="20"/>
        </w:rPr>
        <w:lastRenderedPageBreak/>
        <w:t>*</w:t>
      </w:r>
      <w:r w:rsidRPr="00EB00A1">
        <w:rPr>
          <w:sz w:val="20"/>
        </w:rPr>
        <w:t xml:space="preserve">Average time estimated </w:t>
      </w:r>
      <w:r>
        <w:rPr>
          <w:sz w:val="20"/>
        </w:rPr>
        <w:t>6,068</w:t>
      </w:r>
      <w:r w:rsidRPr="00EB00A1">
        <w:rPr>
          <w:sz w:val="20"/>
        </w:rPr>
        <w:t xml:space="preserve"> x .</w:t>
      </w:r>
      <w:r>
        <w:rPr>
          <w:sz w:val="20"/>
        </w:rPr>
        <w:t>17</w:t>
      </w:r>
      <w:r w:rsidRPr="00EB00A1">
        <w:rPr>
          <w:sz w:val="20"/>
        </w:rPr>
        <w:t xml:space="preserve"> hour (anticipated number of users; full questionnaire</w:t>
      </w:r>
      <w:r>
        <w:rPr>
          <w:sz w:val="20"/>
        </w:rPr>
        <w:t>, 11 questions, 10 minutes</w:t>
      </w:r>
      <w:r w:rsidRPr="00EB00A1">
        <w:rPr>
          <w:sz w:val="20"/>
        </w:rPr>
        <w:t xml:space="preserve">) and </w:t>
      </w:r>
      <w:r>
        <w:rPr>
          <w:sz w:val="20"/>
        </w:rPr>
        <w:t>425</w:t>
      </w:r>
      <w:r w:rsidRPr="00EB00A1">
        <w:rPr>
          <w:sz w:val="20"/>
        </w:rPr>
        <w:t xml:space="preserve"> x .10 hour (anticipated number of non-users; partial questionnaire</w:t>
      </w:r>
      <w:r>
        <w:rPr>
          <w:sz w:val="20"/>
        </w:rPr>
        <w:t>, 8 questions, 7 minutes</w:t>
      </w:r>
      <w:r w:rsidRPr="00EB00A1">
        <w:rPr>
          <w:sz w:val="20"/>
        </w:rPr>
        <w:t>).</w:t>
      </w:r>
    </w:p>
    <w:p w:rsidR="004C5020" w:rsidRDefault="004C5020" w:rsidP="004C5020">
      <w:pPr>
        <w:jc w:val="both"/>
      </w:pPr>
    </w:p>
    <w:p w:rsidR="00C24EE3" w:rsidRDefault="00C24EE3" w:rsidP="00C24EE3">
      <w:pPr>
        <w:jc w:val="both"/>
      </w:pPr>
      <w:r>
        <w:rPr>
          <w:b/>
        </w:rPr>
        <w:t>BURDEN HOUR COMPUTATION – ANTICIPATED RESPONDENTS</w:t>
      </w:r>
      <w:r>
        <w:t xml:space="preserve"> </w:t>
      </w:r>
    </w:p>
    <w:p w:rsidR="00C24EE3" w:rsidRPr="00CF4652" w:rsidRDefault="00C24EE3" w:rsidP="00C24EE3">
      <w:pPr>
        <w:jc w:val="both"/>
        <w:rPr>
          <w:i/>
        </w:rPr>
      </w:pPr>
      <w:r>
        <w:rPr>
          <w:i/>
        </w:rPr>
        <w:t>(</w:t>
      </w:r>
      <w:r w:rsidRPr="00CF4652">
        <w:rPr>
          <w:i/>
        </w:rPr>
        <w:t>Number of</w:t>
      </w:r>
      <w:r>
        <w:rPr>
          <w:i/>
        </w:rPr>
        <w:t xml:space="preserve"> r</w:t>
      </w:r>
      <w:r w:rsidRPr="00CF4652">
        <w:rPr>
          <w:i/>
        </w:rPr>
        <w:t>espondents</w:t>
      </w:r>
      <w:r>
        <w:rPr>
          <w:i/>
        </w:rPr>
        <w:t xml:space="preserve"> (X) estimated response or participation time =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6"/>
        <w:gridCol w:w="2825"/>
        <w:gridCol w:w="2072"/>
        <w:gridCol w:w="1283"/>
      </w:tblGrid>
      <w:tr w:rsidR="008C2EB6" w:rsidRPr="000A7F2C" w:rsidTr="00FD4D88">
        <w:trPr>
          <w:trHeight w:val="274"/>
        </w:trPr>
        <w:tc>
          <w:tcPr>
            <w:tcW w:w="0" w:type="auto"/>
          </w:tcPr>
          <w:p w:rsidR="008C2EB6" w:rsidRPr="000A7F2C" w:rsidRDefault="008C2EB6" w:rsidP="008C2EB6">
            <w:pPr>
              <w:rPr>
                <w:b/>
              </w:rPr>
            </w:pPr>
            <w:r w:rsidRPr="000A7F2C">
              <w:rPr>
                <w:b/>
              </w:rPr>
              <w:t xml:space="preserve">Category of Respondent </w:t>
            </w:r>
          </w:p>
        </w:tc>
        <w:tc>
          <w:tcPr>
            <w:tcW w:w="0" w:type="auto"/>
          </w:tcPr>
          <w:p w:rsidR="008C2EB6" w:rsidRPr="000A7F2C" w:rsidRDefault="008C2EB6" w:rsidP="00FD4D88">
            <w:pPr>
              <w:rPr>
                <w:b/>
              </w:rPr>
            </w:pPr>
            <w:r w:rsidRPr="000A7F2C">
              <w:rPr>
                <w:b/>
              </w:rPr>
              <w:t xml:space="preserve">No. of </w:t>
            </w:r>
            <w:r>
              <w:rPr>
                <w:b/>
              </w:rPr>
              <w:t xml:space="preserve">Anticipated </w:t>
            </w:r>
            <w:r w:rsidRPr="000A7F2C">
              <w:rPr>
                <w:b/>
              </w:rPr>
              <w:t>Respondents</w:t>
            </w:r>
            <w:r>
              <w:rPr>
                <w:b/>
              </w:rPr>
              <w:t>*</w:t>
            </w:r>
          </w:p>
        </w:tc>
        <w:tc>
          <w:tcPr>
            <w:tcW w:w="0" w:type="auto"/>
          </w:tcPr>
          <w:p w:rsidR="008C2EB6" w:rsidRPr="000A7F2C" w:rsidRDefault="008C2EB6" w:rsidP="008C2EB6">
            <w:pPr>
              <w:jc w:val="both"/>
              <w:rPr>
                <w:b/>
              </w:rPr>
            </w:pPr>
            <w:r w:rsidRPr="000A7F2C">
              <w:rPr>
                <w:b/>
              </w:rPr>
              <w:t>Participation Time</w:t>
            </w:r>
            <w:r w:rsidR="009400E6">
              <w:rPr>
                <w:b/>
              </w:rPr>
              <w:t>**</w:t>
            </w:r>
          </w:p>
        </w:tc>
        <w:tc>
          <w:tcPr>
            <w:tcW w:w="0" w:type="auto"/>
          </w:tcPr>
          <w:p w:rsidR="008C2EB6" w:rsidRPr="000A7F2C" w:rsidRDefault="008C2EB6" w:rsidP="008C2EB6">
            <w:pPr>
              <w:jc w:val="both"/>
              <w:rPr>
                <w:b/>
              </w:rPr>
            </w:pPr>
            <w:r w:rsidRPr="000A7F2C">
              <w:rPr>
                <w:b/>
              </w:rPr>
              <w:t>Burden</w:t>
            </w:r>
          </w:p>
        </w:tc>
      </w:tr>
      <w:tr w:rsidR="009400E6" w:rsidRPr="000A7F2C" w:rsidTr="00FD4D88">
        <w:trPr>
          <w:trHeight w:val="274"/>
        </w:trPr>
        <w:tc>
          <w:tcPr>
            <w:tcW w:w="0" w:type="auto"/>
          </w:tcPr>
          <w:p w:rsidR="009400E6" w:rsidRPr="000A7F2C" w:rsidRDefault="009400E6" w:rsidP="008C2EB6">
            <w:r>
              <w:t xml:space="preserve">Current User; Full Questionnaire </w:t>
            </w:r>
          </w:p>
        </w:tc>
        <w:tc>
          <w:tcPr>
            <w:tcW w:w="0" w:type="auto"/>
            <w:vAlign w:val="center"/>
          </w:tcPr>
          <w:p w:rsidR="009400E6" w:rsidRPr="000A7F2C" w:rsidRDefault="009400E6" w:rsidP="00FD4D88">
            <w:pPr>
              <w:ind w:right="293"/>
            </w:pPr>
            <w:r>
              <w:t>2,124</w:t>
            </w:r>
            <w:r w:rsidRPr="000A7F2C">
              <w:t xml:space="preserve"> </w:t>
            </w:r>
          </w:p>
        </w:tc>
        <w:tc>
          <w:tcPr>
            <w:tcW w:w="0" w:type="auto"/>
            <w:vAlign w:val="center"/>
          </w:tcPr>
          <w:p w:rsidR="009400E6" w:rsidRPr="000A7F2C" w:rsidRDefault="009400E6" w:rsidP="009400E6">
            <w:pPr>
              <w:ind w:right="632"/>
            </w:pPr>
            <w:r w:rsidRPr="000A7F2C">
              <w:t xml:space="preserve">  0.</w:t>
            </w:r>
            <w:r>
              <w:t>17</w:t>
            </w:r>
            <w:r w:rsidRPr="000A7F2C">
              <w:t xml:space="preserve"> hour</w:t>
            </w:r>
          </w:p>
        </w:tc>
        <w:tc>
          <w:tcPr>
            <w:tcW w:w="0" w:type="auto"/>
            <w:vAlign w:val="center"/>
          </w:tcPr>
          <w:p w:rsidR="009400E6" w:rsidRPr="000A7F2C" w:rsidRDefault="009400E6" w:rsidP="00FD4D88">
            <w:r>
              <w:t xml:space="preserve">361.08 </w:t>
            </w:r>
            <w:r w:rsidRPr="000A7F2C">
              <w:t>hours</w:t>
            </w:r>
          </w:p>
        </w:tc>
      </w:tr>
      <w:tr w:rsidR="009400E6" w:rsidRPr="000A7F2C" w:rsidTr="00FD4D88">
        <w:trPr>
          <w:trHeight w:val="274"/>
        </w:trPr>
        <w:tc>
          <w:tcPr>
            <w:tcW w:w="0" w:type="auto"/>
          </w:tcPr>
          <w:p w:rsidR="009400E6" w:rsidRPr="000A7F2C" w:rsidRDefault="009400E6" w:rsidP="008C2EB6">
            <w:r>
              <w:t>Non-User; Partial Questionnaire</w:t>
            </w:r>
          </w:p>
        </w:tc>
        <w:tc>
          <w:tcPr>
            <w:tcW w:w="0" w:type="auto"/>
            <w:vAlign w:val="center"/>
          </w:tcPr>
          <w:p w:rsidR="009400E6" w:rsidRPr="000A7F2C" w:rsidRDefault="009400E6" w:rsidP="00FD4D88">
            <w:pPr>
              <w:ind w:right="293"/>
            </w:pPr>
            <w:r>
              <w:t>149</w:t>
            </w:r>
          </w:p>
        </w:tc>
        <w:tc>
          <w:tcPr>
            <w:tcW w:w="0" w:type="auto"/>
            <w:vAlign w:val="center"/>
          </w:tcPr>
          <w:p w:rsidR="009400E6" w:rsidRPr="000A7F2C" w:rsidRDefault="009400E6" w:rsidP="009400E6">
            <w:pPr>
              <w:ind w:right="632"/>
            </w:pPr>
            <w:r w:rsidRPr="000A7F2C">
              <w:t xml:space="preserve">  0.1</w:t>
            </w:r>
            <w:r>
              <w:t>2</w:t>
            </w:r>
            <w:r w:rsidRPr="000A7F2C">
              <w:t xml:space="preserve"> hour</w:t>
            </w:r>
          </w:p>
        </w:tc>
        <w:tc>
          <w:tcPr>
            <w:tcW w:w="0" w:type="auto"/>
            <w:vAlign w:val="center"/>
          </w:tcPr>
          <w:p w:rsidR="009400E6" w:rsidRPr="000A7F2C" w:rsidRDefault="009400E6" w:rsidP="00FD4D88">
            <w:r>
              <w:t>17.88</w:t>
            </w:r>
            <w:r w:rsidRPr="000A7F2C">
              <w:t xml:space="preserve"> hours</w:t>
            </w:r>
          </w:p>
        </w:tc>
      </w:tr>
      <w:tr w:rsidR="008C2EB6" w:rsidRPr="000A7F2C" w:rsidTr="00FD4D88">
        <w:trPr>
          <w:trHeight w:val="274"/>
        </w:trPr>
        <w:tc>
          <w:tcPr>
            <w:tcW w:w="0" w:type="auto"/>
          </w:tcPr>
          <w:p w:rsidR="008C2EB6" w:rsidRPr="000A7F2C" w:rsidRDefault="008C2EB6" w:rsidP="008C2EB6">
            <w:pPr>
              <w:jc w:val="right"/>
              <w:rPr>
                <w:b/>
              </w:rPr>
            </w:pPr>
            <w:r w:rsidRPr="000A7F2C">
              <w:rPr>
                <w:b/>
              </w:rPr>
              <w:t>Total</w:t>
            </w:r>
          </w:p>
        </w:tc>
        <w:tc>
          <w:tcPr>
            <w:tcW w:w="0" w:type="auto"/>
            <w:vAlign w:val="center"/>
          </w:tcPr>
          <w:p w:rsidR="008C2EB6" w:rsidRPr="000A7F2C" w:rsidRDefault="00FD4D88" w:rsidP="00FD4D88">
            <w:pPr>
              <w:ind w:right="22"/>
              <w:rPr>
                <w:b/>
              </w:rPr>
            </w:pPr>
            <w:r>
              <w:rPr>
                <w:b/>
              </w:rPr>
              <w:t>2,343</w:t>
            </w:r>
            <w:r w:rsidR="008C2EB6" w:rsidRPr="000A7F2C">
              <w:rPr>
                <w:b/>
              </w:rPr>
              <w:t xml:space="preserve"> </w:t>
            </w:r>
            <w:r>
              <w:rPr>
                <w:b/>
              </w:rPr>
              <w:t>anticipated</w:t>
            </w:r>
            <w:r w:rsidR="008C2EB6" w:rsidRPr="000A7F2C">
              <w:rPr>
                <w:b/>
              </w:rPr>
              <w:t xml:space="preserve"> respondents</w:t>
            </w:r>
          </w:p>
        </w:tc>
        <w:tc>
          <w:tcPr>
            <w:tcW w:w="0" w:type="auto"/>
            <w:vAlign w:val="center"/>
          </w:tcPr>
          <w:p w:rsidR="008C2EB6" w:rsidRPr="000A7F2C" w:rsidRDefault="008C2EB6" w:rsidP="00FD4D88">
            <w:pPr>
              <w:rPr>
                <w:b/>
              </w:rPr>
            </w:pPr>
          </w:p>
        </w:tc>
        <w:tc>
          <w:tcPr>
            <w:tcW w:w="0" w:type="auto"/>
            <w:vAlign w:val="center"/>
          </w:tcPr>
          <w:p w:rsidR="009400E6" w:rsidRDefault="009400E6" w:rsidP="00FD4D88">
            <w:pPr>
              <w:rPr>
                <w:b/>
              </w:rPr>
            </w:pPr>
            <w:r>
              <w:rPr>
                <w:b/>
              </w:rPr>
              <w:t>378.96</w:t>
            </w:r>
          </w:p>
          <w:p w:rsidR="008C2EB6" w:rsidRPr="000A7F2C" w:rsidRDefault="008C2EB6" w:rsidP="00FD4D88">
            <w:pPr>
              <w:rPr>
                <w:b/>
              </w:rPr>
            </w:pPr>
            <w:r w:rsidRPr="000A7F2C">
              <w:rPr>
                <w:b/>
              </w:rPr>
              <w:t>hours</w:t>
            </w:r>
          </w:p>
        </w:tc>
      </w:tr>
    </w:tbl>
    <w:p w:rsidR="008C2EB6" w:rsidRPr="00EB00A1" w:rsidRDefault="008C2EB6" w:rsidP="008C2EB6">
      <w:pPr>
        <w:jc w:val="both"/>
        <w:rPr>
          <w:sz w:val="20"/>
        </w:rPr>
      </w:pPr>
      <w:r w:rsidRPr="00EB00A1">
        <w:rPr>
          <w:sz w:val="20"/>
        </w:rPr>
        <w:t>*As indicated in the “Statistical Information” section, the Contractor expects a 35% response rate.</w:t>
      </w:r>
    </w:p>
    <w:p w:rsidR="008C2EB6" w:rsidRPr="009400E6" w:rsidRDefault="009400E6" w:rsidP="004C5020">
      <w:pPr>
        <w:jc w:val="both"/>
        <w:rPr>
          <w:sz w:val="20"/>
        </w:rPr>
      </w:pPr>
      <w:r>
        <w:rPr>
          <w:sz w:val="20"/>
        </w:rPr>
        <w:t>**</w:t>
      </w:r>
      <w:r w:rsidRPr="00EB00A1">
        <w:rPr>
          <w:sz w:val="20"/>
        </w:rPr>
        <w:t xml:space="preserve">Average time estimated </w:t>
      </w:r>
      <w:r>
        <w:rPr>
          <w:sz w:val="20"/>
        </w:rPr>
        <w:t>6,068</w:t>
      </w:r>
      <w:r w:rsidRPr="00EB00A1">
        <w:rPr>
          <w:sz w:val="20"/>
        </w:rPr>
        <w:t xml:space="preserve"> x .</w:t>
      </w:r>
      <w:r>
        <w:rPr>
          <w:sz w:val="20"/>
        </w:rPr>
        <w:t>17</w:t>
      </w:r>
      <w:r w:rsidRPr="00EB00A1">
        <w:rPr>
          <w:sz w:val="20"/>
        </w:rPr>
        <w:t xml:space="preserve"> hour (anticipated number of users; full questionnaire</w:t>
      </w:r>
      <w:r>
        <w:rPr>
          <w:sz w:val="20"/>
        </w:rPr>
        <w:t>, 11 questions, 10 minutes</w:t>
      </w:r>
      <w:r w:rsidRPr="00EB00A1">
        <w:rPr>
          <w:sz w:val="20"/>
        </w:rPr>
        <w:t xml:space="preserve">) and </w:t>
      </w:r>
      <w:r>
        <w:rPr>
          <w:sz w:val="20"/>
        </w:rPr>
        <w:t>425</w:t>
      </w:r>
      <w:r w:rsidRPr="00EB00A1">
        <w:rPr>
          <w:sz w:val="20"/>
        </w:rPr>
        <w:t xml:space="preserve"> x .10 hour (anticipated number of non-users; partial questionnaire</w:t>
      </w:r>
      <w:r>
        <w:rPr>
          <w:sz w:val="20"/>
        </w:rPr>
        <w:t>, 8 questions, 7 minutes</w:t>
      </w:r>
      <w:r w:rsidRPr="00EB00A1">
        <w:rPr>
          <w:sz w:val="20"/>
        </w:rPr>
        <w:t>).</w:t>
      </w:r>
    </w:p>
    <w:p w:rsidR="00EB00A1" w:rsidRDefault="00EB00A1" w:rsidP="004C5020">
      <w:pPr>
        <w:jc w:val="both"/>
      </w:pPr>
    </w:p>
    <w:p w:rsidR="004C5020" w:rsidRDefault="004C5020" w:rsidP="004C5020">
      <w:pPr>
        <w:jc w:val="both"/>
        <w:rPr>
          <w:b/>
        </w:rPr>
      </w:pPr>
      <w:r>
        <w:rPr>
          <w:b/>
        </w:rPr>
        <w:t>BURDEN COST COMPUTATION</w:t>
      </w:r>
    </w:p>
    <w:p w:rsidR="004C5020" w:rsidRDefault="004C5020" w:rsidP="004C5020">
      <w:pPr>
        <w:jc w:val="both"/>
        <w:rPr>
          <w:b/>
        </w:rPr>
      </w:pPr>
    </w:p>
    <w:p w:rsidR="004C5020" w:rsidRPr="00C625BC" w:rsidRDefault="004C5020" w:rsidP="004C5020">
      <w:pPr>
        <w:pStyle w:val="ParagraphLAST"/>
        <w:ind w:firstLine="360"/>
        <w:jc w:val="both"/>
      </w:pPr>
      <w:r w:rsidRPr="00C625BC">
        <w:t>There are no cost burdens to respondents.</w:t>
      </w:r>
    </w:p>
    <w:p w:rsidR="00157BA7" w:rsidRDefault="00F908AF" w:rsidP="00D76125">
      <w:pPr>
        <w:pStyle w:val="BodyTextIndent"/>
        <w:tabs>
          <w:tab w:val="left" w:pos="360"/>
        </w:tabs>
        <w:ind w:left="0"/>
        <w:jc w:val="both"/>
        <w:rPr>
          <w:rFonts w:ascii="Arial" w:hAnsi="Arial" w:cs="Arial"/>
        </w:rPr>
      </w:pPr>
      <w:r>
        <w:rPr>
          <w:b/>
          <w:bCs/>
        </w:rPr>
        <w:t xml:space="preserve"> </w:t>
      </w:r>
    </w:p>
    <w:p w:rsidR="00157BA7" w:rsidRDefault="00157BA7" w:rsidP="00157BA7"/>
    <w:p w:rsidR="00EB00A1" w:rsidRDefault="00EB00A1" w:rsidP="00157BA7">
      <w:pPr>
        <w:jc w:val="both"/>
        <w:rPr>
          <w:b/>
        </w:rPr>
      </w:pPr>
    </w:p>
    <w:p w:rsidR="00EB00A1" w:rsidRDefault="00EB00A1" w:rsidP="00157BA7">
      <w:pPr>
        <w:jc w:val="both"/>
        <w:rPr>
          <w:b/>
        </w:rPr>
      </w:pPr>
    </w:p>
    <w:p w:rsidR="00EB00A1" w:rsidRDefault="00EB00A1" w:rsidP="00157BA7">
      <w:pPr>
        <w:jc w:val="both"/>
        <w:rPr>
          <w:b/>
        </w:rPr>
      </w:pPr>
    </w:p>
    <w:p w:rsidR="00EB00A1" w:rsidRDefault="00EB00A1" w:rsidP="00157BA7">
      <w:pPr>
        <w:jc w:val="both"/>
        <w:rPr>
          <w:b/>
        </w:rPr>
      </w:pPr>
    </w:p>
    <w:p w:rsidR="00157BA7" w:rsidRDefault="00157BA7" w:rsidP="00157BA7">
      <w:pPr>
        <w:jc w:val="both"/>
        <w:rPr>
          <w:b/>
        </w:rPr>
      </w:pPr>
      <w:r>
        <w:rPr>
          <w:b/>
        </w:rPr>
        <w:t>REQUESTED APPROVAL DATE:</w:t>
      </w:r>
      <w:r>
        <w:rPr>
          <w:b/>
        </w:rPr>
        <w:tab/>
      </w:r>
      <w:r w:rsidR="009F2126">
        <w:rPr>
          <w:b/>
        </w:rPr>
        <w:t>May 2, 2011</w:t>
      </w:r>
    </w:p>
    <w:p w:rsidR="00157BA7" w:rsidRDefault="00157BA7" w:rsidP="00157BA7">
      <w:pPr>
        <w:jc w:val="both"/>
        <w:rPr>
          <w:b/>
        </w:rPr>
      </w:pPr>
    </w:p>
    <w:p w:rsidR="00157BA7" w:rsidRDefault="00157BA7" w:rsidP="00157BA7">
      <w:pPr>
        <w:jc w:val="both"/>
        <w:rPr>
          <w:bCs/>
        </w:rPr>
      </w:pPr>
      <w:r>
        <w:rPr>
          <w:b/>
        </w:rPr>
        <w:t xml:space="preserve">NAME OF CONTACT PERSON:  </w:t>
      </w:r>
      <w:r w:rsidR="009F2126">
        <w:rPr>
          <w:b/>
        </w:rPr>
        <w:t xml:space="preserve"> Susan Sanchez</w:t>
      </w:r>
    </w:p>
    <w:p w:rsidR="00157BA7" w:rsidRDefault="00157BA7" w:rsidP="00157BA7">
      <w:pPr>
        <w:jc w:val="both"/>
      </w:pPr>
    </w:p>
    <w:p w:rsidR="00157BA7" w:rsidRDefault="00157BA7" w:rsidP="00157BA7">
      <w:pPr>
        <w:jc w:val="both"/>
        <w:rPr>
          <w:b/>
        </w:rPr>
      </w:pPr>
      <w:r>
        <w:rPr>
          <w:b/>
        </w:rPr>
        <w:t>TELEPHONE NUMBER:</w:t>
      </w:r>
      <w:r>
        <w:rPr>
          <w:b/>
        </w:rPr>
        <w:tab/>
      </w:r>
      <w:r w:rsidR="009F2126">
        <w:rPr>
          <w:b/>
        </w:rPr>
        <w:t>(</w:t>
      </w:r>
      <w:r w:rsidR="009F2126" w:rsidRPr="009F2126">
        <w:rPr>
          <w:b/>
        </w:rPr>
        <w:t>202)208-7061</w:t>
      </w:r>
    </w:p>
    <w:p w:rsidR="00157BA7" w:rsidRDefault="00157BA7" w:rsidP="00157BA7">
      <w:pPr>
        <w:jc w:val="both"/>
      </w:pPr>
    </w:p>
    <w:p w:rsidR="00157BA7" w:rsidRDefault="00157BA7" w:rsidP="00157BA7">
      <w:pPr>
        <w:jc w:val="both"/>
      </w:pPr>
      <w:r>
        <w:rPr>
          <w:b/>
        </w:rPr>
        <w:t>MAILING LOCATION:</w:t>
      </w:r>
      <w:r w:rsidR="009F2126">
        <w:rPr>
          <w:b/>
        </w:rPr>
        <w:t xml:space="preserve">  IES, CP</w:t>
      </w:r>
    </w:p>
    <w:p w:rsidR="00157BA7" w:rsidRDefault="00157BA7" w:rsidP="00157BA7">
      <w:pPr>
        <w:ind w:left="2160" w:firstLine="720"/>
        <w:jc w:val="both"/>
      </w:pPr>
    </w:p>
    <w:p w:rsidR="00157BA7" w:rsidRDefault="00157BA7" w:rsidP="00157BA7">
      <w:pPr>
        <w:tabs>
          <w:tab w:val="left" w:pos="5670"/>
        </w:tabs>
        <w:suppressAutoHyphens/>
        <w:jc w:val="both"/>
        <w:rPr>
          <w:b/>
        </w:rPr>
      </w:pPr>
      <w:r>
        <w:rPr>
          <w:b/>
        </w:rPr>
        <w:t>ED DEPARTMENT, OFFICE:</w:t>
      </w:r>
      <w:r w:rsidR="009F2126">
        <w:rPr>
          <w:b/>
        </w:rPr>
        <w:t xml:space="preserve"> IES</w:t>
      </w:r>
    </w:p>
    <w:sectPr w:rsidR="00157BA7" w:rsidSect="00175DFA">
      <w:footerReference w:type="defaul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EA4" w:rsidRDefault="00B50EA4" w:rsidP="00590FB0">
      <w:r>
        <w:separator/>
      </w:r>
    </w:p>
  </w:endnote>
  <w:endnote w:type="continuationSeparator" w:id="0">
    <w:p w:rsidR="00B50EA4" w:rsidRDefault="00B50EA4" w:rsidP="00590F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Bold">
    <w:panose1 w:val="00000000000000000000"/>
    <w:charset w:val="00"/>
    <w:family w:val="roman"/>
    <w:notTrueType/>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0E6" w:rsidRDefault="001F15EE" w:rsidP="000F5FD6">
    <w:pPr>
      <w:pStyle w:val="Footer"/>
      <w:spacing w:before="360"/>
      <w:jc w:val="center"/>
    </w:pPr>
    <w:fldSimple w:instr=" PAGE   \* MERGEFORMAT ">
      <w:r w:rsidR="009F2126">
        <w:rPr>
          <w:noProof/>
        </w:rPr>
        <w:t>5</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0E6" w:rsidRDefault="001F15EE" w:rsidP="000F5FD6">
    <w:pPr>
      <w:pStyle w:val="Footer"/>
      <w:jc w:val="center"/>
    </w:pPr>
    <w:fldSimple w:instr=" PAGE   \* MERGEFORMAT ">
      <w:r w:rsidR="009400E6">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EA4" w:rsidRDefault="00B50EA4" w:rsidP="00590FB0">
      <w:r>
        <w:separator/>
      </w:r>
    </w:p>
  </w:footnote>
  <w:footnote w:type="continuationSeparator" w:id="0">
    <w:p w:rsidR="00B50EA4" w:rsidRDefault="00B50EA4" w:rsidP="00590F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96AA723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8353F70"/>
    <w:multiLevelType w:val="multilevel"/>
    <w:tmpl w:val="CA0CC8F4"/>
    <w:lvl w:ilvl="0">
      <w:start w:val="1"/>
      <w:numFmt w:val="decimal"/>
      <w:pStyle w:val="Heading1"/>
      <w:lvlText w:val="%1."/>
      <w:lvlJc w:val="left"/>
      <w:pPr>
        <w:tabs>
          <w:tab w:val="num" w:pos="720"/>
        </w:tabs>
        <w:ind w:left="720" w:hanging="720"/>
      </w:pPr>
      <w:rPr>
        <w:rFonts w:ascii="Arial Bold" w:hAnsi="Arial Bold" w:hint="default"/>
        <w:b/>
        <w:i w:val="0"/>
        <w:caps w:val="0"/>
        <w:sz w:val="28"/>
        <w:szCs w:val="28"/>
      </w:rPr>
    </w:lvl>
    <w:lvl w:ilvl="1">
      <w:start w:val="2"/>
      <w:numFmt w:val="decimal"/>
      <w:lvlText w:val="5.%2"/>
      <w:lvlJc w:val="left"/>
      <w:pPr>
        <w:tabs>
          <w:tab w:val="num" w:pos="720"/>
        </w:tabs>
        <w:ind w:left="720" w:hanging="720"/>
      </w:pPr>
      <w:rPr>
        <w:rFonts w:ascii="Arial Narrow" w:hAnsi="Arial Narrow" w:hint="default"/>
        <w:b/>
        <w:i/>
        <w:caps w:val="0"/>
        <w:sz w:val="24"/>
        <w:szCs w:val="24"/>
      </w:rPr>
    </w:lvl>
    <w:lvl w:ilvl="2">
      <w:start w:val="3"/>
      <w:numFmt w:val="decimal"/>
      <w:lvlText w:val="5.%2"/>
      <w:lvlJc w:val="left"/>
      <w:pPr>
        <w:tabs>
          <w:tab w:val="num" w:pos="720"/>
        </w:tabs>
        <w:ind w:left="720" w:hanging="720"/>
      </w:pPr>
      <w:rPr>
        <w:rFonts w:hint="default"/>
        <w:b/>
        <w:i w:val="0"/>
        <w:caps w:val="0"/>
        <w:sz w:val="24"/>
      </w:rPr>
    </w:lvl>
    <w:lvl w:ilvl="3">
      <w:start w:val="1"/>
      <w:numFmt w:val="decimal"/>
      <w:lvlText w:val="%1.%2.%3.%4"/>
      <w:lvlJc w:val="left"/>
      <w:pPr>
        <w:tabs>
          <w:tab w:val="num" w:pos="3240"/>
        </w:tabs>
        <w:ind w:left="3240" w:hanging="1080"/>
      </w:pPr>
      <w:rPr>
        <w:rFonts w:hint="default"/>
        <w:b/>
        <w:i w:val="0"/>
        <w:caps w:val="0"/>
        <w:sz w:val="24"/>
      </w:rPr>
    </w:lvl>
    <w:lvl w:ilvl="4">
      <w:start w:val="1"/>
      <w:numFmt w:val="decimal"/>
      <w:lvlText w:val="%1.%2.%3.%4.%5"/>
      <w:lvlJc w:val="left"/>
      <w:pPr>
        <w:tabs>
          <w:tab w:val="num" w:pos="4320"/>
        </w:tabs>
        <w:ind w:left="4320" w:hanging="1440"/>
      </w:pPr>
      <w:rPr>
        <w:rFonts w:hint="default"/>
        <w:b/>
        <w:i w:val="0"/>
        <w:caps w:val="0"/>
        <w:sz w:val="24"/>
      </w:rPr>
    </w:lvl>
    <w:lvl w:ilvl="5">
      <w:start w:val="1"/>
      <w:numFmt w:val="decimal"/>
      <w:lvlText w:val="%1.%2.%3.%4.%5.%6"/>
      <w:lvlJc w:val="left"/>
      <w:pPr>
        <w:tabs>
          <w:tab w:val="num" w:pos="5040"/>
        </w:tabs>
        <w:ind w:left="5040" w:hanging="1440"/>
      </w:pPr>
      <w:rPr>
        <w:rFonts w:hint="default"/>
        <w:b/>
        <w:i w:val="0"/>
        <w:sz w:val="32"/>
      </w:rPr>
    </w:lvl>
    <w:lvl w:ilvl="6">
      <w:start w:val="1"/>
      <w:numFmt w:val="decimal"/>
      <w:lvlText w:val="%1.%2.%3.%4.%5.%6.%7"/>
      <w:lvlJc w:val="left"/>
      <w:pPr>
        <w:tabs>
          <w:tab w:val="num" w:pos="6120"/>
        </w:tabs>
        <w:ind w:left="6120" w:hanging="1800"/>
      </w:pPr>
      <w:rPr>
        <w:rFonts w:hint="default"/>
        <w:b/>
        <w:i w:val="0"/>
        <w:sz w:val="28"/>
      </w:rPr>
    </w:lvl>
    <w:lvl w:ilvl="7">
      <w:start w:val="1"/>
      <w:numFmt w:val="decimal"/>
      <w:lvlText w:val="%1.%2.%3.%4.%5.%6.%7.%8"/>
      <w:lvlJc w:val="left"/>
      <w:pPr>
        <w:tabs>
          <w:tab w:val="num" w:pos="6840"/>
        </w:tabs>
        <w:ind w:left="6840" w:hanging="1800"/>
      </w:pPr>
      <w:rPr>
        <w:rFonts w:hint="default"/>
        <w:b/>
        <w:i w:val="0"/>
        <w:sz w:val="24"/>
      </w:rPr>
    </w:lvl>
    <w:lvl w:ilvl="8">
      <w:start w:val="1"/>
      <w:numFmt w:val="decimal"/>
      <w:lvlText w:val="%1.%2.%3.%4.%5.%6.%7.%8.%9"/>
      <w:lvlJc w:val="left"/>
      <w:pPr>
        <w:tabs>
          <w:tab w:val="num" w:pos="7920"/>
        </w:tabs>
        <w:ind w:left="7920" w:hanging="2160"/>
      </w:pPr>
      <w:rPr>
        <w:rFonts w:hint="default"/>
        <w:b/>
        <w:i w:val="0"/>
        <w:sz w:val="24"/>
      </w:rPr>
    </w:lvl>
  </w:abstractNum>
  <w:abstractNum w:abstractNumId="2">
    <w:nsid w:val="33370567"/>
    <w:multiLevelType w:val="hybridMultilevel"/>
    <w:tmpl w:val="96AA72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967693A"/>
    <w:multiLevelType w:val="hybridMultilevel"/>
    <w:tmpl w:val="BA5282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0450FD6"/>
    <w:multiLevelType w:val="hybridMultilevel"/>
    <w:tmpl w:val="6C349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78613F"/>
    <w:multiLevelType w:val="hybridMultilevel"/>
    <w:tmpl w:val="9564B2F6"/>
    <w:lvl w:ilvl="0" w:tplc="C58AC922">
      <w:start w:val="1"/>
      <w:numFmt w:val="bullet"/>
      <w:pStyle w:val="Bullet"/>
      <w:lvlText w:val=""/>
      <w:lvlJc w:val="left"/>
      <w:pPr>
        <w:ind w:left="792" w:hanging="360"/>
      </w:pPr>
      <w:rPr>
        <w:rFonts w:ascii="Symbol" w:hAnsi="Symbol" w:hint="default"/>
      </w:rPr>
    </w:lvl>
    <w:lvl w:ilvl="1" w:tplc="DBC4A74E" w:tentative="1">
      <w:start w:val="1"/>
      <w:numFmt w:val="bullet"/>
      <w:lvlText w:val="o"/>
      <w:lvlJc w:val="left"/>
      <w:pPr>
        <w:ind w:left="1872" w:hanging="360"/>
      </w:pPr>
      <w:rPr>
        <w:rFonts w:ascii="Courier New" w:hAnsi="Courier New" w:cs="Courier New" w:hint="default"/>
      </w:rPr>
    </w:lvl>
    <w:lvl w:ilvl="2" w:tplc="F14C8DA8" w:tentative="1">
      <w:start w:val="1"/>
      <w:numFmt w:val="bullet"/>
      <w:lvlText w:val=""/>
      <w:lvlJc w:val="left"/>
      <w:pPr>
        <w:ind w:left="2592" w:hanging="360"/>
      </w:pPr>
      <w:rPr>
        <w:rFonts w:ascii="Wingdings" w:hAnsi="Wingdings" w:hint="default"/>
      </w:rPr>
    </w:lvl>
    <w:lvl w:ilvl="3" w:tplc="DC2415BC" w:tentative="1">
      <w:start w:val="1"/>
      <w:numFmt w:val="bullet"/>
      <w:lvlText w:val=""/>
      <w:lvlJc w:val="left"/>
      <w:pPr>
        <w:ind w:left="3312" w:hanging="360"/>
      </w:pPr>
      <w:rPr>
        <w:rFonts w:ascii="Symbol" w:hAnsi="Symbol" w:hint="default"/>
      </w:rPr>
    </w:lvl>
    <w:lvl w:ilvl="4" w:tplc="1C704C70" w:tentative="1">
      <w:start w:val="1"/>
      <w:numFmt w:val="bullet"/>
      <w:lvlText w:val="o"/>
      <w:lvlJc w:val="left"/>
      <w:pPr>
        <w:ind w:left="4032" w:hanging="360"/>
      </w:pPr>
      <w:rPr>
        <w:rFonts w:ascii="Courier New" w:hAnsi="Courier New" w:cs="Courier New" w:hint="default"/>
      </w:rPr>
    </w:lvl>
    <w:lvl w:ilvl="5" w:tplc="C4487C90" w:tentative="1">
      <w:start w:val="1"/>
      <w:numFmt w:val="bullet"/>
      <w:lvlText w:val=""/>
      <w:lvlJc w:val="left"/>
      <w:pPr>
        <w:ind w:left="4752" w:hanging="360"/>
      </w:pPr>
      <w:rPr>
        <w:rFonts w:ascii="Wingdings" w:hAnsi="Wingdings" w:hint="default"/>
      </w:rPr>
    </w:lvl>
    <w:lvl w:ilvl="6" w:tplc="4794707E" w:tentative="1">
      <w:start w:val="1"/>
      <w:numFmt w:val="bullet"/>
      <w:lvlText w:val=""/>
      <w:lvlJc w:val="left"/>
      <w:pPr>
        <w:ind w:left="5472" w:hanging="360"/>
      </w:pPr>
      <w:rPr>
        <w:rFonts w:ascii="Symbol" w:hAnsi="Symbol" w:hint="default"/>
      </w:rPr>
    </w:lvl>
    <w:lvl w:ilvl="7" w:tplc="1BD415F6" w:tentative="1">
      <w:start w:val="1"/>
      <w:numFmt w:val="bullet"/>
      <w:lvlText w:val="o"/>
      <w:lvlJc w:val="left"/>
      <w:pPr>
        <w:ind w:left="6192" w:hanging="360"/>
      </w:pPr>
      <w:rPr>
        <w:rFonts w:ascii="Courier New" w:hAnsi="Courier New" w:cs="Courier New" w:hint="default"/>
      </w:rPr>
    </w:lvl>
    <w:lvl w:ilvl="8" w:tplc="BCFC859A" w:tentative="1">
      <w:start w:val="1"/>
      <w:numFmt w:val="bullet"/>
      <w:lvlText w:val=""/>
      <w:lvlJc w:val="left"/>
      <w:pPr>
        <w:ind w:left="6912" w:hanging="360"/>
      </w:pPr>
      <w:rPr>
        <w:rFonts w:ascii="Wingdings" w:hAnsi="Wingdings" w:hint="default"/>
      </w:rPr>
    </w:lvl>
  </w:abstractNum>
  <w:abstractNum w:abstractNumId="6">
    <w:nsid w:val="6DD84309"/>
    <w:multiLevelType w:val="hybridMultilevel"/>
    <w:tmpl w:val="CF08D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7BED0477"/>
    <w:multiLevelType w:val="hybridMultilevel"/>
    <w:tmpl w:val="D110D254"/>
    <w:lvl w:ilvl="0" w:tplc="0409000F">
      <w:start w:val="1"/>
      <w:numFmt w:val="decimal"/>
      <w:lvlText w:val="%1."/>
      <w:lvlJc w:val="left"/>
      <w:pPr>
        <w:ind w:left="792" w:hanging="360"/>
      </w:pPr>
      <w:rPr>
        <w:rFonts w:hint="default"/>
      </w:rPr>
    </w:lvl>
    <w:lvl w:ilvl="1" w:tplc="DBC4A74E" w:tentative="1">
      <w:start w:val="1"/>
      <w:numFmt w:val="bullet"/>
      <w:lvlText w:val="o"/>
      <w:lvlJc w:val="left"/>
      <w:pPr>
        <w:ind w:left="1872" w:hanging="360"/>
      </w:pPr>
      <w:rPr>
        <w:rFonts w:ascii="Courier New" w:hAnsi="Courier New" w:cs="Courier New" w:hint="default"/>
      </w:rPr>
    </w:lvl>
    <w:lvl w:ilvl="2" w:tplc="F14C8DA8" w:tentative="1">
      <w:start w:val="1"/>
      <w:numFmt w:val="bullet"/>
      <w:lvlText w:val=""/>
      <w:lvlJc w:val="left"/>
      <w:pPr>
        <w:ind w:left="2592" w:hanging="360"/>
      </w:pPr>
      <w:rPr>
        <w:rFonts w:ascii="Wingdings" w:hAnsi="Wingdings" w:hint="default"/>
      </w:rPr>
    </w:lvl>
    <w:lvl w:ilvl="3" w:tplc="DC2415BC" w:tentative="1">
      <w:start w:val="1"/>
      <w:numFmt w:val="bullet"/>
      <w:lvlText w:val=""/>
      <w:lvlJc w:val="left"/>
      <w:pPr>
        <w:ind w:left="3312" w:hanging="360"/>
      </w:pPr>
      <w:rPr>
        <w:rFonts w:ascii="Symbol" w:hAnsi="Symbol" w:hint="default"/>
      </w:rPr>
    </w:lvl>
    <w:lvl w:ilvl="4" w:tplc="1C704C70" w:tentative="1">
      <w:start w:val="1"/>
      <w:numFmt w:val="bullet"/>
      <w:lvlText w:val="o"/>
      <w:lvlJc w:val="left"/>
      <w:pPr>
        <w:ind w:left="4032" w:hanging="360"/>
      </w:pPr>
      <w:rPr>
        <w:rFonts w:ascii="Courier New" w:hAnsi="Courier New" w:cs="Courier New" w:hint="default"/>
      </w:rPr>
    </w:lvl>
    <w:lvl w:ilvl="5" w:tplc="C4487C90" w:tentative="1">
      <w:start w:val="1"/>
      <w:numFmt w:val="bullet"/>
      <w:lvlText w:val=""/>
      <w:lvlJc w:val="left"/>
      <w:pPr>
        <w:ind w:left="4752" w:hanging="360"/>
      </w:pPr>
      <w:rPr>
        <w:rFonts w:ascii="Wingdings" w:hAnsi="Wingdings" w:hint="default"/>
      </w:rPr>
    </w:lvl>
    <w:lvl w:ilvl="6" w:tplc="4794707E" w:tentative="1">
      <w:start w:val="1"/>
      <w:numFmt w:val="bullet"/>
      <w:lvlText w:val=""/>
      <w:lvlJc w:val="left"/>
      <w:pPr>
        <w:ind w:left="5472" w:hanging="360"/>
      </w:pPr>
      <w:rPr>
        <w:rFonts w:ascii="Symbol" w:hAnsi="Symbol" w:hint="default"/>
      </w:rPr>
    </w:lvl>
    <w:lvl w:ilvl="7" w:tplc="1BD415F6" w:tentative="1">
      <w:start w:val="1"/>
      <w:numFmt w:val="bullet"/>
      <w:lvlText w:val="o"/>
      <w:lvlJc w:val="left"/>
      <w:pPr>
        <w:ind w:left="6192" w:hanging="360"/>
      </w:pPr>
      <w:rPr>
        <w:rFonts w:ascii="Courier New" w:hAnsi="Courier New" w:cs="Courier New" w:hint="default"/>
      </w:rPr>
    </w:lvl>
    <w:lvl w:ilvl="8" w:tplc="BCFC859A" w:tentative="1">
      <w:start w:val="1"/>
      <w:numFmt w:val="bullet"/>
      <w:lvlText w:val=""/>
      <w:lvlJc w:val="left"/>
      <w:pPr>
        <w:ind w:left="6912" w:hanging="360"/>
      </w:pPr>
      <w:rPr>
        <w:rFonts w:ascii="Wingdings" w:hAnsi="Wingdings" w:hint="default"/>
      </w:rPr>
    </w:lvl>
  </w:abstractNum>
  <w:num w:numId="1">
    <w:abstractNumId w:val="0"/>
  </w:num>
  <w:num w:numId="2">
    <w:abstractNumId w:val="1"/>
  </w:num>
  <w:num w:numId="3">
    <w:abstractNumId w:val="4"/>
  </w:num>
  <w:num w:numId="4">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hideGrammaticalErrors/>
  <w:proofState w:spelling="clean"/>
  <w:stylePaneFormatFilter w:val="3F01"/>
  <w:defaultTabStop w:val="720"/>
  <w:characterSpacingControl w:val="doNotCompress"/>
  <w:footnotePr>
    <w:footnote w:id="-1"/>
    <w:footnote w:id="0"/>
  </w:footnotePr>
  <w:endnotePr>
    <w:endnote w:id="-1"/>
    <w:endnote w:id="0"/>
  </w:endnotePr>
  <w:compat/>
  <w:rsids>
    <w:rsidRoot w:val="00157BA7"/>
    <w:rsid w:val="00053303"/>
    <w:rsid w:val="00070C36"/>
    <w:rsid w:val="0008766B"/>
    <w:rsid w:val="00094186"/>
    <w:rsid w:val="000A7F2C"/>
    <w:rsid w:val="000B5183"/>
    <w:rsid w:val="000B58D3"/>
    <w:rsid w:val="000D2BD0"/>
    <w:rsid w:val="000F5FD6"/>
    <w:rsid w:val="001337AC"/>
    <w:rsid w:val="00146FED"/>
    <w:rsid w:val="00147898"/>
    <w:rsid w:val="00157BA7"/>
    <w:rsid w:val="00175DFA"/>
    <w:rsid w:val="00181AD9"/>
    <w:rsid w:val="00192409"/>
    <w:rsid w:val="001B1B71"/>
    <w:rsid w:val="001B3AF4"/>
    <w:rsid w:val="001E452E"/>
    <w:rsid w:val="001F133B"/>
    <w:rsid w:val="001F15EE"/>
    <w:rsid w:val="00206D0C"/>
    <w:rsid w:val="00220CFA"/>
    <w:rsid w:val="0023392B"/>
    <w:rsid w:val="00241AC3"/>
    <w:rsid w:val="002643D4"/>
    <w:rsid w:val="00295818"/>
    <w:rsid w:val="002A57FB"/>
    <w:rsid w:val="002A6C6B"/>
    <w:rsid w:val="002B70BE"/>
    <w:rsid w:val="002D446A"/>
    <w:rsid w:val="002F0CB3"/>
    <w:rsid w:val="00316003"/>
    <w:rsid w:val="00323471"/>
    <w:rsid w:val="00376E22"/>
    <w:rsid w:val="003A546C"/>
    <w:rsid w:val="003A7805"/>
    <w:rsid w:val="003D083E"/>
    <w:rsid w:val="003E78D8"/>
    <w:rsid w:val="003F40AE"/>
    <w:rsid w:val="004343A3"/>
    <w:rsid w:val="00463ACF"/>
    <w:rsid w:val="00467FB4"/>
    <w:rsid w:val="004A4958"/>
    <w:rsid w:val="004C4784"/>
    <w:rsid w:val="004C5020"/>
    <w:rsid w:val="004C6A30"/>
    <w:rsid w:val="004E465F"/>
    <w:rsid w:val="005563BA"/>
    <w:rsid w:val="00581557"/>
    <w:rsid w:val="00590FB0"/>
    <w:rsid w:val="005A4B45"/>
    <w:rsid w:val="005B0E26"/>
    <w:rsid w:val="005E40E9"/>
    <w:rsid w:val="00624A3D"/>
    <w:rsid w:val="00633F5A"/>
    <w:rsid w:val="00637C40"/>
    <w:rsid w:val="00653BC8"/>
    <w:rsid w:val="006B274E"/>
    <w:rsid w:val="006C54F2"/>
    <w:rsid w:val="006C6D49"/>
    <w:rsid w:val="006D47B0"/>
    <w:rsid w:val="00725E98"/>
    <w:rsid w:val="00752A70"/>
    <w:rsid w:val="007761C1"/>
    <w:rsid w:val="008007BB"/>
    <w:rsid w:val="0080630C"/>
    <w:rsid w:val="008114F5"/>
    <w:rsid w:val="00817C70"/>
    <w:rsid w:val="00847F63"/>
    <w:rsid w:val="00850FF4"/>
    <w:rsid w:val="00882B4E"/>
    <w:rsid w:val="008B34D6"/>
    <w:rsid w:val="008B6E5F"/>
    <w:rsid w:val="008C2EB6"/>
    <w:rsid w:val="008E2CFC"/>
    <w:rsid w:val="008E754A"/>
    <w:rsid w:val="008F45CC"/>
    <w:rsid w:val="009177A4"/>
    <w:rsid w:val="009400E6"/>
    <w:rsid w:val="0094379B"/>
    <w:rsid w:val="00957D95"/>
    <w:rsid w:val="00963768"/>
    <w:rsid w:val="0097265C"/>
    <w:rsid w:val="0098539C"/>
    <w:rsid w:val="009A3643"/>
    <w:rsid w:val="009B13AC"/>
    <w:rsid w:val="009B7E5D"/>
    <w:rsid w:val="009C5B66"/>
    <w:rsid w:val="009E7C99"/>
    <w:rsid w:val="009F2126"/>
    <w:rsid w:val="009F564F"/>
    <w:rsid w:val="00A00811"/>
    <w:rsid w:val="00A52830"/>
    <w:rsid w:val="00A64539"/>
    <w:rsid w:val="00AE27E0"/>
    <w:rsid w:val="00AE282F"/>
    <w:rsid w:val="00B30B20"/>
    <w:rsid w:val="00B32183"/>
    <w:rsid w:val="00B50CD9"/>
    <w:rsid w:val="00B50EA4"/>
    <w:rsid w:val="00B62A66"/>
    <w:rsid w:val="00B85C67"/>
    <w:rsid w:val="00BB31BC"/>
    <w:rsid w:val="00BB6FAE"/>
    <w:rsid w:val="00BC1AA1"/>
    <w:rsid w:val="00BD002E"/>
    <w:rsid w:val="00C0450F"/>
    <w:rsid w:val="00C24EE3"/>
    <w:rsid w:val="00C41209"/>
    <w:rsid w:val="00C468D2"/>
    <w:rsid w:val="00C62C64"/>
    <w:rsid w:val="00C86C89"/>
    <w:rsid w:val="00CB09EF"/>
    <w:rsid w:val="00D4040E"/>
    <w:rsid w:val="00D76125"/>
    <w:rsid w:val="00D93DA7"/>
    <w:rsid w:val="00DB2DDA"/>
    <w:rsid w:val="00DE4CE6"/>
    <w:rsid w:val="00DF148E"/>
    <w:rsid w:val="00E4318B"/>
    <w:rsid w:val="00E6291E"/>
    <w:rsid w:val="00E7136B"/>
    <w:rsid w:val="00EB00A1"/>
    <w:rsid w:val="00ED272E"/>
    <w:rsid w:val="00EE3DE5"/>
    <w:rsid w:val="00F3451B"/>
    <w:rsid w:val="00F537E4"/>
    <w:rsid w:val="00F67FCB"/>
    <w:rsid w:val="00F908AF"/>
    <w:rsid w:val="00F923EF"/>
    <w:rsid w:val="00FA0F5D"/>
    <w:rsid w:val="00FD4D88"/>
    <w:rsid w:val="00FE3A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7BA7"/>
    <w:rPr>
      <w:sz w:val="24"/>
    </w:rPr>
  </w:style>
  <w:style w:type="paragraph" w:styleId="Heading1">
    <w:name w:val="heading 1"/>
    <w:aliases w:val="1 ghost,g"/>
    <w:basedOn w:val="Normal"/>
    <w:next w:val="Normal"/>
    <w:link w:val="Heading1Char"/>
    <w:autoRedefine/>
    <w:qFormat/>
    <w:rsid w:val="00157BA7"/>
    <w:pPr>
      <w:keepNext/>
      <w:widowControl w:val="0"/>
      <w:numPr>
        <w:numId w:val="2"/>
      </w:numPr>
      <w:tabs>
        <w:tab w:val="left" w:pos="-1440"/>
      </w:tabs>
      <w:outlineLvl w:val="0"/>
    </w:pPr>
    <w:rPr>
      <w:rFonts w:ascii="Arial" w:hAnsi="Arial" w:cs="Arial"/>
      <w:b/>
      <w:kern w:val="32"/>
      <w:sz w:val="28"/>
      <w:szCs w:val="28"/>
    </w:rPr>
  </w:style>
  <w:style w:type="paragraph" w:styleId="Heading3">
    <w:name w:val="heading 3"/>
    <w:basedOn w:val="Normal"/>
    <w:next w:val="Normal"/>
    <w:link w:val="Heading3Char"/>
    <w:semiHidden/>
    <w:unhideWhenUsed/>
    <w:qFormat/>
    <w:rsid w:val="004C502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
    <w:basedOn w:val="DefaultParagraphFont"/>
    <w:link w:val="Heading1"/>
    <w:rsid w:val="00157BA7"/>
    <w:rPr>
      <w:rFonts w:ascii="Arial" w:hAnsi="Arial" w:cs="Arial"/>
      <w:b/>
      <w:kern w:val="32"/>
      <w:sz w:val="28"/>
      <w:szCs w:val="28"/>
    </w:rPr>
  </w:style>
  <w:style w:type="paragraph" w:styleId="Header">
    <w:name w:val="header"/>
    <w:aliases w:val="h1,Letterhead Heading"/>
    <w:basedOn w:val="Normal"/>
    <w:link w:val="HeaderChar"/>
    <w:rsid w:val="00157BA7"/>
    <w:pPr>
      <w:tabs>
        <w:tab w:val="center" w:pos="4320"/>
        <w:tab w:val="right" w:pos="8640"/>
      </w:tabs>
    </w:pPr>
  </w:style>
  <w:style w:type="character" w:customStyle="1" w:styleId="HeaderChar">
    <w:name w:val="Header Char"/>
    <w:aliases w:val="h1 Char,Letterhead Heading Char"/>
    <w:basedOn w:val="DefaultParagraphFont"/>
    <w:link w:val="Header"/>
    <w:rsid w:val="00157BA7"/>
    <w:rPr>
      <w:sz w:val="24"/>
    </w:rPr>
  </w:style>
  <w:style w:type="paragraph" w:styleId="BodyTextIndent">
    <w:name w:val="Body Text Indent"/>
    <w:basedOn w:val="Normal"/>
    <w:link w:val="BodyTextIndentChar"/>
    <w:rsid w:val="00157BA7"/>
    <w:pPr>
      <w:ind w:left="360"/>
    </w:pPr>
    <w:rPr>
      <w:snapToGrid w:val="0"/>
    </w:rPr>
  </w:style>
  <w:style w:type="character" w:customStyle="1" w:styleId="BodyTextIndentChar">
    <w:name w:val="Body Text Indent Char"/>
    <w:basedOn w:val="DefaultParagraphFont"/>
    <w:link w:val="BodyTextIndent"/>
    <w:rsid w:val="00157BA7"/>
    <w:rPr>
      <w:snapToGrid w:val="0"/>
      <w:sz w:val="24"/>
    </w:rPr>
  </w:style>
  <w:style w:type="paragraph" w:styleId="ListParagraph">
    <w:name w:val="List Paragraph"/>
    <w:basedOn w:val="Normal"/>
    <w:uiPriority w:val="34"/>
    <w:qFormat/>
    <w:rsid w:val="001B3AF4"/>
    <w:pPr>
      <w:ind w:left="720"/>
      <w:contextualSpacing/>
    </w:pPr>
  </w:style>
  <w:style w:type="paragraph" w:customStyle="1" w:styleId="MarkforTable">
    <w:name w:val="Mark for Table"/>
    <w:next w:val="Normal"/>
    <w:uiPriority w:val="99"/>
    <w:rsid w:val="008114F5"/>
    <w:pPr>
      <w:spacing w:line="480" w:lineRule="auto"/>
      <w:jc w:val="center"/>
    </w:pPr>
    <w:rPr>
      <w:caps/>
      <w:sz w:val="24"/>
    </w:rPr>
  </w:style>
  <w:style w:type="paragraph" w:customStyle="1" w:styleId="Gnormal">
    <w:name w:val="G_normal"/>
    <w:basedOn w:val="Normal"/>
    <w:uiPriority w:val="99"/>
    <w:rsid w:val="008114F5"/>
    <w:pPr>
      <w:tabs>
        <w:tab w:val="left" w:pos="432"/>
      </w:tabs>
      <w:spacing w:after="240"/>
      <w:ind w:firstLine="432"/>
      <w:jc w:val="both"/>
    </w:pPr>
    <w:rPr>
      <w:rFonts w:ascii="Garamond" w:hAnsi="Garamond"/>
    </w:rPr>
  </w:style>
  <w:style w:type="character" w:styleId="CommentReference">
    <w:name w:val="annotation reference"/>
    <w:basedOn w:val="DefaultParagraphFont"/>
    <w:rsid w:val="00241AC3"/>
    <w:rPr>
      <w:sz w:val="16"/>
      <w:szCs w:val="16"/>
    </w:rPr>
  </w:style>
  <w:style w:type="paragraph" w:styleId="CommentText">
    <w:name w:val="annotation text"/>
    <w:basedOn w:val="Normal"/>
    <w:link w:val="CommentTextChar"/>
    <w:rsid w:val="00241AC3"/>
    <w:rPr>
      <w:sz w:val="20"/>
    </w:rPr>
  </w:style>
  <w:style w:type="character" w:customStyle="1" w:styleId="CommentTextChar">
    <w:name w:val="Comment Text Char"/>
    <w:basedOn w:val="DefaultParagraphFont"/>
    <w:link w:val="CommentText"/>
    <w:rsid w:val="00241AC3"/>
  </w:style>
  <w:style w:type="paragraph" w:styleId="CommentSubject">
    <w:name w:val="annotation subject"/>
    <w:basedOn w:val="CommentText"/>
    <w:next w:val="CommentText"/>
    <w:link w:val="CommentSubjectChar"/>
    <w:rsid w:val="00241AC3"/>
    <w:rPr>
      <w:b/>
      <w:bCs/>
    </w:rPr>
  </w:style>
  <w:style w:type="character" w:customStyle="1" w:styleId="CommentSubjectChar">
    <w:name w:val="Comment Subject Char"/>
    <w:basedOn w:val="CommentTextChar"/>
    <w:link w:val="CommentSubject"/>
    <w:rsid w:val="00241AC3"/>
    <w:rPr>
      <w:b/>
      <w:bCs/>
    </w:rPr>
  </w:style>
  <w:style w:type="paragraph" w:styleId="BalloonText">
    <w:name w:val="Balloon Text"/>
    <w:basedOn w:val="Normal"/>
    <w:link w:val="BalloonTextChar"/>
    <w:rsid w:val="00241AC3"/>
    <w:rPr>
      <w:rFonts w:ascii="Tahoma" w:hAnsi="Tahoma" w:cs="Tahoma"/>
      <w:sz w:val="16"/>
      <w:szCs w:val="16"/>
    </w:rPr>
  </w:style>
  <w:style w:type="character" w:customStyle="1" w:styleId="BalloonTextChar">
    <w:name w:val="Balloon Text Char"/>
    <w:basedOn w:val="DefaultParagraphFont"/>
    <w:link w:val="BalloonText"/>
    <w:rsid w:val="00241AC3"/>
    <w:rPr>
      <w:rFonts w:ascii="Tahoma" w:hAnsi="Tahoma" w:cs="Tahoma"/>
      <w:sz w:val="16"/>
      <w:szCs w:val="16"/>
    </w:rPr>
  </w:style>
  <w:style w:type="character" w:customStyle="1" w:styleId="Heading3Char">
    <w:name w:val="Heading 3 Char"/>
    <w:basedOn w:val="DefaultParagraphFont"/>
    <w:link w:val="Heading3"/>
    <w:semiHidden/>
    <w:rsid w:val="004C5020"/>
    <w:rPr>
      <w:rFonts w:asciiTheme="majorHAnsi" w:eastAsiaTheme="majorEastAsia" w:hAnsiTheme="majorHAnsi" w:cstheme="majorBidi"/>
      <w:b/>
      <w:bCs/>
      <w:color w:val="4F81BD" w:themeColor="accent1"/>
      <w:sz w:val="24"/>
    </w:rPr>
  </w:style>
  <w:style w:type="paragraph" w:styleId="Footer">
    <w:name w:val="footer"/>
    <w:basedOn w:val="Normal"/>
    <w:link w:val="FooterChar"/>
    <w:uiPriority w:val="99"/>
    <w:rsid w:val="004C5020"/>
    <w:pPr>
      <w:tabs>
        <w:tab w:val="center" w:pos="4320"/>
        <w:tab w:val="right" w:pos="8640"/>
      </w:tabs>
    </w:pPr>
  </w:style>
  <w:style w:type="character" w:customStyle="1" w:styleId="FooterChar">
    <w:name w:val="Footer Char"/>
    <w:basedOn w:val="DefaultParagraphFont"/>
    <w:link w:val="Footer"/>
    <w:uiPriority w:val="99"/>
    <w:rsid w:val="004C5020"/>
    <w:rPr>
      <w:sz w:val="24"/>
    </w:rPr>
  </w:style>
  <w:style w:type="paragraph" w:customStyle="1" w:styleId="Bullet">
    <w:name w:val="Bullet"/>
    <w:qFormat/>
    <w:rsid w:val="004C5020"/>
    <w:pPr>
      <w:numPr>
        <w:numId w:val="6"/>
      </w:numPr>
      <w:tabs>
        <w:tab w:val="left" w:pos="360"/>
      </w:tabs>
      <w:spacing w:after="180"/>
      <w:ind w:right="360"/>
      <w:jc w:val="both"/>
    </w:pPr>
    <w:rPr>
      <w:sz w:val="24"/>
      <w:szCs w:val="24"/>
    </w:rPr>
  </w:style>
  <w:style w:type="paragraph" w:customStyle="1" w:styleId="ParagraphLAST">
    <w:name w:val="Paragraph (LAST)"/>
    <w:basedOn w:val="Normal"/>
    <w:next w:val="Normal"/>
    <w:uiPriority w:val="99"/>
    <w:rsid w:val="004C5020"/>
    <w:pPr>
      <w:spacing w:after="240"/>
    </w:pPr>
  </w:style>
  <w:style w:type="paragraph" w:customStyle="1" w:styleId="TableFootnoteCaption">
    <w:name w:val="Table Footnote_Caption"/>
    <w:basedOn w:val="Normal"/>
    <w:qFormat/>
    <w:rsid w:val="004C5020"/>
  </w:style>
  <w:style w:type="paragraph" w:customStyle="1" w:styleId="TableHeaderCenter">
    <w:name w:val="Table Header Center"/>
    <w:basedOn w:val="Normal"/>
    <w:qFormat/>
    <w:rsid w:val="004C5020"/>
    <w:pPr>
      <w:spacing w:before="120" w:after="60"/>
      <w:jc w:val="center"/>
    </w:pPr>
  </w:style>
  <w:style w:type="paragraph" w:customStyle="1" w:styleId="TableHeaderLeft">
    <w:name w:val="Table Header Left"/>
    <w:basedOn w:val="Normal"/>
    <w:qFormat/>
    <w:rsid w:val="004C5020"/>
    <w:pPr>
      <w:spacing w:before="120" w:after="60"/>
    </w:pPr>
  </w:style>
  <w:style w:type="paragraph" w:customStyle="1" w:styleId="TableText">
    <w:name w:val="Table Text"/>
    <w:basedOn w:val="Normal"/>
    <w:qFormat/>
    <w:rsid w:val="004C5020"/>
  </w:style>
  <w:style w:type="paragraph" w:styleId="PlainText">
    <w:name w:val="Plain Text"/>
    <w:basedOn w:val="Normal"/>
    <w:link w:val="PlainTextChar"/>
    <w:uiPriority w:val="99"/>
    <w:unhideWhenUsed/>
    <w:rsid w:val="004C5020"/>
    <w:rPr>
      <w:rFonts w:ascii="Consolas" w:eastAsia="Calibri" w:hAnsi="Consolas"/>
      <w:sz w:val="21"/>
      <w:szCs w:val="21"/>
    </w:rPr>
  </w:style>
  <w:style w:type="character" w:customStyle="1" w:styleId="PlainTextChar">
    <w:name w:val="Plain Text Char"/>
    <w:basedOn w:val="DefaultParagraphFont"/>
    <w:link w:val="PlainText"/>
    <w:uiPriority w:val="99"/>
    <w:rsid w:val="004C5020"/>
    <w:rPr>
      <w:rFonts w:ascii="Consolas" w:eastAsia="Calibri" w:hAnsi="Consolas"/>
      <w:sz w:val="21"/>
      <w:szCs w:val="21"/>
    </w:rPr>
  </w:style>
  <w:style w:type="character" w:styleId="Emphasis">
    <w:name w:val="Emphasis"/>
    <w:basedOn w:val="DefaultParagraphFont"/>
    <w:uiPriority w:val="20"/>
    <w:qFormat/>
    <w:rsid w:val="005A4B45"/>
    <w:rPr>
      <w:i/>
      <w:iCs/>
    </w:rPr>
  </w:style>
  <w:style w:type="character" w:styleId="Hyperlink">
    <w:name w:val="Hyperlink"/>
    <w:basedOn w:val="DefaultParagraphFont"/>
    <w:rsid w:val="004E465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2430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whatworks.ed.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3A13723DF9CC4488B0077664BEC561" ma:contentTypeVersion="0" ma:contentTypeDescription="Create a new document." ma:contentTypeScope="" ma:versionID="2eff4de406861395f3400a1b34b99502">
  <xsd:schema xmlns:xsd="http://www.w3.org/2001/XMLSchema" xmlns:p="http://schemas.microsoft.com/office/2006/metadata/properties" targetNamespace="http://schemas.microsoft.com/office/2006/metadata/properties" ma:root="true" ma:fieldsID="9e32596940cb45f66ee171bf56b39d3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D942F3D-6D03-4094-B620-FB0A1CC759D9}">
  <ds:schemaRefs>
    <ds:schemaRef ds:uri="http://schemas.microsoft.com/sharepoint/v3/contenttype/forms"/>
  </ds:schemaRefs>
</ds:datastoreItem>
</file>

<file path=customXml/itemProps2.xml><?xml version="1.0" encoding="utf-8"?>
<ds:datastoreItem xmlns:ds="http://schemas.openxmlformats.org/officeDocument/2006/customXml" ds:itemID="{988C87AE-D2E7-4EDD-AC30-7C54F8862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782683A-AF94-416F-B66A-4246223B65C8}">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1576</Words>
  <Characters>9020</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10575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kathy.axt</cp:lastModifiedBy>
  <cp:revision>2</cp:revision>
  <dcterms:created xsi:type="dcterms:W3CDTF">2011-04-21T18:17:00Z</dcterms:created>
  <dcterms:modified xsi:type="dcterms:W3CDTF">2011-04-21T18:17:00Z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0x0101004B3A13723DF9CC4488B0077664BEC561</vt:lpwstr>
  </property>
</Properties>
</file>