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85B" w:rsidRDefault="0085285B" w:rsidP="008109D2">
      <w:pPr>
        <w:jc w:val="center"/>
        <w:rPr>
          <w:b/>
        </w:rPr>
      </w:pPr>
    </w:p>
    <w:p w:rsidR="0085285B" w:rsidRDefault="0085285B" w:rsidP="008109D2">
      <w:pPr>
        <w:jc w:val="center"/>
        <w:rPr>
          <w:b/>
        </w:rPr>
      </w:pPr>
    </w:p>
    <w:p w:rsidR="0085285B" w:rsidRDefault="0085285B" w:rsidP="008109D2">
      <w:pPr>
        <w:jc w:val="center"/>
        <w:rPr>
          <w:b/>
        </w:rPr>
      </w:pPr>
    </w:p>
    <w:p w:rsidR="0085285B" w:rsidRDefault="0085285B" w:rsidP="008109D2">
      <w:pPr>
        <w:jc w:val="center"/>
        <w:rPr>
          <w:b/>
        </w:rPr>
      </w:pPr>
    </w:p>
    <w:p w:rsidR="0085285B" w:rsidRDefault="0085285B" w:rsidP="008109D2">
      <w:pPr>
        <w:jc w:val="center"/>
        <w:rPr>
          <w:b/>
        </w:rPr>
      </w:pPr>
    </w:p>
    <w:p w:rsidR="0085285B" w:rsidRDefault="0085285B" w:rsidP="008109D2">
      <w:pPr>
        <w:jc w:val="center"/>
        <w:rPr>
          <w:b/>
        </w:rPr>
      </w:pPr>
    </w:p>
    <w:p w:rsidR="0085285B" w:rsidRDefault="0085285B" w:rsidP="008109D2">
      <w:pPr>
        <w:jc w:val="center"/>
        <w:rPr>
          <w:b/>
        </w:rPr>
      </w:pPr>
    </w:p>
    <w:p w:rsidR="0085285B" w:rsidRDefault="0085285B" w:rsidP="008109D2">
      <w:pPr>
        <w:jc w:val="center"/>
        <w:rPr>
          <w:b/>
        </w:rPr>
      </w:pPr>
    </w:p>
    <w:p w:rsidR="0085285B" w:rsidRDefault="0085285B" w:rsidP="008109D2">
      <w:pPr>
        <w:jc w:val="center"/>
        <w:rPr>
          <w:b/>
        </w:rPr>
      </w:pPr>
    </w:p>
    <w:p w:rsidR="0085285B" w:rsidRPr="00C01DC5" w:rsidRDefault="0085285B" w:rsidP="00B40D61">
      <w:pPr>
        <w:jc w:val="center"/>
        <w:rPr>
          <w:b/>
          <w:sz w:val="22"/>
          <w:szCs w:val="22"/>
        </w:rPr>
      </w:pPr>
      <w:r w:rsidRPr="00C01DC5">
        <w:rPr>
          <w:b/>
          <w:sz w:val="22"/>
          <w:szCs w:val="22"/>
        </w:rPr>
        <w:t xml:space="preserve">Attachment </w:t>
      </w:r>
      <w:r>
        <w:rPr>
          <w:b/>
          <w:sz w:val="22"/>
          <w:szCs w:val="22"/>
        </w:rPr>
        <w:t>O</w:t>
      </w:r>
    </w:p>
    <w:p w:rsidR="0085285B" w:rsidRPr="00C01DC5" w:rsidRDefault="0085285B" w:rsidP="00B40D61">
      <w:pPr>
        <w:jc w:val="center"/>
        <w:rPr>
          <w:sz w:val="22"/>
          <w:szCs w:val="22"/>
        </w:rPr>
      </w:pPr>
    </w:p>
    <w:p w:rsidR="0085285B" w:rsidRPr="00C01DC5" w:rsidRDefault="0085285B" w:rsidP="00B40D61">
      <w:pPr>
        <w:jc w:val="center"/>
        <w:rPr>
          <w:sz w:val="22"/>
          <w:szCs w:val="22"/>
        </w:rPr>
      </w:pPr>
      <w:r>
        <w:rPr>
          <w:sz w:val="22"/>
          <w:szCs w:val="22"/>
        </w:rPr>
        <w:t>Description of Power and Precision</w:t>
      </w:r>
    </w:p>
    <w:p w:rsidR="0085285B" w:rsidRDefault="0085285B" w:rsidP="008109D2">
      <w:pPr>
        <w:jc w:val="center"/>
        <w:rPr>
          <w:b/>
        </w:rPr>
      </w:pPr>
    </w:p>
    <w:p w:rsidR="0085285B" w:rsidRDefault="0085285B" w:rsidP="008109D2">
      <w:pPr>
        <w:jc w:val="center"/>
        <w:rPr>
          <w:b/>
        </w:rPr>
      </w:pPr>
    </w:p>
    <w:p w:rsidR="0085285B" w:rsidRPr="00FB0048" w:rsidRDefault="0085285B" w:rsidP="008109D2">
      <w:pPr>
        <w:jc w:val="center"/>
        <w:rPr>
          <w:b/>
        </w:rPr>
      </w:pPr>
      <w:r>
        <w:rPr>
          <w:b/>
        </w:rPr>
        <w:br w:type="page"/>
      </w:r>
      <w:r w:rsidRPr="00FB0048">
        <w:rPr>
          <w:b/>
        </w:rPr>
        <w:t xml:space="preserve">Attachment </w:t>
      </w:r>
      <w:r>
        <w:rPr>
          <w:b/>
        </w:rPr>
        <w:t>O</w:t>
      </w:r>
    </w:p>
    <w:p w:rsidR="0085285B" w:rsidRPr="00FB0048" w:rsidRDefault="0085285B" w:rsidP="008109D2">
      <w:pPr>
        <w:jc w:val="center"/>
        <w:rPr>
          <w:b/>
        </w:rPr>
      </w:pPr>
    </w:p>
    <w:p w:rsidR="0085285B" w:rsidRPr="00FB0048" w:rsidRDefault="0085285B" w:rsidP="008109D2">
      <w:pPr>
        <w:jc w:val="center"/>
        <w:rPr>
          <w:b/>
        </w:rPr>
      </w:pPr>
      <w:r w:rsidRPr="00FB0048">
        <w:rPr>
          <w:b/>
        </w:rPr>
        <w:t>DESCRIPTION OF POWER AND PRECISION</w:t>
      </w:r>
    </w:p>
    <w:p w:rsidR="0085285B" w:rsidRPr="002E39D2" w:rsidRDefault="0085285B" w:rsidP="00215B38">
      <w:pPr>
        <w:rPr>
          <w:sz w:val="22"/>
          <w:szCs w:val="22"/>
        </w:rPr>
      </w:pPr>
    </w:p>
    <w:p w:rsidR="0085285B" w:rsidRPr="002E39D2" w:rsidRDefault="0085285B" w:rsidP="00215B38">
      <w:pPr>
        <w:rPr>
          <w:sz w:val="22"/>
          <w:szCs w:val="22"/>
        </w:rPr>
      </w:pPr>
    </w:p>
    <w:p w:rsidR="0085285B" w:rsidRPr="002E39D2" w:rsidRDefault="0085285B" w:rsidP="00215B38">
      <w:pPr>
        <w:rPr>
          <w:sz w:val="22"/>
          <w:szCs w:val="22"/>
        </w:rPr>
      </w:pPr>
      <w:r w:rsidRPr="002E39D2">
        <w:rPr>
          <w:sz w:val="22"/>
          <w:szCs w:val="22"/>
        </w:rPr>
        <w:t xml:space="preserve">The present document describes the findings of a power analysis that was performed to determine the extent to which statistically significant differences could be detected when comparing the results of survey data collected in 1999 to data to be collected in 2008.  First, a brief description of the concepts being measured and the methods used to compute them are described below.     </w:t>
      </w:r>
    </w:p>
    <w:p w:rsidR="0085285B" w:rsidRPr="002E39D2" w:rsidRDefault="0085285B" w:rsidP="00215B38">
      <w:pPr>
        <w:rPr>
          <w:sz w:val="22"/>
          <w:szCs w:val="22"/>
        </w:rPr>
      </w:pPr>
    </w:p>
    <w:p w:rsidR="0085285B" w:rsidRPr="002E39D2" w:rsidRDefault="0085285B" w:rsidP="00215B38">
      <w:pPr>
        <w:rPr>
          <w:b/>
          <w:sz w:val="22"/>
          <w:szCs w:val="22"/>
        </w:rPr>
      </w:pPr>
      <w:r w:rsidRPr="002E39D2">
        <w:rPr>
          <w:b/>
          <w:sz w:val="22"/>
          <w:szCs w:val="22"/>
        </w:rPr>
        <w:t>Description of the Concepts Being Measured and Compared</w:t>
      </w:r>
    </w:p>
    <w:p w:rsidR="0085285B" w:rsidRPr="002E39D2" w:rsidRDefault="0085285B" w:rsidP="00215B38">
      <w:pPr>
        <w:rPr>
          <w:sz w:val="22"/>
          <w:szCs w:val="22"/>
        </w:rPr>
      </w:pPr>
    </w:p>
    <w:p w:rsidR="0085285B" w:rsidRPr="002E39D2" w:rsidRDefault="0085285B" w:rsidP="00215B38">
      <w:pPr>
        <w:rPr>
          <w:sz w:val="22"/>
          <w:szCs w:val="22"/>
        </w:rPr>
      </w:pPr>
      <w:r w:rsidRPr="002E39D2">
        <w:rPr>
          <w:sz w:val="22"/>
          <w:szCs w:val="22"/>
        </w:rPr>
        <w:t xml:space="preserve">The primary objective of the proposed data collection is to measure the relative change in the </w:t>
      </w:r>
      <w:smartTag w:uri="urn:schemas-microsoft-com:office:smarttags" w:element="place">
        <w:smartTag w:uri="urn:schemas-microsoft-com:office:smarttags" w:element="country-region">
          <w:r w:rsidRPr="002E39D2">
            <w:rPr>
              <w:sz w:val="22"/>
              <w:szCs w:val="22"/>
            </w:rPr>
            <w:t>US</w:t>
          </w:r>
        </w:smartTag>
      </w:smartTag>
      <w:r w:rsidRPr="002E39D2">
        <w:rPr>
          <w:sz w:val="22"/>
          <w:szCs w:val="22"/>
        </w:rPr>
        <w:t xml:space="preserve"> public’s awareness of racial and ethnic health disparities between 1999 and 2008.  A survey fielded in 1999 by Kaiser Family Foundation and Princeton Research Associates International (KFF/PSRAI) reported that approximately 47.8 percent of a sample of randomly selected respondents indicated being “aware</w:t>
      </w:r>
      <w:r w:rsidRPr="002E39D2">
        <w:rPr>
          <w:i/>
          <w:sz w:val="22"/>
          <w:szCs w:val="22"/>
        </w:rPr>
        <w:t>”</w:t>
      </w:r>
      <w:r w:rsidRPr="002E39D2">
        <w:rPr>
          <w:sz w:val="22"/>
          <w:szCs w:val="22"/>
        </w:rPr>
        <w:t xml:space="preserve"> that certain racial and ethnic health disparities existed.  This “awareness” measure was calculated as a percentage of the respondents who reported that they felt that the reference group (African-Americans or Hispanics) were disparate in terms of the health outcomes achieved.  Specifically, the percentage was derived from the responses to six sub-questions (from four core questions) included in the 1999 KFF/PSRAI survey instrument (see Exhibit 1 below).  These questionnaire items ask respondents to indicate whether they perceive African Americans and Hispanics as faring “better off,” “worse off,” or “the same as” the average White (non Hispanic) American in various health outcomes where research has shown (and continues to show) that significant disparities exist.  </w:t>
      </w:r>
    </w:p>
    <w:p w:rsidR="0085285B" w:rsidRPr="002E39D2" w:rsidRDefault="0085285B" w:rsidP="00981E86">
      <w:pPr>
        <w:rPr>
          <w:sz w:val="22"/>
          <w:szCs w:val="22"/>
        </w:rPr>
      </w:pPr>
    </w:p>
    <w:p w:rsidR="0085285B" w:rsidRPr="005951A7" w:rsidRDefault="0085285B" w:rsidP="001A5057">
      <w:pPr>
        <w:rPr>
          <w:b/>
        </w:rPr>
      </w:pPr>
      <w:r w:rsidRPr="002E39D2">
        <w:rPr>
          <w:b/>
          <w:sz w:val="22"/>
          <w:szCs w:val="22"/>
        </w:rPr>
        <w:t xml:space="preserve">Exhibit 1:  Survey Items Used to Compute Awareness of Health Disparities </w:t>
      </w:r>
    </w:p>
    <w:p w:rsidR="0085285B" w:rsidRDefault="0085285B" w:rsidP="00981E86">
      <w:pPr>
        <w:rPr>
          <w:b/>
        </w:rPr>
      </w:pPr>
    </w:p>
    <w:tbl>
      <w:tblPr>
        <w:tblW w:w="7578" w:type="dxa"/>
        <w:jc w:val="center"/>
        <w:tblBorders>
          <w:insideH w:val="single" w:sz="4" w:space="0" w:color="000000"/>
          <w:insideV w:val="single" w:sz="4" w:space="0" w:color="000000"/>
        </w:tblBorders>
        <w:tblLayout w:type="fixed"/>
        <w:tblLook w:val="04A0"/>
      </w:tblPr>
      <w:tblGrid>
        <w:gridCol w:w="4068"/>
        <w:gridCol w:w="2070"/>
        <w:gridCol w:w="1440"/>
      </w:tblGrid>
      <w:tr w:rsidR="0085285B" w:rsidTr="003D4D53">
        <w:trPr>
          <w:jc w:val="center"/>
        </w:trPr>
        <w:tc>
          <w:tcPr>
            <w:tcW w:w="4068" w:type="dxa"/>
            <w:tcBorders>
              <w:top w:val="nil"/>
              <w:bottom w:val="single" w:sz="24" w:space="0" w:color="000000"/>
            </w:tcBorders>
          </w:tcPr>
          <w:p w:rsidR="0085285B" w:rsidRDefault="0085285B" w:rsidP="006D7C92">
            <w:pPr>
              <w:jc w:val="center"/>
              <w:rPr>
                <w:rFonts w:ascii="Arial Narrow" w:hAnsi="Arial Narrow"/>
                <w:b/>
                <w:sz w:val="16"/>
                <w:szCs w:val="16"/>
              </w:rPr>
            </w:pPr>
          </w:p>
          <w:p w:rsidR="0085285B" w:rsidRPr="00F86D4D" w:rsidRDefault="0085285B" w:rsidP="006D7C92">
            <w:pPr>
              <w:jc w:val="center"/>
              <w:rPr>
                <w:rFonts w:ascii="Arial Narrow" w:hAnsi="Arial Narrow"/>
                <w:b/>
                <w:sz w:val="16"/>
                <w:szCs w:val="16"/>
              </w:rPr>
            </w:pPr>
            <w:r w:rsidRPr="00F86D4D">
              <w:rPr>
                <w:rFonts w:ascii="Arial Narrow" w:hAnsi="Arial Narrow"/>
                <w:b/>
                <w:sz w:val="16"/>
                <w:szCs w:val="16"/>
              </w:rPr>
              <w:t>Questionnaire Item</w:t>
            </w:r>
            <w:r>
              <w:rPr>
                <w:rFonts w:ascii="Arial Narrow" w:hAnsi="Arial Narrow"/>
                <w:b/>
                <w:sz w:val="16"/>
                <w:szCs w:val="16"/>
              </w:rPr>
              <w:t xml:space="preserve"> (2008)</w:t>
            </w:r>
          </w:p>
        </w:tc>
        <w:tc>
          <w:tcPr>
            <w:tcW w:w="2070" w:type="dxa"/>
            <w:tcBorders>
              <w:top w:val="nil"/>
              <w:bottom w:val="single" w:sz="24" w:space="0" w:color="000000"/>
            </w:tcBorders>
          </w:tcPr>
          <w:p w:rsidR="0085285B" w:rsidRDefault="0085285B" w:rsidP="006D7C92">
            <w:pPr>
              <w:jc w:val="center"/>
              <w:rPr>
                <w:rFonts w:ascii="Arial Narrow" w:hAnsi="Arial Narrow"/>
                <w:b/>
                <w:sz w:val="16"/>
                <w:szCs w:val="16"/>
              </w:rPr>
            </w:pPr>
          </w:p>
          <w:p w:rsidR="0085285B" w:rsidRPr="00F86D4D" w:rsidRDefault="0085285B" w:rsidP="006D7C92">
            <w:pPr>
              <w:jc w:val="center"/>
              <w:rPr>
                <w:rFonts w:ascii="Arial Narrow" w:hAnsi="Arial Narrow"/>
                <w:b/>
                <w:sz w:val="16"/>
                <w:szCs w:val="16"/>
              </w:rPr>
            </w:pPr>
            <w:r w:rsidRPr="00F86D4D">
              <w:rPr>
                <w:rFonts w:ascii="Arial Narrow" w:hAnsi="Arial Narrow"/>
                <w:b/>
                <w:sz w:val="16"/>
                <w:szCs w:val="16"/>
              </w:rPr>
              <w:t>Response Options</w:t>
            </w:r>
          </w:p>
        </w:tc>
        <w:tc>
          <w:tcPr>
            <w:tcW w:w="1440" w:type="dxa"/>
            <w:tcBorders>
              <w:top w:val="nil"/>
              <w:bottom w:val="single" w:sz="24" w:space="0" w:color="000000"/>
            </w:tcBorders>
          </w:tcPr>
          <w:p w:rsidR="0085285B" w:rsidRDefault="0085285B" w:rsidP="003D4D53">
            <w:pPr>
              <w:rPr>
                <w:rFonts w:ascii="Arial Narrow" w:hAnsi="Arial Narrow"/>
                <w:b/>
                <w:sz w:val="16"/>
                <w:szCs w:val="16"/>
              </w:rPr>
            </w:pPr>
            <w:r>
              <w:rPr>
                <w:rFonts w:ascii="Arial Narrow" w:hAnsi="Arial Narrow"/>
                <w:b/>
                <w:sz w:val="16"/>
                <w:szCs w:val="16"/>
              </w:rPr>
              <w:t xml:space="preserve">Item Number </w:t>
            </w:r>
          </w:p>
          <w:p w:rsidR="0085285B" w:rsidRPr="00F86D4D" w:rsidRDefault="0085285B" w:rsidP="003D4D53">
            <w:pPr>
              <w:rPr>
                <w:rFonts w:ascii="Arial Narrow" w:hAnsi="Arial Narrow"/>
                <w:b/>
                <w:sz w:val="16"/>
                <w:szCs w:val="16"/>
              </w:rPr>
            </w:pPr>
            <w:r>
              <w:rPr>
                <w:rFonts w:ascii="Arial Narrow" w:hAnsi="Arial Narrow"/>
                <w:b/>
                <w:sz w:val="16"/>
                <w:szCs w:val="16"/>
              </w:rPr>
              <w:t>(</w:t>
            </w:r>
            <w:r w:rsidRPr="00F86D4D">
              <w:rPr>
                <w:rFonts w:ascii="Arial Narrow" w:hAnsi="Arial Narrow"/>
                <w:b/>
                <w:sz w:val="16"/>
                <w:szCs w:val="16"/>
              </w:rPr>
              <w:t>1999</w:t>
            </w:r>
            <w:r>
              <w:rPr>
                <w:rFonts w:ascii="Arial Narrow" w:hAnsi="Arial Narrow"/>
                <w:b/>
                <w:sz w:val="16"/>
                <w:szCs w:val="16"/>
              </w:rPr>
              <w:t xml:space="preserve"> Survey)</w:t>
            </w:r>
          </w:p>
        </w:tc>
      </w:tr>
      <w:tr w:rsidR="0085285B" w:rsidRPr="00F86D4D" w:rsidTr="003D4D53">
        <w:trPr>
          <w:jc w:val="center"/>
        </w:trPr>
        <w:tc>
          <w:tcPr>
            <w:tcW w:w="4068" w:type="dxa"/>
            <w:tcBorders>
              <w:top w:val="single" w:sz="24" w:space="0" w:color="000000"/>
            </w:tcBorders>
          </w:tcPr>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 xml:space="preserve">1. Do you think the average </w:t>
            </w:r>
            <w:r w:rsidRPr="00F86D4D">
              <w:rPr>
                <w:rFonts w:ascii="Arial Narrow" w:hAnsi="Arial Narrow"/>
                <w:i/>
                <w:iCs/>
                <w:sz w:val="16"/>
                <w:szCs w:val="16"/>
              </w:rPr>
              <w:t xml:space="preserve">African American </w:t>
            </w:r>
            <w:r w:rsidRPr="00F86D4D">
              <w:rPr>
                <w:rFonts w:ascii="Arial Narrow" w:hAnsi="Arial Narrow"/>
                <w:sz w:val="16"/>
                <w:szCs w:val="16"/>
              </w:rPr>
              <w:t>is better off, worse off or just as well off as</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 xml:space="preserve">the average </w:t>
            </w:r>
            <w:r w:rsidRPr="00F86D4D">
              <w:rPr>
                <w:rFonts w:ascii="Arial Narrow" w:hAnsi="Arial Narrow"/>
                <w:i/>
                <w:iCs/>
                <w:sz w:val="16"/>
                <w:szCs w:val="16"/>
              </w:rPr>
              <w:t xml:space="preserve">white person </w:t>
            </w:r>
            <w:r w:rsidRPr="00F86D4D">
              <w:rPr>
                <w:rFonts w:ascii="Arial Narrow" w:hAnsi="Arial Narrow"/>
                <w:sz w:val="16"/>
                <w:szCs w:val="16"/>
              </w:rPr>
              <w:t>in terms of: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 xml:space="preserve"> </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b. infant mortality—that is, a baby’s chance of surviving after birth;</w:t>
            </w:r>
          </w:p>
          <w:p w:rsidR="0085285B" w:rsidRPr="00F86D4D" w:rsidRDefault="0085285B" w:rsidP="0046380E">
            <w:pPr>
              <w:rPr>
                <w:rFonts w:ascii="Arial Narrow" w:hAnsi="Arial Narrow"/>
                <w:sz w:val="16"/>
                <w:szCs w:val="16"/>
              </w:rPr>
            </w:pPr>
            <w:r w:rsidRPr="00F86D4D">
              <w:rPr>
                <w:rFonts w:ascii="Arial Narrow" w:hAnsi="Arial Narrow"/>
                <w:sz w:val="16"/>
                <w:szCs w:val="16"/>
              </w:rPr>
              <w:t>c. life expectancy—that is, how long someone can expect to live?</w:t>
            </w:r>
          </w:p>
        </w:tc>
        <w:tc>
          <w:tcPr>
            <w:tcW w:w="2070" w:type="dxa"/>
            <w:tcBorders>
              <w:top w:val="single" w:sz="24" w:space="0" w:color="000000"/>
            </w:tcBorders>
          </w:tcPr>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1. BETTER OFF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2. WORSE OFF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3. JUST AS WELL OFF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8. (DON’T KNOW)</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 xml:space="preserve">9. (REFUSED) </w:t>
            </w:r>
          </w:p>
          <w:p w:rsidR="0085285B" w:rsidRPr="00F86D4D" w:rsidRDefault="0085285B" w:rsidP="006D7C92">
            <w:pPr>
              <w:rPr>
                <w:rFonts w:ascii="Arial Narrow" w:hAnsi="Arial Narrow"/>
                <w:sz w:val="16"/>
                <w:szCs w:val="16"/>
              </w:rPr>
            </w:pPr>
          </w:p>
        </w:tc>
        <w:tc>
          <w:tcPr>
            <w:tcW w:w="1440" w:type="dxa"/>
            <w:tcBorders>
              <w:top w:val="single" w:sz="24" w:space="0" w:color="000000"/>
            </w:tcBorders>
          </w:tcPr>
          <w:p w:rsidR="0085285B" w:rsidRDefault="0085285B" w:rsidP="009732A0">
            <w:pPr>
              <w:jc w:val="center"/>
              <w:rPr>
                <w:rFonts w:ascii="Arial Narrow" w:hAnsi="Arial Narrow"/>
                <w:sz w:val="16"/>
                <w:szCs w:val="16"/>
                <w:lang w:val="es-ES"/>
              </w:rPr>
            </w:pPr>
          </w:p>
          <w:p w:rsidR="0085285B" w:rsidRDefault="0085285B" w:rsidP="009732A0">
            <w:pPr>
              <w:jc w:val="center"/>
              <w:rPr>
                <w:rFonts w:ascii="Arial Narrow" w:hAnsi="Arial Narrow"/>
                <w:sz w:val="16"/>
                <w:szCs w:val="16"/>
                <w:lang w:val="es-ES"/>
              </w:rPr>
            </w:pPr>
          </w:p>
          <w:p w:rsidR="0085285B" w:rsidRPr="00F86D4D" w:rsidRDefault="0085285B" w:rsidP="009732A0">
            <w:pPr>
              <w:jc w:val="center"/>
              <w:rPr>
                <w:rFonts w:ascii="Arial Narrow" w:hAnsi="Arial Narrow"/>
                <w:sz w:val="16"/>
                <w:szCs w:val="16"/>
              </w:rPr>
            </w:pPr>
            <w:r w:rsidRPr="00F86D4D">
              <w:rPr>
                <w:rFonts w:ascii="Arial Narrow" w:hAnsi="Arial Narrow"/>
                <w:sz w:val="16"/>
                <w:szCs w:val="16"/>
                <w:lang w:val="es-ES"/>
              </w:rPr>
              <w:t>Q11b-c</w:t>
            </w:r>
          </w:p>
        </w:tc>
      </w:tr>
      <w:tr w:rsidR="0085285B" w:rsidRPr="00F86D4D" w:rsidTr="003D4D53">
        <w:trPr>
          <w:jc w:val="center"/>
        </w:trPr>
        <w:tc>
          <w:tcPr>
            <w:tcW w:w="4068" w:type="dxa"/>
          </w:tcPr>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 xml:space="preserve">4. Do you think the average </w:t>
            </w:r>
            <w:r w:rsidRPr="00F86D4D">
              <w:rPr>
                <w:rFonts w:ascii="Arial Narrow" w:hAnsi="Arial Narrow"/>
                <w:i/>
                <w:iCs/>
                <w:sz w:val="16"/>
                <w:szCs w:val="16"/>
              </w:rPr>
              <w:t xml:space="preserve">African American </w:t>
            </w:r>
            <w:r w:rsidRPr="00F86D4D">
              <w:rPr>
                <w:rFonts w:ascii="Arial Narrow" w:hAnsi="Arial Narrow"/>
                <w:sz w:val="16"/>
                <w:szCs w:val="16"/>
              </w:rPr>
              <w:t>is better off, worse off or just as well off as</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 xml:space="preserve">the average </w:t>
            </w:r>
            <w:r w:rsidRPr="00F86D4D">
              <w:rPr>
                <w:rFonts w:ascii="Arial Narrow" w:hAnsi="Arial Narrow"/>
                <w:i/>
                <w:iCs/>
                <w:sz w:val="16"/>
                <w:szCs w:val="16"/>
              </w:rPr>
              <w:t xml:space="preserve">white person </w:t>
            </w:r>
            <w:r w:rsidRPr="00F86D4D">
              <w:rPr>
                <w:rFonts w:ascii="Arial Narrow" w:hAnsi="Arial Narrow"/>
                <w:sz w:val="16"/>
                <w:szCs w:val="16"/>
              </w:rPr>
              <w:t>in terms of:</w:t>
            </w:r>
          </w:p>
          <w:p w:rsidR="0085285B" w:rsidRDefault="0085285B" w:rsidP="00F86D4D">
            <w:pPr>
              <w:autoSpaceDE w:val="0"/>
              <w:autoSpaceDN w:val="0"/>
              <w:adjustRightInd w:val="0"/>
              <w:rPr>
                <w:rFonts w:ascii="Arial Narrow" w:hAnsi="Arial Narrow"/>
                <w:sz w:val="16"/>
                <w:szCs w:val="16"/>
              </w:rPr>
            </w:pPr>
          </w:p>
          <w:p w:rsidR="0085285B" w:rsidRPr="00F86D4D" w:rsidRDefault="0085285B" w:rsidP="009732A0">
            <w:pPr>
              <w:autoSpaceDE w:val="0"/>
              <w:autoSpaceDN w:val="0"/>
              <w:adjustRightInd w:val="0"/>
              <w:rPr>
                <w:rFonts w:ascii="Arial Narrow" w:hAnsi="Arial Narrow"/>
                <w:sz w:val="16"/>
                <w:szCs w:val="16"/>
              </w:rPr>
            </w:pPr>
            <w:r w:rsidRPr="00F86D4D">
              <w:rPr>
                <w:rFonts w:ascii="Arial Narrow" w:hAnsi="Arial Narrow"/>
                <w:sz w:val="16"/>
                <w:szCs w:val="16"/>
              </w:rPr>
              <w:t>d.</w:t>
            </w:r>
            <w:r>
              <w:rPr>
                <w:rFonts w:ascii="Arial Narrow" w:hAnsi="Arial Narrow"/>
                <w:sz w:val="16"/>
                <w:szCs w:val="16"/>
              </w:rPr>
              <w:t xml:space="preserve"> </w:t>
            </w:r>
            <w:r w:rsidRPr="00F86D4D">
              <w:rPr>
                <w:rFonts w:ascii="Arial Narrow" w:hAnsi="Arial Narrow"/>
                <w:sz w:val="16"/>
                <w:szCs w:val="16"/>
              </w:rPr>
              <w:t>having health insurance?</w:t>
            </w:r>
          </w:p>
        </w:tc>
        <w:tc>
          <w:tcPr>
            <w:tcW w:w="2070" w:type="dxa"/>
          </w:tcPr>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1. BETTER OFF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2. WORSE OFF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3. JUST AS WELL OFF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8. (DON’T KNOW)</w:t>
            </w:r>
          </w:p>
          <w:p w:rsidR="0085285B" w:rsidRPr="00F86D4D" w:rsidRDefault="0085285B" w:rsidP="00F86D4D">
            <w:pPr>
              <w:autoSpaceDE w:val="0"/>
              <w:autoSpaceDN w:val="0"/>
              <w:adjustRightInd w:val="0"/>
              <w:rPr>
                <w:rFonts w:ascii="Arial Narrow" w:hAnsi="Arial Narrow"/>
                <w:sz w:val="16"/>
                <w:szCs w:val="16"/>
              </w:rPr>
            </w:pPr>
            <w:r w:rsidRPr="00F86D4D">
              <w:rPr>
                <w:rFonts w:ascii="Arial Narrow" w:hAnsi="Arial Narrow"/>
                <w:sz w:val="16"/>
                <w:szCs w:val="16"/>
              </w:rPr>
              <w:t>9. (REFUSED)</w:t>
            </w:r>
          </w:p>
        </w:tc>
        <w:tc>
          <w:tcPr>
            <w:tcW w:w="1440" w:type="dxa"/>
          </w:tcPr>
          <w:p w:rsidR="0085285B" w:rsidRDefault="0085285B" w:rsidP="009732A0">
            <w:pPr>
              <w:jc w:val="center"/>
              <w:rPr>
                <w:rFonts w:ascii="Arial Narrow" w:hAnsi="Arial Narrow"/>
                <w:sz w:val="16"/>
                <w:szCs w:val="16"/>
                <w:lang w:val="es-ES"/>
              </w:rPr>
            </w:pPr>
          </w:p>
          <w:p w:rsidR="0085285B" w:rsidRDefault="0085285B" w:rsidP="009732A0">
            <w:pPr>
              <w:jc w:val="center"/>
              <w:rPr>
                <w:rFonts w:ascii="Arial Narrow" w:hAnsi="Arial Narrow"/>
                <w:sz w:val="16"/>
                <w:szCs w:val="16"/>
                <w:lang w:val="es-ES"/>
              </w:rPr>
            </w:pPr>
          </w:p>
          <w:p w:rsidR="0085285B" w:rsidRPr="00F86D4D" w:rsidRDefault="0085285B" w:rsidP="009732A0">
            <w:pPr>
              <w:jc w:val="center"/>
              <w:rPr>
                <w:rFonts w:ascii="Arial Narrow" w:hAnsi="Arial Narrow"/>
                <w:sz w:val="16"/>
                <w:szCs w:val="16"/>
              </w:rPr>
            </w:pPr>
            <w:r w:rsidRPr="00F86D4D">
              <w:rPr>
                <w:rFonts w:ascii="Arial Narrow" w:hAnsi="Arial Narrow"/>
                <w:sz w:val="16"/>
                <w:szCs w:val="16"/>
                <w:lang w:val="es-ES"/>
              </w:rPr>
              <w:t>Q15d</w:t>
            </w:r>
          </w:p>
        </w:tc>
      </w:tr>
      <w:tr w:rsidR="0085285B" w:rsidRPr="00F86D4D" w:rsidTr="003D4D53">
        <w:trPr>
          <w:trHeight w:val="1007"/>
          <w:jc w:val="center"/>
        </w:trPr>
        <w:tc>
          <w:tcPr>
            <w:tcW w:w="4068" w:type="dxa"/>
          </w:tcPr>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 xml:space="preserve"> </w:t>
            </w:r>
            <w:r w:rsidRPr="000A5868">
              <w:rPr>
                <w:rFonts w:ascii="Arial Narrow" w:hAnsi="Arial Narrow"/>
                <w:bCs/>
                <w:sz w:val="16"/>
                <w:szCs w:val="16"/>
              </w:rPr>
              <w:t>6.</w:t>
            </w:r>
            <w:r w:rsidRPr="00F86D4D">
              <w:rPr>
                <w:rFonts w:ascii="Arial Narrow" w:hAnsi="Arial Narrow"/>
                <w:b/>
                <w:bCs/>
                <w:sz w:val="16"/>
                <w:szCs w:val="16"/>
              </w:rPr>
              <w:t xml:space="preserve"> </w:t>
            </w:r>
            <w:r w:rsidRPr="00F86D4D">
              <w:rPr>
                <w:rFonts w:ascii="Arial Narrow" w:hAnsi="Arial Narrow"/>
                <w:sz w:val="16"/>
                <w:szCs w:val="16"/>
              </w:rPr>
              <w:t xml:space="preserve">Do you think the average </w:t>
            </w:r>
            <w:r w:rsidRPr="00F86D4D">
              <w:rPr>
                <w:rFonts w:ascii="Arial Narrow" w:hAnsi="Arial Narrow"/>
                <w:i/>
                <w:iCs/>
                <w:sz w:val="16"/>
                <w:szCs w:val="16"/>
              </w:rPr>
              <w:t xml:space="preserve">Hispanic/Latino </w:t>
            </w:r>
            <w:r w:rsidRPr="00F86D4D">
              <w:rPr>
                <w:rFonts w:ascii="Arial Narrow" w:hAnsi="Arial Narrow"/>
                <w:sz w:val="16"/>
                <w:szCs w:val="16"/>
              </w:rPr>
              <w:t>is better off, worse off or just as well off as the</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 xml:space="preserve">average </w:t>
            </w:r>
            <w:r w:rsidRPr="00F86D4D">
              <w:rPr>
                <w:rFonts w:ascii="Arial Narrow" w:hAnsi="Arial Narrow"/>
                <w:i/>
                <w:iCs/>
                <w:sz w:val="16"/>
                <w:szCs w:val="16"/>
              </w:rPr>
              <w:t xml:space="preserve">white person </w:t>
            </w:r>
            <w:r w:rsidRPr="00F86D4D">
              <w:rPr>
                <w:rFonts w:ascii="Arial Narrow" w:hAnsi="Arial Narrow"/>
                <w:sz w:val="16"/>
                <w:szCs w:val="16"/>
              </w:rPr>
              <w:t>in terms of: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b. infant mortality—that is, a baby’s chance of surviving after birth;</w:t>
            </w:r>
          </w:p>
          <w:p w:rsidR="0085285B" w:rsidRPr="00F86D4D" w:rsidRDefault="0085285B" w:rsidP="00F86D4D">
            <w:pPr>
              <w:autoSpaceDE w:val="0"/>
              <w:autoSpaceDN w:val="0"/>
              <w:adjustRightInd w:val="0"/>
              <w:rPr>
                <w:rFonts w:ascii="Arial Narrow" w:hAnsi="Arial Narrow"/>
                <w:sz w:val="16"/>
                <w:szCs w:val="16"/>
              </w:rPr>
            </w:pPr>
            <w:r w:rsidRPr="00F86D4D">
              <w:rPr>
                <w:rFonts w:ascii="Arial Narrow" w:hAnsi="Arial Narrow"/>
                <w:sz w:val="16"/>
                <w:szCs w:val="16"/>
              </w:rPr>
              <w:t>c. life expectancy—that is, how long someone can expect to live?</w:t>
            </w:r>
          </w:p>
        </w:tc>
        <w:tc>
          <w:tcPr>
            <w:tcW w:w="2070" w:type="dxa"/>
          </w:tcPr>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1. BETTER OFF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2. WORSE OFF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3. JUST AS WELL OFF</w:t>
            </w:r>
          </w:p>
          <w:p w:rsidR="0085285B" w:rsidRPr="00F86D4D" w:rsidRDefault="0085285B" w:rsidP="007027C8">
            <w:pPr>
              <w:autoSpaceDE w:val="0"/>
              <w:autoSpaceDN w:val="0"/>
              <w:adjustRightInd w:val="0"/>
              <w:rPr>
                <w:rFonts w:ascii="Arial Narrow" w:hAnsi="Arial Narrow"/>
                <w:sz w:val="16"/>
                <w:szCs w:val="16"/>
              </w:rPr>
            </w:pPr>
            <w:r w:rsidRPr="00F86D4D">
              <w:rPr>
                <w:rFonts w:ascii="Arial Narrow" w:hAnsi="Arial Narrow"/>
                <w:sz w:val="16"/>
                <w:szCs w:val="16"/>
              </w:rPr>
              <w:t>8. (DON’T KNOW)</w:t>
            </w:r>
          </w:p>
          <w:p w:rsidR="0085285B" w:rsidRPr="00F86D4D" w:rsidRDefault="0085285B" w:rsidP="00F86D4D">
            <w:pPr>
              <w:autoSpaceDE w:val="0"/>
              <w:autoSpaceDN w:val="0"/>
              <w:adjustRightInd w:val="0"/>
              <w:rPr>
                <w:rFonts w:ascii="Arial Narrow" w:hAnsi="Arial Narrow"/>
                <w:sz w:val="16"/>
                <w:szCs w:val="16"/>
              </w:rPr>
            </w:pPr>
            <w:r w:rsidRPr="00F86D4D">
              <w:rPr>
                <w:rFonts w:ascii="Arial Narrow" w:hAnsi="Arial Narrow"/>
                <w:sz w:val="16"/>
                <w:szCs w:val="16"/>
              </w:rPr>
              <w:t>9. (REFUSED)</w:t>
            </w:r>
          </w:p>
        </w:tc>
        <w:tc>
          <w:tcPr>
            <w:tcW w:w="1440" w:type="dxa"/>
          </w:tcPr>
          <w:p w:rsidR="0085285B" w:rsidRDefault="0085285B" w:rsidP="009732A0">
            <w:pPr>
              <w:jc w:val="center"/>
              <w:rPr>
                <w:rFonts w:ascii="Arial Narrow" w:hAnsi="Arial Narrow"/>
                <w:sz w:val="16"/>
                <w:szCs w:val="16"/>
                <w:lang w:val="es-ES"/>
              </w:rPr>
            </w:pPr>
          </w:p>
          <w:p w:rsidR="0085285B" w:rsidRDefault="0085285B" w:rsidP="009732A0">
            <w:pPr>
              <w:jc w:val="center"/>
              <w:rPr>
                <w:rFonts w:ascii="Arial Narrow" w:hAnsi="Arial Narrow"/>
                <w:sz w:val="16"/>
                <w:szCs w:val="16"/>
                <w:lang w:val="es-ES"/>
              </w:rPr>
            </w:pPr>
          </w:p>
          <w:p w:rsidR="0085285B" w:rsidRPr="00F86D4D" w:rsidRDefault="0085285B" w:rsidP="009732A0">
            <w:pPr>
              <w:jc w:val="center"/>
              <w:rPr>
                <w:rFonts w:ascii="Arial Narrow" w:hAnsi="Arial Narrow"/>
                <w:sz w:val="16"/>
                <w:szCs w:val="16"/>
              </w:rPr>
            </w:pPr>
            <w:r w:rsidRPr="00F86D4D">
              <w:rPr>
                <w:rFonts w:ascii="Arial Narrow" w:hAnsi="Arial Narrow"/>
                <w:sz w:val="16"/>
                <w:szCs w:val="16"/>
                <w:lang w:val="es-ES"/>
              </w:rPr>
              <w:t>Q16b-c</w:t>
            </w:r>
          </w:p>
        </w:tc>
      </w:tr>
      <w:tr w:rsidR="0085285B" w:rsidRPr="00F86D4D" w:rsidTr="003D4D53">
        <w:trPr>
          <w:jc w:val="center"/>
        </w:trPr>
        <w:tc>
          <w:tcPr>
            <w:tcW w:w="4068" w:type="dxa"/>
          </w:tcPr>
          <w:p w:rsidR="0085285B" w:rsidRPr="00F86D4D" w:rsidRDefault="0085285B" w:rsidP="0046380E">
            <w:pPr>
              <w:autoSpaceDE w:val="0"/>
              <w:autoSpaceDN w:val="0"/>
              <w:adjustRightInd w:val="0"/>
              <w:rPr>
                <w:rFonts w:ascii="Arial Narrow" w:hAnsi="Arial Narrow"/>
                <w:sz w:val="16"/>
                <w:szCs w:val="16"/>
              </w:rPr>
            </w:pPr>
            <w:r w:rsidRPr="00F86D4D">
              <w:rPr>
                <w:rFonts w:ascii="Arial Narrow" w:hAnsi="Arial Narrow"/>
                <w:sz w:val="16"/>
                <w:szCs w:val="16"/>
              </w:rPr>
              <w:t xml:space="preserve"> 10. Do you think the average </w:t>
            </w:r>
            <w:r w:rsidRPr="00F86D4D">
              <w:rPr>
                <w:rFonts w:ascii="Arial Narrow" w:hAnsi="Arial Narrow"/>
                <w:i/>
                <w:iCs/>
                <w:sz w:val="16"/>
                <w:szCs w:val="16"/>
              </w:rPr>
              <w:t xml:space="preserve">Hispanic/Latino </w:t>
            </w:r>
            <w:r w:rsidRPr="00F86D4D">
              <w:rPr>
                <w:rFonts w:ascii="Arial Narrow" w:hAnsi="Arial Narrow"/>
                <w:sz w:val="16"/>
                <w:szCs w:val="16"/>
              </w:rPr>
              <w:t>is better off, worse off or just as well off as the</w:t>
            </w:r>
          </w:p>
          <w:p w:rsidR="0085285B" w:rsidRPr="00F86D4D" w:rsidRDefault="0085285B" w:rsidP="0046380E">
            <w:pPr>
              <w:autoSpaceDE w:val="0"/>
              <w:autoSpaceDN w:val="0"/>
              <w:adjustRightInd w:val="0"/>
              <w:rPr>
                <w:rFonts w:ascii="Arial Narrow" w:hAnsi="Arial Narrow"/>
                <w:sz w:val="16"/>
                <w:szCs w:val="16"/>
              </w:rPr>
            </w:pPr>
            <w:r w:rsidRPr="00F86D4D">
              <w:rPr>
                <w:rFonts w:ascii="Arial Narrow" w:hAnsi="Arial Narrow"/>
                <w:sz w:val="16"/>
                <w:szCs w:val="16"/>
              </w:rPr>
              <w:t xml:space="preserve">average </w:t>
            </w:r>
            <w:r w:rsidRPr="00F86D4D">
              <w:rPr>
                <w:rFonts w:ascii="Arial Narrow" w:hAnsi="Arial Narrow"/>
                <w:i/>
                <w:iCs/>
                <w:sz w:val="16"/>
                <w:szCs w:val="16"/>
              </w:rPr>
              <w:t xml:space="preserve">white person </w:t>
            </w:r>
            <w:r w:rsidRPr="00F86D4D">
              <w:rPr>
                <w:rFonts w:ascii="Arial Narrow" w:hAnsi="Arial Narrow"/>
                <w:sz w:val="16"/>
                <w:szCs w:val="16"/>
              </w:rPr>
              <w:t>in terms of:</w:t>
            </w:r>
          </w:p>
          <w:p w:rsidR="0085285B" w:rsidRPr="00F86D4D" w:rsidRDefault="0085285B" w:rsidP="0046380E">
            <w:pPr>
              <w:autoSpaceDE w:val="0"/>
              <w:autoSpaceDN w:val="0"/>
              <w:adjustRightInd w:val="0"/>
              <w:rPr>
                <w:rFonts w:ascii="Arial Narrow" w:hAnsi="Arial Narrow"/>
                <w:sz w:val="16"/>
                <w:szCs w:val="16"/>
              </w:rPr>
            </w:pPr>
            <w:r w:rsidRPr="00F86D4D">
              <w:rPr>
                <w:rFonts w:ascii="Arial Narrow" w:hAnsi="Arial Narrow"/>
                <w:sz w:val="16"/>
                <w:szCs w:val="16"/>
              </w:rPr>
              <w:t>d. having health insurance?</w:t>
            </w:r>
          </w:p>
          <w:p w:rsidR="0085285B" w:rsidRPr="00F86D4D" w:rsidRDefault="0085285B" w:rsidP="006D7C92">
            <w:pPr>
              <w:rPr>
                <w:rFonts w:ascii="Arial Narrow" w:hAnsi="Arial Narrow"/>
                <w:sz w:val="16"/>
                <w:szCs w:val="16"/>
              </w:rPr>
            </w:pPr>
          </w:p>
        </w:tc>
        <w:tc>
          <w:tcPr>
            <w:tcW w:w="2070" w:type="dxa"/>
          </w:tcPr>
          <w:p w:rsidR="0085285B" w:rsidRPr="00F86D4D" w:rsidRDefault="0085285B" w:rsidP="0046380E">
            <w:pPr>
              <w:autoSpaceDE w:val="0"/>
              <w:autoSpaceDN w:val="0"/>
              <w:adjustRightInd w:val="0"/>
              <w:rPr>
                <w:rFonts w:ascii="Arial Narrow" w:hAnsi="Arial Narrow"/>
                <w:sz w:val="16"/>
                <w:szCs w:val="16"/>
              </w:rPr>
            </w:pPr>
            <w:r w:rsidRPr="00F86D4D">
              <w:rPr>
                <w:rFonts w:ascii="Arial Narrow" w:hAnsi="Arial Narrow"/>
                <w:sz w:val="16"/>
                <w:szCs w:val="16"/>
              </w:rPr>
              <w:t>1. BETTER OFF</w:t>
            </w:r>
          </w:p>
          <w:p w:rsidR="0085285B" w:rsidRPr="00F86D4D" w:rsidRDefault="0085285B" w:rsidP="0046380E">
            <w:pPr>
              <w:autoSpaceDE w:val="0"/>
              <w:autoSpaceDN w:val="0"/>
              <w:adjustRightInd w:val="0"/>
              <w:rPr>
                <w:rFonts w:ascii="Arial Narrow" w:hAnsi="Arial Narrow"/>
                <w:sz w:val="16"/>
                <w:szCs w:val="16"/>
              </w:rPr>
            </w:pPr>
            <w:r w:rsidRPr="00F86D4D">
              <w:rPr>
                <w:rFonts w:ascii="Arial Narrow" w:hAnsi="Arial Narrow"/>
                <w:sz w:val="16"/>
                <w:szCs w:val="16"/>
              </w:rPr>
              <w:t>2. WORSE OFF</w:t>
            </w:r>
          </w:p>
          <w:p w:rsidR="0085285B" w:rsidRPr="00F86D4D" w:rsidRDefault="0085285B" w:rsidP="0046380E">
            <w:pPr>
              <w:autoSpaceDE w:val="0"/>
              <w:autoSpaceDN w:val="0"/>
              <w:adjustRightInd w:val="0"/>
              <w:rPr>
                <w:rFonts w:ascii="Arial Narrow" w:hAnsi="Arial Narrow"/>
                <w:sz w:val="16"/>
                <w:szCs w:val="16"/>
              </w:rPr>
            </w:pPr>
            <w:r w:rsidRPr="00F86D4D">
              <w:rPr>
                <w:rFonts w:ascii="Arial Narrow" w:hAnsi="Arial Narrow"/>
                <w:sz w:val="16"/>
                <w:szCs w:val="16"/>
              </w:rPr>
              <w:t>3. JUST AS WELL OFF</w:t>
            </w:r>
          </w:p>
          <w:p w:rsidR="0085285B" w:rsidRPr="00F86D4D" w:rsidRDefault="0085285B" w:rsidP="0046380E">
            <w:pPr>
              <w:autoSpaceDE w:val="0"/>
              <w:autoSpaceDN w:val="0"/>
              <w:adjustRightInd w:val="0"/>
              <w:rPr>
                <w:rFonts w:ascii="Arial Narrow" w:hAnsi="Arial Narrow"/>
                <w:sz w:val="16"/>
                <w:szCs w:val="16"/>
              </w:rPr>
            </w:pPr>
            <w:r w:rsidRPr="00F86D4D">
              <w:rPr>
                <w:rFonts w:ascii="Arial Narrow" w:hAnsi="Arial Narrow"/>
                <w:sz w:val="16"/>
                <w:szCs w:val="16"/>
              </w:rPr>
              <w:t>8. (DON’T KNOW)</w:t>
            </w:r>
          </w:p>
          <w:p w:rsidR="0085285B" w:rsidRPr="00F86D4D" w:rsidRDefault="0085285B" w:rsidP="006D7C92">
            <w:pPr>
              <w:rPr>
                <w:rFonts w:ascii="Arial Narrow" w:hAnsi="Arial Narrow"/>
                <w:sz w:val="16"/>
                <w:szCs w:val="16"/>
              </w:rPr>
            </w:pPr>
            <w:r w:rsidRPr="00F86D4D">
              <w:rPr>
                <w:rFonts w:ascii="Arial Narrow" w:hAnsi="Arial Narrow"/>
                <w:sz w:val="16"/>
                <w:szCs w:val="16"/>
              </w:rPr>
              <w:t>9. (REFUSED)</w:t>
            </w:r>
          </w:p>
        </w:tc>
        <w:tc>
          <w:tcPr>
            <w:tcW w:w="1440" w:type="dxa"/>
          </w:tcPr>
          <w:p w:rsidR="0085285B" w:rsidRDefault="0085285B" w:rsidP="009732A0">
            <w:pPr>
              <w:jc w:val="center"/>
              <w:rPr>
                <w:rFonts w:ascii="Arial Narrow" w:hAnsi="Arial Narrow"/>
                <w:sz w:val="16"/>
                <w:szCs w:val="16"/>
                <w:lang w:val="es-ES"/>
              </w:rPr>
            </w:pPr>
          </w:p>
          <w:p w:rsidR="0085285B" w:rsidRPr="00F86D4D" w:rsidRDefault="0085285B" w:rsidP="009732A0">
            <w:pPr>
              <w:jc w:val="center"/>
              <w:rPr>
                <w:rFonts w:ascii="Arial Narrow" w:hAnsi="Arial Narrow"/>
                <w:sz w:val="16"/>
                <w:szCs w:val="16"/>
              </w:rPr>
            </w:pPr>
            <w:r w:rsidRPr="00F86D4D">
              <w:rPr>
                <w:rFonts w:ascii="Arial Narrow" w:hAnsi="Arial Narrow"/>
                <w:sz w:val="16"/>
                <w:szCs w:val="16"/>
                <w:lang w:val="es-ES"/>
              </w:rPr>
              <w:t>Q20d</w:t>
            </w:r>
          </w:p>
        </w:tc>
      </w:tr>
    </w:tbl>
    <w:p w:rsidR="0085285B" w:rsidRPr="002E39D2" w:rsidRDefault="0085285B" w:rsidP="00981E86">
      <w:pPr>
        <w:rPr>
          <w:sz w:val="22"/>
          <w:szCs w:val="22"/>
        </w:rPr>
      </w:pPr>
    </w:p>
    <w:p w:rsidR="0085285B" w:rsidRPr="002E39D2" w:rsidRDefault="0085285B" w:rsidP="00981E86">
      <w:pPr>
        <w:rPr>
          <w:sz w:val="22"/>
          <w:szCs w:val="22"/>
        </w:rPr>
      </w:pPr>
    </w:p>
    <w:p w:rsidR="0085285B" w:rsidRPr="002E39D2" w:rsidRDefault="0085285B" w:rsidP="00981E86">
      <w:pPr>
        <w:rPr>
          <w:sz w:val="22"/>
          <w:szCs w:val="22"/>
        </w:rPr>
      </w:pPr>
      <w:r w:rsidRPr="002E39D2">
        <w:rPr>
          <w:sz w:val="22"/>
          <w:szCs w:val="22"/>
        </w:rPr>
        <w:t xml:space="preserve">It is important to note that the core questions that were included in the 1999 survey were unaltered and included in the 2008 versions of the instrument so that comparisons could be made without introducing additional error to the computations.  The research team has also taken special care not only to replicate the items, but to place them in the relatively same order as they appeared in the 1999 survey instrument.  There are only small differences in terms of the placement of the core items, the 2008 questionnaire has the core items appearing slightly earlier than in 1999, but are not so far apart that would introduce any type of error or question order effects. </w:t>
      </w:r>
    </w:p>
    <w:p w:rsidR="0085285B" w:rsidRPr="002E39D2" w:rsidRDefault="0085285B" w:rsidP="00A33C78">
      <w:pPr>
        <w:rPr>
          <w:b/>
          <w:sz w:val="22"/>
          <w:szCs w:val="22"/>
        </w:rPr>
      </w:pPr>
    </w:p>
    <w:p w:rsidR="0085285B" w:rsidRPr="002E39D2" w:rsidRDefault="0085285B" w:rsidP="00A33C78">
      <w:pPr>
        <w:rPr>
          <w:b/>
          <w:sz w:val="22"/>
          <w:szCs w:val="22"/>
        </w:rPr>
      </w:pPr>
      <w:r w:rsidRPr="002E39D2">
        <w:rPr>
          <w:b/>
          <w:sz w:val="22"/>
          <w:szCs w:val="22"/>
        </w:rPr>
        <w:t>Method of Computing “Awareness” of Health Disparities</w:t>
      </w:r>
    </w:p>
    <w:p w:rsidR="0085285B" w:rsidRPr="002E39D2" w:rsidRDefault="0085285B" w:rsidP="00981E86">
      <w:pPr>
        <w:rPr>
          <w:sz w:val="22"/>
          <w:szCs w:val="22"/>
        </w:rPr>
      </w:pPr>
    </w:p>
    <w:p w:rsidR="0085285B" w:rsidRPr="002E39D2" w:rsidRDefault="0085285B" w:rsidP="00981E86">
      <w:pPr>
        <w:rPr>
          <w:sz w:val="22"/>
          <w:szCs w:val="22"/>
        </w:rPr>
      </w:pPr>
      <w:r w:rsidRPr="002E39D2">
        <w:rPr>
          <w:sz w:val="22"/>
          <w:szCs w:val="22"/>
        </w:rPr>
        <w:t xml:space="preserve">To compute the percentage of respondents that are aware of health disparities involves analyzing the responses to six questions that speak to the respondent’s knowledge of health disparities for a number of health outcomes and conditions.  A first step in computing awareness requires that response options for the six core items “better off” and “worse off” are recoded to “1” (indicating that the respondent is aware of a specific disparity) and the “same as” responses to “0” (indicating that the respondent does not perceive a disparity).  Next, an indicator variable is created which specifies a “1” if the respondent indicated that they perceived a disparity for any of the items focusing on specific disparities, and “0” for respondents that did not indicate that a disparity was present for any of the items. It should be noted that this method of creating a 0-1 indicator variable produces a variable for which the underlying distribution is binomial and the resulting estimates of the proportion of respondents coded “1” (i.e. those aware of more than one disparity in at least one subgroup) may be assessed in light of that distribution.  </w:t>
      </w:r>
    </w:p>
    <w:p w:rsidR="0085285B" w:rsidRPr="002E39D2" w:rsidRDefault="0085285B" w:rsidP="00A33C78">
      <w:pPr>
        <w:rPr>
          <w:sz w:val="22"/>
          <w:szCs w:val="22"/>
        </w:rPr>
      </w:pPr>
    </w:p>
    <w:p w:rsidR="0085285B" w:rsidRPr="002E39D2" w:rsidRDefault="0085285B" w:rsidP="00A33C78">
      <w:pPr>
        <w:rPr>
          <w:b/>
          <w:sz w:val="22"/>
          <w:szCs w:val="22"/>
        </w:rPr>
      </w:pPr>
      <w:r w:rsidRPr="002E39D2">
        <w:rPr>
          <w:b/>
          <w:sz w:val="22"/>
          <w:szCs w:val="22"/>
        </w:rPr>
        <w:t>Rationale for Selecting the Sample Size and Expected Power</w:t>
      </w:r>
    </w:p>
    <w:p w:rsidR="0085285B" w:rsidRPr="002E39D2" w:rsidRDefault="0085285B" w:rsidP="007F6767">
      <w:pPr>
        <w:rPr>
          <w:sz w:val="22"/>
          <w:szCs w:val="22"/>
        </w:rPr>
      </w:pPr>
    </w:p>
    <w:p w:rsidR="0085285B" w:rsidRPr="002E39D2" w:rsidRDefault="0085285B" w:rsidP="007F6767">
      <w:pPr>
        <w:rPr>
          <w:sz w:val="22"/>
          <w:szCs w:val="22"/>
        </w:rPr>
      </w:pPr>
      <w:r w:rsidRPr="002E39D2">
        <w:rPr>
          <w:sz w:val="22"/>
          <w:szCs w:val="22"/>
        </w:rPr>
        <w:t>The 1999 study had a sample size of 3,884 with a design effect (DEFF)</w:t>
      </w:r>
      <w:r w:rsidRPr="002E39D2">
        <w:rPr>
          <w:rStyle w:val="FootnoteReference"/>
          <w:sz w:val="22"/>
          <w:szCs w:val="22"/>
        </w:rPr>
        <w:footnoteReference w:id="2"/>
      </w:r>
      <w:r w:rsidRPr="002E39D2">
        <w:rPr>
          <w:sz w:val="22"/>
          <w:szCs w:val="22"/>
        </w:rPr>
        <w:t xml:space="preserve"> of 2.11.  If the exact sample size and design effect were replicated for the 2008 survey, the power to detect a difference of at least two (2) percentage points would be approximately 29 percent.  Given that the 1999 sample cannot be modified (i.e., increased), the research team considered increasing the sample size for the 2008 data collection and found that increasing the sample has limited effects on the power to detect differences (see Exhibit 2 below).  </w:t>
      </w:r>
    </w:p>
    <w:p w:rsidR="0085285B" w:rsidRPr="002E39D2" w:rsidRDefault="0085285B" w:rsidP="007F6767">
      <w:pPr>
        <w:rPr>
          <w:sz w:val="22"/>
          <w:szCs w:val="22"/>
        </w:rPr>
      </w:pPr>
    </w:p>
    <w:p w:rsidR="0085285B" w:rsidRPr="002E39D2" w:rsidRDefault="0085285B" w:rsidP="009732A0">
      <w:pPr>
        <w:rPr>
          <w:b/>
          <w:sz w:val="22"/>
          <w:szCs w:val="22"/>
        </w:rPr>
      </w:pPr>
      <w:r w:rsidRPr="002E39D2">
        <w:rPr>
          <w:b/>
          <w:sz w:val="22"/>
          <w:szCs w:val="22"/>
        </w:rPr>
        <w:t xml:space="preserve">Exhibit 2:  Sample Size and Power Required to Detect Two Percentage Point          </w:t>
      </w:r>
    </w:p>
    <w:p w:rsidR="0085285B" w:rsidRPr="002E39D2" w:rsidRDefault="0085285B" w:rsidP="009732A0">
      <w:pPr>
        <w:rPr>
          <w:b/>
          <w:sz w:val="22"/>
          <w:szCs w:val="22"/>
        </w:rPr>
      </w:pPr>
      <w:r w:rsidRPr="002E39D2">
        <w:rPr>
          <w:b/>
          <w:sz w:val="22"/>
          <w:szCs w:val="22"/>
        </w:rPr>
        <w:t xml:space="preserve">                   Difference Between 1999 and 2008 </w:t>
      </w:r>
    </w:p>
    <w:p w:rsidR="0085285B" w:rsidRPr="00B43011" w:rsidRDefault="0085285B" w:rsidP="009732A0">
      <w:pPr>
        <w:rPr>
          <w:b/>
        </w:rPr>
      </w:pPr>
    </w:p>
    <w:tbl>
      <w:tblPr>
        <w:tblW w:w="0" w:type="auto"/>
        <w:tblInd w:w="1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tblPr>
      <w:tblGrid>
        <w:gridCol w:w="6405"/>
      </w:tblGrid>
      <w:tr w:rsidR="0085285B" w:rsidTr="00ED66BF">
        <w:tblPrEx>
          <w:tblCellMar>
            <w:top w:w="0" w:type="dxa"/>
            <w:bottom w:w="0" w:type="dxa"/>
          </w:tblCellMar>
        </w:tblPrEx>
        <w:trPr>
          <w:trHeight w:val="3585"/>
        </w:trPr>
        <w:tc>
          <w:tcPr>
            <w:tcW w:w="6405" w:type="dxa"/>
          </w:tcPr>
          <w:p w:rsidR="0085285B" w:rsidRDefault="0085285B" w:rsidP="00ED66BF">
            <w:pPr>
              <w:ind w:firstLine="720"/>
            </w:pPr>
          </w:p>
          <w:tbl>
            <w:tblPr>
              <w:tblW w:w="0" w:type="auto"/>
              <w:jc w:val="center"/>
              <w:tblBorders>
                <w:insideH w:val="single" w:sz="4" w:space="0" w:color="000000"/>
                <w:insideV w:val="single" w:sz="4" w:space="0" w:color="000000"/>
              </w:tblBorders>
              <w:tblLook w:val="04A0"/>
            </w:tblPr>
            <w:tblGrid>
              <w:gridCol w:w="996"/>
              <w:gridCol w:w="1109"/>
              <w:gridCol w:w="1076"/>
              <w:gridCol w:w="1129"/>
              <w:tblGridChange w:id="0">
                <w:tblGrid>
                  <w:gridCol w:w="996"/>
                  <w:gridCol w:w="1109"/>
                  <w:gridCol w:w="1076"/>
                  <w:gridCol w:w="1129"/>
                </w:tblGrid>
              </w:tblGridChange>
            </w:tblGrid>
            <w:tr w:rsidR="0085285B" w:rsidRPr="00DB5B3E" w:rsidTr="003F18E4">
              <w:trPr>
                <w:jc w:val="center"/>
              </w:trPr>
              <w:tc>
                <w:tcPr>
                  <w:tcW w:w="996" w:type="dxa"/>
                  <w:tcBorders>
                    <w:left w:val="nil"/>
                    <w:bottom w:val="single" w:sz="4" w:space="0" w:color="000000"/>
                    <w:right w:val="single" w:sz="24" w:space="0" w:color="000000"/>
                  </w:tcBorders>
                </w:tcPr>
                <w:p w:rsidR="0085285B" w:rsidRPr="00DB5B3E" w:rsidRDefault="0085285B" w:rsidP="003F18E4">
                  <w:pPr>
                    <w:jc w:val="center"/>
                    <w:rPr>
                      <w:b/>
                      <w:sz w:val="20"/>
                      <w:szCs w:val="20"/>
                    </w:rPr>
                  </w:pPr>
                </w:p>
                <w:p w:rsidR="0085285B" w:rsidRPr="00DB5B3E" w:rsidRDefault="0085285B" w:rsidP="003F18E4">
                  <w:pPr>
                    <w:jc w:val="center"/>
                    <w:rPr>
                      <w:b/>
                      <w:sz w:val="20"/>
                      <w:szCs w:val="20"/>
                    </w:rPr>
                  </w:pPr>
                  <w:r w:rsidRPr="00DB5B3E">
                    <w:rPr>
                      <w:b/>
                      <w:sz w:val="20"/>
                      <w:szCs w:val="20"/>
                    </w:rPr>
                    <w:t>Sample Size</w:t>
                  </w:r>
                </w:p>
              </w:tc>
              <w:tc>
                <w:tcPr>
                  <w:tcW w:w="1109" w:type="dxa"/>
                  <w:tcBorders>
                    <w:left w:val="single" w:sz="4" w:space="0" w:color="000000"/>
                    <w:bottom w:val="single" w:sz="4" w:space="0" w:color="000000"/>
                  </w:tcBorders>
                </w:tcPr>
                <w:p w:rsidR="0085285B" w:rsidRPr="00DB5B3E" w:rsidRDefault="0085285B" w:rsidP="003F18E4">
                  <w:pPr>
                    <w:jc w:val="center"/>
                    <w:rPr>
                      <w:b/>
                      <w:sz w:val="20"/>
                      <w:szCs w:val="20"/>
                    </w:rPr>
                  </w:pPr>
                </w:p>
                <w:p w:rsidR="0085285B" w:rsidRPr="00DB5B3E" w:rsidRDefault="0085285B" w:rsidP="003F18E4">
                  <w:pPr>
                    <w:jc w:val="center"/>
                    <w:rPr>
                      <w:b/>
                      <w:sz w:val="20"/>
                      <w:szCs w:val="20"/>
                    </w:rPr>
                  </w:pPr>
                  <w:r w:rsidRPr="00DB5B3E">
                    <w:rPr>
                      <w:b/>
                      <w:sz w:val="20"/>
                      <w:szCs w:val="20"/>
                    </w:rPr>
                    <w:t>Expected Power*</w:t>
                  </w:r>
                </w:p>
              </w:tc>
              <w:tc>
                <w:tcPr>
                  <w:tcW w:w="1076" w:type="dxa"/>
                  <w:tcBorders>
                    <w:left w:val="single" w:sz="4" w:space="0" w:color="000000"/>
                    <w:bottom w:val="single" w:sz="4" w:space="0" w:color="000000"/>
                    <w:right w:val="single" w:sz="24" w:space="0" w:color="000000"/>
                  </w:tcBorders>
                </w:tcPr>
                <w:p w:rsidR="0085285B" w:rsidRPr="00DB5B3E" w:rsidRDefault="0085285B" w:rsidP="003F18E4">
                  <w:pPr>
                    <w:jc w:val="center"/>
                    <w:rPr>
                      <w:b/>
                      <w:sz w:val="20"/>
                      <w:szCs w:val="20"/>
                    </w:rPr>
                  </w:pPr>
                </w:p>
                <w:p w:rsidR="0085285B" w:rsidRPr="00DB5B3E" w:rsidRDefault="0085285B" w:rsidP="003F18E4">
                  <w:pPr>
                    <w:jc w:val="center"/>
                    <w:rPr>
                      <w:b/>
                      <w:sz w:val="20"/>
                      <w:szCs w:val="20"/>
                    </w:rPr>
                  </w:pPr>
                  <w:r w:rsidRPr="00DB5B3E">
                    <w:rPr>
                      <w:b/>
                      <w:sz w:val="20"/>
                      <w:szCs w:val="20"/>
                    </w:rPr>
                    <w:t>Increase in Power</w:t>
                  </w:r>
                </w:p>
              </w:tc>
              <w:tc>
                <w:tcPr>
                  <w:tcW w:w="1129" w:type="dxa"/>
                  <w:tcBorders>
                    <w:left w:val="single" w:sz="24" w:space="0" w:color="000000"/>
                    <w:bottom w:val="single" w:sz="4" w:space="0" w:color="000000"/>
                  </w:tcBorders>
                </w:tcPr>
                <w:p w:rsidR="0085285B" w:rsidRPr="00DB5B3E" w:rsidRDefault="0085285B" w:rsidP="003F18E4">
                  <w:pPr>
                    <w:jc w:val="center"/>
                    <w:rPr>
                      <w:b/>
                      <w:sz w:val="20"/>
                      <w:szCs w:val="20"/>
                    </w:rPr>
                  </w:pPr>
                  <w:r w:rsidRPr="00DB5B3E">
                    <w:rPr>
                      <w:b/>
                      <w:sz w:val="20"/>
                      <w:szCs w:val="20"/>
                    </w:rPr>
                    <w:t xml:space="preserve">Required Sample Increase </w:t>
                  </w:r>
                </w:p>
              </w:tc>
            </w:tr>
            <w:tr w:rsidR="0085285B" w:rsidTr="003F18E4">
              <w:trPr>
                <w:jc w:val="center"/>
              </w:trPr>
              <w:tc>
                <w:tcPr>
                  <w:tcW w:w="996" w:type="dxa"/>
                  <w:tcBorders>
                    <w:top w:val="single" w:sz="24" w:space="0" w:color="000000"/>
                    <w:left w:val="nil"/>
                    <w:bottom w:val="single" w:sz="4" w:space="0" w:color="000000"/>
                    <w:right w:val="single" w:sz="24" w:space="0" w:color="000000"/>
                  </w:tcBorders>
                </w:tcPr>
                <w:p w:rsidR="0085285B" w:rsidRDefault="0085285B" w:rsidP="003F18E4">
                  <w:pPr>
                    <w:jc w:val="center"/>
                  </w:pPr>
                  <w:r>
                    <w:t>3,884</w:t>
                  </w:r>
                </w:p>
              </w:tc>
              <w:tc>
                <w:tcPr>
                  <w:tcW w:w="1109" w:type="dxa"/>
                  <w:tcBorders>
                    <w:top w:val="single" w:sz="24" w:space="0" w:color="000000"/>
                    <w:left w:val="single" w:sz="4" w:space="0" w:color="000000"/>
                    <w:bottom w:val="single" w:sz="4" w:space="0" w:color="000000"/>
                  </w:tcBorders>
                </w:tcPr>
                <w:p w:rsidR="0085285B" w:rsidRDefault="0085285B" w:rsidP="003F18E4">
                  <w:pPr>
                    <w:jc w:val="center"/>
                  </w:pPr>
                  <w:r>
                    <w:t>29</w:t>
                  </w:r>
                </w:p>
              </w:tc>
              <w:tc>
                <w:tcPr>
                  <w:tcW w:w="1076" w:type="dxa"/>
                  <w:tcBorders>
                    <w:top w:val="single" w:sz="24" w:space="0" w:color="000000"/>
                    <w:left w:val="single" w:sz="4" w:space="0" w:color="000000"/>
                    <w:bottom w:val="single" w:sz="4" w:space="0" w:color="000000"/>
                    <w:right w:val="single" w:sz="24" w:space="0" w:color="000000"/>
                  </w:tcBorders>
                </w:tcPr>
                <w:p w:rsidR="0085285B" w:rsidRDefault="0085285B" w:rsidP="003F18E4">
                  <w:pPr>
                    <w:jc w:val="center"/>
                  </w:pPr>
                  <w:r>
                    <w:t xml:space="preserve">   0</w:t>
                  </w:r>
                </w:p>
              </w:tc>
              <w:tc>
                <w:tcPr>
                  <w:tcW w:w="1129" w:type="dxa"/>
                  <w:tcBorders>
                    <w:top w:val="single" w:sz="24" w:space="0" w:color="000000"/>
                    <w:left w:val="single" w:sz="24" w:space="0" w:color="000000"/>
                    <w:bottom w:val="single" w:sz="4" w:space="0" w:color="000000"/>
                  </w:tcBorders>
                </w:tcPr>
                <w:p w:rsidR="0085285B" w:rsidRDefault="0085285B" w:rsidP="00DB5B3E">
                  <w:r>
                    <w:t xml:space="preserve">            0</w:t>
                  </w:r>
                </w:p>
              </w:tc>
            </w:tr>
            <w:tr w:rsidR="0085285B" w:rsidTr="003F18E4">
              <w:trPr>
                <w:jc w:val="center"/>
              </w:trPr>
              <w:tc>
                <w:tcPr>
                  <w:tcW w:w="996" w:type="dxa"/>
                  <w:tcBorders>
                    <w:top w:val="single" w:sz="4" w:space="0" w:color="000000"/>
                    <w:left w:val="nil"/>
                    <w:bottom w:val="single" w:sz="4" w:space="0" w:color="000000"/>
                    <w:right w:val="single" w:sz="24" w:space="0" w:color="000000"/>
                  </w:tcBorders>
                  <w:shd w:val="pct20" w:color="auto" w:fill="auto"/>
                </w:tcPr>
                <w:p w:rsidR="0085285B" w:rsidRDefault="0085285B" w:rsidP="00807D2C">
                  <w:pPr>
                    <w:jc w:val="center"/>
                  </w:pPr>
                  <w:r>
                    <w:t>4,460</w:t>
                  </w:r>
                </w:p>
              </w:tc>
              <w:tc>
                <w:tcPr>
                  <w:tcW w:w="1109" w:type="dxa"/>
                  <w:tcBorders>
                    <w:top w:val="single" w:sz="4" w:space="0" w:color="000000"/>
                    <w:left w:val="single" w:sz="4" w:space="0" w:color="000000"/>
                    <w:bottom w:val="single" w:sz="4" w:space="0" w:color="000000"/>
                  </w:tcBorders>
                  <w:shd w:val="pct20" w:color="auto" w:fill="auto"/>
                </w:tcPr>
                <w:p w:rsidR="0085285B" w:rsidRDefault="0085285B" w:rsidP="003F18E4">
                  <w:pPr>
                    <w:jc w:val="center"/>
                  </w:pPr>
                  <w:r>
                    <w:t>57</w:t>
                  </w:r>
                </w:p>
              </w:tc>
              <w:tc>
                <w:tcPr>
                  <w:tcW w:w="1076" w:type="dxa"/>
                  <w:tcBorders>
                    <w:top w:val="single" w:sz="4" w:space="0" w:color="000000"/>
                    <w:left w:val="single" w:sz="4" w:space="0" w:color="000000"/>
                    <w:bottom w:val="single" w:sz="4" w:space="0" w:color="000000"/>
                    <w:right w:val="single" w:sz="24" w:space="0" w:color="000000"/>
                  </w:tcBorders>
                  <w:shd w:val="pct20" w:color="auto" w:fill="auto"/>
                </w:tcPr>
                <w:p w:rsidR="0085285B" w:rsidRDefault="0085285B" w:rsidP="003F18E4">
                  <w:r>
                    <w:t xml:space="preserve">    +05</w:t>
                  </w:r>
                </w:p>
              </w:tc>
              <w:tc>
                <w:tcPr>
                  <w:tcW w:w="1129" w:type="dxa"/>
                  <w:tcBorders>
                    <w:top w:val="single" w:sz="4" w:space="0" w:color="000000"/>
                    <w:left w:val="single" w:sz="24" w:space="0" w:color="000000"/>
                    <w:bottom w:val="single" w:sz="4" w:space="0" w:color="000000"/>
                  </w:tcBorders>
                  <w:shd w:val="pct20" w:color="auto" w:fill="auto"/>
                </w:tcPr>
                <w:p w:rsidR="0085285B" w:rsidRDefault="0085285B" w:rsidP="003F18E4">
                  <w:pPr>
                    <w:jc w:val="center"/>
                  </w:pPr>
                  <w:r>
                    <w:t xml:space="preserve">   1,116</w:t>
                  </w:r>
                </w:p>
              </w:tc>
            </w:tr>
            <w:tr w:rsidR="0085285B" w:rsidTr="003F18E4">
              <w:trPr>
                <w:jc w:val="center"/>
              </w:trPr>
              <w:tc>
                <w:tcPr>
                  <w:tcW w:w="996" w:type="dxa"/>
                  <w:tcBorders>
                    <w:top w:val="single" w:sz="4" w:space="0" w:color="000000"/>
                    <w:left w:val="nil"/>
                    <w:bottom w:val="single" w:sz="4" w:space="0" w:color="000000"/>
                    <w:right w:val="single" w:sz="24" w:space="0" w:color="000000"/>
                  </w:tcBorders>
                </w:tcPr>
                <w:p w:rsidR="0085285B" w:rsidRDefault="0085285B" w:rsidP="003F18E4">
                  <w:pPr>
                    <w:jc w:val="center"/>
                  </w:pPr>
                  <w:r>
                    <w:t>7,500</w:t>
                  </w:r>
                </w:p>
              </w:tc>
              <w:tc>
                <w:tcPr>
                  <w:tcW w:w="1109" w:type="dxa"/>
                  <w:tcBorders>
                    <w:top w:val="single" w:sz="4" w:space="0" w:color="000000"/>
                    <w:left w:val="single" w:sz="4" w:space="0" w:color="000000"/>
                    <w:bottom w:val="single" w:sz="4" w:space="0" w:color="000000"/>
                  </w:tcBorders>
                </w:tcPr>
                <w:p w:rsidR="0085285B" w:rsidRDefault="0085285B" w:rsidP="003F18E4">
                  <w:pPr>
                    <w:jc w:val="center"/>
                  </w:pPr>
                  <w:r>
                    <w:t>64</w:t>
                  </w:r>
                </w:p>
              </w:tc>
              <w:tc>
                <w:tcPr>
                  <w:tcW w:w="1076" w:type="dxa"/>
                  <w:tcBorders>
                    <w:top w:val="single" w:sz="4" w:space="0" w:color="000000"/>
                    <w:left w:val="single" w:sz="4" w:space="0" w:color="000000"/>
                    <w:bottom w:val="single" w:sz="4" w:space="0" w:color="000000"/>
                    <w:right w:val="single" w:sz="24" w:space="0" w:color="000000"/>
                  </w:tcBorders>
                </w:tcPr>
                <w:p w:rsidR="0085285B" w:rsidRDefault="0085285B" w:rsidP="003F18E4">
                  <w:pPr>
                    <w:jc w:val="center"/>
                  </w:pPr>
                  <w:r>
                    <w:t>+12</w:t>
                  </w:r>
                </w:p>
              </w:tc>
              <w:tc>
                <w:tcPr>
                  <w:tcW w:w="1129" w:type="dxa"/>
                  <w:tcBorders>
                    <w:top w:val="single" w:sz="4" w:space="0" w:color="000000"/>
                    <w:left w:val="single" w:sz="24" w:space="0" w:color="000000"/>
                    <w:bottom w:val="single" w:sz="4" w:space="0" w:color="000000"/>
                  </w:tcBorders>
                </w:tcPr>
                <w:p w:rsidR="0085285B" w:rsidRDefault="0085285B" w:rsidP="003F18E4">
                  <w:pPr>
                    <w:jc w:val="center"/>
                  </w:pPr>
                  <w:r>
                    <w:t xml:space="preserve">   3,616</w:t>
                  </w:r>
                </w:p>
              </w:tc>
            </w:tr>
            <w:tr w:rsidR="0085285B" w:rsidTr="003F18E4">
              <w:trPr>
                <w:jc w:val="center"/>
              </w:trPr>
              <w:tc>
                <w:tcPr>
                  <w:tcW w:w="996" w:type="dxa"/>
                  <w:tcBorders>
                    <w:top w:val="single" w:sz="4" w:space="0" w:color="000000"/>
                    <w:left w:val="nil"/>
                    <w:bottom w:val="single" w:sz="4" w:space="0" w:color="000000"/>
                    <w:right w:val="single" w:sz="24" w:space="0" w:color="000000"/>
                  </w:tcBorders>
                </w:tcPr>
                <w:p w:rsidR="0085285B" w:rsidRDefault="0085285B" w:rsidP="003F18E4">
                  <w:pPr>
                    <w:jc w:val="center"/>
                  </w:pPr>
                  <w:r>
                    <w:t>10,000</w:t>
                  </w:r>
                </w:p>
              </w:tc>
              <w:tc>
                <w:tcPr>
                  <w:tcW w:w="1109" w:type="dxa"/>
                  <w:tcBorders>
                    <w:top w:val="single" w:sz="4" w:space="0" w:color="000000"/>
                    <w:left w:val="single" w:sz="4" w:space="0" w:color="000000"/>
                    <w:bottom w:val="single" w:sz="4" w:space="0" w:color="000000"/>
                  </w:tcBorders>
                </w:tcPr>
                <w:p w:rsidR="0085285B" w:rsidRDefault="0085285B" w:rsidP="003F18E4">
                  <w:pPr>
                    <w:jc w:val="center"/>
                  </w:pPr>
                  <w:r>
                    <w:t>68</w:t>
                  </w:r>
                </w:p>
              </w:tc>
              <w:tc>
                <w:tcPr>
                  <w:tcW w:w="1076" w:type="dxa"/>
                  <w:tcBorders>
                    <w:top w:val="single" w:sz="4" w:space="0" w:color="000000"/>
                    <w:left w:val="single" w:sz="4" w:space="0" w:color="000000"/>
                    <w:bottom w:val="single" w:sz="4" w:space="0" w:color="000000"/>
                    <w:right w:val="single" w:sz="24" w:space="0" w:color="000000"/>
                  </w:tcBorders>
                </w:tcPr>
                <w:p w:rsidR="0085285B" w:rsidRDefault="0085285B" w:rsidP="003F18E4">
                  <w:pPr>
                    <w:jc w:val="center"/>
                  </w:pPr>
                  <w:r>
                    <w:t>+16</w:t>
                  </w:r>
                </w:p>
              </w:tc>
              <w:tc>
                <w:tcPr>
                  <w:tcW w:w="1129" w:type="dxa"/>
                  <w:tcBorders>
                    <w:top w:val="single" w:sz="4" w:space="0" w:color="000000"/>
                    <w:left w:val="single" w:sz="24" w:space="0" w:color="000000"/>
                    <w:bottom w:val="single" w:sz="4" w:space="0" w:color="000000"/>
                  </w:tcBorders>
                </w:tcPr>
                <w:p w:rsidR="0085285B" w:rsidRDefault="0085285B" w:rsidP="003F18E4">
                  <w:pPr>
                    <w:jc w:val="center"/>
                  </w:pPr>
                  <w:r>
                    <w:t xml:space="preserve">    6,116</w:t>
                  </w:r>
                </w:p>
              </w:tc>
            </w:tr>
            <w:tr w:rsidR="0085285B" w:rsidTr="003F18E4">
              <w:trPr>
                <w:jc w:val="center"/>
              </w:trPr>
              <w:tc>
                <w:tcPr>
                  <w:tcW w:w="996" w:type="dxa"/>
                  <w:tcBorders>
                    <w:top w:val="single" w:sz="4" w:space="0" w:color="000000"/>
                    <w:left w:val="nil"/>
                    <w:bottom w:val="single" w:sz="4" w:space="0" w:color="000000"/>
                    <w:right w:val="single" w:sz="24" w:space="0" w:color="000000"/>
                  </w:tcBorders>
                </w:tcPr>
                <w:p w:rsidR="0085285B" w:rsidRDefault="0085285B" w:rsidP="003F18E4">
                  <w:pPr>
                    <w:jc w:val="center"/>
                  </w:pPr>
                  <w:r>
                    <w:t>15,340</w:t>
                  </w:r>
                </w:p>
              </w:tc>
              <w:tc>
                <w:tcPr>
                  <w:tcW w:w="1109" w:type="dxa"/>
                  <w:tcBorders>
                    <w:top w:val="single" w:sz="4" w:space="0" w:color="000000"/>
                    <w:left w:val="single" w:sz="4" w:space="0" w:color="000000"/>
                    <w:bottom w:val="single" w:sz="4" w:space="0" w:color="000000"/>
                  </w:tcBorders>
                </w:tcPr>
                <w:p w:rsidR="0085285B" w:rsidRDefault="0085285B" w:rsidP="003F18E4">
                  <w:pPr>
                    <w:jc w:val="center"/>
                  </w:pPr>
                  <w:r>
                    <w:t>72</w:t>
                  </w:r>
                </w:p>
              </w:tc>
              <w:tc>
                <w:tcPr>
                  <w:tcW w:w="1076" w:type="dxa"/>
                  <w:tcBorders>
                    <w:top w:val="single" w:sz="4" w:space="0" w:color="000000"/>
                    <w:left w:val="single" w:sz="4" w:space="0" w:color="000000"/>
                    <w:bottom w:val="single" w:sz="4" w:space="0" w:color="000000"/>
                    <w:right w:val="single" w:sz="24" w:space="0" w:color="000000"/>
                  </w:tcBorders>
                </w:tcPr>
                <w:p w:rsidR="0085285B" w:rsidRDefault="0085285B" w:rsidP="003F18E4">
                  <w:pPr>
                    <w:jc w:val="center"/>
                  </w:pPr>
                  <w:r>
                    <w:t>+20</w:t>
                  </w:r>
                </w:p>
              </w:tc>
              <w:tc>
                <w:tcPr>
                  <w:tcW w:w="1129" w:type="dxa"/>
                  <w:tcBorders>
                    <w:top w:val="single" w:sz="4" w:space="0" w:color="000000"/>
                    <w:left w:val="single" w:sz="24" w:space="0" w:color="000000"/>
                    <w:bottom w:val="single" w:sz="4" w:space="0" w:color="000000"/>
                  </w:tcBorders>
                </w:tcPr>
                <w:p w:rsidR="0085285B" w:rsidRDefault="0085285B" w:rsidP="003F18E4">
                  <w:pPr>
                    <w:jc w:val="center"/>
                  </w:pPr>
                  <w:r>
                    <w:t xml:space="preserve">  11,456</w:t>
                  </w:r>
                </w:p>
              </w:tc>
            </w:tr>
            <w:tr w:rsidR="0085285B" w:rsidTr="003F18E4">
              <w:trPr>
                <w:jc w:val="center"/>
              </w:trPr>
              <w:tc>
                <w:tcPr>
                  <w:tcW w:w="996" w:type="dxa"/>
                  <w:tcBorders>
                    <w:top w:val="single" w:sz="4" w:space="0" w:color="000000"/>
                    <w:left w:val="nil"/>
                    <w:right w:val="single" w:sz="24" w:space="0" w:color="000000"/>
                  </w:tcBorders>
                </w:tcPr>
                <w:p w:rsidR="0085285B" w:rsidRDefault="0085285B" w:rsidP="003F18E4">
                  <w:pPr>
                    <w:jc w:val="center"/>
                  </w:pPr>
                  <w:r>
                    <w:t>139,900</w:t>
                  </w:r>
                </w:p>
              </w:tc>
              <w:tc>
                <w:tcPr>
                  <w:tcW w:w="1109" w:type="dxa"/>
                  <w:tcBorders>
                    <w:top w:val="single" w:sz="4" w:space="0" w:color="000000"/>
                    <w:left w:val="single" w:sz="4" w:space="0" w:color="000000"/>
                  </w:tcBorders>
                </w:tcPr>
                <w:p w:rsidR="0085285B" w:rsidRDefault="0085285B" w:rsidP="003F18E4">
                  <w:pPr>
                    <w:jc w:val="center"/>
                  </w:pPr>
                  <w:r>
                    <w:t>80</w:t>
                  </w:r>
                </w:p>
              </w:tc>
              <w:tc>
                <w:tcPr>
                  <w:tcW w:w="1076" w:type="dxa"/>
                  <w:tcBorders>
                    <w:top w:val="single" w:sz="4" w:space="0" w:color="000000"/>
                    <w:left w:val="single" w:sz="4" w:space="0" w:color="000000"/>
                    <w:right w:val="single" w:sz="24" w:space="0" w:color="000000"/>
                  </w:tcBorders>
                </w:tcPr>
                <w:p w:rsidR="0085285B" w:rsidRDefault="0085285B" w:rsidP="003F18E4">
                  <w:pPr>
                    <w:jc w:val="center"/>
                  </w:pPr>
                  <w:r>
                    <w:t>+28</w:t>
                  </w:r>
                </w:p>
              </w:tc>
              <w:tc>
                <w:tcPr>
                  <w:tcW w:w="1129" w:type="dxa"/>
                  <w:tcBorders>
                    <w:top w:val="single" w:sz="4" w:space="0" w:color="000000"/>
                    <w:left w:val="single" w:sz="24" w:space="0" w:color="000000"/>
                  </w:tcBorders>
                </w:tcPr>
                <w:p w:rsidR="0085285B" w:rsidRDefault="0085285B" w:rsidP="003F18E4">
                  <w:pPr>
                    <w:jc w:val="center"/>
                  </w:pPr>
                  <w:r>
                    <w:t>136,016</w:t>
                  </w:r>
                </w:p>
              </w:tc>
            </w:tr>
          </w:tbl>
          <w:p w:rsidR="0085285B" w:rsidRDefault="0085285B" w:rsidP="00ED66BF">
            <w:pPr>
              <w:ind w:firstLine="720"/>
            </w:pPr>
          </w:p>
          <w:p w:rsidR="0085285B" w:rsidRDefault="0085285B" w:rsidP="00ED66BF">
            <w:r w:rsidRPr="00F10331">
              <w:rPr>
                <w:sz w:val="20"/>
                <w:szCs w:val="20"/>
              </w:rPr>
              <w:t>*</w:t>
            </w:r>
            <w:r>
              <w:rPr>
                <w:sz w:val="20"/>
                <w:szCs w:val="20"/>
              </w:rPr>
              <w:t>Assumes a design effect equal to, or smaller than, the one observed in 1999</w:t>
            </w:r>
            <w:r w:rsidRPr="00F10331">
              <w:rPr>
                <w:sz w:val="20"/>
                <w:szCs w:val="20"/>
              </w:rPr>
              <w:t>.</w:t>
            </w:r>
          </w:p>
        </w:tc>
      </w:tr>
    </w:tbl>
    <w:p w:rsidR="0085285B" w:rsidRDefault="0085285B" w:rsidP="007F6767"/>
    <w:p w:rsidR="0085285B" w:rsidRDefault="0085285B" w:rsidP="00600F42"/>
    <w:p w:rsidR="0085285B" w:rsidRPr="002E39D2" w:rsidRDefault="0085285B" w:rsidP="00600F42">
      <w:pPr>
        <w:rPr>
          <w:sz w:val="22"/>
          <w:szCs w:val="22"/>
        </w:rPr>
      </w:pPr>
      <w:r w:rsidRPr="002E39D2">
        <w:rPr>
          <w:sz w:val="22"/>
          <w:szCs w:val="22"/>
        </w:rPr>
        <w:t xml:space="preserve">Exhibit 2 shows that increasing the sample yields modest increases in power that plateaus at about 72 percent.  Thus, increasing the sample size above 15,000 would not yield significant increases in power until the sample size is increased well above 100,000.  A key consideration is that the power level available to the ongoing assessment of these data is constrained by the fact that the researcher has no control over the 1999 sample size.  That is, the 1999 sample size is fixed, so the power of a test comparing new data to the 1999 observations can only be influenced by the sample size, albeit with reasonable limits.  The increase in power reaches a plateau in the low 70 percent range such that increases in sample size beyond approximately 4,500 do not have an appreciable influence on power.  Since the comparison needs to be made to the 1999 data, the question becomes one of realistic sample sizes and the power they can achieve.  The fact is that the power cannot be increased even to a conventional level of 80 percent without extremely large sample sizes.  Nonetheless, our experience has been that power levels this size (and even lower) are not uncommon in trend studies where the sample for the first year of data collection is fixed.  Should the effect size increase in the 2008 data collection, the research team will have the ability to detect a significant differences the majority of the time.  </w:t>
      </w:r>
    </w:p>
    <w:p w:rsidR="0085285B" w:rsidRPr="002E39D2" w:rsidRDefault="0085285B" w:rsidP="00600F42">
      <w:pPr>
        <w:rPr>
          <w:sz w:val="22"/>
          <w:szCs w:val="22"/>
        </w:rPr>
      </w:pPr>
    </w:p>
    <w:p w:rsidR="0085285B" w:rsidRPr="002E39D2" w:rsidRDefault="0085285B" w:rsidP="00600F42">
      <w:pPr>
        <w:rPr>
          <w:sz w:val="22"/>
          <w:szCs w:val="22"/>
        </w:rPr>
      </w:pPr>
      <w:r w:rsidRPr="002E39D2">
        <w:rPr>
          <w:sz w:val="22"/>
          <w:szCs w:val="22"/>
        </w:rPr>
        <w:t>Based on all the considerations described above, the research team concluded that that the most cost-effective and efficient sample size would be a sample of 4,460 completed interviews.  This would achieve a reasonable increase in power over the 1999 sample without undue burden on respondents, as well as excessive expense, time, and resources to collect the data.</w:t>
      </w:r>
    </w:p>
    <w:p w:rsidR="0085285B" w:rsidRPr="002E39D2" w:rsidRDefault="0085285B" w:rsidP="00600F42">
      <w:pPr>
        <w:rPr>
          <w:sz w:val="22"/>
          <w:szCs w:val="22"/>
        </w:rPr>
      </w:pPr>
    </w:p>
    <w:sectPr w:rsidR="0085285B" w:rsidRPr="002E39D2" w:rsidSect="00EB7366">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85B" w:rsidRDefault="0085285B" w:rsidP="00794C01">
      <w:r>
        <w:separator/>
      </w:r>
    </w:p>
  </w:endnote>
  <w:endnote w:type="continuationSeparator" w:id="1">
    <w:p w:rsidR="0085285B" w:rsidRDefault="0085285B" w:rsidP="00794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5B" w:rsidRDefault="0085285B" w:rsidP="00D062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285B" w:rsidRDefault="0085285B" w:rsidP="00EB73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5B" w:rsidRDefault="0085285B" w:rsidP="00D062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5285B" w:rsidRDefault="0085285B" w:rsidP="00EB736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85B" w:rsidRDefault="0085285B" w:rsidP="00794C01">
      <w:r>
        <w:separator/>
      </w:r>
    </w:p>
  </w:footnote>
  <w:footnote w:type="continuationSeparator" w:id="1">
    <w:p w:rsidR="0085285B" w:rsidRDefault="0085285B" w:rsidP="00794C01">
      <w:r>
        <w:continuationSeparator/>
      </w:r>
    </w:p>
  </w:footnote>
  <w:footnote w:id="2">
    <w:p w:rsidR="0085285B" w:rsidRDefault="0085285B" w:rsidP="00794C01">
      <w:r>
        <w:rPr>
          <w:rStyle w:val="FootnoteReference"/>
        </w:rPr>
        <w:footnoteRef/>
      </w:r>
      <w:r>
        <w:t xml:space="preserve"> </w:t>
      </w:r>
      <w:r w:rsidRPr="00794C01">
        <w:rPr>
          <w:sz w:val="20"/>
          <w:szCs w:val="20"/>
        </w:rPr>
        <w:t xml:space="preserve">Refers to the </w:t>
      </w:r>
      <w:r>
        <w:rPr>
          <w:sz w:val="20"/>
          <w:szCs w:val="20"/>
        </w:rPr>
        <w:t xml:space="preserve">required </w:t>
      </w:r>
      <w:r w:rsidRPr="00794C01">
        <w:rPr>
          <w:sz w:val="20"/>
          <w:szCs w:val="20"/>
        </w:rPr>
        <w:t xml:space="preserve">magnitude of the observed difference </w:t>
      </w:r>
      <w:r>
        <w:rPr>
          <w:sz w:val="20"/>
          <w:szCs w:val="20"/>
        </w:rPr>
        <w:t xml:space="preserve">in order for it </w:t>
      </w:r>
      <w:r w:rsidRPr="00794C01">
        <w:rPr>
          <w:sz w:val="20"/>
          <w:szCs w:val="20"/>
        </w:rPr>
        <w:t>to be considered significant.</w:t>
      </w:r>
      <w:r>
        <w:t xml:space="preserve">  </w:t>
      </w:r>
    </w:p>
    <w:p w:rsidR="0085285B" w:rsidRDefault="0085285B" w:rsidP="00794C0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6C36"/>
    <w:rsid w:val="000072AB"/>
    <w:rsid w:val="00021549"/>
    <w:rsid w:val="00034FBE"/>
    <w:rsid w:val="00066EF8"/>
    <w:rsid w:val="000721FC"/>
    <w:rsid w:val="000A2536"/>
    <w:rsid w:val="000A5868"/>
    <w:rsid w:val="000A5A2D"/>
    <w:rsid w:val="000E3DAF"/>
    <w:rsid w:val="000E7173"/>
    <w:rsid w:val="00102BEB"/>
    <w:rsid w:val="00114BE8"/>
    <w:rsid w:val="001213A9"/>
    <w:rsid w:val="00126051"/>
    <w:rsid w:val="00131565"/>
    <w:rsid w:val="0015547F"/>
    <w:rsid w:val="0016060D"/>
    <w:rsid w:val="0016431F"/>
    <w:rsid w:val="001764A2"/>
    <w:rsid w:val="00182B80"/>
    <w:rsid w:val="0018436E"/>
    <w:rsid w:val="001869A6"/>
    <w:rsid w:val="00193ED1"/>
    <w:rsid w:val="001A020B"/>
    <w:rsid w:val="001A5057"/>
    <w:rsid w:val="001A715E"/>
    <w:rsid w:val="001B0701"/>
    <w:rsid w:val="001B4974"/>
    <w:rsid w:val="001B6DDD"/>
    <w:rsid w:val="001E2240"/>
    <w:rsid w:val="001F7BA0"/>
    <w:rsid w:val="00200143"/>
    <w:rsid w:val="002066A3"/>
    <w:rsid w:val="00211F60"/>
    <w:rsid w:val="002155B5"/>
    <w:rsid w:val="00215B38"/>
    <w:rsid w:val="00223BFF"/>
    <w:rsid w:val="002445AA"/>
    <w:rsid w:val="00251EA1"/>
    <w:rsid w:val="00253895"/>
    <w:rsid w:val="00266E0B"/>
    <w:rsid w:val="00271518"/>
    <w:rsid w:val="0028048D"/>
    <w:rsid w:val="0029310A"/>
    <w:rsid w:val="002943F5"/>
    <w:rsid w:val="002A0855"/>
    <w:rsid w:val="002A10EE"/>
    <w:rsid w:val="002E39D2"/>
    <w:rsid w:val="002E7D86"/>
    <w:rsid w:val="002E7E19"/>
    <w:rsid w:val="003027F7"/>
    <w:rsid w:val="00316369"/>
    <w:rsid w:val="003371B8"/>
    <w:rsid w:val="00345B83"/>
    <w:rsid w:val="00364404"/>
    <w:rsid w:val="00375173"/>
    <w:rsid w:val="003B4A47"/>
    <w:rsid w:val="003C63BF"/>
    <w:rsid w:val="003D4D53"/>
    <w:rsid w:val="003E722F"/>
    <w:rsid w:val="003F18E4"/>
    <w:rsid w:val="003F42E0"/>
    <w:rsid w:val="00401FEC"/>
    <w:rsid w:val="00404A02"/>
    <w:rsid w:val="004147B0"/>
    <w:rsid w:val="004158AA"/>
    <w:rsid w:val="004328D9"/>
    <w:rsid w:val="00451089"/>
    <w:rsid w:val="004620EA"/>
    <w:rsid w:val="0046380E"/>
    <w:rsid w:val="0046476D"/>
    <w:rsid w:val="004650EA"/>
    <w:rsid w:val="00476A05"/>
    <w:rsid w:val="00491D34"/>
    <w:rsid w:val="00493164"/>
    <w:rsid w:val="004A06E4"/>
    <w:rsid w:val="004A1C18"/>
    <w:rsid w:val="004B458E"/>
    <w:rsid w:val="004D77C0"/>
    <w:rsid w:val="004E5174"/>
    <w:rsid w:val="004F7732"/>
    <w:rsid w:val="00504F6C"/>
    <w:rsid w:val="0051480A"/>
    <w:rsid w:val="00526D94"/>
    <w:rsid w:val="00552FA7"/>
    <w:rsid w:val="00553E6F"/>
    <w:rsid w:val="005615CD"/>
    <w:rsid w:val="0056584A"/>
    <w:rsid w:val="00587023"/>
    <w:rsid w:val="00592F23"/>
    <w:rsid w:val="005951A7"/>
    <w:rsid w:val="005A1174"/>
    <w:rsid w:val="005A462B"/>
    <w:rsid w:val="005A7716"/>
    <w:rsid w:val="005B3A73"/>
    <w:rsid w:val="005C2486"/>
    <w:rsid w:val="005D3942"/>
    <w:rsid w:val="005D6BB5"/>
    <w:rsid w:val="005D77EC"/>
    <w:rsid w:val="005E5470"/>
    <w:rsid w:val="00600F42"/>
    <w:rsid w:val="00625824"/>
    <w:rsid w:val="00630199"/>
    <w:rsid w:val="00636DF1"/>
    <w:rsid w:val="00646122"/>
    <w:rsid w:val="0066152D"/>
    <w:rsid w:val="00672A8F"/>
    <w:rsid w:val="00682240"/>
    <w:rsid w:val="00697FC0"/>
    <w:rsid w:val="006B6B52"/>
    <w:rsid w:val="006B733D"/>
    <w:rsid w:val="006B7519"/>
    <w:rsid w:val="006C25F8"/>
    <w:rsid w:val="006D2221"/>
    <w:rsid w:val="006D7C92"/>
    <w:rsid w:val="006F1E8C"/>
    <w:rsid w:val="006F4396"/>
    <w:rsid w:val="006F6466"/>
    <w:rsid w:val="007004CF"/>
    <w:rsid w:val="007027C8"/>
    <w:rsid w:val="00712175"/>
    <w:rsid w:val="007138C7"/>
    <w:rsid w:val="00716A22"/>
    <w:rsid w:val="00721F85"/>
    <w:rsid w:val="0072453D"/>
    <w:rsid w:val="0072736D"/>
    <w:rsid w:val="00764EF4"/>
    <w:rsid w:val="00764F81"/>
    <w:rsid w:val="0077007D"/>
    <w:rsid w:val="00781600"/>
    <w:rsid w:val="00786D70"/>
    <w:rsid w:val="00793B8C"/>
    <w:rsid w:val="00794C01"/>
    <w:rsid w:val="007A6762"/>
    <w:rsid w:val="007B1CF4"/>
    <w:rsid w:val="007E434D"/>
    <w:rsid w:val="007E606B"/>
    <w:rsid w:val="007F6767"/>
    <w:rsid w:val="007F6DB1"/>
    <w:rsid w:val="00803F18"/>
    <w:rsid w:val="00807D2C"/>
    <w:rsid w:val="008109D2"/>
    <w:rsid w:val="00814A1D"/>
    <w:rsid w:val="00826AD8"/>
    <w:rsid w:val="00830DE8"/>
    <w:rsid w:val="00831ABE"/>
    <w:rsid w:val="0085285B"/>
    <w:rsid w:val="00855F94"/>
    <w:rsid w:val="00860EAA"/>
    <w:rsid w:val="00861EF6"/>
    <w:rsid w:val="00885C0E"/>
    <w:rsid w:val="00890B34"/>
    <w:rsid w:val="008B01F6"/>
    <w:rsid w:val="008B7BA3"/>
    <w:rsid w:val="008C7286"/>
    <w:rsid w:val="008D5044"/>
    <w:rsid w:val="008D75E4"/>
    <w:rsid w:val="008E4487"/>
    <w:rsid w:val="008F63A1"/>
    <w:rsid w:val="009059C5"/>
    <w:rsid w:val="00926E03"/>
    <w:rsid w:val="009405FF"/>
    <w:rsid w:val="00944692"/>
    <w:rsid w:val="009633DE"/>
    <w:rsid w:val="009732A0"/>
    <w:rsid w:val="00975E95"/>
    <w:rsid w:val="00981E86"/>
    <w:rsid w:val="009A033F"/>
    <w:rsid w:val="009B2370"/>
    <w:rsid w:val="009B483D"/>
    <w:rsid w:val="009C60D7"/>
    <w:rsid w:val="009D051E"/>
    <w:rsid w:val="009D38F0"/>
    <w:rsid w:val="009E6255"/>
    <w:rsid w:val="009E638A"/>
    <w:rsid w:val="009F617F"/>
    <w:rsid w:val="009F769B"/>
    <w:rsid w:val="00A041D8"/>
    <w:rsid w:val="00A05CA4"/>
    <w:rsid w:val="00A05FDB"/>
    <w:rsid w:val="00A15E8E"/>
    <w:rsid w:val="00A30EC4"/>
    <w:rsid w:val="00A33207"/>
    <w:rsid w:val="00A33C78"/>
    <w:rsid w:val="00A36779"/>
    <w:rsid w:val="00A630CB"/>
    <w:rsid w:val="00A7314E"/>
    <w:rsid w:val="00A75208"/>
    <w:rsid w:val="00AA186A"/>
    <w:rsid w:val="00AA567A"/>
    <w:rsid w:val="00AC4686"/>
    <w:rsid w:val="00AE2DA4"/>
    <w:rsid w:val="00AF0F4C"/>
    <w:rsid w:val="00B17F0B"/>
    <w:rsid w:val="00B24D82"/>
    <w:rsid w:val="00B25655"/>
    <w:rsid w:val="00B32900"/>
    <w:rsid w:val="00B40D61"/>
    <w:rsid w:val="00B43011"/>
    <w:rsid w:val="00B46B6D"/>
    <w:rsid w:val="00B5034F"/>
    <w:rsid w:val="00B51919"/>
    <w:rsid w:val="00B51B94"/>
    <w:rsid w:val="00B52DFB"/>
    <w:rsid w:val="00B77CC0"/>
    <w:rsid w:val="00B81F0F"/>
    <w:rsid w:val="00B81F26"/>
    <w:rsid w:val="00B849CF"/>
    <w:rsid w:val="00B859CA"/>
    <w:rsid w:val="00B8660A"/>
    <w:rsid w:val="00BC29BE"/>
    <w:rsid w:val="00BD336F"/>
    <w:rsid w:val="00BF753D"/>
    <w:rsid w:val="00C01DC5"/>
    <w:rsid w:val="00C45235"/>
    <w:rsid w:val="00C453B5"/>
    <w:rsid w:val="00C54968"/>
    <w:rsid w:val="00C6070A"/>
    <w:rsid w:val="00C63F86"/>
    <w:rsid w:val="00C676FF"/>
    <w:rsid w:val="00C86738"/>
    <w:rsid w:val="00C96C60"/>
    <w:rsid w:val="00CA1147"/>
    <w:rsid w:val="00CA3122"/>
    <w:rsid w:val="00CC531C"/>
    <w:rsid w:val="00CD375C"/>
    <w:rsid w:val="00CE173D"/>
    <w:rsid w:val="00D062E5"/>
    <w:rsid w:val="00D2098C"/>
    <w:rsid w:val="00D21DFB"/>
    <w:rsid w:val="00D2624E"/>
    <w:rsid w:val="00D402E8"/>
    <w:rsid w:val="00D42A0C"/>
    <w:rsid w:val="00D6080A"/>
    <w:rsid w:val="00D60D0E"/>
    <w:rsid w:val="00D63D5A"/>
    <w:rsid w:val="00D6408D"/>
    <w:rsid w:val="00D8157C"/>
    <w:rsid w:val="00D9767C"/>
    <w:rsid w:val="00DB5B3E"/>
    <w:rsid w:val="00DD3EB9"/>
    <w:rsid w:val="00DE20F6"/>
    <w:rsid w:val="00E03B87"/>
    <w:rsid w:val="00E03C27"/>
    <w:rsid w:val="00E277BB"/>
    <w:rsid w:val="00E607A8"/>
    <w:rsid w:val="00E75E1D"/>
    <w:rsid w:val="00E801E6"/>
    <w:rsid w:val="00E81614"/>
    <w:rsid w:val="00E82B79"/>
    <w:rsid w:val="00EA0005"/>
    <w:rsid w:val="00EB7366"/>
    <w:rsid w:val="00EC1D5E"/>
    <w:rsid w:val="00EC1D9B"/>
    <w:rsid w:val="00ED4D11"/>
    <w:rsid w:val="00ED66BF"/>
    <w:rsid w:val="00EE64D4"/>
    <w:rsid w:val="00EF2664"/>
    <w:rsid w:val="00EF43A1"/>
    <w:rsid w:val="00F00E6E"/>
    <w:rsid w:val="00F0140C"/>
    <w:rsid w:val="00F06C36"/>
    <w:rsid w:val="00F10331"/>
    <w:rsid w:val="00F10DC1"/>
    <w:rsid w:val="00F13BEF"/>
    <w:rsid w:val="00F70575"/>
    <w:rsid w:val="00F72561"/>
    <w:rsid w:val="00F72FC1"/>
    <w:rsid w:val="00F86D4D"/>
    <w:rsid w:val="00F96366"/>
    <w:rsid w:val="00FB0048"/>
    <w:rsid w:val="00FB3729"/>
    <w:rsid w:val="00FB38A0"/>
    <w:rsid w:val="00FC2123"/>
    <w:rsid w:val="00FC426A"/>
    <w:rsid w:val="00FE7E58"/>
    <w:rsid w:val="00FF61B2"/>
    <w:rsid w:val="00FF6F2E"/>
    <w:rsid w:val="00FF73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33C78"/>
    <w:rPr>
      <w:rFonts w:ascii="Tahoma" w:hAnsi="Tahoma" w:cs="Tahoma"/>
      <w:sz w:val="16"/>
      <w:szCs w:val="16"/>
    </w:rPr>
  </w:style>
  <w:style w:type="character" w:customStyle="1" w:styleId="BalloonTextChar">
    <w:name w:val="Balloon Text Char"/>
    <w:basedOn w:val="DefaultParagraphFont"/>
    <w:link w:val="BalloonText"/>
    <w:uiPriority w:val="99"/>
    <w:locked/>
    <w:rsid w:val="00A33C78"/>
    <w:rPr>
      <w:rFonts w:ascii="Tahoma" w:hAnsi="Tahoma" w:cs="Tahoma"/>
      <w:sz w:val="16"/>
      <w:szCs w:val="16"/>
    </w:rPr>
  </w:style>
  <w:style w:type="table" w:styleId="TableGrid">
    <w:name w:val="Table Grid"/>
    <w:basedOn w:val="TableNormal"/>
    <w:uiPriority w:val="59"/>
    <w:rsid w:val="007F67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794C01"/>
    <w:rPr>
      <w:sz w:val="20"/>
      <w:szCs w:val="20"/>
    </w:rPr>
  </w:style>
  <w:style w:type="character" w:customStyle="1" w:styleId="FootnoteTextChar">
    <w:name w:val="Footnote Text Char"/>
    <w:basedOn w:val="DefaultParagraphFont"/>
    <w:link w:val="FootnoteText"/>
    <w:uiPriority w:val="99"/>
    <w:locked/>
    <w:rsid w:val="00794C01"/>
    <w:rPr>
      <w:rFonts w:cs="Times New Roman"/>
    </w:rPr>
  </w:style>
  <w:style w:type="character" w:styleId="FootnoteReference">
    <w:name w:val="footnote reference"/>
    <w:basedOn w:val="DefaultParagraphFont"/>
    <w:uiPriority w:val="99"/>
    <w:rsid w:val="00794C01"/>
    <w:rPr>
      <w:rFonts w:cs="Times New Roman"/>
      <w:vertAlign w:val="superscript"/>
    </w:rPr>
  </w:style>
  <w:style w:type="paragraph" w:styleId="Header">
    <w:name w:val="header"/>
    <w:basedOn w:val="Normal"/>
    <w:link w:val="HeaderChar"/>
    <w:uiPriority w:val="99"/>
    <w:rsid w:val="004158AA"/>
    <w:pPr>
      <w:tabs>
        <w:tab w:val="center" w:pos="4680"/>
        <w:tab w:val="right" w:pos="9360"/>
      </w:tabs>
    </w:pPr>
  </w:style>
  <w:style w:type="character" w:customStyle="1" w:styleId="HeaderChar">
    <w:name w:val="Header Char"/>
    <w:basedOn w:val="DefaultParagraphFont"/>
    <w:link w:val="Header"/>
    <w:uiPriority w:val="99"/>
    <w:locked/>
    <w:rsid w:val="004158AA"/>
    <w:rPr>
      <w:rFonts w:cs="Times New Roman"/>
      <w:sz w:val="24"/>
      <w:szCs w:val="24"/>
    </w:rPr>
  </w:style>
  <w:style w:type="paragraph" w:styleId="Footer">
    <w:name w:val="footer"/>
    <w:basedOn w:val="Normal"/>
    <w:link w:val="FooterChar"/>
    <w:uiPriority w:val="99"/>
    <w:rsid w:val="004158AA"/>
    <w:pPr>
      <w:tabs>
        <w:tab w:val="center" w:pos="4680"/>
        <w:tab w:val="right" w:pos="9360"/>
      </w:tabs>
    </w:pPr>
  </w:style>
  <w:style w:type="character" w:customStyle="1" w:styleId="FooterChar">
    <w:name w:val="Footer Char"/>
    <w:basedOn w:val="DefaultParagraphFont"/>
    <w:link w:val="Footer"/>
    <w:uiPriority w:val="99"/>
    <w:locked/>
    <w:rsid w:val="004158AA"/>
    <w:rPr>
      <w:rFonts w:cs="Times New Roman"/>
      <w:sz w:val="24"/>
      <w:szCs w:val="24"/>
    </w:rPr>
  </w:style>
  <w:style w:type="character" w:styleId="PageNumber">
    <w:name w:val="page number"/>
    <w:basedOn w:val="DefaultParagraphFont"/>
    <w:uiPriority w:val="99"/>
    <w:rsid w:val="004158A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1164</Words>
  <Characters>6640</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analysis for this project centers on the assessment of the awareness of racial disparity in health care and on whether this awareness has changed since the data collection in 1999</dc:title>
  <dc:subject/>
  <dc:creator>dugoni-bernard</dc:creator>
  <cp:keywords/>
  <dc:description/>
  <cp:lastModifiedBy>Piya-Bhumika</cp:lastModifiedBy>
  <cp:revision>11</cp:revision>
  <cp:lastPrinted>2008-05-05T19:36:00Z</cp:lastPrinted>
  <dcterms:created xsi:type="dcterms:W3CDTF">2008-05-08T16:11:00Z</dcterms:created>
  <dcterms:modified xsi:type="dcterms:W3CDTF">2008-08-04T14:07:00Z</dcterms:modified>
</cp:coreProperties>
</file>