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A0E" w:rsidRDefault="00FA7A0E" w:rsidP="00835B52">
      <w:pPr>
        <w:jc w:val="center"/>
        <w:rPr>
          <w:b/>
          <w:sz w:val="22"/>
          <w:szCs w:val="22"/>
        </w:rPr>
      </w:pPr>
    </w:p>
    <w:p w:rsidR="00FA7A0E" w:rsidRDefault="00FA7A0E" w:rsidP="00835B52">
      <w:pPr>
        <w:jc w:val="center"/>
        <w:rPr>
          <w:b/>
          <w:sz w:val="22"/>
          <w:szCs w:val="22"/>
        </w:rPr>
      </w:pPr>
    </w:p>
    <w:p w:rsidR="00FA7A0E" w:rsidRDefault="00FA7A0E" w:rsidP="00835B52">
      <w:pPr>
        <w:jc w:val="center"/>
        <w:rPr>
          <w:b/>
          <w:sz w:val="22"/>
          <w:szCs w:val="22"/>
        </w:rPr>
      </w:pPr>
    </w:p>
    <w:p w:rsidR="00FA7A0E" w:rsidRDefault="00FA7A0E" w:rsidP="00835B52">
      <w:pPr>
        <w:jc w:val="center"/>
        <w:rPr>
          <w:b/>
          <w:sz w:val="22"/>
          <w:szCs w:val="22"/>
        </w:rPr>
      </w:pPr>
    </w:p>
    <w:p w:rsidR="00FA7A0E" w:rsidRDefault="00FA7A0E" w:rsidP="00835B52">
      <w:pPr>
        <w:jc w:val="center"/>
        <w:rPr>
          <w:b/>
          <w:sz w:val="22"/>
          <w:szCs w:val="22"/>
        </w:rPr>
      </w:pPr>
    </w:p>
    <w:p w:rsidR="00FA7A0E" w:rsidRDefault="00FA7A0E" w:rsidP="00835B52">
      <w:pPr>
        <w:jc w:val="center"/>
        <w:rPr>
          <w:b/>
          <w:sz w:val="22"/>
          <w:szCs w:val="22"/>
        </w:rPr>
      </w:pPr>
    </w:p>
    <w:p w:rsidR="00FA7A0E" w:rsidRDefault="00FA7A0E" w:rsidP="00835B52">
      <w:pPr>
        <w:jc w:val="center"/>
        <w:rPr>
          <w:b/>
          <w:sz w:val="22"/>
          <w:szCs w:val="22"/>
        </w:rPr>
      </w:pPr>
    </w:p>
    <w:p w:rsidR="00FA7A0E" w:rsidRDefault="00FA7A0E" w:rsidP="00835B52">
      <w:pPr>
        <w:jc w:val="center"/>
        <w:rPr>
          <w:b/>
          <w:sz w:val="22"/>
          <w:szCs w:val="22"/>
        </w:rPr>
      </w:pPr>
    </w:p>
    <w:p w:rsidR="00FA7A0E" w:rsidRDefault="00FA7A0E" w:rsidP="00835B52">
      <w:pPr>
        <w:jc w:val="center"/>
        <w:rPr>
          <w:b/>
          <w:sz w:val="22"/>
          <w:szCs w:val="22"/>
        </w:rPr>
      </w:pPr>
    </w:p>
    <w:p w:rsidR="00FA7A0E" w:rsidRPr="00C01DC5" w:rsidRDefault="00FA7A0E" w:rsidP="00984004">
      <w:pPr>
        <w:jc w:val="center"/>
        <w:rPr>
          <w:b/>
          <w:sz w:val="22"/>
          <w:szCs w:val="22"/>
        </w:rPr>
      </w:pPr>
      <w:r w:rsidRPr="00C01DC5">
        <w:rPr>
          <w:b/>
          <w:sz w:val="22"/>
          <w:szCs w:val="22"/>
        </w:rPr>
        <w:t xml:space="preserve">Attachment </w:t>
      </w:r>
      <w:r>
        <w:rPr>
          <w:b/>
          <w:sz w:val="22"/>
          <w:szCs w:val="22"/>
        </w:rPr>
        <w:t>A</w:t>
      </w:r>
    </w:p>
    <w:p w:rsidR="00FA7A0E" w:rsidRPr="00C01DC5" w:rsidRDefault="00FA7A0E" w:rsidP="00984004">
      <w:pPr>
        <w:jc w:val="center"/>
        <w:rPr>
          <w:sz w:val="22"/>
          <w:szCs w:val="22"/>
        </w:rPr>
      </w:pPr>
    </w:p>
    <w:p w:rsidR="00FA7A0E" w:rsidRDefault="00FA7A0E" w:rsidP="00984004">
      <w:pPr>
        <w:jc w:val="center"/>
        <w:rPr>
          <w:sz w:val="22"/>
          <w:szCs w:val="22"/>
        </w:rPr>
      </w:pPr>
      <w:r>
        <w:rPr>
          <w:sz w:val="22"/>
          <w:szCs w:val="22"/>
        </w:rPr>
        <w:t xml:space="preserve">Summary and Status of OMH’s Program Improvement Plan and </w:t>
      </w:r>
    </w:p>
    <w:p w:rsidR="00FA7A0E" w:rsidRPr="00EB119A" w:rsidRDefault="00FA7A0E" w:rsidP="00984004">
      <w:pPr>
        <w:jc w:val="center"/>
        <w:rPr>
          <w:b/>
          <w:sz w:val="22"/>
          <w:szCs w:val="22"/>
        </w:rPr>
      </w:pPr>
      <w:r>
        <w:rPr>
          <w:sz w:val="22"/>
          <w:szCs w:val="22"/>
        </w:rPr>
        <w:t>Approved Program Performance Measures</w:t>
      </w:r>
      <w:r>
        <w:rPr>
          <w:b/>
          <w:sz w:val="22"/>
          <w:szCs w:val="22"/>
        </w:rPr>
        <w:t xml:space="preserve"> </w:t>
      </w:r>
      <w:r>
        <w:rPr>
          <w:b/>
          <w:sz w:val="22"/>
          <w:szCs w:val="22"/>
        </w:rPr>
        <w:br w:type="page"/>
      </w:r>
      <w:r w:rsidRPr="00EB119A">
        <w:rPr>
          <w:b/>
          <w:sz w:val="22"/>
          <w:szCs w:val="22"/>
        </w:rPr>
        <w:t>Attachment A</w:t>
      </w:r>
    </w:p>
    <w:p w:rsidR="00FA7A0E" w:rsidRPr="00EB119A" w:rsidRDefault="00FA7A0E" w:rsidP="00835B52">
      <w:pPr>
        <w:jc w:val="center"/>
        <w:rPr>
          <w:b/>
          <w:sz w:val="22"/>
          <w:szCs w:val="22"/>
        </w:rPr>
      </w:pPr>
    </w:p>
    <w:p w:rsidR="00FA7A0E" w:rsidRPr="00EB119A" w:rsidRDefault="00FA7A0E" w:rsidP="004F636D">
      <w:pPr>
        <w:jc w:val="center"/>
        <w:rPr>
          <w:b/>
          <w:sz w:val="22"/>
          <w:szCs w:val="22"/>
        </w:rPr>
      </w:pPr>
      <w:r w:rsidRPr="00EB119A">
        <w:rPr>
          <w:b/>
          <w:sz w:val="22"/>
          <w:szCs w:val="22"/>
        </w:rPr>
        <w:t>SUMMARY AND STATUS OF OMH’S PROGRAM IMPROVEMENT PLAN AND APPROVED PROGRAM PERFORMANCE MEASURES</w:t>
      </w:r>
    </w:p>
    <w:p w:rsidR="00FA7A0E" w:rsidRPr="00D21584" w:rsidRDefault="00FA7A0E" w:rsidP="004F636D">
      <w:pPr>
        <w:rPr>
          <w:sz w:val="22"/>
          <w:szCs w:val="22"/>
        </w:rPr>
      </w:pPr>
    </w:p>
    <w:p w:rsidR="00FA7A0E" w:rsidRPr="00D21584" w:rsidRDefault="00FA7A0E" w:rsidP="004F636D">
      <w:pPr>
        <w:rPr>
          <w:sz w:val="22"/>
          <w:szCs w:val="22"/>
        </w:rPr>
      </w:pPr>
    </w:p>
    <w:tbl>
      <w:tblPr>
        <w:tblStyle w:val="TableGrid"/>
        <w:tblW w:w="10142" w:type="dxa"/>
        <w:tblInd w:w="-252" w:type="dxa"/>
        <w:tblLook w:val="01E0"/>
      </w:tblPr>
      <w:tblGrid>
        <w:gridCol w:w="1368"/>
        <w:gridCol w:w="4140"/>
        <w:gridCol w:w="1332"/>
        <w:gridCol w:w="3302"/>
      </w:tblGrid>
      <w:tr w:rsidR="00FA7A0E" w:rsidRPr="00D21584" w:rsidTr="00F41B91">
        <w:trPr>
          <w:tblHeader/>
        </w:trPr>
        <w:tc>
          <w:tcPr>
            <w:tcW w:w="1368" w:type="dxa"/>
            <w:shd w:val="clear" w:color="auto" w:fill="C0C0C0"/>
          </w:tcPr>
          <w:p w:rsidR="00FA7A0E" w:rsidRPr="00D21584" w:rsidRDefault="00FA7A0E" w:rsidP="004F636D">
            <w:pPr>
              <w:rPr>
                <w:b/>
                <w:sz w:val="22"/>
                <w:szCs w:val="22"/>
              </w:rPr>
            </w:pPr>
            <w:r w:rsidRPr="00D21584">
              <w:rPr>
                <w:b/>
                <w:sz w:val="22"/>
                <w:szCs w:val="22"/>
              </w:rPr>
              <w:t>Year Began</w:t>
            </w:r>
          </w:p>
        </w:tc>
        <w:tc>
          <w:tcPr>
            <w:tcW w:w="4140" w:type="dxa"/>
            <w:shd w:val="clear" w:color="auto" w:fill="C0C0C0"/>
          </w:tcPr>
          <w:p w:rsidR="00FA7A0E" w:rsidRPr="00D21584" w:rsidRDefault="00FA7A0E" w:rsidP="004F636D">
            <w:pPr>
              <w:rPr>
                <w:b/>
                <w:sz w:val="22"/>
                <w:szCs w:val="22"/>
              </w:rPr>
            </w:pPr>
            <w:r w:rsidRPr="00D21584">
              <w:rPr>
                <w:b/>
                <w:sz w:val="22"/>
                <w:szCs w:val="22"/>
              </w:rPr>
              <w:t>Improvement Plan</w:t>
            </w:r>
          </w:p>
        </w:tc>
        <w:tc>
          <w:tcPr>
            <w:tcW w:w="1332" w:type="dxa"/>
            <w:shd w:val="clear" w:color="auto" w:fill="C0C0C0"/>
          </w:tcPr>
          <w:p w:rsidR="00FA7A0E" w:rsidRPr="00D21584" w:rsidRDefault="00FA7A0E" w:rsidP="004F636D">
            <w:pPr>
              <w:rPr>
                <w:b/>
                <w:sz w:val="22"/>
                <w:szCs w:val="22"/>
              </w:rPr>
            </w:pPr>
            <w:r w:rsidRPr="00D21584">
              <w:rPr>
                <w:b/>
                <w:sz w:val="22"/>
                <w:szCs w:val="22"/>
              </w:rPr>
              <w:t>Status</w:t>
            </w:r>
          </w:p>
        </w:tc>
        <w:tc>
          <w:tcPr>
            <w:tcW w:w="3302" w:type="dxa"/>
            <w:shd w:val="clear" w:color="auto" w:fill="C0C0C0"/>
          </w:tcPr>
          <w:p w:rsidR="00FA7A0E" w:rsidRPr="00D21584" w:rsidRDefault="00FA7A0E" w:rsidP="004F636D">
            <w:pPr>
              <w:rPr>
                <w:b/>
                <w:sz w:val="22"/>
                <w:szCs w:val="22"/>
              </w:rPr>
            </w:pPr>
            <w:r w:rsidRPr="00D21584">
              <w:rPr>
                <w:b/>
                <w:sz w:val="22"/>
                <w:szCs w:val="22"/>
              </w:rPr>
              <w:t>Comments</w:t>
            </w:r>
          </w:p>
        </w:tc>
      </w:tr>
      <w:tr w:rsidR="00FA7A0E" w:rsidRPr="00D21584" w:rsidTr="001354BA">
        <w:tc>
          <w:tcPr>
            <w:tcW w:w="1368" w:type="dxa"/>
          </w:tcPr>
          <w:p w:rsidR="00FA7A0E" w:rsidRPr="00D21584" w:rsidRDefault="00FA7A0E" w:rsidP="004F636D">
            <w:pPr>
              <w:rPr>
                <w:sz w:val="22"/>
                <w:szCs w:val="22"/>
              </w:rPr>
            </w:pPr>
            <w:r w:rsidRPr="00D21584">
              <w:rPr>
                <w:sz w:val="22"/>
                <w:szCs w:val="22"/>
              </w:rPr>
              <w:t>2007</w:t>
            </w:r>
          </w:p>
        </w:tc>
        <w:tc>
          <w:tcPr>
            <w:tcW w:w="4140" w:type="dxa"/>
          </w:tcPr>
          <w:p w:rsidR="00FA7A0E" w:rsidRPr="00D21584" w:rsidRDefault="00FA7A0E" w:rsidP="004F636D">
            <w:pPr>
              <w:autoSpaceDE w:val="0"/>
              <w:autoSpaceDN w:val="0"/>
              <w:adjustRightInd w:val="0"/>
              <w:rPr>
                <w:sz w:val="22"/>
                <w:szCs w:val="22"/>
              </w:rPr>
            </w:pPr>
            <w:r w:rsidRPr="00D21584">
              <w:rPr>
                <w:sz w:val="22"/>
                <w:szCs w:val="22"/>
              </w:rPr>
              <w:t>Integrate the OMH Strategic Framework for Improving Racial &amp; Ethnic Minority Health and Eliminating Racial &amp; Ethnic</w:t>
            </w:r>
          </w:p>
          <w:p w:rsidR="00FA7A0E" w:rsidRPr="00D21584" w:rsidRDefault="00FA7A0E" w:rsidP="004F636D">
            <w:pPr>
              <w:autoSpaceDE w:val="0"/>
              <w:autoSpaceDN w:val="0"/>
              <w:adjustRightInd w:val="0"/>
              <w:rPr>
                <w:sz w:val="22"/>
                <w:szCs w:val="22"/>
              </w:rPr>
            </w:pPr>
            <w:r w:rsidRPr="00D21584">
              <w:rPr>
                <w:sz w:val="22"/>
                <w:szCs w:val="22"/>
              </w:rPr>
              <w:t>Health Disparities, OMH performance measures, and OMH evaluation planning guidelines &amp; protocols into the</w:t>
            </w:r>
          </w:p>
          <w:p w:rsidR="00FA7A0E" w:rsidRPr="00D21584" w:rsidRDefault="00FA7A0E" w:rsidP="004F636D">
            <w:pPr>
              <w:autoSpaceDE w:val="0"/>
              <w:autoSpaceDN w:val="0"/>
              <w:adjustRightInd w:val="0"/>
              <w:rPr>
                <w:sz w:val="22"/>
                <w:szCs w:val="22"/>
              </w:rPr>
            </w:pPr>
            <w:r w:rsidRPr="00D21584">
              <w:rPr>
                <w:sz w:val="22"/>
                <w:szCs w:val="22"/>
              </w:rPr>
              <w:t>National Partnership for Action to End Health Disparities (NPA) and other key OMH-funded initiatives, events, and</w:t>
            </w:r>
          </w:p>
          <w:p w:rsidR="00FA7A0E" w:rsidRPr="00D21584" w:rsidRDefault="00FA7A0E" w:rsidP="004F636D">
            <w:pPr>
              <w:rPr>
                <w:sz w:val="22"/>
                <w:szCs w:val="22"/>
              </w:rPr>
            </w:pPr>
            <w:r w:rsidRPr="00D21584">
              <w:rPr>
                <w:sz w:val="22"/>
                <w:szCs w:val="22"/>
              </w:rPr>
              <w:t>publications</w:t>
            </w:r>
          </w:p>
        </w:tc>
        <w:tc>
          <w:tcPr>
            <w:tcW w:w="1332" w:type="dxa"/>
          </w:tcPr>
          <w:p w:rsidR="00FA7A0E" w:rsidRPr="00D21584" w:rsidRDefault="00FA7A0E" w:rsidP="004F636D">
            <w:pPr>
              <w:rPr>
                <w:sz w:val="22"/>
                <w:szCs w:val="22"/>
              </w:rPr>
            </w:pPr>
            <w:r w:rsidRPr="00D21584">
              <w:rPr>
                <w:sz w:val="22"/>
                <w:szCs w:val="22"/>
              </w:rPr>
              <w:t>Completed</w:t>
            </w:r>
          </w:p>
        </w:tc>
        <w:tc>
          <w:tcPr>
            <w:tcW w:w="3302" w:type="dxa"/>
          </w:tcPr>
          <w:p w:rsidR="00FA7A0E" w:rsidRPr="00D21584" w:rsidRDefault="00FA7A0E" w:rsidP="004F636D">
            <w:pPr>
              <w:autoSpaceDE w:val="0"/>
              <w:autoSpaceDN w:val="0"/>
              <w:adjustRightInd w:val="0"/>
              <w:rPr>
                <w:sz w:val="22"/>
                <w:szCs w:val="22"/>
              </w:rPr>
            </w:pPr>
            <w:r w:rsidRPr="00D21584">
              <w:rPr>
                <w:sz w:val="22"/>
                <w:szCs w:val="22"/>
              </w:rPr>
              <w:t xml:space="preserve">Planned Milestones: </w:t>
            </w:r>
          </w:p>
          <w:p w:rsidR="00FA7A0E" w:rsidRPr="00D21584" w:rsidRDefault="00FA7A0E" w:rsidP="004F636D">
            <w:pPr>
              <w:autoSpaceDE w:val="0"/>
              <w:autoSpaceDN w:val="0"/>
              <w:adjustRightInd w:val="0"/>
              <w:rPr>
                <w:sz w:val="22"/>
                <w:szCs w:val="22"/>
              </w:rPr>
            </w:pPr>
            <w:r w:rsidRPr="00D21584">
              <w:rPr>
                <w:sz w:val="22"/>
                <w:szCs w:val="22"/>
              </w:rPr>
              <w:t>- Obtain HHS clearance of the OMH Framework: Completed Fall 2007</w:t>
            </w:r>
          </w:p>
          <w:p w:rsidR="00FA7A0E" w:rsidRPr="00D21584" w:rsidRDefault="00FA7A0E" w:rsidP="004F636D">
            <w:pPr>
              <w:autoSpaceDE w:val="0"/>
              <w:autoSpaceDN w:val="0"/>
              <w:adjustRightInd w:val="0"/>
              <w:rPr>
                <w:sz w:val="22"/>
                <w:szCs w:val="22"/>
              </w:rPr>
            </w:pPr>
            <w:r w:rsidRPr="00D21584">
              <w:rPr>
                <w:sz w:val="22"/>
                <w:szCs w:val="22"/>
              </w:rPr>
              <w:t xml:space="preserve">-Complete initial integration of the Framework into NPA activities: Winter 2007- 2008 </w:t>
            </w:r>
          </w:p>
          <w:p w:rsidR="00FA7A0E" w:rsidRPr="00D21584" w:rsidRDefault="00FA7A0E" w:rsidP="004F636D">
            <w:pPr>
              <w:autoSpaceDE w:val="0"/>
              <w:autoSpaceDN w:val="0"/>
              <w:adjustRightInd w:val="0"/>
              <w:rPr>
                <w:sz w:val="22"/>
                <w:szCs w:val="22"/>
              </w:rPr>
            </w:pPr>
            <w:r w:rsidRPr="00D21584">
              <w:rPr>
                <w:sz w:val="22"/>
                <w:szCs w:val="22"/>
              </w:rPr>
              <w:t xml:space="preserve">- Develop a dissemination &amp; publication plan: Winter 2007- 2008 </w:t>
            </w:r>
          </w:p>
          <w:p w:rsidR="00FA7A0E" w:rsidRPr="00D21584" w:rsidRDefault="00FA7A0E" w:rsidP="004F636D">
            <w:pPr>
              <w:autoSpaceDE w:val="0"/>
              <w:autoSpaceDN w:val="0"/>
              <w:adjustRightInd w:val="0"/>
              <w:rPr>
                <w:sz w:val="22"/>
                <w:szCs w:val="22"/>
              </w:rPr>
            </w:pPr>
            <w:r w:rsidRPr="00D21584">
              <w:rPr>
                <w:sz w:val="22"/>
                <w:szCs w:val="22"/>
              </w:rPr>
              <w:t>- Implement the dissemination &amp; publication plan via 2 national conferences &amp; 2 draft manuscripts for publication in professional journals: Summer 2008</w:t>
            </w:r>
          </w:p>
        </w:tc>
      </w:tr>
      <w:tr w:rsidR="00FA7A0E" w:rsidRPr="00D21584" w:rsidTr="001354BA">
        <w:tc>
          <w:tcPr>
            <w:tcW w:w="1368" w:type="dxa"/>
          </w:tcPr>
          <w:p w:rsidR="00FA7A0E" w:rsidRPr="00D21584" w:rsidRDefault="00FA7A0E" w:rsidP="004F636D">
            <w:pPr>
              <w:rPr>
                <w:sz w:val="22"/>
                <w:szCs w:val="22"/>
              </w:rPr>
            </w:pPr>
            <w:r w:rsidRPr="00D21584">
              <w:rPr>
                <w:sz w:val="22"/>
                <w:szCs w:val="22"/>
              </w:rPr>
              <w:t>2007</w:t>
            </w:r>
          </w:p>
        </w:tc>
        <w:tc>
          <w:tcPr>
            <w:tcW w:w="4140" w:type="dxa"/>
          </w:tcPr>
          <w:p w:rsidR="00FA7A0E" w:rsidRPr="00D21584" w:rsidRDefault="00FA7A0E" w:rsidP="004F636D">
            <w:pPr>
              <w:autoSpaceDE w:val="0"/>
              <w:autoSpaceDN w:val="0"/>
              <w:adjustRightInd w:val="0"/>
              <w:rPr>
                <w:sz w:val="22"/>
                <w:szCs w:val="22"/>
              </w:rPr>
            </w:pPr>
            <w:r w:rsidRPr="00D21584">
              <w:rPr>
                <w:sz w:val="22"/>
                <w:szCs w:val="22"/>
              </w:rPr>
              <w:t>Complete development of logic models* &amp; identification of any unique OMH performance measures for each OMH grant program, including umbrella cooperative agreements, and other key OMH-funded initiatives. (*Logic models originate from the evaluation field and are simply a way to plan, implement, and evaluate programmatic efforts, and to provide the theory or rationale undergirding what is being done. They usually include the problem to be addressed, factors contributing to the problem, strategies and practices being employed, measurable outcomes and impacts, and long-term objectives and goals.)</w:t>
            </w:r>
          </w:p>
        </w:tc>
        <w:tc>
          <w:tcPr>
            <w:tcW w:w="1332" w:type="dxa"/>
          </w:tcPr>
          <w:p w:rsidR="00FA7A0E" w:rsidRPr="00D21584" w:rsidRDefault="00FA7A0E" w:rsidP="004F636D">
            <w:pPr>
              <w:autoSpaceDE w:val="0"/>
              <w:autoSpaceDN w:val="0"/>
              <w:adjustRightInd w:val="0"/>
              <w:rPr>
                <w:sz w:val="22"/>
                <w:szCs w:val="22"/>
              </w:rPr>
            </w:pPr>
            <w:r w:rsidRPr="00D21584">
              <w:rPr>
                <w:sz w:val="22"/>
                <w:szCs w:val="22"/>
              </w:rPr>
              <w:t>Action taken, but</w:t>
            </w:r>
          </w:p>
          <w:p w:rsidR="00FA7A0E" w:rsidRPr="00D21584" w:rsidRDefault="00FA7A0E" w:rsidP="004F636D">
            <w:pPr>
              <w:rPr>
                <w:sz w:val="22"/>
                <w:szCs w:val="22"/>
              </w:rPr>
            </w:pPr>
            <w:r w:rsidRPr="00D21584">
              <w:rPr>
                <w:sz w:val="22"/>
                <w:szCs w:val="22"/>
              </w:rPr>
              <w:t>not completed</w:t>
            </w:r>
          </w:p>
        </w:tc>
        <w:tc>
          <w:tcPr>
            <w:tcW w:w="3302" w:type="dxa"/>
          </w:tcPr>
          <w:p w:rsidR="00FA7A0E" w:rsidRPr="00D21584" w:rsidRDefault="00FA7A0E" w:rsidP="004F636D">
            <w:pPr>
              <w:rPr>
                <w:sz w:val="22"/>
                <w:szCs w:val="22"/>
              </w:rPr>
            </w:pPr>
          </w:p>
        </w:tc>
      </w:tr>
      <w:tr w:rsidR="00FA7A0E" w:rsidRPr="00D21584" w:rsidTr="001354BA">
        <w:tc>
          <w:tcPr>
            <w:tcW w:w="1368" w:type="dxa"/>
          </w:tcPr>
          <w:p w:rsidR="00FA7A0E" w:rsidRPr="00D21584" w:rsidRDefault="00FA7A0E" w:rsidP="004F636D">
            <w:pPr>
              <w:rPr>
                <w:sz w:val="22"/>
                <w:szCs w:val="22"/>
              </w:rPr>
            </w:pPr>
            <w:r w:rsidRPr="00D21584">
              <w:rPr>
                <w:sz w:val="22"/>
                <w:szCs w:val="22"/>
              </w:rPr>
              <w:t>2007</w:t>
            </w:r>
          </w:p>
        </w:tc>
        <w:tc>
          <w:tcPr>
            <w:tcW w:w="4140" w:type="dxa"/>
          </w:tcPr>
          <w:p w:rsidR="00FA7A0E" w:rsidRPr="00D21584" w:rsidRDefault="00FA7A0E" w:rsidP="001354BA">
            <w:pPr>
              <w:autoSpaceDE w:val="0"/>
              <w:autoSpaceDN w:val="0"/>
              <w:adjustRightInd w:val="0"/>
              <w:rPr>
                <w:sz w:val="22"/>
                <w:szCs w:val="22"/>
              </w:rPr>
            </w:pPr>
            <w:r w:rsidRPr="00D21584">
              <w:rPr>
                <w:sz w:val="22"/>
                <w:szCs w:val="22"/>
              </w:rPr>
              <w:t>Integrate OMH performance measures, program logic models, evaluation protocols, and linkages with Healthy People 2010 objectives and the OMH Strategic Framework into regular training and technical assistance (T/TA) activities of all new OMH grantees, contractors, other partners, and key OMH staff.</w:t>
            </w:r>
          </w:p>
        </w:tc>
        <w:tc>
          <w:tcPr>
            <w:tcW w:w="1332" w:type="dxa"/>
          </w:tcPr>
          <w:p w:rsidR="00FA7A0E" w:rsidRPr="00D21584" w:rsidRDefault="00FA7A0E" w:rsidP="001354BA">
            <w:pPr>
              <w:autoSpaceDE w:val="0"/>
              <w:autoSpaceDN w:val="0"/>
              <w:adjustRightInd w:val="0"/>
              <w:rPr>
                <w:sz w:val="22"/>
                <w:szCs w:val="22"/>
              </w:rPr>
            </w:pPr>
            <w:r w:rsidRPr="00D21584">
              <w:rPr>
                <w:sz w:val="22"/>
                <w:szCs w:val="22"/>
              </w:rPr>
              <w:t>Action taken, but</w:t>
            </w:r>
          </w:p>
          <w:p w:rsidR="00FA7A0E" w:rsidRPr="00D21584" w:rsidRDefault="00FA7A0E" w:rsidP="001354BA">
            <w:pPr>
              <w:rPr>
                <w:sz w:val="22"/>
                <w:szCs w:val="22"/>
              </w:rPr>
            </w:pPr>
            <w:r w:rsidRPr="00D21584">
              <w:rPr>
                <w:sz w:val="22"/>
                <w:szCs w:val="22"/>
              </w:rPr>
              <w:t>not completed</w:t>
            </w:r>
          </w:p>
        </w:tc>
        <w:tc>
          <w:tcPr>
            <w:tcW w:w="3302" w:type="dxa"/>
          </w:tcPr>
          <w:p w:rsidR="00FA7A0E" w:rsidRPr="00D21584" w:rsidRDefault="00FA7A0E" w:rsidP="001354BA">
            <w:pPr>
              <w:autoSpaceDE w:val="0"/>
              <w:autoSpaceDN w:val="0"/>
              <w:adjustRightInd w:val="0"/>
              <w:rPr>
                <w:sz w:val="22"/>
                <w:szCs w:val="22"/>
              </w:rPr>
            </w:pPr>
            <w:r w:rsidRPr="00D21584">
              <w:rPr>
                <w:sz w:val="22"/>
                <w:szCs w:val="22"/>
              </w:rPr>
              <w:t>Milestone: - Provide strengthened T/TA on Framework, performance</w:t>
            </w:r>
          </w:p>
          <w:p w:rsidR="00FA7A0E" w:rsidRPr="00D21584" w:rsidRDefault="00FA7A0E" w:rsidP="001354BA">
            <w:pPr>
              <w:autoSpaceDE w:val="0"/>
              <w:autoSpaceDN w:val="0"/>
              <w:adjustRightInd w:val="0"/>
              <w:rPr>
                <w:sz w:val="22"/>
                <w:szCs w:val="22"/>
              </w:rPr>
            </w:pPr>
            <w:r w:rsidRPr="00D21584">
              <w:rPr>
                <w:sz w:val="22"/>
                <w:szCs w:val="22"/>
              </w:rPr>
              <w:t>measurement, and evaluation to</w:t>
            </w:r>
          </w:p>
          <w:p w:rsidR="00FA7A0E" w:rsidRPr="00D21584" w:rsidRDefault="00FA7A0E" w:rsidP="001354BA">
            <w:pPr>
              <w:autoSpaceDE w:val="0"/>
              <w:autoSpaceDN w:val="0"/>
              <w:adjustRightInd w:val="0"/>
              <w:rPr>
                <w:sz w:val="22"/>
                <w:szCs w:val="22"/>
              </w:rPr>
            </w:pPr>
            <w:r w:rsidRPr="00D21584">
              <w:rPr>
                <w:sz w:val="22"/>
                <w:szCs w:val="22"/>
              </w:rPr>
              <w:t>first set of new OMH grantees</w:t>
            </w:r>
          </w:p>
          <w:p w:rsidR="00FA7A0E" w:rsidRPr="00D21584" w:rsidRDefault="00FA7A0E" w:rsidP="001354BA">
            <w:pPr>
              <w:autoSpaceDE w:val="0"/>
              <w:autoSpaceDN w:val="0"/>
              <w:adjustRightInd w:val="0"/>
              <w:rPr>
                <w:sz w:val="22"/>
                <w:szCs w:val="22"/>
              </w:rPr>
            </w:pPr>
            <w:r w:rsidRPr="00D21584">
              <w:rPr>
                <w:sz w:val="22"/>
                <w:szCs w:val="22"/>
              </w:rPr>
              <w:t>who received OMH's Evaluation</w:t>
            </w:r>
          </w:p>
          <w:p w:rsidR="00FA7A0E" w:rsidRPr="00D21584" w:rsidRDefault="00FA7A0E" w:rsidP="001354BA">
            <w:pPr>
              <w:autoSpaceDE w:val="0"/>
              <w:autoSpaceDN w:val="0"/>
              <w:adjustRightInd w:val="0"/>
              <w:rPr>
                <w:sz w:val="22"/>
                <w:szCs w:val="22"/>
              </w:rPr>
            </w:pPr>
            <w:r w:rsidRPr="00D21584">
              <w:rPr>
                <w:sz w:val="22"/>
                <w:szCs w:val="22"/>
              </w:rPr>
              <w:t>Planning Guidelines in FY'06</w:t>
            </w:r>
          </w:p>
          <w:p w:rsidR="00FA7A0E" w:rsidRPr="00D21584" w:rsidRDefault="00FA7A0E" w:rsidP="001354BA">
            <w:pPr>
              <w:autoSpaceDE w:val="0"/>
              <w:autoSpaceDN w:val="0"/>
              <w:adjustRightInd w:val="0"/>
              <w:rPr>
                <w:sz w:val="22"/>
                <w:szCs w:val="22"/>
              </w:rPr>
            </w:pPr>
            <w:r w:rsidRPr="00D21584">
              <w:rPr>
                <w:sz w:val="22"/>
                <w:szCs w:val="22"/>
              </w:rPr>
              <w:t>grant announcements: Winter</w:t>
            </w:r>
          </w:p>
          <w:p w:rsidR="00FA7A0E" w:rsidRPr="00D21584" w:rsidRDefault="00FA7A0E" w:rsidP="001354BA">
            <w:pPr>
              <w:rPr>
                <w:sz w:val="22"/>
                <w:szCs w:val="22"/>
              </w:rPr>
            </w:pPr>
            <w:r w:rsidRPr="00D21584">
              <w:rPr>
                <w:sz w:val="22"/>
                <w:szCs w:val="22"/>
              </w:rPr>
              <w:t>2007-2008.</w:t>
            </w:r>
          </w:p>
        </w:tc>
      </w:tr>
      <w:tr w:rsidR="00FA7A0E" w:rsidRPr="00D21584" w:rsidTr="001354BA">
        <w:tc>
          <w:tcPr>
            <w:tcW w:w="1368" w:type="dxa"/>
          </w:tcPr>
          <w:p w:rsidR="00FA7A0E" w:rsidRPr="00D21584" w:rsidRDefault="00FA7A0E" w:rsidP="004F636D">
            <w:pPr>
              <w:rPr>
                <w:sz w:val="22"/>
                <w:szCs w:val="22"/>
              </w:rPr>
            </w:pPr>
            <w:r w:rsidRPr="00D21584">
              <w:rPr>
                <w:sz w:val="22"/>
                <w:szCs w:val="22"/>
              </w:rPr>
              <w:t>2007</w:t>
            </w:r>
          </w:p>
        </w:tc>
        <w:tc>
          <w:tcPr>
            <w:tcW w:w="4140" w:type="dxa"/>
          </w:tcPr>
          <w:p w:rsidR="00FA7A0E" w:rsidRPr="00D21584" w:rsidRDefault="00FA7A0E" w:rsidP="00F41B91">
            <w:pPr>
              <w:rPr>
                <w:sz w:val="22"/>
                <w:szCs w:val="22"/>
              </w:rPr>
            </w:pPr>
            <w:r w:rsidRPr="00D21584">
              <w:t>FY 2007 new OMH grantees (first recipients of OMH's Evaluation Planning Guidelines in Summer 2006 grant announcements).</w:t>
            </w:r>
          </w:p>
        </w:tc>
        <w:tc>
          <w:tcPr>
            <w:tcW w:w="1332" w:type="dxa"/>
          </w:tcPr>
          <w:p w:rsidR="00FA7A0E" w:rsidRPr="00D21584" w:rsidRDefault="00FA7A0E" w:rsidP="004F636D">
            <w:pPr>
              <w:rPr>
                <w:sz w:val="22"/>
                <w:szCs w:val="22"/>
              </w:rPr>
            </w:pPr>
            <w:r w:rsidRPr="00D21584">
              <w:rPr>
                <w:sz w:val="22"/>
                <w:szCs w:val="22"/>
              </w:rPr>
              <w:t>No action Taken</w:t>
            </w:r>
          </w:p>
        </w:tc>
        <w:tc>
          <w:tcPr>
            <w:tcW w:w="3302" w:type="dxa"/>
          </w:tcPr>
          <w:p w:rsidR="00FA7A0E" w:rsidRPr="00D21584" w:rsidRDefault="00FA7A0E" w:rsidP="004F636D">
            <w:pPr>
              <w:rPr>
                <w:sz w:val="22"/>
                <w:szCs w:val="22"/>
              </w:rPr>
            </w:pPr>
          </w:p>
        </w:tc>
      </w:tr>
      <w:tr w:rsidR="00FA7A0E" w:rsidRPr="00D21584" w:rsidTr="001354BA">
        <w:tc>
          <w:tcPr>
            <w:tcW w:w="1368" w:type="dxa"/>
          </w:tcPr>
          <w:p w:rsidR="00FA7A0E" w:rsidRPr="00D21584" w:rsidRDefault="00FA7A0E" w:rsidP="004F636D">
            <w:pPr>
              <w:rPr>
                <w:sz w:val="22"/>
                <w:szCs w:val="22"/>
              </w:rPr>
            </w:pPr>
            <w:r w:rsidRPr="00D21584">
              <w:rPr>
                <w:sz w:val="22"/>
                <w:szCs w:val="22"/>
              </w:rPr>
              <w:t>2006</w:t>
            </w:r>
          </w:p>
        </w:tc>
        <w:tc>
          <w:tcPr>
            <w:tcW w:w="4140" w:type="dxa"/>
          </w:tcPr>
          <w:p w:rsidR="00FA7A0E" w:rsidRPr="00D21584" w:rsidRDefault="00FA7A0E" w:rsidP="00F41B91">
            <w:pPr>
              <w:rPr>
                <w:sz w:val="22"/>
                <w:szCs w:val="22"/>
              </w:rPr>
            </w:pPr>
            <w:r w:rsidRPr="00D21584">
              <w:rPr>
                <w:sz w:val="22"/>
                <w:szCs w:val="22"/>
              </w:rPr>
              <w:t>Draft a plan for coordinating a systems approach to addressing minority health problems and racial/ ethnic (r/e) health disparities, using draft performance measures.</w:t>
            </w:r>
          </w:p>
        </w:tc>
        <w:tc>
          <w:tcPr>
            <w:tcW w:w="1332" w:type="dxa"/>
          </w:tcPr>
          <w:p w:rsidR="00FA7A0E" w:rsidRPr="00D21584" w:rsidRDefault="00FA7A0E" w:rsidP="004F636D">
            <w:pPr>
              <w:rPr>
                <w:sz w:val="22"/>
                <w:szCs w:val="22"/>
              </w:rPr>
            </w:pPr>
            <w:r w:rsidRPr="00D21584">
              <w:rPr>
                <w:sz w:val="22"/>
                <w:szCs w:val="22"/>
              </w:rPr>
              <w:t>Completed</w:t>
            </w:r>
          </w:p>
        </w:tc>
        <w:tc>
          <w:tcPr>
            <w:tcW w:w="3302" w:type="dxa"/>
          </w:tcPr>
          <w:p w:rsidR="00FA7A0E" w:rsidRPr="00D21584" w:rsidRDefault="00FA7A0E" w:rsidP="00F41B91">
            <w:pPr>
              <w:autoSpaceDE w:val="0"/>
              <w:autoSpaceDN w:val="0"/>
              <w:adjustRightInd w:val="0"/>
              <w:rPr>
                <w:sz w:val="22"/>
                <w:szCs w:val="22"/>
              </w:rPr>
            </w:pPr>
            <w:r w:rsidRPr="00D21584">
              <w:rPr>
                <w:sz w:val="22"/>
                <w:szCs w:val="22"/>
              </w:rPr>
              <w:t>An OMH Strategic Framework for improving racial/ethnic minority health and reducing racial/ethnic health disparities has been developed. The Framework presents a vision and basis for a "systems approach" to addressing racial/ethnic minority health problems within and outside of</w:t>
            </w:r>
          </w:p>
          <w:p w:rsidR="00FA7A0E" w:rsidRPr="00D21584" w:rsidRDefault="00FA7A0E" w:rsidP="00F41B91">
            <w:pPr>
              <w:autoSpaceDE w:val="0"/>
              <w:autoSpaceDN w:val="0"/>
              <w:adjustRightInd w:val="0"/>
              <w:rPr>
                <w:sz w:val="22"/>
                <w:szCs w:val="22"/>
              </w:rPr>
            </w:pPr>
            <w:r w:rsidRPr="00D21584">
              <w:rPr>
                <w:sz w:val="22"/>
                <w:szCs w:val="22"/>
              </w:rPr>
              <w:t>HHS, which identifies the unique leadership and coordinative role that OMH has in effecting such an approach for the Nation. The</w:t>
            </w:r>
          </w:p>
          <w:p w:rsidR="00FA7A0E" w:rsidRPr="00D21584" w:rsidRDefault="00FA7A0E" w:rsidP="00F41B91">
            <w:pPr>
              <w:autoSpaceDE w:val="0"/>
              <w:autoSpaceDN w:val="0"/>
              <w:adjustRightInd w:val="0"/>
              <w:rPr>
                <w:sz w:val="22"/>
                <w:szCs w:val="22"/>
              </w:rPr>
            </w:pPr>
            <w:r w:rsidRPr="00D21584">
              <w:rPr>
                <w:sz w:val="22"/>
                <w:szCs w:val="22"/>
              </w:rPr>
              <w:t>Framework is currently undergoing HHS clearance.</w:t>
            </w:r>
          </w:p>
        </w:tc>
      </w:tr>
      <w:tr w:rsidR="00FA7A0E" w:rsidRPr="00D21584" w:rsidTr="001354BA">
        <w:tc>
          <w:tcPr>
            <w:tcW w:w="1368" w:type="dxa"/>
          </w:tcPr>
          <w:p w:rsidR="00FA7A0E" w:rsidRPr="00D21584" w:rsidRDefault="00FA7A0E" w:rsidP="004F636D">
            <w:pPr>
              <w:rPr>
                <w:sz w:val="22"/>
                <w:szCs w:val="22"/>
              </w:rPr>
            </w:pPr>
            <w:r w:rsidRPr="00D21584">
              <w:rPr>
                <w:sz w:val="22"/>
                <w:szCs w:val="22"/>
              </w:rPr>
              <w:t>2006</w:t>
            </w:r>
          </w:p>
        </w:tc>
        <w:tc>
          <w:tcPr>
            <w:tcW w:w="4140" w:type="dxa"/>
          </w:tcPr>
          <w:p w:rsidR="00FA7A0E" w:rsidRPr="00D21584" w:rsidRDefault="00FA7A0E" w:rsidP="00E67ACF">
            <w:pPr>
              <w:autoSpaceDE w:val="0"/>
              <w:autoSpaceDN w:val="0"/>
              <w:adjustRightInd w:val="0"/>
              <w:rPr>
                <w:sz w:val="22"/>
                <w:szCs w:val="22"/>
              </w:rPr>
            </w:pPr>
            <w:r w:rsidRPr="00D21584">
              <w:rPr>
                <w:sz w:val="22"/>
                <w:szCs w:val="22"/>
              </w:rPr>
              <w:t>Develop a draft strategic framework &amp; logic model with preliminary long and short-term performance goals that are clearly linked to each other, reflect OMH's overall mission, and enable measurement of progress. Obtain review &amp; comment and revise the draft framework/logic model and performance measures accordingly. Incorporate final goals and measures, and related evaluations and reporting requirements, into new announcements and agreements with OMH partners as well as budget requests.</w:t>
            </w:r>
          </w:p>
        </w:tc>
        <w:tc>
          <w:tcPr>
            <w:tcW w:w="1332" w:type="dxa"/>
          </w:tcPr>
          <w:p w:rsidR="00FA7A0E" w:rsidRPr="00D21584" w:rsidRDefault="00FA7A0E" w:rsidP="004F636D">
            <w:pPr>
              <w:rPr>
                <w:sz w:val="22"/>
                <w:szCs w:val="22"/>
              </w:rPr>
            </w:pPr>
            <w:r w:rsidRPr="00D21584">
              <w:rPr>
                <w:sz w:val="22"/>
                <w:szCs w:val="22"/>
              </w:rPr>
              <w:t>Completed</w:t>
            </w:r>
          </w:p>
        </w:tc>
        <w:tc>
          <w:tcPr>
            <w:tcW w:w="3302" w:type="dxa"/>
          </w:tcPr>
          <w:p w:rsidR="00FA7A0E" w:rsidRPr="00D21584" w:rsidRDefault="00FA7A0E" w:rsidP="00E67ACF">
            <w:pPr>
              <w:autoSpaceDE w:val="0"/>
              <w:autoSpaceDN w:val="0"/>
              <w:adjustRightInd w:val="0"/>
              <w:rPr>
                <w:sz w:val="22"/>
                <w:szCs w:val="22"/>
              </w:rPr>
            </w:pPr>
            <w:r w:rsidRPr="00D21584">
              <w:rPr>
                <w:sz w:val="22"/>
                <w:szCs w:val="22"/>
              </w:rPr>
              <w:t>The OMH Strategic Framework includes a logic model which builds upon existing science about the nature and extent of minority health and systems-related problems, related factors, strategies that work, and the kinds of outcomes/ impacts needed. It</w:t>
            </w:r>
          </w:p>
          <w:p w:rsidR="00FA7A0E" w:rsidRPr="00D21584" w:rsidRDefault="00FA7A0E" w:rsidP="00E67ACF">
            <w:pPr>
              <w:autoSpaceDE w:val="0"/>
              <w:autoSpaceDN w:val="0"/>
              <w:adjustRightInd w:val="0"/>
              <w:rPr>
                <w:sz w:val="22"/>
                <w:szCs w:val="22"/>
              </w:rPr>
            </w:pPr>
            <w:r w:rsidRPr="00D21584">
              <w:rPr>
                <w:sz w:val="22"/>
                <w:szCs w:val="22"/>
              </w:rPr>
              <w:t>has informed development of OMH specific performance measures linked to the PART measures which are being incorporated, along with strengthened evaluation planning guidance, into new grant announcements and agreements with other OMH partners.</w:t>
            </w:r>
          </w:p>
        </w:tc>
      </w:tr>
      <w:tr w:rsidR="00FA7A0E" w:rsidRPr="00D21584" w:rsidTr="001354BA">
        <w:tc>
          <w:tcPr>
            <w:tcW w:w="1368" w:type="dxa"/>
          </w:tcPr>
          <w:p w:rsidR="00FA7A0E" w:rsidRPr="00D21584" w:rsidRDefault="00FA7A0E" w:rsidP="004F636D">
            <w:pPr>
              <w:rPr>
                <w:sz w:val="22"/>
                <w:szCs w:val="22"/>
              </w:rPr>
            </w:pPr>
            <w:r w:rsidRPr="00D21584">
              <w:rPr>
                <w:sz w:val="22"/>
                <w:szCs w:val="22"/>
              </w:rPr>
              <w:t>2006</w:t>
            </w:r>
          </w:p>
        </w:tc>
        <w:tc>
          <w:tcPr>
            <w:tcW w:w="4140" w:type="dxa"/>
          </w:tcPr>
          <w:p w:rsidR="00FA7A0E" w:rsidRPr="00D21584" w:rsidRDefault="00FA7A0E" w:rsidP="00E67ACF">
            <w:pPr>
              <w:autoSpaceDE w:val="0"/>
              <w:autoSpaceDN w:val="0"/>
              <w:adjustRightInd w:val="0"/>
              <w:rPr>
                <w:sz w:val="22"/>
                <w:szCs w:val="22"/>
              </w:rPr>
            </w:pPr>
            <w:r w:rsidRPr="00D21584">
              <w:rPr>
                <w:sz w:val="22"/>
                <w:szCs w:val="22"/>
              </w:rPr>
              <w:t>Complete a draft performance contract for the OMH Director and finalize.</w:t>
            </w:r>
          </w:p>
        </w:tc>
        <w:tc>
          <w:tcPr>
            <w:tcW w:w="1332" w:type="dxa"/>
          </w:tcPr>
          <w:p w:rsidR="00FA7A0E" w:rsidRPr="00D21584" w:rsidRDefault="00FA7A0E" w:rsidP="004F636D">
            <w:pPr>
              <w:rPr>
                <w:sz w:val="22"/>
                <w:szCs w:val="22"/>
              </w:rPr>
            </w:pPr>
            <w:r w:rsidRPr="00D21584">
              <w:rPr>
                <w:sz w:val="22"/>
                <w:szCs w:val="22"/>
              </w:rPr>
              <w:t>Completed</w:t>
            </w:r>
          </w:p>
        </w:tc>
        <w:tc>
          <w:tcPr>
            <w:tcW w:w="3302" w:type="dxa"/>
          </w:tcPr>
          <w:p w:rsidR="00FA7A0E" w:rsidRPr="00D21584" w:rsidRDefault="00FA7A0E" w:rsidP="004F636D">
            <w:pPr>
              <w:rPr>
                <w:sz w:val="22"/>
                <w:szCs w:val="22"/>
              </w:rPr>
            </w:pPr>
            <w:r w:rsidRPr="00D21584">
              <w:rPr>
                <w:sz w:val="22"/>
                <w:szCs w:val="22"/>
              </w:rPr>
              <w:t>Completed Achieved by Fall 2006 as proposed</w:t>
            </w:r>
          </w:p>
        </w:tc>
      </w:tr>
    </w:tbl>
    <w:p w:rsidR="00FA7A0E" w:rsidRPr="00D21584" w:rsidRDefault="00FA7A0E" w:rsidP="004F636D">
      <w:pPr>
        <w:rPr>
          <w:sz w:val="22"/>
          <w:szCs w:val="22"/>
        </w:rPr>
      </w:pPr>
    </w:p>
    <w:p w:rsidR="00FA7A0E" w:rsidRPr="00D21584" w:rsidRDefault="00FA7A0E" w:rsidP="000C402E">
      <w:pPr>
        <w:rPr>
          <w:b/>
        </w:rPr>
      </w:pPr>
      <w:r w:rsidRPr="00D21584">
        <w:rPr>
          <w:b/>
        </w:rPr>
        <w:t xml:space="preserve">Source: “Detailed Information on the Office of Minority Health Assessment.” Link: </w:t>
      </w:r>
      <w:hyperlink r:id="rId6" w:history="1">
        <w:r w:rsidRPr="00D21584">
          <w:rPr>
            <w:rStyle w:val="Hyperlink"/>
            <w:b/>
          </w:rPr>
          <w:t>http://www.whitehouse.gov/omb/expectmore/detail/10003526.2005.html</w:t>
        </w:r>
      </w:hyperlink>
      <w:r w:rsidRPr="00D21584">
        <w:rPr>
          <w:b/>
        </w:rPr>
        <w:t xml:space="preserve"> </w:t>
      </w: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4F636D">
      <w:pPr>
        <w:rPr>
          <w:sz w:val="22"/>
          <w:szCs w:val="22"/>
        </w:rPr>
      </w:pPr>
    </w:p>
    <w:p w:rsidR="00FA7A0E" w:rsidRPr="00D21584" w:rsidRDefault="00FA7A0E" w:rsidP="003E5F35"/>
    <w:p w:rsidR="00FA7A0E" w:rsidRPr="00D21584" w:rsidRDefault="00FA7A0E" w:rsidP="003E5F35">
      <w:pPr>
        <w:jc w:val="center"/>
      </w:pPr>
    </w:p>
    <w:p w:rsidR="00FA7A0E" w:rsidRPr="00D21584" w:rsidRDefault="00FA7A0E" w:rsidP="003E5F35">
      <w:pPr>
        <w:jc w:val="center"/>
      </w:pPr>
    </w:p>
    <w:p w:rsidR="00FA7A0E" w:rsidRDefault="00FA7A0E" w:rsidP="003E5F35">
      <w:pPr>
        <w:jc w:val="center"/>
      </w:pPr>
    </w:p>
    <w:p w:rsidR="00FA7A0E" w:rsidRPr="00D21584" w:rsidRDefault="00FA7A0E" w:rsidP="003E5F35">
      <w:pPr>
        <w:jc w:val="center"/>
      </w:pPr>
      <w:r w:rsidRPr="00D21584">
        <w:t>Program Performance Measures Approved by OMB</w:t>
      </w:r>
    </w:p>
    <w:p w:rsidR="00FA7A0E" w:rsidRPr="00D21584" w:rsidRDefault="00FA7A0E" w:rsidP="003E5F35">
      <w:pPr>
        <w:jc w:val="center"/>
      </w:pPr>
    </w:p>
    <w:tbl>
      <w:tblPr>
        <w:tblStyle w:val="TableGrid"/>
        <w:tblW w:w="10188" w:type="dxa"/>
        <w:tblLook w:val="01E0"/>
      </w:tblPr>
      <w:tblGrid>
        <w:gridCol w:w="2088"/>
        <w:gridCol w:w="1440"/>
        <w:gridCol w:w="6660"/>
      </w:tblGrid>
      <w:tr w:rsidR="00FA7A0E" w:rsidRPr="00D21584" w:rsidTr="003E5F35">
        <w:tc>
          <w:tcPr>
            <w:tcW w:w="2088" w:type="dxa"/>
            <w:shd w:val="clear" w:color="auto" w:fill="C0C0C0"/>
          </w:tcPr>
          <w:p w:rsidR="00FA7A0E" w:rsidRPr="00D21584" w:rsidRDefault="00FA7A0E" w:rsidP="003E5F35">
            <w:pPr>
              <w:jc w:val="center"/>
              <w:rPr>
                <w:b/>
              </w:rPr>
            </w:pPr>
            <w:r w:rsidRPr="00D21584">
              <w:rPr>
                <w:b/>
              </w:rPr>
              <w:t>Term</w:t>
            </w:r>
          </w:p>
        </w:tc>
        <w:tc>
          <w:tcPr>
            <w:tcW w:w="1440" w:type="dxa"/>
            <w:shd w:val="clear" w:color="auto" w:fill="C0C0C0"/>
          </w:tcPr>
          <w:p w:rsidR="00FA7A0E" w:rsidRPr="00D21584" w:rsidRDefault="00FA7A0E" w:rsidP="003E5F35">
            <w:pPr>
              <w:jc w:val="center"/>
              <w:rPr>
                <w:b/>
              </w:rPr>
            </w:pPr>
            <w:r w:rsidRPr="00D21584">
              <w:rPr>
                <w:b/>
              </w:rPr>
              <w:t>Type</w:t>
            </w:r>
          </w:p>
        </w:tc>
        <w:tc>
          <w:tcPr>
            <w:tcW w:w="6660" w:type="dxa"/>
            <w:shd w:val="clear" w:color="auto" w:fill="C0C0C0"/>
          </w:tcPr>
          <w:p w:rsidR="00FA7A0E" w:rsidRPr="00D21584" w:rsidRDefault="00FA7A0E" w:rsidP="003E5F35">
            <w:pPr>
              <w:jc w:val="center"/>
              <w:rPr>
                <w:b/>
              </w:rPr>
            </w:pPr>
            <w:r w:rsidRPr="00D21584">
              <w:rPr>
                <w:b/>
              </w:rPr>
              <w:t>Measure</w:t>
            </w:r>
          </w:p>
        </w:tc>
      </w:tr>
      <w:tr w:rsidR="00FA7A0E" w:rsidRPr="00D21584" w:rsidTr="003E5F35">
        <w:tc>
          <w:tcPr>
            <w:tcW w:w="2088" w:type="dxa"/>
          </w:tcPr>
          <w:p w:rsidR="00FA7A0E" w:rsidRPr="00D21584" w:rsidRDefault="00FA7A0E" w:rsidP="003E5F35">
            <w:pPr>
              <w:jc w:val="center"/>
            </w:pPr>
            <w:r w:rsidRPr="00D21584">
              <w:t>Long-term/Annual</w:t>
            </w:r>
          </w:p>
        </w:tc>
        <w:tc>
          <w:tcPr>
            <w:tcW w:w="1440" w:type="dxa"/>
          </w:tcPr>
          <w:p w:rsidR="00FA7A0E" w:rsidRPr="00D21584" w:rsidRDefault="00FA7A0E" w:rsidP="003E5F35">
            <w:pPr>
              <w:jc w:val="center"/>
            </w:pPr>
            <w:r w:rsidRPr="00D21584">
              <w:t>Outcome</w:t>
            </w:r>
          </w:p>
        </w:tc>
        <w:tc>
          <w:tcPr>
            <w:tcW w:w="6660" w:type="dxa"/>
          </w:tcPr>
          <w:p w:rsidR="00FA7A0E" w:rsidRPr="00D21584" w:rsidRDefault="00FA7A0E" w:rsidP="003E5F35">
            <w:pPr>
              <w:autoSpaceDE w:val="0"/>
              <w:autoSpaceDN w:val="0"/>
              <w:adjustRightInd w:val="0"/>
              <w:rPr>
                <w:sz w:val="22"/>
                <w:szCs w:val="22"/>
              </w:rPr>
            </w:pPr>
            <w:r w:rsidRPr="00D21584">
              <w:rPr>
                <w:b/>
                <w:bCs/>
                <w:sz w:val="22"/>
                <w:szCs w:val="22"/>
              </w:rPr>
              <w:t xml:space="preserve">Measure: </w:t>
            </w:r>
            <w:r w:rsidRPr="00D21584">
              <w:rPr>
                <w:sz w:val="22"/>
                <w:szCs w:val="22"/>
              </w:rPr>
              <w:t>Increase awareness of racial/ethnic health</w:t>
            </w:r>
          </w:p>
          <w:p w:rsidR="00FA7A0E" w:rsidRPr="00D21584" w:rsidRDefault="00FA7A0E" w:rsidP="003E5F35">
            <w:pPr>
              <w:autoSpaceDE w:val="0"/>
              <w:autoSpaceDN w:val="0"/>
              <w:adjustRightInd w:val="0"/>
              <w:rPr>
                <w:sz w:val="22"/>
                <w:szCs w:val="22"/>
              </w:rPr>
            </w:pPr>
            <w:r w:rsidRPr="00D21584">
              <w:rPr>
                <w:sz w:val="22"/>
                <w:szCs w:val="22"/>
              </w:rPr>
              <w:t>status and health care disparities in the general population (New measure, February 2007)</w:t>
            </w:r>
          </w:p>
          <w:p w:rsidR="00FA7A0E" w:rsidRPr="00D21584" w:rsidRDefault="00FA7A0E" w:rsidP="003E5F35">
            <w:pPr>
              <w:autoSpaceDE w:val="0"/>
              <w:autoSpaceDN w:val="0"/>
              <w:adjustRightInd w:val="0"/>
              <w:rPr>
                <w:sz w:val="22"/>
                <w:szCs w:val="22"/>
              </w:rPr>
            </w:pPr>
            <w:r w:rsidRPr="00D21584">
              <w:rPr>
                <w:b/>
                <w:iCs/>
                <w:sz w:val="22"/>
                <w:szCs w:val="22"/>
              </w:rPr>
              <w:t>Explanation:</w:t>
            </w:r>
            <w:r w:rsidRPr="00D21584">
              <w:rPr>
                <w:sz w:val="22"/>
                <w:szCs w:val="22"/>
              </w:rPr>
              <w:t xml:space="preserve"> The lack of general awareness and understanding about the nature and extent of racial and ethnic health disparities in the </w:t>
            </w:r>
            <w:smartTag w:uri="urn:schemas-microsoft-com:office:smarttags" w:element="place">
              <w:smartTag w:uri="urn:schemas-microsoft-com:office:smarttags" w:element="country-region">
                <w:r w:rsidRPr="00D21584">
                  <w:rPr>
                    <w:sz w:val="22"/>
                    <w:szCs w:val="22"/>
                  </w:rPr>
                  <w:t>U.S.</w:t>
                </w:r>
              </w:smartTag>
            </w:smartTag>
            <w:r w:rsidRPr="00D21584">
              <w:rPr>
                <w:sz w:val="22"/>
                <w:szCs w:val="22"/>
              </w:rPr>
              <w:t xml:space="preserve"> and the impact of such disparities on the overall health of the Nation has been cited as a major barrier to the provision of programmatic, budgetary, and policy attention to these issues. This measure is intended to promote such awareness and subsequent action. Source: Data from survey of public perceptions and experience about racial/ethnic disparities in health care - Kaiser Family Foundation and Princeton Survey Research Associates.</w:t>
            </w:r>
          </w:p>
          <w:p w:rsidR="00FA7A0E" w:rsidRPr="00D21584" w:rsidRDefault="00FA7A0E" w:rsidP="003E5F35">
            <w:pPr>
              <w:tabs>
                <w:tab w:val="left" w:pos="0"/>
              </w:tabs>
              <w:autoSpaceDE w:val="0"/>
              <w:autoSpaceDN w:val="0"/>
              <w:adjustRightInd w:val="0"/>
              <w:rPr>
                <w:b/>
                <w:bCs/>
                <w:sz w:val="22"/>
                <w:szCs w:val="22"/>
              </w:rPr>
            </w:pPr>
            <w:r w:rsidRPr="00D21584">
              <w:rPr>
                <w:b/>
                <w:bCs/>
                <w:sz w:val="22"/>
                <w:szCs w:val="22"/>
              </w:rPr>
              <w:t>Year Target Actual</w:t>
            </w:r>
          </w:p>
          <w:p w:rsidR="00FA7A0E" w:rsidRPr="00D21584" w:rsidRDefault="00FA7A0E" w:rsidP="003E5F35">
            <w:pPr>
              <w:autoSpaceDE w:val="0"/>
              <w:autoSpaceDN w:val="0"/>
              <w:adjustRightInd w:val="0"/>
              <w:rPr>
                <w:sz w:val="22"/>
                <w:szCs w:val="22"/>
              </w:rPr>
            </w:pPr>
            <w:r w:rsidRPr="00D21584">
              <w:rPr>
                <w:sz w:val="22"/>
                <w:szCs w:val="22"/>
              </w:rPr>
              <w:t>1999: baseline 47.5%</w:t>
            </w:r>
          </w:p>
          <w:p w:rsidR="00FA7A0E" w:rsidRPr="00D21584" w:rsidRDefault="00FA7A0E" w:rsidP="003E5F35">
            <w:pPr>
              <w:autoSpaceDE w:val="0"/>
              <w:autoSpaceDN w:val="0"/>
              <w:adjustRightInd w:val="0"/>
              <w:rPr>
                <w:sz w:val="22"/>
                <w:szCs w:val="22"/>
              </w:rPr>
            </w:pPr>
            <w:r w:rsidRPr="00D21584">
              <w:rPr>
                <w:sz w:val="22"/>
                <w:szCs w:val="22"/>
              </w:rPr>
              <w:t>2007:  49.8% expected by 12/19/08</w:t>
            </w:r>
          </w:p>
          <w:p w:rsidR="00FA7A0E" w:rsidRPr="00D21584" w:rsidRDefault="00FA7A0E" w:rsidP="003E5F35">
            <w:pPr>
              <w:rPr>
                <w:sz w:val="22"/>
                <w:szCs w:val="22"/>
              </w:rPr>
            </w:pPr>
            <w:r w:rsidRPr="00D21584">
              <w:rPr>
                <w:sz w:val="22"/>
                <w:szCs w:val="22"/>
              </w:rPr>
              <w:t>2008: 50.8% expected by 12/19/08</w:t>
            </w:r>
          </w:p>
          <w:p w:rsidR="00FA7A0E" w:rsidRPr="00D21584" w:rsidRDefault="00FA7A0E" w:rsidP="003E5F35">
            <w:pPr>
              <w:rPr>
                <w:sz w:val="22"/>
                <w:szCs w:val="22"/>
              </w:rPr>
            </w:pPr>
            <w:r w:rsidRPr="00D21584">
              <w:rPr>
                <w:sz w:val="22"/>
                <w:szCs w:val="22"/>
              </w:rPr>
              <w:t>2009: 51.8%</w:t>
            </w:r>
          </w:p>
        </w:tc>
      </w:tr>
      <w:tr w:rsidR="00FA7A0E" w:rsidRPr="00D21584" w:rsidTr="003E5F35">
        <w:tc>
          <w:tcPr>
            <w:tcW w:w="2088" w:type="dxa"/>
          </w:tcPr>
          <w:p w:rsidR="00FA7A0E" w:rsidRPr="00D21584" w:rsidRDefault="00FA7A0E" w:rsidP="003E5F35">
            <w:pPr>
              <w:jc w:val="center"/>
            </w:pPr>
            <w:r w:rsidRPr="00D21584">
              <w:t>Long-term</w:t>
            </w:r>
          </w:p>
        </w:tc>
        <w:tc>
          <w:tcPr>
            <w:tcW w:w="1440" w:type="dxa"/>
          </w:tcPr>
          <w:p w:rsidR="00FA7A0E" w:rsidRPr="00D21584" w:rsidRDefault="00FA7A0E" w:rsidP="003E5F35">
            <w:pPr>
              <w:jc w:val="center"/>
            </w:pPr>
            <w:r w:rsidRPr="00D21584">
              <w:t>Outcome</w:t>
            </w:r>
          </w:p>
        </w:tc>
        <w:tc>
          <w:tcPr>
            <w:tcW w:w="6660" w:type="dxa"/>
          </w:tcPr>
          <w:p w:rsidR="00FA7A0E" w:rsidRPr="00D21584" w:rsidRDefault="00FA7A0E" w:rsidP="003E5F35">
            <w:pPr>
              <w:autoSpaceDE w:val="0"/>
              <w:autoSpaceDN w:val="0"/>
              <w:adjustRightInd w:val="0"/>
              <w:rPr>
                <w:sz w:val="22"/>
                <w:szCs w:val="22"/>
              </w:rPr>
            </w:pPr>
            <w:r w:rsidRPr="00D21584">
              <w:rPr>
                <w:b/>
                <w:bCs/>
                <w:sz w:val="22"/>
                <w:szCs w:val="22"/>
              </w:rPr>
              <w:t xml:space="preserve">Measure: </w:t>
            </w:r>
            <w:r w:rsidRPr="00D21584">
              <w:rPr>
                <w:sz w:val="22"/>
                <w:szCs w:val="22"/>
              </w:rPr>
              <w:t>Increase the percentage of measurable racial/ ethnic minority-specific Healthy People 2010 (HP2010) objectives and sub-objectives that have met the target or are moving in the right direction. (New measure,</w:t>
            </w:r>
          </w:p>
          <w:p w:rsidR="00FA7A0E" w:rsidRPr="00D21584" w:rsidRDefault="00FA7A0E" w:rsidP="003E5F35">
            <w:pPr>
              <w:autoSpaceDE w:val="0"/>
              <w:autoSpaceDN w:val="0"/>
              <w:adjustRightInd w:val="0"/>
              <w:rPr>
                <w:sz w:val="22"/>
                <w:szCs w:val="22"/>
              </w:rPr>
            </w:pPr>
            <w:r w:rsidRPr="00D21584">
              <w:rPr>
                <w:sz w:val="22"/>
                <w:szCs w:val="22"/>
              </w:rPr>
              <w:t>February 2007)</w:t>
            </w:r>
          </w:p>
          <w:p w:rsidR="00FA7A0E" w:rsidRPr="00D21584" w:rsidRDefault="00FA7A0E" w:rsidP="003E5F35">
            <w:pPr>
              <w:autoSpaceDE w:val="0"/>
              <w:autoSpaceDN w:val="0"/>
              <w:adjustRightInd w:val="0"/>
              <w:rPr>
                <w:sz w:val="22"/>
                <w:szCs w:val="22"/>
              </w:rPr>
            </w:pPr>
            <w:r w:rsidRPr="00D21584">
              <w:rPr>
                <w:b/>
                <w:iCs/>
                <w:sz w:val="22"/>
                <w:szCs w:val="22"/>
              </w:rPr>
              <w:t>Explanation:</w:t>
            </w:r>
            <w:r w:rsidRPr="00D21584">
              <w:rPr>
                <w:i/>
                <w:iCs/>
                <w:sz w:val="22"/>
                <w:szCs w:val="22"/>
              </w:rPr>
              <w:t xml:space="preserve"> </w:t>
            </w:r>
            <w:r w:rsidRPr="00D21584">
              <w:rPr>
                <w:sz w:val="22"/>
                <w:szCs w:val="22"/>
              </w:rPr>
              <w:t xml:space="preserve">OMH's overarching goal is to improve the health of racial/ ethnic minorities and to address health disparities that disproportionately impact these  populations in the U.S. HP2010's overarching goals are to improve the health of </w:t>
            </w:r>
            <w:smartTag w:uri="urn:schemas-microsoft-com:office:smarttags" w:element="country-region">
              <w:smartTag w:uri="urn:schemas-microsoft-com:office:smarttags" w:element="place">
                <w:r w:rsidRPr="00D21584">
                  <w:rPr>
                    <w:sz w:val="22"/>
                    <w:szCs w:val="22"/>
                  </w:rPr>
                  <w:t>U.S.</w:t>
                </w:r>
              </w:smartTag>
            </w:smartTag>
            <w:r w:rsidRPr="00D21584">
              <w:rPr>
                <w:sz w:val="22"/>
                <w:szCs w:val="22"/>
              </w:rPr>
              <w:t xml:space="preserve"> populations and to eliminate health disparities which include, but are not limited to, those defined by race/ethnicity. Accomplishing OMH's goal contributes to achievement of the HP2010 goals; and, making progress on the population-based objectives of HP2010 contributes to progress on the HP2010 objectives overall.</w:t>
            </w:r>
          </w:p>
          <w:p w:rsidR="00FA7A0E" w:rsidRPr="00D21584" w:rsidRDefault="00FA7A0E" w:rsidP="003E5F35">
            <w:pPr>
              <w:autoSpaceDE w:val="0"/>
              <w:autoSpaceDN w:val="0"/>
              <w:adjustRightInd w:val="0"/>
              <w:rPr>
                <w:b/>
                <w:bCs/>
                <w:sz w:val="22"/>
                <w:szCs w:val="22"/>
              </w:rPr>
            </w:pPr>
            <w:r w:rsidRPr="00D21584">
              <w:rPr>
                <w:b/>
                <w:bCs/>
                <w:sz w:val="22"/>
                <w:szCs w:val="22"/>
              </w:rPr>
              <w:t>Year Target Actual</w:t>
            </w:r>
          </w:p>
          <w:p w:rsidR="00FA7A0E" w:rsidRPr="00D21584" w:rsidRDefault="00FA7A0E" w:rsidP="003E5F35">
            <w:pPr>
              <w:autoSpaceDE w:val="0"/>
              <w:autoSpaceDN w:val="0"/>
              <w:adjustRightInd w:val="0"/>
              <w:rPr>
                <w:sz w:val="22"/>
                <w:szCs w:val="22"/>
              </w:rPr>
            </w:pPr>
            <w:r w:rsidRPr="00D21584">
              <w:rPr>
                <w:sz w:val="22"/>
                <w:szCs w:val="22"/>
              </w:rPr>
              <w:t>2005: Baseline 62.4% (572/917)</w:t>
            </w:r>
          </w:p>
          <w:p w:rsidR="00FA7A0E" w:rsidRPr="00D21584" w:rsidRDefault="00FA7A0E" w:rsidP="003E5F35">
            <w:r w:rsidRPr="00D21584">
              <w:rPr>
                <w:sz w:val="22"/>
                <w:szCs w:val="22"/>
              </w:rPr>
              <w:t>2010: 68.6% (629/917)</w:t>
            </w:r>
          </w:p>
        </w:tc>
      </w:tr>
      <w:tr w:rsidR="00FA7A0E" w:rsidRPr="00D21584" w:rsidTr="003E5F35">
        <w:tc>
          <w:tcPr>
            <w:tcW w:w="2088" w:type="dxa"/>
          </w:tcPr>
          <w:p w:rsidR="00FA7A0E" w:rsidRPr="00D21584" w:rsidRDefault="00FA7A0E" w:rsidP="003E5F35">
            <w:pPr>
              <w:jc w:val="center"/>
            </w:pPr>
            <w:r w:rsidRPr="00D21584">
              <w:t>Annual</w:t>
            </w:r>
          </w:p>
        </w:tc>
        <w:tc>
          <w:tcPr>
            <w:tcW w:w="1440" w:type="dxa"/>
          </w:tcPr>
          <w:p w:rsidR="00FA7A0E" w:rsidRPr="00D21584" w:rsidRDefault="00FA7A0E" w:rsidP="003E5F35">
            <w:pPr>
              <w:jc w:val="center"/>
            </w:pPr>
            <w:r w:rsidRPr="00D21584">
              <w:t>Efficiency</w:t>
            </w:r>
          </w:p>
        </w:tc>
        <w:tc>
          <w:tcPr>
            <w:tcW w:w="6660" w:type="dxa"/>
          </w:tcPr>
          <w:p w:rsidR="00FA7A0E" w:rsidRPr="00D21584" w:rsidRDefault="00FA7A0E" w:rsidP="003E5F35">
            <w:pPr>
              <w:autoSpaceDE w:val="0"/>
              <w:autoSpaceDN w:val="0"/>
              <w:adjustRightInd w:val="0"/>
              <w:rPr>
                <w:i/>
                <w:iCs/>
                <w:sz w:val="22"/>
                <w:szCs w:val="22"/>
              </w:rPr>
            </w:pPr>
            <w:r w:rsidRPr="00D21584">
              <w:rPr>
                <w:b/>
                <w:bCs/>
                <w:sz w:val="22"/>
                <w:szCs w:val="22"/>
              </w:rPr>
              <w:t xml:space="preserve">Measure: </w:t>
            </w:r>
            <w:r w:rsidRPr="00D21584">
              <w:rPr>
                <w:sz w:val="22"/>
                <w:szCs w:val="22"/>
              </w:rPr>
              <w:t>Increase the average number of persons participating in OMH grant programs per $1 million in OMH grant support. (New measure, February 2007)</w:t>
            </w:r>
          </w:p>
          <w:p w:rsidR="00FA7A0E" w:rsidRPr="00D21584" w:rsidRDefault="00FA7A0E" w:rsidP="003E5F35">
            <w:pPr>
              <w:autoSpaceDE w:val="0"/>
              <w:autoSpaceDN w:val="0"/>
              <w:adjustRightInd w:val="0"/>
              <w:rPr>
                <w:sz w:val="22"/>
                <w:szCs w:val="22"/>
              </w:rPr>
            </w:pPr>
            <w:r w:rsidRPr="00D21584">
              <w:rPr>
                <w:b/>
                <w:iCs/>
                <w:sz w:val="22"/>
                <w:szCs w:val="22"/>
              </w:rPr>
              <w:t>Explanation</w:t>
            </w:r>
            <w:r w:rsidRPr="00D21584">
              <w:rPr>
                <w:i/>
                <w:iCs/>
                <w:sz w:val="22"/>
                <w:szCs w:val="22"/>
              </w:rPr>
              <w:t xml:space="preserve">: </w:t>
            </w:r>
            <w:r w:rsidRPr="00D21584">
              <w:rPr>
                <w:sz w:val="22"/>
                <w:szCs w:val="22"/>
              </w:rPr>
              <w:t>A large proportion of OMH's funding supports grant programs to address a range of needs within racial/ethnic minority health communities across the Nation. OMH will continue to work with its grantees to ensure greater cost-efficiency while expanding the reach of its grant programs.</w:t>
            </w:r>
          </w:p>
          <w:p w:rsidR="00FA7A0E" w:rsidRPr="00D21584" w:rsidRDefault="00FA7A0E" w:rsidP="003E5F35">
            <w:pPr>
              <w:autoSpaceDE w:val="0"/>
              <w:autoSpaceDN w:val="0"/>
              <w:adjustRightInd w:val="0"/>
              <w:rPr>
                <w:b/>
                <w:bCs/>
                <w:sz w:val="22"/>
                <w:szCs w:val="22"/>
              </w:rPr>
            </w:pPr>
            <w:r w:rsidRPr="00D21584">
              <w:rPr>
                <w:b/>
                <w:bCs/>
                <w:sz w:val="22"/>
                <w:szCs w:val="22"/>
              </w:rPr>
              <w:t>Year Target Actual</w:t>
            </w:r>
          </w:p>
          <w:p w:rsidR="00FA7A0E" w:rsidRPr="00D21584" w:rsidRDefault="00FA7A0E" w:rsidP="003E5F35">
            <w:pPr>
              <w:autoSpaceDE w:val="0"/>
              <w:autoSpaceDN w:val="0"/>
              <w:adjustRightInd w:val="0"/>
              <w:rPr>
                <w:sz w:val="22"/>
                <w:szCs w:val="22"/>
              </w:rPr>
            </w:pPr>
            <w:r w:rsidRPr="00D21584">
              <w:rPr>
                <w:sz w:val="22"/>
                <w:szCs w:val="22"/>
              </w:rPr>
              <w:t>2006: Baseline 18,960</w:t>
            </w:r>
          </w:p>
          <w:p w:rsidR="00FA7A0E" w:rsidRPr="00D21584" w:rsidRDefault="00FA7A0E" w:rsidP="003E5F35">
            <w:pPr>
              <w:autoSpaceDE w:val="0"/>
              <w:autoSpaceDN w:val="0"/>
              <w:adjustRightInd w:val="0"/>
              <w:rPr>
                <w:sz w:val="22"/>
                <w:szCs w:val="22"/>
              </w:rPr>
            </w:pPr>
            <w:r w:rsidRPr="00D21584">
              <w:rPr>
                <w:sz w:val="22"/>
                <w:szCs w:val="22"/>
              </w:rPr>
              <w:t>2007: 19,529 19,722</w:t>
            </w:r>
          </w:p>
          <w:p w:rsidR="00FA7A0E" w:rsidRPr="00D21584" w:rsidRDefault="00FA7A0E" w:rsidP="003E5F35">
            <w:pPr>
              <w:autoSpaceDE w:val="0"/>
              <w:autoSpaceDN w:val="0"/>
              <w:adjustRightInd w:val="0"/>
              <w:rPr>
                <w:sz w:val="22"/>
                <w:szCs w:val="22"/>
              </w:rPr>
            </w:pPr>
            <w:r w:rsidRPr="00D21584">
              <w:rPr>
                <w:sz w:val="22"/>
                <w:szCs w:val="22"/>
              </w:rPr>
              <w:t>2008: 20,313</w:t>
            </w:r>
          </w:p>
          <w:p w:rsidR="00FA7A0E" w:rsidRPr="00D21584" w:rsidRDefault="00FA7A0E" w:rsidP="003E5F35">
            <w:r w:rsidRPr="00D21584">
              <w:rPr>
                <w:sz w:val="22"/>
                <w:szCs w:val="22"/>
              </w:rPr>
              <w:t>2009: 20,922</w:t>
            </w:r>
          </w:p>
        </w:tc>
      </w:tr>
    </w:tbl>
    <w:p w:rsidR="00FA7A0E" w:rsidRPr="00D21584" w:rsidRDefault="00FA7A0E" w:rsidP="003E5F35">
      <w:r w:rsidRPr="00D21584">
        <w:rPr>
          <w:b/>
        </w:rPr>
        <w:t xml:space="preserve">Source: “Detailed Information on the Office of Minority Health Assessment.” Link: </w:t>
      </w:r>
      <w:hyperlink r:id="rId7" w:history="1">
        <w:r w:rsidRPr="00D21584">
          <w:rPr>
            <w:rStyle w:val="Hyperlink"/>
            <w:b/>
          </w:rPr>
          <w:t>http://www.whitehouse.gov/omb/expectmore/detail/10003526.2005.html</w:t>
        </w:r>
      </w:hyperlink>
      <w:r w:rsidRPr="00D21584">
        <w:rPr>
          <w:b/>
        </w:rPr>
        <w:t xml:space="preserve"> </w:t>
      </w:r>
    </w:p>
    <w:p w:rsidR="00FA7A0E" w:rsidRPr="00D21584" w:rsidRDefault="00FA7A0E" w:rsidP="004F636D">
      <w:pPr>
        <w:rPr>
          <w:sz w:val="22"/>
          <w:szCs w:val="22"/>
        </w:rPr>
      </w:pPr>
    </w:p>
    <w:sectPr w:rsidR="00FA7A0E" w:rsidRPr="00D21584" w:rsidSect="004D0C6B">
      <w:footerReference w:type="even" r:id="rId8"/>
      <w:footerReference w:type="default" r:id="rId9"/>
      <w:pgSz w:w="12240" w:h="15840"/>
      <w:pgMar w:top="144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A0E" w:rsidRDefault="00FA7A0E">
      <w:r>
        <w:separator/>
      </w:r>
    </w:p>
  </w:endnote>
  <w:endnote w:type="continuationSeparator" w:id="1">
    <w:p w:rsidR="00FA7A0E" w:rsidRDefault="00FA7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0E" w:rsidRDefault="00FA7A0E" w:rsidP="004D0C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7A0E" w:rsidRDefault="00FA7A0E" w:rsidP="00734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A0E" w:rsidRDefault="00FA7A0E" w:rsidP="004D0C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A7A0E" w:rsidRDefault="00FA7A0E" w:rsidP="00734E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A0E" w:rsidRDefault="00FA7A0E">
      <w:r>
        <w:separator/>
      </w:r>
    </w:p>
  </w:footnote>
  <w:footnote w:type="continuationSeparator" w:id="1">
    <w:p w:rsidR="00FA7A0E" w:rsidRDefault="00FA7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636D"/>
    <w:rsid w:val="00015DD3"/>
    <w:rsid w:val="00027008"/>
    <w:rsid w:val="00074B78"/>
    <w:rsid w:val="0009784A"/>
    <w:rsid w:val="00097BA3"/>
    <w:rsid w:val="000B2352"/>
    <w:rsid w:val="000C402E"/>
    <w:rsid w:val="00110A33"/>
    <w:rsid w:val="001354BA"/>
    <w:rsid w:val="001A3456"/>
    <w:rsid w:val="001F6C14"/>
    <w:rsid w:val="00217FCA"/>
    <w:rsid w:val="002772A6"/>
    <w:rsid w:val="002833B8"/>
    <w:rsid w:val="0035030B"/>
    <w:rsid w:val="003C37E9"/>
    <w:rsid w:val="003E5F35"/>
    <w:rsid w:val="004D0C6B"/>
    <w:rsid w:val="004F636D"/>
    <w:rsid w:val="00515C3F"/>
    <w:rsid w:val="00546C08"/>
    <w:rsid w:val="005E4ECF"/>
    <w:rsid w:val="0068549A"/>
    <w:rsid w:val="006C5623"/>
    <w:rsid w:val="00734EBD"/>
    <w:rsid w:val="008027A3"/>
    <w:rsid w:val="00835B52"/>
    <w:rsid w:val="008B2040"/>
    <w:rsid w:val="00980D42"/>
    <w:rsid w:val="00984004"/>
    <w:rsid w:val="00A04927"/>
    <w:rsid w:val="00A35CBE"/>
    <w:rsid w:val="00A91264"/>
    <w:rsid w:val="00B77B80"/>
    <w:rsid w:val="00BA59B3"/>
    <w:rsid w:val="00C01DC5"/>
    <w:rsid w:val="00C07B93"/>
    <w:rsid w:val="00C70493"/>
    <w:rsid w:val="00C7413E"/>
    <w:rsid w:val="00D21584"/>
    <w:rsid w:val="00D33FD6"/>
    <w:rsid w:val="00D346B6"/>
    <w:rsid w:val="00D36AA9"/>
    <w:rsid w:val="00D555F4"/>
    <w:rsid w:val="00D74BE9"/>
    <w:rsid w:val="00D958CF"/>
    <w:rsid w:val="00E2051F"/>
    <w:rsid w:val="00E64D98"/>
    <w:rsid w:val="00E67ACF"/>
    <w:rsid w:val="00E77DA8"/>
    <w:rsid w:val="00E87947"/>
    <w:rsid w:val="00EB119A"/>
    <w:rsid w:val="00ED6D79"/>
    <w:rsid w:val="00EE197F"/>
    <w:rsid w:val="00EF0854"/>
    <w:rsid w:val="00F41B91"/>
    <w:rsid w:val="00F43061"/>
    <w:rsid w:val="00F750ED"/>
    <w:rsid w:val="00F83B7F"/>
    <w:rsid w:val="00FA1239"/>
    <w:rsid w:val="00FA7A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3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C402E"/>
    <w:rPr>
      <w:rFonts w:cs="Times New Roman"/>
      <w:color w:val="0000FF"/>
      <w:u w:val="single"/>
    </w:rPr>
  </w:style>
  <w:style w:type="paragraph" w:styleId="Header">
    <w:name w:val="header"/>
    <w:basedOn w:val="Normal"/>
    <w:link w:val="HeaderChar"/>
    <w:uiPriority w:val="99"/>
    <w:rsid w:val="00B77B80"/>
    <w:pPr>
      <w:tabs>
        <w:tab w:val="center" w:pos="4320"/>
        <w:tab w:val="right" w:pos="8640"/>
      </w:tabs>
    </w:pPr>
  </w:style>
  <w:style w:type="character" w:customStyle="1" w:styleId="HeaderChar">
    <w:name w:val="Header Char"/>
    <w:basedOn w:val="DefaultParagraphFont"/>
    <w:link w:val="Header"/>
    <w:uiPriority w:val="99"/>
    <w:semiHidden/>
    <w:rsid w:val="00166B3D"/>
    <w:rPr>
      <w:sz w:val="24"/>
      <w:szCs w:val="24"/>
    </w:rPr>
  </w:style>
  <w:style w:type="paragraph" w:styleId="Footer">
    <w:name w:val="footer"/>
    <w:basedOn w:val="Normal"/>
    <w:link w:val="FooterChar"/>
    <w:uiPriority w:val="99"/>
    <w:rsid w:val="00B77B80"/>
    <w:pPr>
      <w:tabs>
        <w:tab w:val="center" w:pos="4320"/>
        <w:tab w:val="right" w:pos="8640"/>
      </w:tabs>
    </w:pPr>
  </w:style>
  <w:style w:type="character" w:customStyle="1" w:styleId="FooterChar">
    <w:name w:val="Footer Char"/>
    <w:basedOn w:val="DefaultParagraphFont"/>
    <w:link w:val="Footer"/>
    <w:uiPriority w:val="99"/>
    <w:semiHidden/>
    <w:rsid w:val="00166B3D"/>
    <w:rPr>
      <w:sz w:val="24"/>
      <w:szCs w:val="24"/>
    </w:rPr>
  </w:style>
  <w:style w:type="character" w:styleId="PageNumber">
    <w:name w:val="page number"/>
    <w:basedOn w:val="DefaultParagraphFont"/>
    <w:uiPriority w:val="99"/>
    <w:rsid w:val="00734EB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whitehouse.gov/omb/expectmore/detail/10003526.200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itehouse.gov/omb/expectmore/detail/10003526.2005.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1</Pages>
  <Words>1044</Words>
  <Characters>5956</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piya-bhumika</dc:creator>
  <cp:keywords/>
  <dc:description/>
  <cp:lastModifiedBy>Piya-Bhumika</cp:lastModifiedBy>
  <cp:revision>14</cp:revision>
  <dcterms:created xsi:type="dcterms:W3CDTF">2008-03-05T16:30:00Z</dcterms:created>
  <dcterms:modified xsi:type="dcterms:W3CDTF">2008-08-04T14:10:00Z</dcterms:modified>
</cp:coreProperties>
</file>