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7A7" w:rsidRDefault="000F27A7" w:rsidP="001839EA">
      <w:pPr>
        <w:jc w:val="center"/>
        <w:rPr>
          <w:b/>
          <w:sz w:val="22"/>
          <w:szCs w:val="22"/>
        </w:rPr>
      </w:pPr>
    </w:p>
    <w:p w:rsidR="000F27A7" w:rsidRDefault="000F27A7" w:rsidP="001839EA">
      <w:pPr>
        <w:jc w:val="center"/>
        <w:rPr>
          <w:b/>
          <w:sz w:val="22"/>
          <w:szCs w:val="22"/>
        </w:rPr>
      </w:pPr>
    </w:p>
    <w:p w:rsidR="000F27A7" w:rsidRDefault="000F27A7" w:rsidP="001839EA">
      <w:pPr>
        <w:jc w:val="center"/>
        <w:rPr>
          <w:b/>
          <w:sz w:val="22"/>
          <w:szCs w:val="22"/>
        </w:rPr>
      </w:pPr>
    </w:p>
    <w:p w:rsidR="000F27A7" w:rsidRDefault="000F27A7" w:rsidP="001839EA">
      <w:pPr>
        <w:jc w:val="center"/>
        <w:rPr>
          <w:b/>
          <w:sz w:val="22"/>
          <w:szCs w:val="22"/>
        </w:rPr>
      </w:pPr>
    </w:p>
    <w:p w:rsidR="000F27A7" w:rsidRDefault="000F27A7" w:rsidP="001839EA">
      <w:pPr>
        <w:jc w:val="center"/>
        <w:rPr>
          <w:b/>
          <w:sz w:val="22"/>
          <w:szCs w:val="22"/>
        </w:rPr>
      </w:pPr>
    </w:p>
    <w:p w:rsidR="000F27A7" w:rsidRDefault="000F27A7" w:rsidP="001839EA">
      <w:pPr>
        <w:jc w:val="center"/>
        <w:rPr>
          <w:b/>
          <w:sz w:val="22"/>
          <w:szCs w:val="22"/>
        </w:rPr>
      </w:pPr>
    </w:p>
    <w:p w:rsidR="000F27A7" w:rsidRDefault="000F27A7" w:rsidP="001839EA">
      <w:pPr>
        <w:jc w:val="center"/>
        <w:rPr>
          <w:b/>
          <w:sz w:val="22"/>
          <w:szCs w:val="22"/>
        </w:rPr>
      </w:pPr>
    </w:p>
    <w:p w:rsidR="000F27A7" w:rsidRDefault="000F27A7" w:rsidP="001839EA">
      <w:pPr>
        <w:jc w:val="center"/>
        <w:rPr>
          <w:b/>
          <w:sz w:val="22"/>
          <w:szCs w:val="22"/>
        </w:rPr>
      </w:pPr>
    </w:p>
    <w:p w:rsidR="000F27A7" w:rsidRDefault="000F27A7" w:rsidP="001839EA">
      <w:pPr>
        <w:jc w:val="center"/>
        <w:rPr>
          <w:b/>
          <w:sz w:val="22"/>
          <w:szCs w:val="22"/>
        </w:rPr>
      </w:pPr>
    </w:p>
    <w:p w:rsidR="000F27A7" w:rsidRPr="00C01DC5" w:rsidRDefault="000F27A7" w:rsidP="00324AB6">
      <w:pPr>
        <w:jc w:val="center"/>
        <w:rPr>
          <w:b/>
          <w:sz w:val="22"/>
          <w:szCs w:val="22"/>
        </w:rPr>
      </w:pPr>
      <w:r w:rsidRPr="00C01DC5">
        <w:rPr>
          <w:b/>
          <w:sz w:val="22"/>
          <w:szCs w:val="22"/>
        </w:rPr>
        <w:t xml:space="preserve">Attachment </w:t>
      </w:r>
      <w:r>
        <w:rPr>
          <w:b/>
          <w:sz w:val="22"/>
          <w:szCs w:val="22"/>
        </w:rPr>
        <w:t>H</w:t>
      </w:r>
    </w:p>
    <w:p w:rsidR="000F27A7" w:rsidRPr="00C01DC5" w:rsidRDefault="000F27A7" w:rsidP="00324AB6">
      <w:pPr>
        <w:jc w:val="center"/>
        <w:rPr>
          <w:sz w:val="22"/>
          <w:szCs w:val="22"/>
        </w:rPr>
      </w:pPr>
    </w:p>
    <w:p w:rsidR="000F27A7" w:rsidRPr="00B77E2B" w:rsidRDefault="000F27A7" w:rsidP="00324AB6">
      <w:pPr>
        <w:jc w:val="center"/>
        <w:rPr>
          <w:sz w:val="22"/>
          <w:szCs w:val="22"/>
        </w:rPr>
      </w:pPr>
      <w:r>
        <w:rPr>
          <w:sz w:val="22"/>
          <w:szCs w:val="22"/>
        </w:rPr>
        <w:t>Pilot Test Report</w:t>
      </w:r>
    </w:p>
    <w:p w:rsidR="000F27A7" w:rsidRPr="009043B6" w:rsidRDefault="000F27A7" w:rsidP="001839EA">
      <w:pPr>
        <w:jc w:val="center"/>
        <w:rPr>
          <w:b/>
          <w:sz w:val="22"/>
          <w:szCs w:val="22"/>
        </w:rPr>
      </w:pPr>
      <w:r>
        <w:rPr>
          <w:b/>
          <w:sz w:val="22"/>
          <w:szCs w:val="22"/>
        </w:rPr>
        <w:br w:type="page"/>
      </w:r>
      <w:r w:rsidRPr="009043B6">
        <w:rPr>
          <w:b/>
          <w:sz w:val="22"/>
          <w:szCs w:val="22"/>
        </w:rPr>
        <w:t xml:space="preserve">Attachment </w:t>
      </w:r>
      <w:r>
        <w:rPr>
          <w:b/>
          <w:sz w:val="22"/>
          <w:szCs w:val="22"/>
        </w:rPr>
        <w:t>H</w:t>
      </w:r>
    </w:p>
    <w:p w:rsidR="000F27A7" w:rsidRPr="009043B6" w:rsidRDefault="000F27A7" w:rsidP="001839EA">
      <w:pPr>
        <w:jc w:val="center"/>
        <w:rPr>
          <w:sz w:val="22"/>
          <w:szCs w:val="22"/>
        </w:rPr>
      </w:pPr>
    </w:p>
    <w:p w:rsidR="000F27A7" w:rsidRPr="009043B6" w:rsidRDefault="000F27A7" w:rsidP="001839EA">
      <w:pPr>
        <w:jc w:val="center"/>
        <w:rPr>
          <w:b/>
          <w:sz w:val="22"/>
          <w:szCs w:val="22"/>
        </w:rPr>
      </w:pPr>
      <w:r w:rsidRPr="009043B6">
        <w:rPr>
          <w:b/>
          <w:sz w:val="22"/>
          <w:szCs w:val="22"/>
        </w:rPr>
        <w:t>PILOT TEST REPORT</w:t>
      </w:r>
    </w:p>
    <w:p w:rsidR="000F27A7" w:rsidRDefault="000F27A7" w:rsidP="001839EA">
      <w:pPr>
        <w:jc w:val="center"/>
        <w:rPr>
          <w:b/>
        </w:rPr>
      </w:pPr>
    </w:p>
    <w:p w:rsidR="000F27A7" w:rsidRDefault="000F27A7" w:rsidP="00C921D4">
      <w:r>
        <w:t xml:space="preserve">The pilot study was conducted in May of 2008. A total of nine respondents completed the General Population questionnaire (see Attachment F-1), and nine tested the Physician Population questionnaire (see Attachment F-2).  The pilot study was conducted to test the appropriateness and accuracy of the questions and response options included in the questionnaires and their corresponding protocols, and to accurately estimate respondent burden.  All respondents were asked to provide feedback on various components of the questionnaire including:  the introduction, the clarity of the question and response option wording, the ability to recall the requested information, and the length of the instrument. </w:t>
      </w:r>
    </w:p>
    <w:p w:rsidR="000F27A7" w:rsidRDefault="000F27A7" w:rsidP="00C921D4">
      <w:pPr>
        <w:rPr>
          <w:b/>
        </w:rPr>
      </w:pPr>
    </w:p>
    <w:p w:rsidR="000F27A7" w:rsidRDefault="000F27A7" w:rsidP="00C921D4">
      <w:pPr>
        <w:rPr>
          <w:b/>
        </w:rPr>
      </w:pPr>
      <w:r w:rsidRPr="0051743D">
        <w:rPr>
          <w:b/>
        </w:rPr>
        <w:t>Sample Selection</w:t>
      </w:r>
      <w:r>
        <w:rPr>
          <w:b/>
        </w:rPr>
        <w:t xml:space="preserve"> </w:t>
      </w:r>
    </w:p>
    <w:p w:rsidR="000F27A7" w:rsidRDefault="000F27A7" w:rsidP="00C921D4">
      <w:pPr>
        <w:rPr>
          <w:b/>
        </w:rPr>
      </w:pPr>
      <w:r>
        <w:t>Pilot study respondents who completed the General Population questionnaire were chosen using unclaimed random digit dial numbers.  Respondents who completed the Physician questionnaire (i.e., practicing physicians) were selected randomly from the AMA Masterfile.</w:t>
      </w:r>
      <w:r w:rsidRPr="00062E83">
        <w:t xml:space="preserve"> </w:t>
      </w:r>
      <w:r>
        <w:t xml:space="preserve"> </w:t>
      </w:r>
    </w:p>
    <w:p w:rsidR="000F27A7" w:rsidRDefault="000F27A7" w:rsidP="00C921D4">
      <w:pPr>
        <w:rPr>
          <w:b/>
        </w:rPr>
      </w:pPr>
    </w:p>
    <w:p w:rsidR="000F27A7" w:rsidRPr="0051743D" w:rsidRDefault="000F27A7" w:rsidP="00C921D4">
      <w:pPr>
        <w:rPr>
          <w:b/>
        </w:rPr>
      </w:pPr>
      <w:r w:rsidRPr="0051743D">
        <w:rPr>
          <w:b/>
        </w:rPr>
        <w:t>Results</w:t>
      </w:r>
    </w:p>
    <w:p w:rsidR="000F27A7" w:rsidRDefault="000F27A7" w:rsidP="00C921D4">
      <w:r>
        <w:t xml:space="preserve">Overall, the questionnaires and their corresponding protocols were well received by respondents.  None of the respondents found the questionnaire items “too sensitive” and there were no items that respondents refused to answer.  However, some </w:t>
      </w:r>
      <w:r w:rsidRPr="00062E83">
        <w:t xml:space="preserve">respondents noted that they </w:t>
      </w:r>
      <w:r>
        <w:t xml:space="preserve">were averse to </w:t>
      </w:r>
      <w:r w:rsidRPr="00062E83">
        <w:t xml:space="preserve">being asked </w:t>
      </w:r>
      <w:r>
        <w:t xml:space="preserve">questions that dealt with </w:t>
      </w:r>
      <w:r w:rsidRPr="00062E83">
        <w:t>race</w:t>
      </w:r>
      <w:r>
        <w:t xml:space="preserve"> so early on in the interview.  </w:t>
      </w:r>
      <w:r w:rsidRPr="00062E83">
        <w:t xml:space="preserve">They suggested </w:t>
      </w:r>
      <w:r>
        <w:t xml:space="preserve">that a few less sensitive questions be introduced at the beginning of the questionnaire to help respondents acclimate themselves to the survey and ultimately help them transition to the race-focused questions.  </w:t>
      </w:r>
      <w:r w:rsidRPr="00062E83">
        <w:t xml:space="preserve"> </w:t>
      </w:r>
    </w:p>
    <w:p w:rsidR="000F27A7" w:rsidRDefault="000F27A7" w:rsidP="00C921D4"/>
    <w:p w:rsidR="000F27A7" w:rsidRDefault="000F27A7" w:rsidP="00C921D4">
      <w:r>
        <w:t>In addition, respondents understood and were satisfied with the number of forced response options available to them.  This was evident in the extremely low levels of missing data collected, and the low number of alpha responses (open-ended) or “Other,” responses which only appeared in one instance.  Nevertheless, several respondents noted that certain items need a “mark all that apply” option for cases where more than one response applies.   Also, a couple of respondents stated that at times they had trouble remembering all the response options for specific items, given that the items employ five different types of scales.</w:t>
      </w:r>
      <w:r>
        <w:rPr>
          <w:rStyle w:val="FootnoteReference"/>
        </w:rPr>
        <w:footnoteReference w:id="2"/>
      </w:r>
      <w:r>
        <w:t xml:space="preserve">  </w:t>
      </w:r>
    </w:p>
    <w:p w:rsidR="000F27A7" w:rsidRDefault="000F27A7" w:rsidP="00C921D4"/>
    <w:p w:rsidR="000F27A7" w:rsidRDefault="000F27A7" w:rsidP="00C921D4">
      <w:r>
        <w:t xml:space="preserve">Finally, respondent burden was computed by measuring the elapsed time required to complete all instrument components for all responders.  Exhibit 1 shows that the average time required to complete the questionnaire was 15 minutes for the general population, and 18 minutes for the physician population.  </w:t>
      </w:r>
    </w:p>
    <w:p w:rsidR="000F27A7" w:rsidRDefault="000F27A7" w:rsidP="00C921D4">
      <w:pPr>
        <w:rPr>
          <w:b/>
        </w:rPr>
      </w:pPr>
      <w:r>
        <w:rPr>
          <w:b/>
        </w:rPr>
        <w:t>Exhibit 1:  Average Elapsed Time to Complete the Questionnaire, by Population</w:t>
      </w:r>
    </w:p>
    <w:p w:rsidR="000F27A7" w:rsidRDefault="000F27A7" w:rsidP="00C921D4">
      <w:pPr>
        <w:rPr>
          <w:b/>
        </w:rPr>
      </w:pPr>
    </w:p>
    <w:tbl>
      <w:tblPr>
        <w:tblW w:w="0" w:type="auto"/>
        <w:jc w:val="center"/>
        <w:tblInd w:w="73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000"/>
      </w:tblPr>
      <w:tblGrid>
        <w:gridCol w:w="8118"/>
      </w:tblGrid>
      <w:tr w:rsidR="000F27A7" w:rsidTr="00D20166">
        <w:tblPrEx>
          <w:tblCellMar>
            <w:top w:w="0" w:type="dxa"/>
            <w:bottom w:w="0" w:type="dxa"/>
          </w:tblCellMar>
        </w:tblPrEx>
        <w:trPr>
          <w:trHeight w:val="1935"/>
          <w:jc w:val="center"/>
        </w:trPr>
        <w:tc>
          <w:tcPr>
            <w:tcW w:w="8010" w:type="dxa"/>
          </w:tcPr>
          <w:p w:rsidR="000F27A7" w:rsidRDefault="000F27A7" w:rsidP="00D20166"/>
          <w:tbl>
            <w:tblPr>
              <w:tblW w:w="7622" w:type="dxa"/>
              <w:jc w:val="center"/>
              <w:tblInd w:w="1620" w:type="dxa"/>
              <w:tblBorders>
                <w:insideH w:val="single" w:sz="4" w:space="0" w:color="000000"/>
                <w:insideV w:val="single" w:sz="4" w:space="0" w:color="000000"/>
              </w:tblBorders>
              <w:tblLook w:val="04A0"/>
            </w:tblPr>
            <w:tblGrid>
              <w:gridCol w:w="1348"/>
              <w:gridCol w:w="621"/>
              <w:gridCol w:w="537"/>
              <w:gridCol w:w="621"/>
              <w:gridCol w:w="537"/>
              <w:gridCol w:w="621"/>
              <w:gridCol w:w="537"/>
              <w:gridCol w:w="537"/>
              <w:gridCol w:w="537"/>
              <w:gridCol w:w="537"/>
              <w:gridCol w:w="1189"/>
            </w:tblGrid>
            <w:tr w:rsidR="000F27A7" w:rsidRPr="00457E0F" w:rsidTr="00D20166">
              <w:trPr>
                <w:jc w:val="center"/>
              </w:trPr>
              <w:tc>
                <w:tcPr>
                  <w:tcW w:w="1350" w:type="dxa"/>
                  <w:vMerge w:val="restart"/>
                  <w:tcBorders>
                    <w:left w:val="nil"/>
                    <w:bottom w:val="single" w:sz="4" w:space="0" w:color="000000"/>
                    <w:right w:val="single" w:sz="18" w:space="0" w:color="000000"/>
                  </w:tcBorders>
                </w:tcPr>
                <w:p w:rsidR="000F27A7" w:rsidRDefault="000F27A7" w:rsidP="00D20166">
                  <w:pPr>
                    <w:jc w:val="center"/>
                    <w:rPr>
                      <w:b/>
                    </w:rPr>
                  </w:pPr>
                </w:p>
                <w:p w:rsidR="000F27A7" w:rsidRPr="00457E0F" w:rsidRDefault="000F27A7" w:rsidP="00D20166">
                  <w:pPr>
                    <w:jc w:val="center"/>
                    <w:rPr>
                      <w:b/>
                    </w:rPr>
                  </w:pPr>
                  <w:r w:rsidRPr="00457E0F">
                    <w:rPr>
                      <w:b/>
                    </w:rPr>
                    <w:t>Population</w:t>
                  </w:r>
                </w:p>
              </w:tc>
              <w:tc>
                <w:tcPr>
                  <w:tcW w:w="5130" w:type="dxa"/>
                  <w:gridSpan w:val="9"/>
                  <w:tcBorders>
                    <w:left w:val="single" w:sz="18" w:space="0" w:color="000000"/>
                    <w:bottom w:val="single" w:sz="4" w:space="0" w:color="000000"/>
                    <w:right w:val="single" w:sz="18" w:space="0" w:color="000000"/>
                  </w:tcBorders>
                </w:tcPr>
                <w:p w:rsidR="000F27A7" w:rsidRPr="00457E0F" w:rsidRDefault="000F27A7" w:rsidP="00D20166">
                  <w:pPr>
                    <w:jc w:val="center"/>
                    <w:rPr>
                      <w:b/>
                    </w:rPr>
                  </w:pPr>
                  <w:r w:rsidRPr="00457E0F">
                    <w:rPr>
                      <w:b/>
                    </w:rPr>
                    <w:t>Elapsed Time to Complete Questionnaire (in minutes)</w:t>
                  </w:r>
                </w:p>
              </w:tc>
              <w:tc>
                <w:tcPr>
                  <w:tcW w:w="1142" w:type="dxa"/>
                  <w:vMerge w:val="restart"/>
                  <w:tcBorders>
                    <w:left w:val="single" w:sz="18" w:space="0" w:color="000000"/>
                    <w:bottom w:val="single" w:sz="4" w:space="0" w:color="000000"/>
                    <w:right w:val="nil"/>
                  </w:tcBorders>
                </w:tcPr>
                <w:p w:rsidR="000F27A7" w:rsidRPr="00457E0F" w:rsidRDefault="000F27A7" w:rsidP="00D20166">
                  <w:pPr>
                    <w:rPr>
                      <w:b/>
                    </w:rPr>
                  </w:pPr>
                </w:p>
                <w:p w:rsidR="000F27A7" w:rsidRPr="00457E0F" w:rsidRDefault="000F27A7" w:rsidP="00D20166">
                  <w:pPr>
                    <w:rPr>
                      <w:b/>
                    </w:rPr>
                  </w:pPr>
                  <w:r w:rsidRPr="00457E0F">
                    <w:rPr>
                      <w:b/>
                    </w:rPr>
                    <w:t>Average*</w:t>
                  </w:r>
                </w:p>
              </w:tc>
            </w:tr>
            <w:tr w:rsidR="000F27A7" w:rsidRPr="00457E0F" w:rsidTr="00D20166">
              <w:trPr>
                <w:jc w:val="center"/>
              </w:trPr>
              <w:tc>
                <w:tcPr>
                  <w:tcW w:w="1350" w:type="dxa"/>
                  <w:vMerge/>
                  <w:tcBorders>
                    <w:top w:val="single" w:sz="4" w:space="0" w:color="000000"/>
                    <w:left w:val="nil"/>
                    <w:bottom w:val="single" w:sz="18" w:space="0" w:color="000000"/>
                    <w:right w:val="single" w:sz="18" w:space="0" w:color="000000"/>
                  </w:tcBorders>
                </w:tcPr>
                <w:p w:rsidR="000F27A7" w:rsidRPr="00457E0F" w:rsidRDefault="000F27A7" w:rsidP="00D20166">
                  <w:pPr>
                    <w:rPr>
                      <w:b/>
                    </w:rPr>
                  </w:pPr>
                </w:p>
              </w:tc>
              <w:tc>
                <w:tcPr>
                  <w:tcW w:w="630" w:type="dxa"/>
                  <w:tcBorders>
                    <w:top w:val="single" w:sz="4" w:space="0" w:color="000000"/>
                    <w:left w:val="single" w:sz="18" w:space="0" w:color="000000"/>
                    <w:bottom w:val="single" w:sz="18" w:space="0" w:color="000000"/>
                    <w:right w:val="single" w:sz="4" w:space="0" w:color="000000"/>
                  </w:tcBorders>
                </w:tcPr>
                <w:p w:rsidR="000F27A7" w:rsidRPr="00457E0F" w:rsidRDefault="000F27A7" w:rsidP="00D20166">
                  <w:pPr>
                    <w:jc w:val="center"/>
                    <w:rPr>
                      <w:b/>
                      <w:sz w:val="20"/>
                      <w:szCs w:val="20"/>
                    </w:rPr>
                  </w:pPr>
                  <w:r w:rsidRPr="00457E0F">
                    <w:rPr>
                      <w:b/>
                      <w:sz w:val="20"/>
                      <w:szCs w:val="20"/>
                    </w:rPr>
                    <w:t>1</w:t>
                  </w:r>
                </w:p>
              </w:tc>
              <w:tc>
                <w:tcPr>
                  <w:tcW w:w="540" w:type="dxa"/>
                  <w:tcBorders>
                    <w:top w:val="single" w:sz="4" w:space="0" w:color="000000"/>
                    <w:left w:val="single" w:sz="4" w:space="0" w:color="000000"/>
                    <w:bottom w:val="single" w:sz="18" w:space="0" w:color="000000"/>
                    <w:right w:val="single" w:sz="4" w:space="0" w:color="000000"/>
                  </w:tcBorders>
                </w:tcPr>
                <w:p w:rsidR="000F27A7" w:rsidRPr="00457E0F" w:rsidRDefault="000F27A7" w:rsidP="00D20166">
                  <w:pPr>
                    <w:jc w:val="center"/>
                    <w:rPr>
                      <w:b/>
                      <w:sz w:val="20"/>
                      <w:szCs w:val="20"/>
                    </w:rPr>
                  </w:pPr>
                  <w:r w:rsidRPr="00457E0F">
                    <w:rPr>
                      <w:b/>
                      <w:sz w:val="20"/>
                      <w:szCs w:val="20"/>
                    </w:rPr>
                    <w:t>2</w:t>
                  </w:r>
                </w:p>
              </w:tc>
              <w:tc>
                <w:tcPr>
                  <w:tcW w:w="630" w:type="dxa"/>
                  <w:tcBorders>
                    <w:top w:val="single" w:sz="4" w:space="0" w:color="000000"/>
                    <w:left w:val="single" w:sz="4" w:space="0" w:color="000000"/>
                    <w:bottom w:val="single" w:sz="18" w:space="0" w:color="000000"/>
                    <w:right w:val="single" w:sz="4" w:space="0" w:color="000000"/>
                  </w:tcBorders>
                </w:tcPr>
                <w:p w:rsidR="000F27A7" w:rsidRPr="00457E0F" w:rsidRDefault="000F27A7" w:rsidP="00D20166">
                  <w:pPr>
                    <w:jc w:val="center"/>
                    <w:rPr>
                      <w:b/>
                      <w:sz w:val="20"/>
                      <w:szCs w:val="20"/>
                    </w:rPr>
                  </w:pPr>
                  <w:r w:rsidRPr="00457E0F">
                    <w:rPr>
                      <w:b/>
                      <w:sz w:val="20"/>
                      <w:szCs w:val="20"/>
                    </w:rPr>
                    <w:t>3</w:t>
                  </w:r>
                </w:p>
              </w:tc>
              <w:tc>
                <w:tcPr>
                  <w:tcW w:w="540" w:type="dxa"/>
                  <w:tcBorders>
                    <w:top w:val="single" w:sz="4" w:space="0" w:color="000000"/>
                    <w:left w:val="single" w:sz="4" w:space="0" w:color="000000"/>
                    <w:bottom w:val="single" w:sz="18" w:space="0" w:color="000000"/>
                    <w:right w:val="single" w:sz="4" w:space="0" w:color="000000"/>
                  </w:tcBorders>
                </w:tcPr>
                <w:p w:rsidR="000F27A7" w:rsidRPr="00457E0F" w:rsidRDefault="000F27A7" w:rsidP="00D20166">
                  <w:pPr>
                    <w:jc w:val="center"/>
                    <w:rPr>
                      <w:b/>
                      <w:sz w:val="20"/>
                      <w:szCs w:val="20"/>
                    </w:rPr>
                  </w:pPr>
                  <w:r w:rsidRPr="00457E0F">
                    <w:rPr>
                      <w:b/>
                      <w:sz w:val="20"/>
                      <w:szCs w:val="20"/>
                    </w:rPr>
                    <w:t>4</w:t>
                  </w:r>
                </w:p>
              </w:tc>
              <w:tc>
                <w:tcPr>
                  <w:tcW w:w="630" w:type="dxa"/>
                  <w:tcBorders>
                    <w:top w:val="single" w:sz="4" w:space="0" w:color="000000"/>
                    <w:left w:val="single" w:sz="4" w:space="0" w:color="000000"/>
                    <w:bottom w:val="single" w:sz="18" w:space="0" w:color="000000"/>
                    <w:right w:val="single" w:sz="4" w:space="0" w:color="000000"/>
                  </w:tcBorders>
                </w:tcPr>
                <w:p w:rsidR="000F27A7" w:rsidRPr="00457E0F" w:rsidRDefault="000F27A7" w:rsidP="00D20166">
                  <w:pPr>
                    <w:jc w:val="center"/>
                    <w:rPr>
                      <w:b/>
                      <w:sz w:val="20"/>
                      <w:szCs w:val="20"/>
                    </w:rPr>
                  </w:pPr>
                  <w:r w:rsidRPr="00457E0F">
                    <w:rPr>
                      <w:b/>
                      <w:sz w:val="20"/>
                      <w:szCs w:val="20"/>
                    </w:rPr>
                    <w:t>5</w:t>
                  </w:r>
                </w:p>
              </w:tc>
              <w:tc>
                <w:tcPr>
                  <w:tcW w:w="540" w:type="dxa"/>
                  <w:tcBorders>
                    <w:top w:val="single" w:sz="4" w:space="0" w:color="000000"/>
                    <w:left w:val="single" w:sz="4" w:space="0" w:color="000000"/>
                    <w:bottom w:val="single" w:sz="18" w:space="0" w:color="000000"/>
                    <w:right w:val="single" w:sz="4" w:space="0" w:color="000000"/>
                  </w:tcBorders>
                </w:tcPr>
                <w:p w:rsidR="000F27A7" w:rsidRPr="00457E0F" w:rsidRDefault="000F27A7" w:rsidP="00D20166">
                  <w:pPr>
                    <w:jc w:val="center"/>
                    <w:rPr>
                      <w:b/>
                      <w:sz w:val="20"/>
                      <w:szCs w:val="20"/>
                    </w:rPr>
                  </w:pPr>
                  <w:r w:rsidRPr="00457E0F">
                    <w:rPr>
                      <w:b/>
                      <w:sz w:val="20"/>
                      <w:szCs w:val="20"/>
                    </w:rPr>
                    <w:t>6</w:t>
                  </w:r>
                </w:p>
              </w:tc>
              <w:tc>
                <w:tcPr>
                  <w:tcW w:w="540" w:type="dxa"/>
                  <w:tcBorders>
                    <w:top w:val="single" w:sz="4" w:space="0" w:color="000000"/>
                    <w:left w:val="single" w:sz="4" w:space="0" w:color="000000"/>
                    <w:bottom w:val="single" w:sz="18" w:space="0" w:color="000000"/>
                    <w:right w:val="single" w:sz="4" w:space="0" w:color="000000"/>
                  </w:tcBorders>
                </w:tcPr>
                <w:p w:rsidR="000F27A7" w:rsidRPr="00457E0F" w:rsidRDefault="000F27A7" w:rsidP="00D20166">
                  <w:pPr>
                    <w:jc w:val="center"/>
                    <w:rPr>
                      <w:b/>
                      <w:sz w:val="20"/>
                      <w:szCs w:val="20"/>
                    </w:rPr>
                  </w:pPr>
                  <w:r w:rsidRPr="00457E0F">
                    <w:rPr>
                      <w:b/>
                      <w:sz w:val="20"/>
                      <w:szCs w:val="20"/>
                    </w:rPr>
                    <w:t>7</w:t>
                  </w:r>
                </w:p>
              </w:tc>
              <w:tc>
                <w:tcPr>
                  <w:tcW w:w="540" w:type="dxa"/>
                  <w:tcBorders>
                    <w:top w:val="single" w:sz="4" w:space="0" w:color="000000"/>
                    <w:left w:val="single" w:sz="4" w:space="0" w:color="000000"/>
                    <w:bottom w:val="single" w:sz="18" w:space="0" w:color="000000"/>
                    <w:right w:val="single" w:sz="4" w:space="0" w:color="000000"/>
                  </w:tcBorders>
                </w:tcPr>
                <w:p w:rsidR="000F27A7" w:rsidRPr="00457E0F" w:rsidRDefault="000F27A7" w:rsidP="00D20166">
                  <w:pPr>
                    <w:jc w:val="center"/>
                    <w:rPr>
                      <w:b/>
                      <w:sz w:val="20"/>
                      <w:szCs w:val="20"/>
                    </w:rPr>
                  </w:pPr>
                  <w:r w:rsidRPr="00457E0F">
                    <w:rPr>
                      <w:b/>
                      <w:sz w:val="20"/>
                      <w:szCs w:val="20"/>
                    </w:rPr>
                    <w:t>8</w:t>
                  </w:r>
                </w:p>
              </w:tc>
              <w:tc>
                <w:tcPr>
                  <w:tcW w:w="540" w:type="dxa"/>
                  <w:tcBorders>
                    <w:top w:val="single" w:sz="4" w:space="0" w:color="000000"/>
                    <w:left w:val="single" w:sz="4" w:space="0" w:color="000000"/>
                    <w:bottom w:val="single" w:sz="18" w:space="0" w:color="000000"/>
                    <w:right w:val="single" w:sz="18" w:space="0" w:color="000000"/>
                  </w:tcBorders>
                </w:tcPr>
                <w:p w:rsidR="000F27A7" w:rsidRPr="00457E0F" w:rsidRDefault="000F27A7" w:rsidP="00D20166">
                  <w:pPr>
                    <w:jc w:val="center"/>
                    <w:rPr>
                      <w:b/>
                      <w:sz w:val="20"/>
                      <w:szCs w:val="20"/>
                    </w:rPr>
                  </w:pPr>
                  <w:r w:rsidRPr="00457E0F">
                    <w:rPr>
                      <w:b/>
                      <w:sz w:val="20"/>
                      <w:szCs w:val="20"/>
                    </w:rPr>
                    <w:t>9</w:t>
                  </w:r>
                </w:p>
              </w:tc>
              <w:tc>
                <w:tcPr>
                  <w:tcW w:w="1142" w:type="dxa"/>
                  <w:vMerge/>
                  <w:tcBorders>
                    <w:top w:val="single" w:sz="4" w:space="0" w:color="000000"/>
                    <w:left w:val="single" w:sz="18" w:space="0" w:color="000000"/>
                    <w:bottom w:val="single" w:sz="18" w:space="0" w:color="000000"/>
                    <w:right w:val="nil"/>
                  </w:tcBorders>
                </w:tcPr>
                <w:p w:rsidR="000F27A7" w:rsidRPr="00457E0F" w:rsidRDefault="000F27A7" w:rsidP="00D20166">
                  <w:pPr>
                    <w:rPr>
                      <w:b/>
                    </w:rPr>
                  </w:pPr>
                </w:p>
              </w:tc>
            </w:tr>
            <w:tr w:rsidR="000F27A7" w:rsidRPr="00457E0F" w:rsidTr="00D20166">
              <w:trPr>
                <w:trHeight w:val="153"/>
                <w:jc w:val="center"/>
              </w:trPr>
              <w:tc>
                <w:tcPr>
                  <w:tcW w:w="1350" w:type="dxa"/>
                  <w:tcBorders>
                    <w:top w:val="single" w:sz="18" w:space="0" w:color="000000"/>
                    <w:left w:val="nil"/>
                    <w:bottom w:val="single" w:sz="4" w:space="0" w:color="000000"/>
                    <w:right w:val="single" w:sz="18" w:space="0" w:color="000000"/>
                  </w:tcBorders>
                </w:tcPr>
                <w:p w:rsidR="000F27A7" w:rsidRPr="00457E0F" w:rsidRDefault="000F27A7" w:rsidP="00D20166">
                  <w:pPr>
                    <w:rPr>
                      <w:b/>
                    </w:rPr>
                  </w:pPr>
                  <w:r w:rsidRPr="00457E0F">
                    <w:rPr>
                      <w:b/>
                    </w:rPr>
                    <w:t>General</w:t>
                  </w:r>
                </w:p>
              </w:tc>
              <w:tc>
                <w:tcPr>
                  <w:tcW w:w="630" w:type="dxa"/>
                  <w:tcBorders>
                    <w:top w:val="single" w:sz="18" w:space="0" w:color="000000"/>
                    <w:left w:val="single" w:sz="18" w:space="0" w:color="000000"/>
                    <w:bottom w:val="single" w:sz="4" w:space="0" w:color="000000"/>
                    <w:right w:val="single" w:sz="4" w:space="0" w:color="000000"/>
                  </w:tcBorders>
                </w:tcPr>
                <w:p w:rsidR="000F27A7" w:rsidRPr="00457E0F" w:rsidRDefault="000F27A7" w:rsidP="00D20166">
                  <w:pPr>
                    <w:jc w:val="center"/>
                    <w:rPr>
                      <w:sz w:val="16"/>
                      <w:szCs w:val="16"/>
                    </w:rPr>
                  </w:pPr>
                  <w:r w:rsidRPr="00457E0F">
                    <w:rPr>
                      <w:sz w:val="16"/>
                      <w:szCs w:val="16"/>
                    </w:rPr>
                    <w:t>15.6</w:t>
                  </w:r>
                </w:p>
              </w:tc>
              <w:tc>
                <w:tcPr>
                  <w:tcW w:w="540" w:type="dxa"/>
                  <w:tcBorders>
                    <w:top w:val="single" w:sz="18" w:space="0" w:color="000000"/>
                    <w:left w:val="single" w:sz="4" w:space="0" w:color="000000"/>
                    <w:bottom w:val="single" w:sz="4" w:space="0" w:color="000000"/>
                    <w:right w:val="single" w:sz="4" w:space="0" w:color="000000"/>
                  </w:tcBorders>
                </w:tcPr>
                <w:p w:rsidR="000F27A7" w:rsidRPr="00457E0F" w:rsidRDefault="000F27A7" w:rsidP="00D20166">
                  <w:pPr>
                    <w:jc w:val="center"/>
                    <w:rPr>
                      <w:sz w:val="16"/>
                      <w:szCs w:val="16"/>
                    </w:rPr>
                  </w:pPr>
                  <w:r w:rsidRPr="00457E0F">
                    <w:rPr>
                      <w:sz w:val="16"/>
                      <w:szCs w:val="16"/>
                    </w:rPr>
                    <w:t>17.3</w:t>
                  </w:r>
                </w:p>
              </w:tc>
              <w:tc>
                <w:tcPr>
                  <w:tcW w:w="630" w:type="dxa"/>
                  <w:tcBorders>
                    <w:top w:val="single" w:sz="18" w:space="0" w:color="000000"/>
                    <w:left w:val="single" w:sz="4" w:space="0" w:color="000000"/>
                    <w:bottom w:val="single" w:sz="4" w:space="0" w:color="000000"/>
                    <w:right w:val="single" w:sz="4" w:space="0" w:color="000000"/>
                  </w:tcBorders>
                </w:tcPr>
                <w:p w:rsidR="000F27A7" w:rsidRPr="00457E0F" w:rsidRDefault="000F27A7" w:rsidP="00D20166">
                  <w:pPr>
                    <w:jc w:val="center"/>
                    <w:rPr>
                      <w:sz w:val="16"/>
                      <w:szCs w:val="16"/>
                    </w:rPr>
                  </w:pPr>
                  <w:r w:rsidRPr="00457E0F">
                    <w:rPr>
                      <w:sz w:val="16"/>
                      <w:szCs w:val="16"/>
                    </w:rPr>
                    <w:t>11.3</w:t>
                  </w:r>
                </w:p>
              </w:tc>
              <w:tc>
                <w:tcPr>
                  <w:tcW w:w="540" w:type="dxa"/>
                  <w:tcBorders>
                    <w:top w:val="single" w:sz="18" w:space="0" w:color="000000"/>
                    <w:left w:val="single" w:sz="4" w:space="0" w:color="000000"/>
                    <w:bottom w:val="single" w:sz="4" w:space="0" w:color="000000"/>
                    <w:right w:val="single" w:sz="4" w:space="0" w:color="000000"/>
                  </w:tcBorders>
                </w:tcPr>
                <w:p w:rsidR="000F27A7" w:rsidRPr="00457E0F" w:rsidRDefault="000F27A7" w:rsidP="00D20166">
                  <w:pPr>
                    <w:jc w:val="center"/>
                    <w:rPr>
                      <w:sz w:val="16"/>
                      <w:szCs w:val="16"/>
                    </w:rPr>
                  </w:pPr>
                  <w:r w:rsidRPr="00457E0F">
                    <w:rPr>
                      <w:sz w:val="16"/>
                      <w:szCs w:val="16"/>
                    </w:rPr>
                    <w:t>16.8</w:t>
                  </w:r>
                </w:p>
              </w:tc>
              <w:tc>
                <w:tcPr>
                  <w:tcW w:w="630" w:type="dxa"/>
                  <w:tcBorders>
                    <w:top w:val="single" w:sz="18" w:space="0" w:color="000000"/>
                    <w:left w:val="single" w:sz="4" w:space="0" w:color="000000"/>
                    <w:bottom w:val="single" w:sz="4" w:space="0" w:color="000000"/>
                    <w:right w:val="single" w:sz="4" w:space="0" w:color="000000"/>
                  </w:tcBorders>
                </w:tcPr>
                <w:p w:rsidR="000F27A7" w:rsidRPr="00457E0F" w:rsidRDefault="000F27A7" w:rsidP="00D20166">
                  <w:pPr>
                    <w:jc w:val="center"/>
                    <w:rPr>
                      <w:sz w:val="16"/>
                      <w:szCs w:val="16"/>
                    </w:rPr>
                  </w:pPr>
                  <w:r w:rsidRPr="00457E0F">
                    <w:rPr>
                      <w:sz w:val="16"/>
                      <w:szCs w:val="16"/>
                    </w:rPr>
                    <w:t>18.4</w:t>
                  </w:r>
                </w:p>
              </w:tc>
              <w:tc>
                <w:tcPr>
                  <w:tcW w:w="540" w:type="dxa"/>
                  <w:tcBorders>
                    <w:top w:val="single" w:sz="18" w:space="0" w:color="000000"/>
                    <w:left w:val="single" w:sz="4" w:space="0" w:color="000000"/>
                    <w:bottom w:val="single" w:sz="4" w:space="0" w:color="000000"/>
                    <w:right w:val="single" w:sz="4" w:space="0" w:color="000000"/>
                  </w:tcBorders>
                </w:tcPr>
                <w:p w:rsidR="000F27A7" w:rsidRPr="00457E0F" w:rsidRDefault="000F27A7" w:rsidP="00D20166">
                  <w:pPr>
                    <w:jc w:val="center"/>
                    <w:rPr>
                      <w:sz w:val="16"/>
                      <w:szCs w:val="16"/>
                    </w:rPr>
                  </w:pPr>
                  <w:r w:rsidRPr="00457E0F">
                    <w:rPr>
                      <w:sz w:val="16"/>
                      <w:szCs w:val="16"/>
                    </w:rPr>
                    <w:t>12.3</w:t>
                  </w:r>
                </w:p>
              </w:tc>
              <w:tc>
                <w:tcPr>
                  <w:tcW w:w="540" w:type="dxa"/>
                  <w:tcBorders>
                    <w:top w:val="single" w:sz="18" w:space="0" w:color="000000"/>
                    <w:left w:val="single" w:sz="4" w:space="0" w:color="000000"/>
                    <w:bottom w:val="single" w:sz="4" w:space="0" w:color="000000"/>
                    <w:right w:val="single" w:sz="4" w:space="0" w:color="000000"/>
                  </w:tcBorders>
                </w:tcPr>
                <w:p w:rsidR="000F27A7" w:rsidRPr="00457E0F" w:rsidRDefault="000F27A7" w:rsidP="00D20166">
                  <w:pPr>
                    <w:jc w:val="center"/>
                    <w:rPr>
                      <w:sz w:val="16"/>
                      <w:szCs w:val="16"/>
                    </w:rPr>
                  </w:pPr>
                  <w:r w:rsidRPr="00457E0F">
                    <w:rPr>
                      <w:sz w:val="16"/>
                      <w:szCs w:val="16"/>
                    </w:rPr>
                    <w:t>17.3</w:t>
                  </w:r>
                </w:p>
              </w:tc>
              <w:tc>
                <w:tcPr>
                  <w:tcW w:w="540" w:type="dxa"/>
                  <w:tcBorders>
                    <w:top w:val="single" w:sz="18" w:space="0" w:color="000000"/>
                    <w:left w:val="single" w:sz="4" w:space="0" w:color="000000"/>
                    <w:bottom w:val="single" w:sz="4" w:space="0" w:color="000000"/>
                    <w:right w:val="single" w:sz="4" w:space="0" w:color="000000"/>
                  </w:tcBorders>
                </w:tcPr>
                <w:p w:rsidR="000F27A7" w:rsidRPr="00457E0F" w:rsidRDefault="000F27A7" w:rsidP="00D20166">
                  <w:pPr>
                    <w:jc w:val="center"/>
                    <w:rPr>
                      <w:sz w:val="16"/>
                      <w:szCs w:val="16"/>
                    </w:rPr>
                  </w:pPr>
                  <w:r w:rsidRPr="00457E0F">
                    <w:rPr>
                      <w:sz w:val="16"/>
                      <w:szCs w:val="16"/>
                    </w:rPr>
                    <w:t>11.9</w:t>
                  </w:r>
                </w:p>
              </w:tc>
              <w:tc>
                <w:tcPr>
                  <w:tcW w:w="540" w:type="dxa"/>
                  <w:tcBorders>
                    <w:top w:val="single" w:sz="18" w:space="0" w:color="000000"/>
                    <w:left w:val="single" w:sz="4" w:space="0" w:color="000000"/>
                    <w:bottom w:val="single" w:sz="4" w:space="0" w:color="000000"/>
                    <w:right w:val="single" w:sz="18" w:space="0" w:color="000000"/>
                  </w:tcBorders>
                </w:tcPr>
                <w:p w:rsidR="000F27A7" w:rsidRPr="00457E0F" w:rsidRDefault="000F27A7" w:rsidP="00D20166">
                  <w:pPr>
                    <w:jc w:val="center"/>
                    <w:rPr>
                      <w:sz w:val="16"/>
                      <w:szCs w:val="16"/>
                    </w:rPr>
                  </w:pPr>
                  <w:r w:rsidRPr="00457E0F">
                    <w:rPr>
                      <w:sz w:val="16"/>
                      <w:szCs w:val="16"/>
                    </w:rPr>
                    <w:t>17.2</w:t>
                  </w:r>
                </w:p>
              </w:tc>
              <w:tc>
                <w:tcPr>
                  <w:tcW w:w="1142" w:type="dxa"/>
                  <w:tcBorders>
                    <w:top w:val="single" w:sz="18" w:space="0" w:color="000000"/>
                    <w:left w:val="single" w:sz="18" w:space="0" w:color="000000"/>
                    <w:bottom w:val="single" w:sz="4" w:space="0" w:color="000000"/>
                    <w:right w:val="nil"/>
                  </w:tcBorders>
                </w:tcPr>
                <w:p w:rsidR="000F27A7" w:rsidRPr="00457E0F" w:rsidRDefault="000F27A7" w:rsidP="00D20166">
                  <w:pPr>
                    <w:jc w:val="center"/>
                    <w:rPr>
                      <w:b/>
                      <w:sz w:val="16"/>
                      <w:szCs w:val="16"/>
                    </w:rPr>
                  </w:pPr>
                  <w:r w:rsidRPr="00457E0F">
                    <w:rPr>
                      <w:b/>
                      <w:sz w:val="16"/>
                      <w:szCs w:val="16"/>
                    </w:rPr>
                    <w:t>15</w:t>
                  </w:r>
                </w:p>
              </w:tc>
            </w:tr>
            <w:tr w:rsidR="000F27A7" w:rsidRPr="00457E0F" w:rsidTr="00D20166">
              <w:trPr>
                <w:jc w:val="center"/>
              </w:trPr>
              <w:tc>
                <w:tcPr>
                  <w:tcW w:w="1350" w:type="dxa"/>
                  <w:tcBorders>
                    <w:top w:val="single" w:sz="4" w:space="0" w:color="000000"/>
                    <w:left w:val="nil"/>
                    <w:right w:val="single" w:sz="18" w:space="0" w:color="000000"/>
                  </w:tcBorders>
                </w:tcPr>
                <w:p w:rsidR="000F27A7" w:rsidRPr="00457E0F" w:rsidRDefault="000F27A7" w:rsidP="00D20166">
                  <w:pPr>
                    <w:rPr>
                      <w:b/>
                    </w:rPr>
                  </w:pPr>
                  <w:r w:rsidRPr="00457E0F">
                    <w:rPr>
                      <w:b/>
                    </w:rPr>
                    <w:t>Physician</w:t>
                  </w:r>
                </w:p>
              </w:tc>
              <w:tc>
                <w:tcPr>
                  <w:tcW w:w="630" w:type="dxa"/>
                  <w:tcBorders>
                    <w:top w:val="single" w:sz="4" w:space="0" w:color="000000"/>
                    <w:left w:val="single" w:sz="18" w:space="0" w:color="000000"/>
                    <w:right w:val="single" w:sz="4" w:space="0" w:color="000000"/>
                  </w:tcBorders>
                </w:tcPr>
                <w:p w:rsidR="000F27A7" w:rsidRPr="00457E0F" w:rsidRDefault="000F27A7" w:rsidP="00D20166">
                  <w:pPr>
                    <w:jc w:val="center"/>
                    <w:rPr>
                      <w:sz w:val="16"/>
                      <w:szCs w:val="16"/>
                    </w:rPr>
                  </w:pPr>
                  <w:r w:rsidRPr="00457E0F">
                    <w:rPr>
                      <w:sz w:val="16"/>
                      <w:szCs w:val="16"/>
                    </w:rPr>
                    <w:t>16.0</w:t>
                  </w:r>
                </w:p>
              </w:tc>
              <w:tc>
                <w:tcPr>
                  <w:tcW w:w="540" w:type="dxa"/>
                  <w:tcBorders>
                    <w:top w:val="single" w:sz="4" w:space="0" w:color="000000"/>
                    <w:left w:val="single" w:sz="4" w:space="0" w:color="000000"/>
                    <w:bottom w:val="nil"/>
                    <w:right w:val="single" w:sz="4" w:space="0" w:color="000000"/>
                  </w:tcBorders>
                </w:tcPr>
                <w:p w:rsidR="000F27A7" w:rsidRPr="00457E0F" w:rsidRDefault="000F27A7" w:rsidP="00D20166">
                  <w:pPr>
                    <w:jc w:val="center"/>
                    <w:rPr>
                      <w:sz w:val="16"/>
                      <w:szCs w:val="16"/>
                    </w:rPr>
                  </w:pPr>
                  <w:r w:rsidRPr="00457E0F">
                    <w:rPr>
                      <w:sz w:val="16"/>
                      <w:szCs w:val="16"/>
                    </w:rPr>
                    <w:t>16.2</w:t>
                  </w:r>
                </w:p>
              </w:tc>
              <w:tc>
                <w:tcPr>
                  <w:tcW w:w="630" w:type="dxa"/>
                  <w:tcBorders>
                    <w:top w:val="single" w:sz="4" w:space="0" w:color="000000"/>
                    <w:left w:val="single" w:sz="4" w:space="0" w:color="000000"/>
                    <w:bottom w:val="nil"/>
                    <w:right w:val="single" w:sz="4" w:space="0" w:color="000000"/>
                  </w:tcBorders>
                </w:tcPr>
                <w:p w:rsidR="000F27A7" w:rsidRPr="00457E0F" w:rsidRDefault="000F27A7" w:rsidP="00D20166">
                  <w:pPr>
                    <w:jc w:val="center"/>
                    <w:rPr>
                      <w:sz w:val="16"/>
                      <w:szCs w:val="16"/>
                    </w:rPr>
                  </w:pPr>
                  <w:r w:rsidRPr="00457E0F">
                    <w:rPr>
                      <w:sz w:val="16"/>
                      <w:szCs w:val="16"/>
                    </w:rPr>
                    <w:t>16.4</w:t>
                  </w:r>
                </w:p>
              </w:tc>
              <w:tc>
                <w:tcPr>
                  <w:tcW w:w="540" w:type="dxa"/>
                  <w:tcBorders>
                    <w:top w:val="single" w:sz="4" w:space="0" w:color="000000"/>
                    <w:left w:val="single" w:sz="4" w:space="0" w:color="000000"/>
                    <w:bottom w:val="nil"/>
                    <w:right w:val="single" w:sz="4" w:space="0" w:color="000000"/>
                  </w:tcBorders>
                </w:tcPr>
                <w:p w:rsidR="000F27A7" w:rsidRPr="00457E0F" w:rsidRDefault="000F27A7" w:rsidP="00D20166">
                  <w:pPr>
                    <w:jc w:val="center"/>
                    <w:rPr>
                      <w:sz w:val="16"/>
                      <w:szCs w:val="16"/>
                    </w:rPr>
                  </w:pPr>
                  <w:r w:rsidRPr="00457E0F">
                    <w:rPr>
                      <w:sz w:val="16"/>
                      <w:szCs w:val="16"/>
                    </w:rPr>
                    <w:t>18.4</w:t>
                  </w:r>
                </w:p>
              </w:tc>
              <w:tc>
                <w:tcPr>
                  <w:tcW w:w="630" w:type="dxa"/>
                  <w:tcBorders>
                    <w:top w:val="single" w:sz="4" w:space="0" w:color="000000"/>
                    <w:left w:val="single" w:sz="4" w:space="0" w:color="000000"/>
                    <w:bottom w:val="nil"/>
                    <w:right w:val="single" w:sz="4" w:space="0" w:color="000000"/>
                  </w:tcBorders>
                </w:tcPr>
                <w:p w:rsidR="000F27A7" w:rsidRPr="00457E0F" w:rsidRDefault="000F27A7" w:rsidP="00D20166">
                  <w:pPr>
                    <w:jc w:val="center"/>
                    <w:rPr>
                      <w:sz w:val="16"/>
                      <w:szCs w:val="16"/>
                    </w:rPr>
                  </w:pPr>
                  <w:r w:rsidRPr="00457E0F">
                    <w:rPr>
                      <w:sz w:val="16"/>
                      <w:szCs w:val="16"/>
                    </w:rPr>
                    <w:t>19.0</w:t>
                  </w:r>
                </w:p>
              </w:tc>
              <w:tc>
                <w:tcPr>
                  <w:tcW w:w="540" w:type="dxa"/>
                  <w:tcBorders>
                    <w:top w:val="single" w:sz="4" w:space="0" w:color="000000"/>
                    <w:left w:val="single" w:sz="4" w:space="0" w:color="000000"/>
                    <w:bottom w:val="nil"/>
                    <w:right w:val="single" w:sz="4" w:space="0" w:color="000000"/>
                  </w:tcBorders>
                </w:tcPr>
                <w:p w:rsidR="000F27A7" w:rsidRPr="00457E0F" w:rsidRDefault="000F27A7" w:rsidP="00D20166">
                  <w:pPr>
                    <w:jc w:val="center"/>
                    <w:rPr>
                      <w:sz w:val="16"/>
                      <w:szCs w:val="16"/>
                    </w:rPr>
                  </w:pPr>
                  <w:r w:rsidRPr="00457E0F">
                    <w:rPr>
                      <w:sz w:val="16"/>
                      <w:szCs w:val="16"/>
                    </w:rPr>
                    <w:t>19.1</w:t>
                  </w:r>
                </w:p>
              </w:tc>
              <w:tc>
                <w:tcPr>
                  <w:tcW w:w="540" w:type="dxa"/>
                  <w:tcBorders>
                    <w:top w:val="single" w:sz="4" w:space="0" w:color="000000"/>
                    <w:left w:val="single" w:sz="4" w:space="0" w:color="000000"/>
                    <w:bottom w:val="nil"/>
                    <w:right w:val="single" w:sz="4" w:space="0" w:color="000000"/>
                  </w:tcBorders>
                </w:tcPr>
                <w:p w:rsidR="000F27A7" w:rsidRPr="00457E0F" w:rsidRDefault="000F27A7" w:rsidP="00D20166">
                  <w:pPr>
                    <w:jc w:val="center"/>
                    <w:rPr>
                      <w:sz w:val="16"/>
                      <w:szCs w:val="16"/>
                    </w:rPr>
                  </w:pPr>
                  <w:r w:rsidRPr="00457E0F">
                    <w:rPr>
                      <w:sz w:val="16"/>
                      <w:szCs w:val="16"/>
                    </w:rPr>
                    <w:t>18.8</w:t>
                  </w:r>
                </w:p>
              </w:tc>
              <w:tc>
                <w:tcPr>
                  <w:tcW w:w="540" w:type="dxa"/>
                  <w:tcBorders>
                    <w:top w:val="single" w:sz="4" w:space="0" w:color="000000"/>
                    <w:left w:val="single" w:sz="4" w:space="0" w:color="000000"/>
                    <w:bottom w:val="nil"/>
                    <w:right w:val="single" w:sz="4" w:space="0" w:color="000000"/>
                  </w:tcBorders>
                </w:tcPr>
                <w:p w:rsidR="000F27A7" w:rsidRPr="00457E0F" w:rsidRDefault="000F27A7" w:rsidP="00D20166">
                  <w:pPr>
                    <w:jc w:val="center"/>
                    <w:rPr>
                      <w:sz w:val="16"/>
                      <w:szCs w:val="16"/>
                    </w:rPr>
                  </w:pPr>
                  <w:r w:rsidRPr="00457E0F">
                    <w:rPr>
                      <w:sz w:val="16"/>
                      <w:szCs w:val="16"/>
                    </w:rPr>
                    <w:t>20.6</w:t>
                  </w:r>
                </w:p>
              </w:tc>
              <w:tc>
                <w:tcPr>
                  <w:tcW w:w="540" w:type="dxa"/>
                  <w:tcBorders>
                    <w:top w:val="single" w:sz="4" w:space="0" w:color="000000"/>
                    <w:left w:val="single" w:sz="4" w:space="0" w:color="000000"/>
                    <w:bottom w:val="nil"/>
                    <w:right w:val="single" w:sz="18" w:space="0" w:color="000000"/>
                  </w:tcBorders>
                </w:tcPr>
                <w:p w:rsidR="000F27A7" w:rsidRPr="00457E0F" w:rsidRDefault="000F27A7" w:rsidP="00D20166">
                  <w:pPr>
                    <w:jc w:val="center"/>
                    <w:rPr>
                      <w:sz w:val="16"/>
                      <w:szCs w:val="16"/>
                    </w:rPr>
                  </w:pPr>
                  <w:r w:rsidRPr="00457E0F">
                    <w:rPr>
                      <w:sz w:val="16"/>
                      <w:szCs w:val="16"/>
                    </w:rPr>
                    <w:t>21.1</w:t>
                  </w:r>
                </w:p>
              </w:tc>
              <w:tc>
                <w:tcPr>
                  <w:tcW w:w="1142" w:type="dxa"/>
                  <w:tcBorders>
                    <w:top w:val="single" w:sz="4" w:space="0" w:color="000000"/>
                    <w:left w:val="single" w:sz="18" w:space="0" w:color="000000"/>
                    <w:bottom w:val="nil"/>
                    <w:right w:val="nil"/>
                  </w:tcBorders>
                </w:tcPr>
                <w:p w:rsidR="000F27A7" w:rsidRPr="00457E0F" w:rsidRDefault="000F27A7" w:rsidP="00D20166">
                  <w:pPr>
                    <w:jc w:val="center"/>
                    <w:rPr>
                      <w:b/>
                      <w:sz w:val="16"/>
                      <w:szCs w:val="16"/>
                    </w:rPr>
                  </w:pPr>
                  <w:r w:rsidRPr="00457E0F">
                    <w:rPr>
                      <w:b/>
                      <w:sz w:val="16"/>
                      <w:szCs w:val="16"/>
                    </w:rPr>
                    <w:t>18</w:t>
                  </w:r>
                </w:p>
              </w:tc>
            </w:tr>
          </w:tbl>
          <w:p w:rsidR="000F27A7" w:rsidRDefault="000F27A7" w:rsidP="00D20166">
            <w:pPr>
              <w:ind w:firstLine="720"/>
              <w:rPr>
                <w:b/>
              </w:rPr>
            </w:pPr>
            <w:r w:rsidRPr="00442764">
              <w:rPr>
                <w:sz w:val="20"/>
                <w:szCs w:val="20"/>
              </w:rPr>
              <w:t>*Average elapsed time rounded to the nearest whole number.</w:t>
            </w:r>
          </w:p>
        </w:tc>
      </w:tr>
    </w:tbl>
    <w:p w:rsidR="000F27A7" w:rsidRDefault="000F27A7" w:rsidP="00C921D4"/>
    <w:p w:rsidR="000F27A7" w:rsidRDefault="000F27A7" w:rsidP="00C921D4">
      <w:r>
        <w:t xml:space="preserve">Although the average elapsed time to complete the instrument was three minutes more for the physicians than the general population, this difference is not attributed to the length of the instrument.  The interviewers noted that physicians elaborated on their answers by providing the interviewers with an unsolicited rationale to their responses.  Thus, it was this behavior that contributed to the three additional minutes to complete the interview and not to the number of questionnaire items.  In addition, both the physician and general population questionnaires 80 percent of respondents indicated that the length of the interview was “just right.”  The other twenty percent noted that the interview was a bit long.  This finding validates the conclusion that the instruments do not place an overwhelming burden on respondents.  Given that the physician questionnaire will be completed via pencil and paper and will not be administered via a phone interview, the project team determined that there is no need to make a modification to the instrument and protocol since the respondents will not have an opportunity to verbalize a rationale for their responses.      </w:t>
      </w:r>
    </w:p>
    <w:p w:rsidR="000F27A7" w:rsidRDefault="000F27A7" w:rsidP="00C921D4">
      <w:pPr>
        <w:rPr>
          <w:b/>
        </w:rPr>
      </w:pPr>
    </w:p>
    <w:p w:rsidR="000F27A7" w:rsidRDefault="000F27A7" w:rsidP="00C921D4">
      <w:pPr>
        <w:rPr>
          <w:b/>
        </w:rPr>
      </w:pPr>
      <w:r w:rsidRPr="0051743D">
        <w:rPr>
          <w:b/>
        </w:rPr>
        <w:t>Recommend</w:t>
      </w:r>
      <w:r>
        <w:rPr>
          <w:b/>
        </w:rPr>
        <w:t>ed Modifications</w:t>
      </w:r>
    </w:p>
    <w:p w:rsidR="000F27A7" w:rsidRPr="007E1EA0" w:rsidRDefault="000F27A7" w:rsidP="00C921D4">
      <w:pPr>
        <w:ind w:left="720"/>
      </w:pPr>
    </w:p>
    <w:p w:rsidR="000F27A7" w:rsidRPr="00457E0F" w:rsidRDefault="000F27A7" w:rsidP="00C921D4">
      <w:pPr>
        <w:numPr>
          <w:ilvl w:val="0"/>
          <w:numId w:val="1"/>
        </w:numPr>
      </w:pPr>
      <w:r w:rsidRPr="00457E0F">
        <w:rPr>
          <w:b/>
        </w:rPr>
        <w:t>Add a few “less sensitive,</w:t>
      </w:r>
      <w:r>
        <w:rPr>
          <w:b/>
        </w:rPr>
        <w:t>”</w:t>
      </w:r>
      <w:r w:rsidRPr="00457E0F">
        <w:rPr>
          <w:b/>
        </w:rPr>
        <w:t xml:space="preserve"> non-race focused questions to the beginning of </w:t>
      </w:r>
      <w:r>
        <w:rPr>
          <w:b/>
        </w:rPr>
        <w:t xml:space="preserve">both </w:t>
      </w:r>
      <w:r w:rsidRPr="00457E0F">
        <w:rPr>
          <w:b/>
        </w:rPr>
        <w:t>questionnaires.</w:t>
      </w:r>
      <w:r>
        <w:rPr>
          <w:b/>
        </w:rPr>
        <w:t xml:space="preserve">  </w:t>
      </w:r>
      <w:r>
        <w:t xml:space="preserve">Rather than developing new items that are not directly related to the analysis (which would add to respondent burden), the project team selected four existing items that focus on general knowledge of health disparities which were included toward the end of the instruments and moved them to the front.  For the physician instrument, a couple of items were added that queries respondents about the type of practice and the percentage of minority patients they typically treat in one year.  </w:t>
      </w:r>
    </w:p>
    <w:p w:rsidR="000F27A7" w:rsidRPr="006B378D" w:rsidRDefault="000F27A7" w:rsidP="00C921D4">
      <w:pPr>
        <w:ind w:left="720"/>
      </w:pPr>
    </w:p>
    <w:p w:rsidR="000F27A7" w:rsidRDefault="000F27A7" w:rsidP="00C921D4">
      <w:pPr>
        <w:numPr>
          <w:ilvl w:val="0"/>
          <w:numId w:val="1"/>
        </w:numPr>
      </w:pPr>
      <w:r>
        <w:rPr>
          <w:b/>
        </w:rPr>
        <w:t xml:space="preserve">Include a script that asks the respondents if they would like the </w:t>
      </w:r>
      <w:r w:rsidRPr="006B378D">
        <w:rPr>
          <w:b/>
        </w:rPr>
        <w:t xml:space="preserve">response options </w:t>
      </w:r>
      <w:r>
        <w:rPr>
          <w:b/>
        </w:rPr>
        <w:t>repeated before answering</w:t>
      </w:r>
      <w:r w:rsidRPr="006B378D">
        <w:rPr>
          <w:b/>
        </w:rPr>
        <w:t xml:space="preserve">.  </w:t>
      </w:r>
      <w:r>
        <w:t>A script has been included in the general population protocol that reminds respondents that response options frequently change from item to item.  An additional script was added to the protocol that asks respondents if they would like the response options repeated before they answer.</w:t>
      </w:r>
    </w:p>
    <w:p w:rsidR="000F27A7" w:rsidRPr="006B378D" w:rsidRDefault="000F27A7" w:rsidP="00C921D4">
      <w:pPr>
        <w:ind w:left="720"/>
      </w:pPr>
    </w:p>
    <w:p w:rsidR="000F27A7" w:rsidRPr="009043B6" w:rsidRDefault="000F27A7" w:rsidP="00C921D4">
      <w:pPr>
        <w:numPr>
          <w:ilvl w:val="0"/>
          <w:numId w:val="1"/>
        </w:numPr>
        <w:rPr>
          <w:sz w:val="22"/>
          <w:szCs w:val="22"/>
        </w:rPr>
      </w:pPr>
      <w:r w:rsidRPr="006B378D">
        <w:rPr>
          <w:b/>
        </w:rPr>
        <w:t>Add a response option “</w:t>
      </w:r>
      <w:r>
        <w:rPr>
          <w:b/>
        </w:rPr>
        <w:t>select all that apply</w:t>
      </w:r>
      <w:r w:rsidRPr="006B378D">
        <w:rPr>
          <w:b/>
        </w:rPr>
        <w:t>,” to two items.</w:t>
      </w:r>
      <w:r>
        <w:rPr>
          <w:b/>
        </w:rPr>
        <w:t xml:space="preserve">  </w:t>
      </w:r>
      <w:r>
        <w:t xml:space="preserve">For two items a new response option was included which allows respondents to mark multiple responses. </w:t>
      </w:r>
    </w:p>
    <w:sectPr w:rsidR="000F27A7" w:rsidRPr="009043B6" w:rsidSect="008A2869">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7A7" w:rsidRDefault="000F27A7">
      <w:r>
        <w:separator/>
      </w:r>
    </w:p>
  </w:endnote>
  <w:endnote w:type="continuationSeparator" w:id="1">
    <w:p w:rsidR="000F27A7" w:rsidRDefault="000F2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A7" w:rsidRDefault="000F27A7" w:rsidP="005F66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27A7" w:rsidRDefault="000F27A7" w:rsidP="008A286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A7" w:rsidRDefault="000F27A7" w:rsidP="005F66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F27A7" w:rsidRDefault="000F27A7" w:rsidP="008A286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7A7" w:rsidRDefault="000F27A7">
      <w:r>
        <w:separator/>
      </w:r>
    </w:p>
  </w:footnote>
  <w:footnote w:type="continuationSeparator" w:id="1">
    <w:p w:rsidR="000F27A7" w:rsidRDefault="000F27A7">
      <w:r>
        <w:continuationSeparator/>
      </w:r>
    </w:p>
  </w:footnote>
  <w:footnote w:id="2">
    <w:p w:rsidR="000F27A7" w:rsidRDefault="000F27A7" w:rsidP="00C921D4">
      <w:pPr>
        <w:pStyle w:val="FootnoteText"/>
      </w:pPr>
      <w:r w:rsidRPr="00C921D4">
        <w:rPr>
          <w:rStyle w:val="FootnoteReference"/>
          <w:rFonts w:ascii="Times New Roman" w:hAnsi="Times New Roman"/>
        </w:rPr>
        <w:footnoteRef/>
      </w:r>
      <w:r w:rsidRPr="00C921D4">
        <w:rPr>
          <w:rFonts w:ascii="Times New Roman" w:hAnsi="Times New Roman"/>
        </w:rPr>
        <w:t xml:space="preserve"> Scales include:  1) likelihood of experiencing an event (more likely, just as likely, less likely); 2) comparison of well-being (better off, worse off, just as well off); 3) assessment of quality (same quality, higher quality, lower quality); 4) perceived problem (major problem, minor problem, not a problem at all); and 5) level of health (excellent, very good, fair, poor).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35FE2"/>
    <w:multiLevelType w:val="hybridMultilevel"/>
    <w:tmpl w:val="7F9021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39EA"/>
    <w:rsid w:val="00015967"/>
    <w:rsid w:val="00015DD3"/>
    <w:rsid w:val="00027008"/>
    <w:rsid w:val="00062E83"/>
    <w:rsid w:val="00097BA3"/>
    <w:rsid w:val="000F27A7"/>
    <w:rsid w:val="00110A33"/>
    <w:rsid w:val="001839EA"/>
    <w:rsid w:val="001F6C14"/>
    <w:rsid w:val="002772A6"/>
    <w:rsid w:val="00324AB6"/>
    <w:rsid w:val="00442764"/>
    <w:rsid w:val="00457E0F"/>
    <w:rsid w:val="004B2151"/>
    <w:rsid w:val="00515C3F"/>
    <w:rsid w:val="0051743D"/>
    <w:rsid w:val="00546C08"/>
    <w:rsid w:val="005E4ECF"/>
    <w:rsid w:val="005F6657"/>
    <w:rsid w:val="00692E75"/>
    <w:rsid w:val="006B378D"/>
    <w:rsid w:val="006C06D8"/>
    <w:rsid w:val="007161B4"/>
    <w:rsid w:val="00777180"/>
    <w:rsid w:val="007E1EA0"/>
    <w:rsid w:val="008027A3"/>
    <w:rsid w:val="008A2869"/>
    <w:rsid w:val="009043B6"/>
    <w:rsid w:val="00980D42"/>
    <w:rsid w:val="00A91264"/>
    <w:rsid w:val="00B77E2B"/>
    <w:rsid w:val="00BA0C63"/>
    <w:rsid w:val="00BA59B3"/>
    <w:rsid w:val="00C01DC5"/>
    <w:rsid w:val="00C07B93"/>
    <w:rsid w:val="00C70493"/>
    <w:rsid w:val="00C921D4"/>
    <w:rsid w:val="00D20166"/>
    <w:rsid w:val="00D346B6"/>
    <w:rsid w:val="00D36AA9"/>
    <w:rsid w:val="00D555F4"/>
    <w:rsid w:val="00D74BE9"/>
    <w:rsid w:val="00D958CF"/>
    <w:rsid w:val="00E77DA8"/>
    <w:rsid w:val="00E87947"/>
    <w:rsid w:val="00EB282D"/>
    <w:rsid w:val="00ED6D79"/>
    <w:rsid w:val="00EE197F"/>
    <w:rsid w:val="00F43061"/>
    <w:rsid w:val="00F750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9EA"/>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9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839EA"/>
    <w:rPr>
      <w:rFonts w:cs="Times New Roman"/>
      <w:sz w:val="16"/>
      <w:szCs w:val="16"/>
    </w:rPr>
  </w:style>
  <w:style w:type="paragraph" w:styleId="CommentText">
    <w:name w:val="annotation text"/>
    <w:basedOn w:val="Normal"/>
    <w:link w:val="CommentTextChar"/>
    <w:uiPriority w:val="99"/>
    <w:semiHidden/>
    <w:rsid w:val="001839EA"/>
    <w:rPr>
      <w:sz w:val="20"/>
      <w:szCs w:val="20"/>
    </w:rPr>
  </w:style>
  <w:style w:type="character" w:customStyle="1" w:styleId="CommentTextChar">
    <w:name w:val="Comment Text Char"/>
    <w:basedOn w:val="DefaultParagraphFont"/>
    <w:link w:val="CommentText"/>
    <w:uiPriority w:val="99"/>
    <w:semiHidden/>
    <w:rsid w:val="004C206A"/>
  </w:style>
  <w:style w:type="paragraph" w:styleId="BalloonText">
    <w:name w:val="Balloon Text"/>
    <w:basedOn w:val="Normal"/>
    <w:link w:val="BalloonTextChar"/>
    <w:uiPriority w:val="99"/>
    <w:semiHidden/>
    <w:rsid w:val="001839EA"/>
    <w:rPr>
      <w:rFonts w:ascii="Tahoma" w:hAnsi="Tahoma" w:cs="Tahoma"/>
      <w:sz w:val="16"/>
      <w:szCs w:val="16"/>
    </w:rPr>
  </w:style>
  <w:style w:type="character" w:customStyle="1" w:styleId="BalloonTextChar">
    <w:name w:val="Balloon Text Char"/>
    <w:basedOn w:val="DefaultParagraphFont"/>
    <w:link w:val="BalloonText"/>
    <w:uiPriority w:val="99"/>
    <w:semiHidden/>
    <w:rsid w:val="004C206A"/>
    <w:rPr>
      <w:sz w:val="0"/>
      <w:szCs w:val="0"/>
    </w:rPr>
  </w:style>
  <w:style w:type="paragraph" w:styleId="FootnoteText">
    <w:name w:val="footnote text"/>
    <w:basedOn w:val="Normal"/>
    <w:link w:val="FootnoteTextChar"/>
    <w:uiPriority w:val="99"/>
    <w:semiHidden/>
    <w:unhideWhenUsed/>
    <w:rsid w:val="00C921D4"/>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C921D4"/>
    <w:rPr>
      <w:rFonts w:ascii="Calibri" w:eastAsia="Times New Roman" w:hAnsi="Calibri" w:cs="Times New Roman"/>
      <w:lang w:val="en-US" w:eastAsia="en-US" w:bidi="ar-SA"/>
    </w:rPr>
  </w:style>
  <w:style w:type="character" w:styleId="FootnoteReference">
    <w:name w:val="footnote reference"/>
    <w:basedOn w:val="DefaultParagraphFont"/>
    <w:uiPriority w:val="99"/>
    <w:semiHidden/>
    <w:unhideWhenUsed/>
    <w:rsid w:val="00C921D4"/>
    <w:rPr>
      <w:rFonts w:cs="Times New Roman"/>
      <w:vertAlign w:val="superscript"/>
    </w:rPr>
  </w:style>
  <w:style w:type="paragraph" w:styleId="Footer">
    <w:name w:val="footer"/>
    <w:basedOn w:val="Normal"/>
    <w:link w:val="FooterChar"/>
    <w:uiPriority w:val="99"/>
    <w:rsid w:val="008A2869"/>
    <w:pPr>
      <w:tabs>
        <w:tab w:val="center" w:pos="4320"/>
        <w:tab w:val="right" w:pos="8640"/>
      </w:tabs>
    </w:pPr>
  </w:style>
  <w:style w:type="character" w:customStyle="1" w:styleId="FooterChar">
    <w:name w:val="Footer Char"/>
    <w:basedOn w:val="DefaultParagraphFont"/>
    <w:link w:val="Footer"/>
    <w:uiPriority w:val="99"/>
    <w:semiHidden/>
    <w:rsid w:val="004C206A"/>
    <w:rPr>
      <w:sz w:val="24"/>
      <w:szCs w:val="24"/>
    </w:rPr>
  </w:style>
  <w:style w:type="character" w:styleId="PageNumber">
    <w:name w:val="page number"/>
    <w:basedOn w:val="DefaultParagraphFont"/>
    <w:uiPriority w:val="99"/>
    <w:rsid w:val="008A286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791</Words>
  <Characters>4512</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piya-bhumika</dc:creator>
  <cp:keywords/>
  <dc:description/>
  <cp:lastModifiedBy>Piya-Bhumika</cp:lastModifiedBy>
  <cp:revision>12</cp:revision>
  <cp:lastPrinted>2008-03-07T14:49:00Z</cp:lastPrinted>
  <dcterms:created xsi:type="dcterms:W3CDTF">2008-03-03T18:24:00Z</dcterms:created>
  <dcterms:modified xsi:type="dcterms:W3CDTF">2008-08-04T14:01:00Z</dcterms:modified>
</cp:coreProperties>
</file>