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AC" w:rsidRPr="00502AF0" w:rsidRDefault="000271AC" w:rsidP="000271AC">
      <w:pPr>
        <w:ind w:right="-360"/>
        <w:rPr>
          <w:b/>
          <w:color w:val="0000FF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37235" cy="800100"/>
            <wp:effectExtent l="1905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2F15">
        <w:rPr>
          <w:sz w:val="22"/>
          <w:szCs w:val="22"/>
        </w:rPr>
        <w:tab/>
      </w:r>
      <w:r w:rsidRPr="00252F15">
        <w:rPr>
          <w:sz w:val="22"/>
          <w:szCs w:val="22"/>
        </w:rPr>
        <w:tab/>
        <w:t xml:space="preserve">     </w:t>
      </w:r>
      <w:r w:rsidRPr="00252F15">
        <w:rPr>
          <w:sz w:val="22"/>
          <w:szCs w:val="22"/>
        </w:rPr>
        <w:tab/>
      </w:r>
      <w:r w:rsidRPr="00252F15">
        <w:rPr>
          <w:sz w:val="22"/>
          <w:szCs w:val="22"/>
        </w:rPr>
        <w:tab/>
      </w:r>
      <w:r w:rsidRPr="00252F15">
        <w:rPr>
          <w:sz w:val="22"/>
          <w:szCs w:val="22"/>
        </w:rPr>
        <w:tab/>
      </w:r>
      <w:r w:rsidRPr="00252F15">
        <w:rPr>
          <w:sz w:val="22"/>
          <w:szCs w:val="22"/>
        </w:rPr>
        <w:tab/>
      </w:r>
      <w:r w:rsidRPr="00502AF0">
        <w:rPr>
          <w:b/>
          <w:color w:val="0000FF"/>
        </w:rPr>
        <w:t>United States Department of State</w:t>
      </w:r>
    </w:p>
    <w:p w:rsidR="000271AC" w:rsidRPr="00252F15" w:rsidRDefault="000271AC" w:rsidP="000271AC">
      <w:pPr>
        <w:tabs>
          <w:tab w:val="left" w:pos="1440"/>
        </w:tabs>
        <w:ind w:left="720"/>
        <w:rPr>
          <w:color w:val="0000FF"/>
          <w:sz w:val="22"/>
          <w:szCs w:val="22"/>
        </w:rPr>
      </w:pPr>
    </w:p>
    <w:p w:rsidR="000271AC" w:rsidRPr="00252F15" w:rsidRDefault="000271AC" w:rsidP="00AB6148">
      <w:pPr>
        <w:tabs>
          <w:tab w:val="left" w:pos="1440"/>
        </w:tabs>
        <w:ind w:left="720"/>
        <w:rPr>
          <w:i/>
          <w:sz w:val="22"/>
          <w:szCs w:val="22"/>
        </w:rPr>
      </w:pPr>
      <w:r w:rsidRPr="00252F15">
        <w:rPr>
          <w:color w:val="0000FF"/>
          <w:sz w:val="22"/>
          <w:szCs w:val="22"/>
        </w:rPr>
        <w:tab/>
      </w:r>
      <w:r w:rsidRPr="00252F15">
        <w:rPr>
          <w:color w:val="0000FF"/>
          <w:sz w:val="22"/>
          <w:szCs w:val="22"/>
        </w:rPr>
        <w:tab/>
      </w:r>
      <w:r w:rsidRPr="00252F15">
        <w:rPr>
          <w:color w:val="0000FF"/>
          <w:sz w:val="22"/>
          <w:szCs w:val="22"/>
        </w:rPr>
        <w:tab/>
      </w:r>
      <w:r w:rsidRPr="00252F15">
        <w:rPr>
          <w:color w:val="0000FF"/>
          <w:sz w:val="22"/>
          <w:szCs w:val="22"/>
        </w:rPr>
        <w:tab/>
      </w:r>
      <w:r w:rsidRPr="00252F15">
        <w:rPr>
          <w:color w:val="0000FF"/>
          <w:sz w:val="22"/>
          <w:szCs w:val="22"/>
        </w:rPr>
        <w:tab/>
      </w:r>
      <w:r>
        <w:rPr>
          <w:i/>
          <w:color w:val="0000FF"/>
          <w:sz w:val="22"/>
          <w:szCs w:val="22"/>
        </w:rPr>
        <w:t xml:space="preserve">   </w:t>
      </w:r>
      <w:r w:rsidRPr="00252F15">
        <w:rPr>
          <w:i/>
          <w:color w:val="0000FF"/>
          <w:sz w:val="22"/>
          <w:szCs w:val="22"/>
        </w:rPr>
        <w:t>Washington, D.C. 20520</w:t>
      </w:r>
    </w:p>
    <w:p w:rsidR="000271AC" w:rsidRDefault="000271AC" w:rsidP="000271AC"/>
    <w:p w:rsidR="000271AC" w:rsidRDefault="000271AC" w:rsidP="000271AC">
      <w:pPr>
        <w:pStyle w:val="Heading1"/>
        <w:tabs>
          <w:tab w:val="clear" w:pos="2780"/>
        </w:tabs>
        <w:rPr>
          <w:rFonts w:ascii="Times New Roman" w:hAnsi="Times New Roman"/>
          <w:sz w:val="28"/>
          <w:szCs w:val="28"/>
        </w:rPr>
      </w:pPr>
    </w:p>
    <w:p w:rsidR="000271AC" w:rsidRPr="00292D9B" w:rsidRDefault="000271AC" w:rsidP="000271AC">
      <w:pPr>
        <w:pStyle w:val="Heading1"/>
        <w:tabs>
          <w:tab w:val="clear" w:pos="2780"/>
        </w:tabs>
        <w:rPr>
          <w:rFonts w:ascii="Times New Roman" w:hAnsi="Times New Roman"/>
          <w:sz w:val="28"/>
          <w:szCs w:val="28"/>
          <w:u w:val="none"/>
        </w:rPr>
      </w:pPr>
      <w:r w:rsidRPr="00292D9B">
        <w:rPr>
          <w:rFonts w:ascii="Times New Roman" w:hAnsi="Times New Roman"/>
          <w:sz w:val="28"/>
          <w:szCs w:val="28"/>
        </w:rPr>
        <w:t>UNCLASSIFIED</w:t>
      </w:r>
      <w:r w:rsidRPr="00292D9B">
        <w:rPr>
          <w:rFonts w:ascii="Times New Roman" w:hAnsi="Times New Roman"/>
          <w:sz w:val="28"/>
          <w:szCs w:val="28"/>
          <w:u w:val="none"/>
        </w:rPr>
        <w:tab/>
      </w:r>
      <w:r w:rsidRPr="00292D9B">
        <w:rPr>
          <w:rFonts w:ascii="Times New Roman" w:hAnsi="Times New Roman"/>
          <w:sz w:val="28"/>
          <w:szCs w:val="28"/>
          <w:u w:val="none"/>
        </w:rPr>
        <w:tab/>
      </w:r>
      <w:r w:rsidRPr="00292D9B">
        <w:rPr>
          <w:rFonts w:ascii="Times New Roman" w:hAnsi="Times New Roman"/>
          <w:sz w:val="28"/>
          <w:szCs w:val="28"/>
          <w:u w:val="none"/>
        </w:rPr>
        <w:tab/>
      </w:r>
      <w:r w:rsidRPr="00292D9B">
        <w:rPr>
          <w:rFonts w:ascii="Times New Roman" w:hAnsi="Times New Roman"/>
          <w:sz w:val="28"/>
          <w:szCs w:val="28"/>
          <w:u w:val="none"/>
        </w:rPr>
        <w:tab/>
      </w:r>
      <w:r w:rsidRPr="00292D9B">
        <w:rPr>
          <w:rFonts w:ascii="Times New Roman" w:hAnsi="Times New Roman"/>
          <w:sz w:val="28"/>
          <w:szCs w:val="28"/>
          <w:u w:val="none"/>
        </w:rPr>
        <w:tab/>
      </w:r>
    </w:p>
    <w:p w:rsidR="000271AC" w:rsidRDefault="000271AC" w:rsidP="000271AC">
      <w:pPr>
        <w:rPr>
          <w:sz w:val="28"/>
          <w:szCs w:val="28"/>
        </w:rPr>
      </w:pPr>
    </w:p>
    <w:p w:rsidR="00AB6148" w:rsidRDefault="00AB6148" w:rsidP="00AB6148">
      <w:pPr>
        <w:rPr>
          <w:sz w:val="28"/>
        </w:rPr>
      </w:pPr>
    </w:p>
    <w:p w:rsidR="00AB6148" w:rsidRPr="00AB6148" w:rsidRDefault="00DF64D1" w:rsidP="00AB6148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JUSTIFICATION STATEMENT</w:t>
      </w:r>
    </w:p>
    <w:p w:rsidR="00AB6148" w:rsidRDefault="00AB6148" w:rsidP="000271AC">
      <w:pPr>
        <w:rPr>
          <w:sz w:val="28"/>
        </w:rPr>
      </w:pPr>
    </w:p>
    <w:p w:rsidR="00DF64D1" w:rsidRDefault="00DF64D1" w:rsidP="00DF64D1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Gallup has advised U.S. Department of State, Passport Services that the original Land Border Crossing </w:t>
      </w:r>
      <w:r w:rsidR="00A464E7">
        <w:rPr>
          <w:color w:val="000000"/>
          <w:sz w:val="28"/>
          <w:szCs w:val="28"/>
        </w:rPr>
        <w:t xml:space="preserve">(LBC) </w:t>
      </w:r>
      <w:r>
        <w:rPr>
          <w:color w:val="000000"/>
          <w:sz w:val="28"/>
          <w:szCs w:val="28"/>
        </w:rPr>
        <w:t xml:space="preserve">survey questions needed to be updated to reflect improvements to and simplifications of the questions related to the Passport Card.  For example, Gallup identified that the original questions were </w:t>
      </w:r>
      <w:r w:rsidRPr="00277EFB">
        <w:rPr>
          <w:color w:val="000000"/>
          <w:sz w:val="28"/>
          <w:szCs w:val="28"/>
        </w:rPr>
        <w:t xml:space="preserve">found to be confusing with respondents </w:t>
      </w:r>
      <w:r>
        <w:rPr>
          <w:color w:val="000000"/>
          <w:sz w:val="28"/>
          <w:szCs w:val="28"/>
        </w:rPr>
        <w:t xml:space="preserve">because </w:t>
      </w:r>
      <w:r w:rsidRPr="00277EFB">
        <w:rPr>
          <w:color w:val="000000"/>
          <w:sz w:val="28"/>
          <w:szCs w:val="28"/>
        </w:rPr>
        <w:t xml:space="preserve">it asked </w:t>
      </w:r>
      <w:r>
        <w:rPr>
          <w:color w:val="000000"/>
          <w:sz w:val="28"/>
          <w:szCs w:val="28"/>
        </w:rPr>
        <w:t>multiple questions within one query</w:t>
      </w:r>
      <w:r w:rsidRPr="00277EFB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For instance, the questions were </w:t>
      </w:r>
      <w:r w:rsidRPr="00277EFB">
        <w:rPr>
          <w:color w:val="000000"/>
          <w:sz w:val="28"/>
          <w:szCs w:val="28"/>
        </w:rPr>
        <w:t>asking them to consider only adults who were U.S. citizens, then to think among that group how many ha</w:t>
      </w:r>
      <w:r>
        <w:rPr>
          <w:color w:val="000000"/>
          <w:sz w:val="28"/>
          <w:szCs w:val="28"/>
        </w:rPr>
        <w:t xml:space="preserve">d made a land border crossing.  In effort to resolve and clarify this common issue, Gallup broke </w:t>
      </w:r>
      <w:r w:rsidRPr="00277EFB">
        <w:rPr>
          <w:color w:val="000000"/>
          <w:sz w:val="28"/>
          <w:szCs w:val="28"/>
        </w:rPr>
        <w:t>the question</w:t>
      </w:r>
      <w:r>
        <w:rPr>
          <w:color w:val="000000"/>
          <w:sz w:val="28"/>
          <w:szCs w:val="28"/>
        </w:rPr>
        <w:t>(s)</w:t>
      </w:r>
      <w:r w:rsidRPr="00277EFB">
        <w:rPr>
          <w:color w:val="000000"/>
          <w:sz w:val="28"/>
          <w:szCs w:val="28"/>
        </w:rPr>
        <w:t xml:space="preserve"> into two parts </w:t>
      </w:r>
      <w:r>
        <w:rPr>
          <w:color w:val="000000"/>
          <w:sz w:val="28"/>
          <w:szCs w:val="28"/>
        </w:rPr>
        <w:t xml:space="preserve">which </w:t>
      </w:r>
      <w:r w:rsidRPr="00277EFB">
        <w:rPr>
          <w:color w:val="000000"/>
          <w:sz w:val="28"/>
          <w:szCs w:val="28"/>
        </w:rPr>
        <w:t xml:space="preserve">should eliminate that confusion and allow the focus to be on correctly identifying land border crossers.  </w:t>
      </w:r>
    </w:p>
    <w:p w:rsidR="00DF64D1" w:rsidRDefault="00DF64D1" w:rsidP="00DF64D1">
      <w:pPr>
        <w:ind w:firstLine="720"/>
        <w:rPr>
          <w:color w:val="000000"/>
          <w:sz w:val="28"/>
          <w:szCs w:val="28"/>
        </w:rPr>
      </w:pPr>
    </w:p>
    <w:p w:rsidR="00DF64D1" w:rsidRDefault="00DF64D1" w:rsidP="00DF64D1">
      <w:pPr>
        <w:ind w:firstLine="720"/>
        <w:rPr>
          <w:color w:val="000000"/>
          <w:sz w:val="28"/>
          <w:szCs w:val="28"/>
        </w:rPr>
      </w:pPr>
      <w:r w:rsidRPr="00DF64D1">
        <w:rPr>
          <w:b/>
          <w:i/>
          <w:color w:val="000000"/>
          <w:sz w:val="28"/>
          <w:szCs w:val="28"/>
        </w:rPr>
        <w:t xml:space="preserve">The sampling method for the survey will remain the same.  </w:t>
      </w:r>
      <w:r w:rsidR="00B91153">
        <w:rPr>
          <w:color w:val="000000"/>
          <w:sz w:val="28"/>
          <w:szCs w:val="28"/>
        </w:rPr>
        <w:t>T</w:t>
      </w:r>
      <w:r w:rsidR="00B91153" w:rsidRPr="00B91153">
        <w:rPr>
          <w:color w:val="000000" w:themeColor="text1"/>
          <w:sz w:val="28"/>
          <w:szCs w:val="28"/>
        </w:rPr>
        <w:t>he methodology of the LBC study will remain consistent with the 2007 baseline study, including the increased 7 x 7 call design and a non-response study.</w:t>
      </w:r>
      <w:r w:rsidR="00B91153">
        <w:rPr>
          <w:color w:val="000000" w:themeColor="text1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In addition, the OMB Standards and Guidelines for Statistical Surveys require Federal agencies to adhere to all standards for every statistical survey, even those that have already received OMB approval.  </w:t>
      </w:r>
      <w:r w:rsidRPr="00277EFB">
        <w:rPr>
          <w:color w:val="000000"/>
          <w:sz w:val="28"/>
          <w:szCs w:val="28"/>
        </w:rPr>
        <w:t>These changes will reduce the screening errors identified in the original survey.</w:t>
      </w:r>
      <w:r>
        <w:rPr>
          <w:color w:val="000000"/>
          <w:sz w:val="28"/>
          <w:szCs w:val="28"/>
        </w:rPr>
        <w:t xml:space="preserve">  </w:t>
      </w:r>
    </w:p>
    <w:p w:rsidR="000271AC" w:rsidRPr="007B3DA6" w:rsidRDefault="000271AC" w:rsidP="005100F9">
      <w:pPr>
        <w:rPr>
          <w:sz w:val="28"/>
          <w:szCs w:val="28"/>
        </w:rPr>
      </w:pPr>
    </w:p>
    <w:p w:rsidR="000271AC" w:rsidRPr="007853CB" w:rsidRDefault="000271AC" w:rsidP="000271AC">
      <w:pPr>
        <w:tabs>
          <w:tab w:val="left" w:pos="3135"/>
        </w:tabs>
        <w:rPr>
          <w:sz w:val="22"/>
          <w:szCs w:val="22"/>
        </w:rPr>
      </w:pPr>
    </w:p>
    <w:p w:rsidR="000271AC" w:rsidRPr="004717BA" w:rsidRDefault="000271AC" w:rsidP="000271AC">
      <w:pPr>
        <w:rPr>
          <w:sz w:val="28"/>
          <w:szCs w:val="28"/>
        </w:rPr>
      </w:pPr>
    </w:p>
    <w:p w:rsidR="00FC3238" w:rsidRDefault="00FC3238"/>
    <w:sectPr w:rsidR="00FC3238" w:rsidSect="005D106E">
      <w:headerReference w:type="default" r:id="rId7"/>
      <w:footerReference w:type="default" r:id="rId8"/>
      <w:footerReference w:type="first" r:id="rId9"/>
      <w:pgSz w:w="12240" w:h="15840" w:code="1"/>
      <w:pgMar w:top="72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0C2" w:rsidRDefault="006270C2" w:rsidP="00A11C37">
      <w:r>
        <w:separator/>
      </w:r>
    </w:p>
  </w:endnote>
  <w:endnote w:type="continuationSeparator" w:id="1">
    <w:p w:rsidR="006270C2" w:rsidRDefault="006270C2" w:rsidP="00A11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C2" w:rsidRDefault="006270C2" w:rsidP="005D106E">
    <w:pPr>
      <w:pStyle w:val="Footer"/>
      <w:jc w:val="center"/>
    </w:pPr>
    <w:r w:rsidRPr="008168F3">
      <w:rPr>
        <w:sz w:val="28"/>
        <w:szCs w:val="28"/>
        <w:u w:val="single"/>
      </w:rPr>
      <w:t>UNCLASSIFIED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C2" w:rsidRPr="00E14E50" w:rsidRDefault="006270C2" w:rsidP="005D106E">
    <w:pPr>
      <w:pStyle w:val="Footer"/>
      <w:jc w:val="center"/>
      <w:rPr>
        <w:sz w:val="28"/>
        <w:szCs w:val="28"/>
        <w:u w:val="single"/>
      </w:rPr>
    </w:pPr>
    <w:r>
      <w:rPr>
        <w:sz w:val="28"/>
        <w:szCs w:val="28"/>
        <w:u w:val="single"/>
      </w:rPr>
      <w:t>UNCLASSIFIED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0C2" w:rsidRDefault="006270C2" w:rsidP="00A11C37">
      <w:r>
        <w:separator/>
      </w:r>
    </w:p>
  </w:footnote>
  <w:footnote w:type="continuationSeparator" w:id="1">
    <w:p w:rsidR="006270C2" w:rsidRDefault="006270C2" w:rsidP="00A11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C2" w:rsidRDefault="006270C2" w:rsidP="005D106E">
    <w:pPr>
      <w:pStyle w:val="Header"/>
      <w:jc w:val="center"/>
      <w:rPr>
        <w:sz w:val="28"/>
        <w:szCs w:val="28"/>
        <w:u w:val="single"/>
      </w:rPr>
    </w:pPr>
    <w:r w:rsidRPr="00A61616">
      <w:rPr>
        <w:sz w:val="28"/>
        <w:szCs w:val="28"/>
        <w:u w:val="single"/>
      </w:rPr>
      <w:t>UNCLASSIFIED</w:t>
    </w:r>
  </w:p>
  <w:p w:rsidR="006270C2" w:rsidRPr="00A61616" w:rsidRDefault="003B0FAA" w:rsidP="005D106E">
    <w:pPr>
      <w:pStyle w:val="Header"/>
      <w:jc w:val="center"/>
      <w:rPr>
        <w:sz w:val="28"/>
        <w:szCs w:val="28"/>
      </w:rPr>
    </w:pPr>
    <w:r w:rsidRPr="00A61616">
      <w:rPr>
        <w:sz w:val="28"/>
        <w:szCs w:val="28"/>
      </w:rPr>
      <w:fldChar w:fldCharType="begin"/>
    </w:r>
    <w:r w:rsidR="006270C2" w:rsidRPr="00A61616">
      <w:rPr>
        <w:sz w:val="28"/>
        <w:szCs w:val="28"/>
      </w:rPr>
      <w:instrText xml:space="preserve"> PAGE   \* MERGEFORMAT </w:instrText>
    </w:r>
    <w:r w:rsidRPr="00A61616">
      <w:rPr>
        <w:sz w:val="28"/>
        <w:szCs w:val="28"/>
      </w:rPr>
      <w:fldChar w:fldCharType="separate"/>
    </w:r>
    <w:r w:rsidR="006270C2">
      <w:rPr>
        <w:noProof/>
        <w:sz w:val="28"/>
        <w:szCs w:val="28"/>
      </w:rPr>
      <w:t>4</w:t>
    </w:r>
    <w:r w:rsidRPr="00A61616">
      <w:rPr>
        <w:sz w:val="28"/>
        <w:szCs w:val="28"/>
      </w:rPr>
      <w:fldChar w:fldCharType="end"/>
    </w:r>
  </w:p>
  <w:p w:rsidR="006270C2" w:rsidRDefault="006270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1AC"/>
    <w:rsid w:val="00007507"/>
    <w:rsid w:val="00025DD9"/>
    <w:rsid w:val="000271AC"/>
    <w:rsid w:val="000D336A"/>
    <w:rsid w:val="002A67B0"/>
    <w:rsid w:val="00306B7D"/>
    <w:rsid w:val="003827B8"/>
    <w:rsid w:val="003B0FAA"/>
    <w:rsid w:val="005100F9"/>
    <w:rsid w:val="005D106E"/>
    <w:rsid w:val="006270C2"/>
    <w:rsid w:val="00801AC2"/>
    <w:rsid w:val="00904E05"/>
    <w:rsid w:val="00954739"/>
    <w:rsid w:val="00A11C37"/>
    <w:rsid w:val="00A464E7"/>
    <w:rsid w:val="00A63E16"/>
    <w:rsid w:val="00AB6148"/>
    <w:rsid w:val="00B91153"/>
    <w:rsid w:val="00BB2102"/>
    <w:rsid w:val="00C055C1"/>
    <w:rsid w:val="00CC5253"/>
    <w:rsid w:val="00D67ABD"/>
    <w:rsid w:val="00DF64D1"/>
    <w:rsid w:val="00EB4D03"/>
    <w:rsid w:val="00FC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AC"/>
    <w:pPr>
      <w:keepNext/>
      <w:tabs>
        <w:tab w:val="right" w:pos="2780"/>
      </w:tabs>
      <w:outlineLvl w:val="0"/>
    </w:pPr>
    <w:rPr>
      <w:rFonts w:ascii="Courier New" w:hAnsi="Courier New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AB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ublespace">
    <w:name w:val="Double space"/>
    <w:uiPriority w:val="99"/>
    <w:qFormat/>
    <w:rsid w:val="00D67ABD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271AC"/>
    <w:rPr>
      <w:rFonts w:ascii="Courier New" w:eastAsia="Times New Roman" w:hAnsi="Courier New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0271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71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1A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0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ClarkLV2</dc:creator>
  <cp:keywords/>
  <dc:description/>
  <cp:lastModifiedBy>ClarkLV2</cp:lastModifiedBy>
  <cp:revision>4</cp:revision>
  <cp:lastPrinted>2008-11-19T18:28:00Z</cp:lastPrinted>
  <dcterms:created xsi:type="dcterms:W3CDTF">2008-11-19T20:41:00Z</dcterms:created>
  <dcterms:modified xsi:type="dcterms:W3CDTF">2008-11-19T21:36:00Z</dcterms:modified>
</cp:coreProperties>
</file>