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310" w:rsidRDefault="00332310" w:rsidP="00387435">
      <w:pPr>
        <w:jc w:val="center"/>
        <w:rPr>
          <w:rFonts w:ascii="Times New Roman" w:hAnsi="Times New Roman"/>
          <w:b/>
          <w:sz w:val="28"/>
          <w:szCs w:val="28"/>
        </w:rPr>
      </w:pPr>
    </w:p>
    <w:p w:rsidR="00387435" w:rsidRPr="00C17FD3" w:rsidRDefault="00387435" w:rsidP="00387435">
      <w:pPr>
        <w:jc w:val="center"/>
        <w:rPr>
          <w:rFonts w:ascii="Times New Roman" w:hAnsi="Times New Roman"/>
          <w:b/>
          <w:sz w:val="28"/>
          <w:szCs w:val="28"/>
        </w:rPr>
      </w:pPr>
      <w:r w:rsidRPr="00C17FD3">
        <w:rPr>
          <w:rFonts w:ascii="Times New Roman" w:hAnsi="Times New Roman"/>
          <w:b/>
          <w:sz w:val="28"/>
          <w:szCs w:val="28"/>
        </w:rPr>
        <w:t>SUPPORTING STATEMENT</w:t>
      </w:r>
    </w:p>
    <w:p w:rsidR="00387435" w:rsidRPr="00C17FD3" w:rsidRDefault="00387435" w:rsidP="00387435">
      <w:pPr>
        <w:jc w:val="center"/>
        <w:rPr>
          <w:rFonts w:ascii="Times New Roman" w:hAnsi="Times New Roman"/>
          <w:b/>
          <w:sz w:val="28"/>
          <w:szCs w:val="28"/>
        </w:rPr>
      </w:pPr>
    </w:p>
    <w:p w:rsidR="00387435" w:rsidRPr="00C17FD3" w:rsidRDefault="00387435" w:rsidP="00387435">
      <w:pPr>
        <w:jc w:val="center"/>
        <w:rPr>
          <w:rFonts w:ascii="Times New Roman" w:hAnsi="Times New Roman"/>
          <w:b/>
          <w:sz w:val="28"/>
          <w:szCs w:val="28"/>
        </w:rPr>
      </w:pPr>
    </w:p>
    <w:p w:rsidR="00387435" w:rsidRPr="00C17FD3" w:rsidRDefault="00EC7E61" w:rsidP="00387435">
      <w:pPr>
        <w:jc w:val="center"/>
        <w:rPr>
          <w:rFonts w:ascii="Times New Roman" w:hAnsi="Times New Roman"/>
          <w:b/>
          <w:sz w:val="28"/>
          <w:szCs w:val="28"/>
        </w:rPr>
      </w:pPr>
      <w:r w:rsidRPr="00EC7E61">
        <w:rPr>
          <w:rFonts w:ascii="Times New Roman" w:hAnsi="Times New Roman"/>
          <w:b/>
          <w:color w:val="000000"/>
          <w:sz w:val="28"/>
          <w:szCs w:val="28"/>
        </w:rPr>
        <w:t>Disaster Supplemental Nutrition Assistance for Victims of Disasters</w:t>
      </w:r>
    </w:p>
    <w:p w:rsidR="00387435" w:rsidRPr="00C17FD3" w:rsidRDefault="00387435" w:rsidP="00387435">
      <w:pPr>
        <w:tabs>
          <w:tab w:val="left" w:pos="-720"/>
          <w:tab w:val="left" w:pos="0"/>
        </w:tabs>
        <w:suppressAutoHyphens/>
        <w:rPr>
          <w:rFonts w:ascii="Times New Roman" w:hAnsi="Times New Roman"/>
          <w:sz w:val="28"/>
          <w:szCs w:val="28"/>
        </w:rPr>
      </w:pPr>
    </w:p>
    <w:p w:rsidR="00387435" w:rsidRPr="00C17FD3" w:rsidRDefault="00387435" w:rsidP="00387435">
      <w:pPr>
        <w:tabs>
          <w:tab w:val="left" w:pos="-720"/>
          <w:tab w:val="left" w:pos="0"/>
        </w:tabs>
        <w:suppressAutoHyphens/>
        <w:jc w:val="center"/>
        <w:rPr>
          <w:rFonts w:ascii="Times New Roman" w:hAnsi="Times New Roman"/>
          <w:b/>
          <w:sz w:val="28"/>
          <w:szCs w:val="28"/>
        </w:rPr>
      </w:pPr>
      <w:r w:rsidRPr="00C17FD3">
        <w:rPr>
          <w:rFonts w:ascii="Times New Roman" w:hAnsi="Times New Roman"/>
          <w:b/>
          <w:sz w:val="28"/>
          <w:szCs w:val="28"/>
        </w:rPr>
        <w:t>OMB No:  0584-</w:t>
      </w:r>
      <w:r w:rsidR="009E5B36">
        <w:rPr>
          <w:rFonts w:ascii="Times New Roman" w:hAnsi="Times New Roman"/>
          <w:b/>
          <w:sz w:val="28"/>
        </w:rPr>
        <w:t>0336</w:t>
      </w:r>
    </w:p>
    <w:p w:rsidR="00387435" w:rsidRPr="00C17FD3" w:rsidRDefault="00387435" w:rsidP="00387435">
      <w:pPr>
        <w:spacing w:line="480" w:lineRule="auto"/>
        <w:jc w:val="center"/>
        <w:rPr>
          <w:rFonts w:ascii="Times New Roman" w:hAnsi="Times New Roman"/>
          <w:b/>
          <w:bCs/>
          <w:spacing w:val="-3"/>
          <w:sz w:val="28"/>
          <w:szCs w:val="28"/>
        </w:rPr>
      </w:pPr>
    </w:p>
    <w:p w:rsidR="00387435" w:rsidRPr="00C17FD3" w:rsidRDefault="00387435" w:rsidP="00387435">
      <w:pPr>
        <w:spacing w:line="480" w:lineRule="auto"/>
        <w:jc w:val="center"/>
        <w:rPr>
          <w:rFonts w:ascii="Times New Roman" w:hAnsi="Times New Roman"/>
          <w:b/>
          <w:bCs/>
          <w:spacing w:val="-3"/>
          <w:sz w:val="28"/>
          <w:szCs w:val="28"/>
        </w:rPr>
      </w:pPr>
      <w:r w:rsidRPr="00C17FD3">
        <w:rPr>
          <w:rFonts w:ascii="Times New Roman" w:hAnsi="Times New Roman"/>
          <w:b/>
          <w:bCs/>
          <w:spacing w:val="-3"/>
          <w:sz w:val="28"/>
          <w:szCs w:val="28"/>
        </w:rPr>
        <w:t>Larry Tropp, Project Officer</w:t>
      </w:r>
    </w:p>
    <w:p w:rsidR="00387435" w:rsidRPr="00C17FD3" w:rsidRDefault="00332310" w:rsidP="00387435">
      <w:pPr>
        <w:spacing w:line="480" w:lineRule="auto"/>
        <w:jc w:val="center"/>
        <w:rPr>
          <w:rFonts w:ascii="Times New Roman" w:hAnsi="Times New Roman"/>
          <w:b/>
          <w:bCs/>
          <w:spacing w:val="-3"/>
          <w:sz w:val="28"/>
          <w:szCs w:val="28"/>
        </w:rPr>
      </w:pPr>
      <w:r>
        <w:rPr>
          <w:rFonts w:ascii="Times New Roman" w:hAnsi="Times New Roman"/>
          <w:b/>
          <w:bCs/>
          <w:spacing w:val="-3"/>
          <w:sz w:val="28"/>
          <w:szCs w:val="28"/>
        </w:rPr>
        <w:t>Supplemental Nutrition Assistance</w:t>
      </w:r>
      <w:r w:rsidR="00387435" w:rsidRPr="00C17FD3">
        <w:rPr>
          <w:rFonts w:ascii="Times New Roman" w:hAnsi="Times New Roman"/>
          <w:b/>
          <w:bCs/>
          <w:spacing w:val="-3"/>
          <w:sz w:val="28"/>
          <w:szCs w:val="28"/>
        </w:rPr>
        <w:t xml:space="preserve"> Program</w:t>
      </w:r>
    </w:p>
    <w:p w:rsidR="00387435" w:rsidRPr="00C17FD3" w:rsidRDefault="00387435" w:rsidP="00387435">
      <w:pPr>
        <w:spacing w:line="480" w:lineRule="auto"/>
        <w:jc w:val="center"/>
        <w:rPr>
          <w:rFonts w:ascii="Times New Roman" w:hAnsi="Times New Roman"/>
          <w:b/>
          <w:bCs/>
          <w:spacing w:val="-3"/>
          <w:sz w:val="28"/>
          <w:szCs w:val="28"/>
        </w:rPr>
      </w:pPr>
      <w:r w:rsidRPr="00C17FD3">
        <w:rPr>
          <w:rFonts w:ascii="Times New Roman" w:hAnsi="Times New Roman"/>
          <w:b/>
          <w:bCs/>
          <w:spacing w:val="-3"/>
          <w:sz w:val="28"/>
          <w:szCs w:val="28"/>
        </w:rPr>
        <w:t>Program Development Division, C</w:t>
      </w:r>
      <w:r>
        <w:rPr>
          <w:rFonts w:ascii="Times New Roman" w:hAnsi="Times New Roman"/>
          <w:b/>
          <w:bCs/>
          <w:spacing w:val="-3"/>
          <w:sz w:val="28"/>
          <w:szCs w:val="28"/>
        </w:rPr>
        <w:t xml:space="preserve">ertification </w:t>
      </w:r>
      <w:r w:rsidRPr="00C17FD3">
        <w:rPr>
          <w:rFonts w:ascii="Times New Roman" w:hAnsi="Times New Roman"/>
          <w:b/>
          <w:bCs/>
          <w:spacing w:val="-3"/>
          <w:sz w:val="28"/>
          <w:szCs w:val="28"/>
        </w:rPr>
        <w:t>P</w:t>
      </w:r>
      <w:r>
        <w:rPr>
          <w:rFonts w:ascii="Times New Roman" w:hAnsi="Times New Roman"/>
          <w:b/>
          <w:bCs/>
          <w:spacing w:val="-3"/>
          <w:sz w:val="28"/>
          <w:szCs w:val="28"/>
        </w:rPr>
        <w:t xml:space="preserve">olicy </w:t>
      </w:r>
      <w:r w:rsidRPr="00C17FD3">
        <w:rPr>
          <w:rFonts w:ascii="Times New Roman" w:hAnsi="Times New Roman"/>
          <w:b/>
          <w:bCs/>
          <w:spacing w:val="-3"/>
          <w:sz w:val="28"/>
          <w:szCs w:val="28"/>
        </w:rPr>
        <w:t>B</w:t>
      </w:r>
      <w:r>
        <w:rPr>
          <w:rFonts w:ascii="Times New Roman" w:hAnsi="Times New Roman"/>
          <w:b/>
          <w:bCs/>
          <w:spacing w:val="-3"/>
          <w:sz w:val="28"/>
          <w:szCs w:val="28"/>
        </w:rPr>
        <w:t>ranch</w:t>
      </w:r>
    </w:p>
    <w:p w:rsidR="00387435" w:rsidRPr="00C17FD3" w:rsidRDefault="00387435" w:rsidP="00387435">
      <w:pPr>
        <w:spacing w:line="480" w:lineRule="auto"/>
        <w:jc w:val="center"/>
        <w:rPr>
          <w:rFonts w:ascii="Times New Roman" w:hAnsi="Times New Roman"/>
          <w:b/>
          <w:bCs/>
          <w:spacing w:val="-3"/>
          <w:sz w:val="28"/>
          <w:szCs w:val="28"/>
        </w:rPr>
      </w:pPr>
      <w:r w:rsidRPr="00C17FD3">
        <w:rPr>
          <w:rFonts w:ascii="Times New Roman" w:hAnsi="Times New Roman"/>
          <w:b/>
          <w:bCs/>
          <w:spacing w:val="-3"/>
          <w:sz w:val="28"/>
          <w:szCs w:val="28"/>
        </w:rPr>
        <w:t>Food and Nutrition Service, USDA</w:t>
      </w:r>
    </w:p>
    <w:p w:rsidR="00387435" w:rsidRPr="00C17FD3" w:rsidRDefault="00387435" w:rsidP="00387435">
      <w:pPr>
        <w:spacing w:line="480" w:lineRule="auto"/>
        <w:jc w:val="center"/>
        <w:rPr>
          <w:rFonts w:ascii="Times New Roman" w:hAnsi="Times New Roman"/>
          <w:b/>
          <w:bCs/>
          <w:spacing w:val="-3"/>
          <w:sz w:val="28"/>
          <w:szCs w:val="28"/>
        </w:rPr>
      </w:pPr>
      <w:smartTag w:uri="urn:schemas-microsoft-com:office:smarttags" w:element="Street">
        <w:smartTag w:uri="urn:schemas-microsoft-com:office:smarttags" w:element="address">
          <w:r w:rsidRPr="00C17FD3">
            <w:rPr>
              <w:rFonts w:ascii="Times New Roman" w:hAnsi="Times New Roman"/>
              <w:b/>
              <w:bCs/>
              <w:spacing w:val="-3"/>
              <w:sz w:val="28"/>
              <w:szCs w:val="28"/>
            </w:rPr>
            <w:t>3101 Park Center Drive</w:t>
          </w:r>
        </w:smartTag>
      </w:smartTag>
      <w:r w:rsidRPr="00C17FD3">
        <w:rPr>
          <w:rFonts w:ascii="Times New Roman" w:hAnsi="Times New Roman"/>
          <w:b/>
          <w:bCs/>
          <w:spacing w:val="-3"/>
          <w:sz w:val="28"/>
          <w:szCs w:val="28"/>
        </w:rPr>
        <w:t xml:space="preserve">, Room </w:t>
      </w:r>
      <w:r>
        <w:rPr>
          <w:rFonts w:ascii="Times New Roman" w:hAnsi="Times New Roman"/>
          <w:b/>
          <w:bCs/>
          <w:spacing w:val="-3"/>
          <w:sz w:val="28"/>
          <w:szCs w:val="28"/>
        </w:rPr>
        <w:t>812</w:t>
      </w:r>
    </w:p>
    <w:p w:rsidR="00387435" w:rsidRPr="00C17FD3" w:rsidRDefault="00387435" w:rsidP="00387435">
      <w:pPr>
        <w:spacing w:line="480" w:lineRule="auto"/>
        <w:jc w:val="center"/>
        <w:rPr>
          <w:rFonts w:ascii="Times New Roman" w:hAnsi="Times New Roman"/>
          <w:b/>
          <w:bCs/>
          <w:spacing w:val="-3"/>
          <w:sz w:val="28"/>
          <w:szCs w:val="28"/>
        </w:rPr>
      </w:pPr>
      <w:smartTag w:uri="urn:schemas-microsoft-com:office:smarttags" w:element="PlaceName">
        <w:smartTag w:uri="urn:schemas-microsoft-com:office:smarttags" w:element="country-region">
          <w:r w:rsidRPr="00C17FD3">
            <w:rPr>
              <w:rFonts w:ascii="Times New Roman" w:hAnsi="Times New Roman"/>
              <w:b/>
              <w:bCs/>
              <w:spacing w:val="-3"/>
              <w:sz w:val="28"/>
              <w:szCs w:val="28"/>
            </w:rPr>
            <w:t>Alexandria</w:t>
          </w:r>
        </w:smartTag>
        <w:r w:rsidRPr="00C17FD3">
          <w:rPr>
            <w:rFonts w:ascii="Times New Roman" w:hAnsi="Times New Roman"/>
            <w:b/>
            <w:bCs/>
            <w:spacing w:val="-3"/>
            <w:sz w:val="28"/>
            <w:szCs w:val="28"/>
          </w:rPr>
          <w:t xml:space="preserve">, </w:t>
        </w:r>
        <w:smartTag w:uri="urn:schemas-microsoft-com:office:smarttags" w:element="State">
          <w:r w:rsidRPr="00C17FD3">
            <w:rPr>
              <w:rFonts w:ascii="Times New Roman" w:hAnsi="Times New Roman"/>
              <w:b/>
              <w:bCs/>
              <w:spacing w:val="-3"/>
              <w:sz w:val="28"/>
              <w:szCs w:val="28"/>
            </w:rPr>
            <w:t>VA</w:t>
          </w:r>
        </w:smartTag>
        <w:r w:rsidRPr="00C17FD3">
          <w:rPr>
            <w:rFonts w:ascii="Times New Roman" w:hAnsi="Times New Roman"/>
            <w:b/>
            <w:bCs/>
            <w:spacing w:val="-3"/>
            <w:sz w:val="28"/>
            <w:szCs w:val="28"/>
          </w:rPr>
          <w:t xml:space="preserve">  </w:t>
        </w:r>
        <w:smartTag w:uri="urn:schemas-microsoft-com:office:smarttags" w:element="PlaceType">
          <w:r w:rsidRPr="00C17FD3">
            <w:rPr>
              <w:rFonts w:ascii="Times New Roman" w:hAnsi="Times New Roman"/>
              <w:b/>
              <w:bCs/>
              <w:spacing w:val="-3"/>
              <w:sz w:val="28"/>
              <w:szCs w:val="28"/>
            </w:rPr>
            <w:t>22310</w:t>
          </w:r>
        </w:smartTag>
      </w:smartTag>
    </w:p>
    <w:p w:rsidR="00387435" w:rsidRPr="00C17FD3" w:rsidRDefault="00387435" w:rsidP="00387435">
      <w:pPr>
        <w:spacing w:line="480" w:lineRule="auto"/>
        <w:jc w:val="center"/>
        <w:rPr>
          <w:rFonts w:ascii="Times New Roman" w:hAnsi="Times New Roman"/>
          <w:b/>
          <w:bCs/>
          <w:spacing w:val="-3"/>
          <w:sz w:val="28"/>
          <w:szCs w:val="28"/>
        </w:rPr>
      </w:pPr>
      <w:r w:rsidRPr="00C17FD3">
        <w:rPr>
          <w:rFonts w:ascii="Times New Roman" w:hAnsi="Times New Roman"/>
          <w:b/>
          <w:bCs/>
          <w:spacing w:val="-3"/>
          <w:sz w:val="28"/>
          <w:szCs w:val="28"/>
        </w:rPr>
        <w:t>PH</w:t>
      </w:r>
      <w:r w:rsidR="00AA14B2" w:rsidRPr="00C17FD3">
        <w:rPr>
          <w:rFonts w:ascii="Times New Roman" w:hAnsi="Times New Roman"/>
          <w:b/>
          <w:bCs/>
          <w:spacing w:val="-3"/>
          <w:sz w:val="28"/>
          <w:szCs w:val="28"/>
        </w:rPr>
        <w:t>: 703</w:t>
      </w:r>
      <w:r w:rsidRPr="00C17FD3">
        <w:rPr>
          <w:rFonts w:ascii="Times New Roman" w:hAnsi="Times New Roman"/>
          <w:b/>
          <w:bCs/>
          <w:spacing w:val="-3"/>
          <w:sz w:val="28"/>
          <w:szCs w:val="28"/>
        </w:rPr>
        <w:t>-305-</w:t>
      </w:r>
      <w:r w:rsidR="009E5B36">
        <w:rPr>
          <w:rFonts w:ascii="Times New Roman" w:hAnsi="Times New Roman"/>
          <w:b/>
          <w:bCs/>
          <w:spacing w:val="-3"/>
          <w:sz w:val="28"/>
          <w:szCs w:val="28"/>
        </w:rPr>
        <w:t>2486</w:t>
      </w:r>
      <w:r w:rsidRPr="00C17FD3">
        <w:rPr>
          <w:rFonts w:ascii="Times New Roman" w:hAnsi="Times New Roman"/>
          <w:b/>
          <w:bCs/>
          <w:spacing w:val="-3"/>
          <w:sz w:val="28"/>
          <w:szCs w:val="28"/>
        </w:rPr>
        <w:t xml:space="preserve">  FAX: 703-305-</w:t>
      </w:r>
      <w:r w:rsidR="009E5B36">
        <w:rPr>
          <w:rFonts w:ascii="Times New Roman" w:hAnsi="Times New Roman"/>
          <w:b/>
          <w:bCs/>
          <w:spacing w:val="-3"/>
          <w:sz w:val="28"/>
          <w:szCs w:val="28"/>
        </w:rPr>
        <w:t>2504</w:t>
      </w:r>
    </w:p>
    <w:p w:rsidR="00387435" w:rsidRPr="00C17FD3" w:rsidRDefault="00387435" w:rsidP="00387435">
      <w:pPr>
        <w:spacing w:line="480" w:lineRule="auto"/>
        <w:jc w:val="center"/>
        <w:rPr>
          <w:rFonts w:ascii="Times New Roman" w:hAnsi="Times New Roman"/>
          <w:b/>
          <w:bCs/>
          <w:spacing w:val="-3"/>
          <w:sz w:val="28"/>
          <w:szCs w:val="28"/>
        </w:rPr>
      </w:pPr>
      <w:r w:rsidRPr="00C17FD3">
        <w:rPr>
          <w:rFonts w:ascii="Times New Roman" w:hAnsi="Times New Roman"/>
          <w:b/>
          <w:bCs/>
          <w:spacing w:val="-3"/>
          <w:sz w:val="28"/>
          <w:szCs w:val="28"/>
        </w:rPr>
        <w:t>Larry.Tropp@fns.usda.gov</w:t>
      </w:r>
    </w:p>
    <w:p w:rsidR="003A3AF6" w:rsidRDefault="00387435">
      <w:pPr>
        <w:pStyle w:val="EndnoteText"/>
        <w:tabs>
          <w:tab w:val="center" w:pos="4680"/>
        </w:tabs>
        <w:suppressAutoHyphens/>
        <w:rPr>
          <w:rFonts w:ascii="Century" w:hAnsi="Century"/>
        </w:rPr>
      </w:pPr>
      <w:r>
        <w:rPr>
          <w:rFonts w:ascii="Century" w:hAnsi="Century"/>
        </w:rPr>
        <w:br w:type="page"/>
      </w:r>
    </w:p>
    <w:p w:rsidR="003A3AF6" w:rsidRDefault="003A3AF6" w:rsidP="002944A6">
      <w:pPr>
        <w:tabs>
          <w:tab w:val="center" w:pos="4680"/>
        </w:tabs>
        <w:suppressAutoHyphens/>
        <w:ind w:left="-720" w:right="-720"/>
        <w:rPr>
          <w:rFonts w:ascii="Times New Roman" w:hAnsi="Times New Roman"/>
        </w:rPr>
      </w:pPr>
      <w:r>
        <w:rPr>
          <w:rFonts w:ascii="Times New Roman" w:hAnsi="Times New Roman"/>
        </w:rPr>
        <w:lastRenderedPageBreak/>
        <w:tab/>
      </w:r>
    </w:p>
    <w:p w:rsidR="003A3AF6" w:rsidRDefault="003A3AF6">
      <w:pPr>
        <w:pStyle w:val="Heading1"/>
      </w:pPr>
      <w:r>
        <w:t>A.</w:t>
      </w:r>
      <w:r>
        <w:tab/>
        <w:t>JUSTIFICATION</w:t>
      </w:r>
    </w:p>
    <w:p w:rsidR="003A3AF6" w:rsidRDefault="003A3AF6">
      <w:pPr>
        <w:tabs>
          <w:tab w:val="left" w:pos="-720"/>
        </w:tabs>
        <w:suppressAutoHyphens/>
        <w:ind w:right="-720"/>
        <w:rPr>
          <w:rFonts w:ascii="Times New Roman" w:hAnsi="Times New Roman"/>
        </w:rPr>
      </w:pPr>
    </w:p>
    <w:p w:rsidR="003A3AF6" w:rsidRDefault="003A3AF6">
      <w:pPr>
        <w:tabs>
          <w:tab w:val="left" w:pos="-720"/>
          <w:tab w:val="left" w:pos="0"/>
        </w:tabs>
        <w:suppressAutoHyphens/>
        <w:ind w:left="720" w:right="-720" w:hanging="720"/>
        <w:rPr>
          <w:rFonts w:ascii="Times New Roman" w:hAnsi="Times New Roman"/>
          <w:b/>
        </w:rPr>
      </w:pPr>
      <w:r>
        <w:rPr>
          <w:rFonts w:ascii="Times New Roman" w:hAnsi="Times New Roman"/>
        </w:rPr>
        <w:t>1.</w:t>
      </w:r>
      <w:r>
        <w:rPr>
          <w:rFonts w:ascii="Times New Roman" w:hAnsi="Times New Roman"/>
        </w:rPr>
        <w:tab/>
      </w:r>
      <w:r>
        <w:rPr>
          <w:rFonts w:ascii="Times New Roman" w:hAnsi="Times New Roman"/>
          <w:b/>
          <w:u w:val="single"/>
        </w:rPr>
        <w:t>Explain the circumstances that make the collection of information necessary</w:t>
      </w:r>
      <w:r>
        <w:rPr>
          <w:rFonts w:ascii="Times New Roman" w:hAnsi="Times New Roman"/>
          <w:b/>
        </w:rPr>
        <w:t xml:space="preserve">. </w:t>
      </w:r>
    </w:p>
    <w:p w:rsidR="00C719BD" w:rsidRDefault="0011602D" w:rsidP="002C2858">
      <w:pPr>
        <w:pStyle w:val="bodytextblack"/>
        <w:tabs>
          <w:tab w:val="left" w:pos="720"/>
        </w:tabs>
        <w:spacing w:line="480" w:lineRule="auto"/>
        <w:ind w:left="720"/>
        <w:rPr>
          <w:rFonts w:ascii="Times New Roman" w:hAnsi="Times New Roman"/>
          <w:sz w:val="24"/>
          <w:szCs w:val="24"/>
        </w:rPr>
      </w:pPr>
      <w:r w:rsidRPr="0011602D">
        <w:rPr>
          <w:rFonts w:ascii="Times New Roman" w:hAnsi="Times New Roman"/>
          <w:sz w:val="24"/>
          <w:szCs w:val="24"/>
        </w:rPr>
        <w:t>This is a revision of a currently</w:t>
      </w:r>
      <w:r w:rsidR="00C719BD">
        <w:rPr>
          <w:rFonts w:ascii="Times New Roman" w:hAnsi="Times New Roman"/>
          <w:sz w:val="24"/>
          <w:szCs w:val="24"/>
        </w:rPr>
        <w:t>-</w:t>
      </w:r>
      <w:r w:rsidRPr="0011602D">
        <w:rPr>
          <w:rFonts w:ascii="Times New Roman" w:hAnsi="Times New Roman"/>
          <w:sz w:val="24"/>
          <w:szCs w:val="24"/>
        </w:rPr>
        <w:t>approved collection</w:t>
      </w:r>
      <w:r w:rsidR="00C719BD">
        <w:rPr>
          <w:rFonts w:ascii="Times New Roman" w:hAnsi="Times New Roman"/>
          <w:sz w:val="24"/>
          <w:szCs w:val="24"/>
        </w:rPr>
        <w:t xml:space="preserve"> (OMB No. 0584-0336)</w:t>
      </w:r>
      <w:r w:rsidRPr="0011602D">
        <w:rPr>
          <w:rFonts w:ascii="Times New Roman" w:hAnsi="Times New Roman"/>
          <w:sz w:val="24"/>
          <w:szCs w:val="24"/>
        </w:rPr>
        <w:t>.  The Disaster Supplemental Nutrition Assistance for Victims of Disasters activity is</w:t>
      </w:r>
      <w:r w:rsidRPr="0011602D">
        <w:rPr>
          <w:rFonts w:ascii="Times New Roman" w:hAnsi="Times New Roman"/>
          <w:b/>
          <w:sz w:val="24"/>
          <w:szCs w:val="24"/>
        </w:rPr>
        <w:t xml:space="preserve"> </w:t>
      </w:r>
      <w:r w:rsidRPr="0011602D">
        <w:rPr>
          <w:rFonts w:ascii="Times New Roman" w:hAnsi="Times New Roman"/>
          <w:sz w:val="24"/>
          <w:szCs w:val="24"/>
        </w:rPr>
        <w:t>administered by the U.S. Department of Agriculture (USDA) Food and Nutrition Service (FNS)</w:t>
      </w:r>
      <w:r>
        <w:rPr>
          <w:rFonts w:ascii="Times New Roman" w:hAnsi="Times New Roman"/>
          <w:sz w:val="24"/>
          <w:szCs w:val="24"/>
        </w:rPr>
        <w:t xml:space="preserve"> to provide </w:t>
      </w:r>
      <w:r w:rsidR="00C719BD">
        <w:rPr>
          <w:rFonts w:ascii="Times New Roman" w:hAnsi="Times New Roman"/>
          <w:sz w:val="24"/>
          <w:szCs w:val="24"/>
        </w:rPr>
        <w:t xml:space="preserve">temporary </w:t>
      </w:r>
      <w:r>
        <w:rPr>
          <w:rFonts w:ascii="Times New Roman" w:hAnsi="Times New Roman"/>
          <w:sz w:val="24"/>
          <w:szCs w:val="24"/>
        </w:rPr>
        <w:t>food assistance to victims of disasters after the commercial channels of food distribution have been restored.</w:t>
      </w:r>
      <w:r w:rsidR="00C719BD">
        <w:rPr>
          <w:rFonts w:ascii="Times New Roman" w:hAnsi="Times New Roman"/>
          <w:sz w:val="24"/>
          <w:szCs w:val="24"/>
        </w:rPr>
        <w:t xml:space="preserve">  Like the regular Supplemental Nutritional Assistance Program (SNAP), Disaster Supplemental Nutrition Assistance Program (D-SNAP) b</w:t>
      </w:r>
      <w:r w:rsidR="00BD4524">
        <w:rPr>
          <w:rFonts w:ascii="Times New Roman" w:hAnsi="Times New Roman"/>
          <w:sz w:val="24"/>
          <w:szCs w:val="24"/>
        </w:rPr>
        <w:t xml:space="preserve">enefits are issued to eligible households through electronic benefit transfer (EBT) cards that </w:t>
      </w:r>
      <w:r w:rsidR="00F32AAB">
        <w:rPr>
          <w:rFonts w:ascii="Times New Roman" w:hAnsi="Times New Roman"/>
          <w:sz w:val="24"/>
          <w:szCs w:val="24"/>
        </w:rPr>
        <w:t xml:space="preserve">are </w:t>
      </w:r>
      <w:r w:rsidR="00BD4524">
        <w:rPr>
          <w:rFonts w:ascii="Times New Roman" w:hAnsi="Times New Roman"/>
          <w:sz w:val="24"/>
          <w:szCs w:val="24"/>
        </w:rPr>
        <w:t xml:space="preserve">used to purchase food at authorized retail food stores.  </w:t>
      </w:r>
    </w:p>
    <w:p w:rsidR="003610CF" w:rsidRDefault="00A83E27" w:rsidP="002C2858">
      <w:pPr>
        <w:pStyle w:val="bodytextblack"/>
        <w:tabs>
          <w:tab w:val="left" w:pos="720"/>
        </w:tabs>
        <w:spacing w:line="480" w:lineRule="auto"/>
        <w:ind w:left="720"/>
        <w:rPr>
          <w:rFonts w:ascii="Times New Roman" w:hAnsi="Times New Roman"/>
          <w:sz w:val="24"/>
          <w:szCs w:val="24"/>
        </w:rPr>
      </w:pPr>
      <w:r>
        <w:rPr>
          <w:rFonts w:ascii="Times New Roman" w:hAnsi="Times New Roman"/>
          <w:sz w:val="24"/>
          <w:szCs w:val="24"/>
        </w:rPr>
        <w:t xml:space="preserve">D-SNAP </w:t>
      </w:r>
      <w:r w:rsidR="00C719BD">
        <w:rPr>
          <w:rFonts w:ascii="Times New Roman" w:hAnsi="Times New Roman"/>
          <w:sz w:val="24"/>
          <w:szCs w:val="24"/>
        </w:rPr>
        <w:t xml:space="preserve">offers a one-month maximum benefit for household size and provides for streamlined household certification and benefit issuance, to speed assistance to disaster victims and reduce the administrative burdens on State agencies operating in a post-disaster environment.  D-SNAP </w:t>
      </w:r>
      <w:r>
        <w:rPr>
          <w:rFonts w:ascii="Times New Roman" w:hAnsi="Times New Roman"/>
          <w:sz w:val="24"/>
          <w:szCs w:val="24"/>
        </w:rPr>
        <w:t xml:space="preserve">differs from the regular </w:t>
      </w:r>
      <w:r w:rsidR="00C719BD">
        <w:rPr>
          <w:rFonts w:ascii="Times New Roman" w:hAnsi="Times New Roman"/>
          <w:sz w:val="24"/>
          <w:szCs w:val="24"/>
        </w:rPr>
        <w:t xml:space="preserve">SNAP by </w:t>
      </w:r>
      <w:r>
        <w:rPr>
          <w:rFonts w:ascii="Times New Roman" w:hAnsi="Times New Roman"/>
          <w:sz w:val="24"/>
          <w:szCs w:val="24"/>
        </w:rPr>
        <w:t>tak</w:t>
      </w:r>
      <w:r w:rsidR="00C719BD">
        <w:rPr>
          <w:rFonts w:ascii="Times New Roman" w:hAnsi="Times New Roman"/>
          <w:sz w:val="24"/>
          <w:szCs w:val="24"/>
        </w:rPr>
        <w:t xml:space="preserve">ing </w:t>
      </w:r>
      <w:r>
        <w:rPr>
          <w:rFonts w:ascii="Times New Roman" w:hAnsi="Times New Roman"/>
          <w:sz w:val="24"/>
          <w:szCs w:val="24"/>
        </w:rPr>
        <w:t>into account disaster-related expenses in determining eligibility</w:t>
      </w:r>
      <w:r w:rsidR="00C719BD">
        <w:rPr>
          <w:rFonts w:ascii="Times New Roman" w:hAnsi="Times New Roman"/>
          <w:sz w:val="24"/>
          <w:szCs w:val="24"/>
        </w:rPr>
        <w:t xml:space="preserve">, and using less stringent rules related to </w:t>
      </w:r>
      <w:r>
        <w:rPr>
          <w:rFonts w:ascii="Times New Roman" w:hAnsi="Times New Roman"/>
          <w:sz w:val="24"/>
          <w:szCs w:val="24"/>
        </w:rPr>
        <w:t>compliance with work requirements, non-citizen eligibility</w:t>
      </w:r>
      <w:r w:rsidR="00C719BD">
        <w:rPr>
          <w:rFonts w:ascii="Times New Roman" w:hAnsi="Times New Roman"/>
          <w:sz w:val="24"/>
          <w:szCs w:val="24"/>
        </w:rPr>
        <w:t xml:space="preserve">, </w:t>
      </w:r>
      <w:r>
        <w:rPr>
          <w:rFonts w:ascii="Times New Roman" w:hAnsi="Times New Roman"/>
          <w:sz w:val="24"/>
          <w:szCs w:val="24"/>
        </w:rPr>
        <w:t>and student status</w:t>
      </w:r>
      <w:r w:rsidR="00C719BD">
        <w:rPr>
          <w:rFonts w:ascii="Times New Roman" w:hAnsi="Times New Roman"/>
          <w:sz w:val="24"/>
          <w:szCs w:val="24"/>
        </w:rPr>
        <w:t xml:space="preserve">.  </w:t>
      </w:r>
      <w:r>
        <w:rPr>
          <w:rFonts w:ascii="Times New Roman" w:hAnsi="Times New Roman"/>
          <w:sz w:val="24"/>
          <w:szCs w:val="24"/>
        </w:rPr>
        <w:t xml:space="preserve">In addition to </w:t>
      </w:r>
      <w:r w:rsidR="00C719BD">
        <w:rPr>
          <w:rFonts w:ascii="Times New Roman" w:hAnsi="Times New Roman"/>
          <w:sz w:val="24"/>
          <w:szCs w:val="24"/>
        </w:rPr>
        <w:t xml:space="preserve">serving newly-eligible households, </w:t>
      </w:r>
      <w:r w:rsidR="00C14400">
        <w:rPr>
          <w:rFonts w:ascii="Times New Roman" w:hAnsi="Times New Roman"/>
          <w:sz w:val="24"/>
          <w:szCs w:val="24"/>
        </w:rPr>
        <w:t xml:space="preserve">D-SNAP </w:t>
      </w:r>
      <w:r w:rsidR="00C719BD">
        <w:rPr>
          <w:rFonts w:ascii="Times New Roman" w:hAnsi="Times New Roman"/>
          <w:sz w:val="24"/>
          <w:szCs w:val="24"/>
        </w:rPr>
        <w:t xml:space="preserve">often </w:t>
      </w:r>
      <w:r w:rsidR="00C14400">
        <w:rPr>
          <w:rFonts w:ascii="Times New Roman" w:hAnsi="Times New Roman"/>
          <w:sz w:val="24"/>
          <w:szCs w:val="24"/>
        </w:rPr>
        <w:t xml:space="preserve">provides additional </w:t>
      </w:r>
      <w:r w:rsidR="00C719BD">
        <w:rPr>
          <w:rFonts w:ascii="Times New Roman" w:hAnsi="Times New Roman"/>
          <w:sz w:val="24"/>
          <w:szCs w:val="24"/>
        </w:rPr>
        <w:t xml:space="preserve">supplemental </w:t>
      </w:r>
      <w:r w:rsidR="00C14400">
        <w:rPr>
          <w:rFonts w:ascii="Times New Roman" w:hAnsi="Times New Roman"/>
          <w:sz w:val="24"/>
          <w:szCs w:val="24"/>
        </w:rPr>
        <w:t xml:space="preserve">benefits to currently participating households to replace food lost as the result of the disaster. </w:t>
      </w:r>
    </w:p>
    <w:p w:rsidR="004E17D0" w:rsidRDefault="00E57502" w:rsidP="002C2858">
      <w:pPr>
        <w:pStyle w:val="bodytextblack"/>
        <w:tabs>
          <w:tab w:val="left" w:pos="720"/>
        </w:tabs>
        <w:spacing w:line="480" w:lineRule="auto"/>
        <w:ind w:left="720"/>
        <w:rPr>
          <w:szCs w:val="24"/>
        </w:rPr>
      </w:pPr>
      <w:r w:rsidRPr="002C2858">
        <w:rPr>
          <w:rFonts w:ascii="Times New Roman" w:hAnsi="Times New Roman"/>
          <w:sz w:val="24"/>
          <w:szCs w:val="24"/>
        </w:rPr>
        <w:t xml:space="preserve">This information collection </w:t>
      </w:r>
      <w:r w:rsidR="00C719BD">
        <w:rPr>
          <w:rFonts w:ascii="Times New Roman" w:hAnsi="Times New Roman"/>
          <w:sz w:val="24"/>
          <w:szCs w:val="24"/>
        </w:rPr>
        <w:t xml:space="preserve">(OMB No. 0584-0336) </w:t>
      </w:r>
      <w:r w:rsidRPr="002C2858">
        <w:rPr>
          <w:rFonts w:ascii="Times New Roman" w:hAnsi="Times New Roman"/>
          <w:sz w:val="24"/>
          <w:szCs w:val="24"/>
        </w:rPr>
        <w:t xml:space="preserve">is necessary </w:t>
      </w:r>
      <w:r w:rsidR="001A0345" w:rsidRPr="002C2858">
        <w:rPr>
          <w:rFonts w:ascii="Times New Roman" w:hAnsi="Times New Roman"/>
          <w:sz w:val="24"/>
          <w:szCs w:val="24"/>
        </w:rPr>
        <w:t xml:space="preserve">to provide </w:t>
      </w:r>
      <w:r w:rsidR="00C719BD">
        <w:rPr>
          <w:rFonts w:ascii="Times New Roman" w:hAnsi="Times New Roman"/>
          <w:sz w:val="24"/>
          <w:szCs w:val="24"/>
        </w:rPr>
        <w:t xml:space="preserve">FNS </w:t>
      </w:r>
      <w:r w:rsidR="001A0345" w:rsidRPr="002C2858">
        <w:rPr>
          <w:rFonts w:ascii="Times New Roman" w:hAnsi="Times New Roman"/>
          <w:sz w:val="24"/>
          <w:szCs w:val="24"/>
        </w:rPr>
        <w:t xml:space="preserve">with the information to determine whether </w:t>
      </w:r>
      <w:r w:rsidR="00C719BD">
        <w:rPr>
          <w:rFonts w:ascii="Times New Roman" w:hAnsi="Times New Roman"/>
          <w:sz w:val="24"/>
          <w:szCs w:val="24"/>
        </w:rPr>
        <w:t xml:space="preserve">to </w:t>
      </w:r>
      <w:r w:rsidR="001A0345" w:rsidRPr="002C2858">
        <w:rPr>
          <w:rFonts w:ascii="Times New Roman" w:hAnsi="Times New Roman"/>
          <w:sz w:val="24"/>
          <w:szCs w:val="24"/>
        </w:rPr>
        <w:t xml:space="preserve">approve </w:t>
      </w:r>
      <w:r w:rsidR="00C719BD">
        <w:rPr>
          <w:rFonts w:ascii="Times New Roman" w:hAnsi="Times New Roman"/>
          <w:sz w:val="24"/>
          <w:szCs w:val="24"/>
        </w:rPr>
        <w:t xml:space="preserve">individual </w:t>
      </w:r>
      <w:r w:rsidR="001A0345" w:rsidRPr="002C2858">
        <w:rPr>
          <w:rFonts w:ascii="Times New Roman" w:hAnsi="Times New Roman"/>
          <w:sz w:val="24"/>
          <w:szCs w:val="24"/>
        </w:rPr>
        <w:t xml:space="preserve">requests from State agencies to operate a D-SNAP. </w:t>
      </w:r>
      <w:r w:rsidR="002C2858" w:rsidRPr="002C2858">
        <w:rPr>
          <w:rFonts w:ascii="Times New Roman" w:hAnsi="Times New Roman"/>
          <w:sz w:val="24"/>
          <w:szCs w:val="24"/>
        </w:rPr>
        <w:t xml:space="preserve">  The authority to operate D-SNAP is based on </w:t>
      </w:r>
      <w:r w:rsidR="001F14F7">
        <w:rPr>
          <w:rFonts w:ascii="Times New Roman" w:hAnsi="Times New Roman"/>
          <w:sz w:val="24"/>
          <w:szCs w:val="24"/>
        </w:rPr>
        <w:t>multiple</w:t>
      </w:r>
      <w:r w:rsidR="001F14F7" w:rsidRPr="002C2858">
        <w:rPr>
          <w:rFonts w:ascii="Times New Roman" w:hAnsi="Times New Roman"/>
          <w:sz w:val="24"/>
          <w:szCs w:val="24"/>
        </w:rPr>
        <w:t xml:space="preserve"> </w:t>
      </w:r>
      <w:r w:rsidR="002C2858" w:rsidRPr="002C2858">
        <w:rPr>
          <w:rFonts w:ascii="Times New Roman" w:hAnsi="Times New Roman"/>
          <w:sz w:val="24"/>
          <w:szCs w:val="24"/>
        </w:rPr>
        <w:t xml:space="preserve">legislative sources. </w:t>
      </w:r>
      <w:r w:rsidRPr="002C2858">
        <w:rPr>
          <w:rFonts w:ascii="Times New Roman" w:hAnsi="Times New Roman"/>
          <w:sz w:val="24"/>
          <w:szCs w:val="24"/>
        </w:rPr>
        <w:t xml:space="preserve"> </w:t>
      </w:r>
      <w:r w:rsidR="003A3AF6" w:rsidRPr="002C2858">
        <w:rPr>
          <w:rFonts w:ascii="Times New Roman" w:hAnsi="Times New Roman"/>
          <w:sz w:val="24"/>
          <w:szCs w:val="24"/>
        </w:rPr>
        <w:t xml:space="preserve">Section 5(h) of the </w:t>
      </w:r>
      <w:r w:rsidR="00B166E8" w:rsidRPr="002C2858">
        <w:rPr>
          <w:rFonts w:ascii="Times New Roman" w:hAnsi="Times New Roman"/>
          <w:sz w:val="24"/>
          <w:szCs w:val="24"/>
        </w:rPr>
        <w:t xml:space="preserve">Food and Nutrition Act of 2008, formerly the </w:t>
      </w:r>
      <w:r w:rsidR="003A3AF6" w:rsidRPr="002C2858">
        <w:rPr>
          <w:rFonts w:ascii="Times New Roman" w:hAnsi="Times New Roman"/>
          <w:sz w:val="24"/>
          <w:szCs w:val="24"/>
        </w:rPr>
        <w:t xml:space="preserve">Food Stamp </w:t>
      </w:r>
      <w:r w:rsidR="003A3AF6" w:rsidRPr="002C2858">
        <w:rPr>
          <w:rFonts w:ascii="Times New Roman" w:hAnsi="Times New Roman"/>
          <w:sz w:val="24"/>
          <w:szCs w:val="24"/>
        </w:rPr>
        <w:lastRenderedPageBreak/>
        <w:t>Act of 1977</w:t>
      </w:r>
      <w:r w:rsidR="00B166E8" w:rsidRPr="002C2858">
        <w:rPr>
          <w:rFonts w:ascii="Times New Roman" w:hAnsi="Times New Roman"/>
          <w:sz w:val="24"/>
          <w:szCs w:val="24"/>
        </w:rPr>
        <w:t>, as amended</w:t>
      </w:r>
      <w:r w:rsidR="007F5D88">
        <w:rPr>
          <w:rFonts w:ascii="Times New Roman" w:hAnsi="Times New Roman"/>
          <w:sz w:val="24"/>
          <w:szCs w:val="24"/>
        </w:rPr>
        <w:t xml:space="preserve"> </w:t>
      </w:r>
      <w:r w:rsidR="003A3AF6" w:rsidRPr="002C2858">
        <w:rPr>
          <w:rFonts w:ascii="Times New Roman" w:hAnsi="Times New Roman"/>
          <w:sz w:val="24"/>
          <w:szCs w:val="24"/>
        </w:rPr>
        <w:t xml:space="preserve">and </w:t>
      </w:r>
      <w:r w:rsidR="00450D8C" w:rsidRPr="00450D8C">
        <w:rPr>
          <w:rFonts w:ascii="Times New Roman" w:hAnsi="Times New Roman"/>
          <w:sz w:val="24"/>
          <w:szCs w:val="24"/>
        </w:rPr>
        <w:t>The Disaster Relief and Emergency Assistance Act of 1974, as amended by the Robert T. Stafford Disaster Relief and Assistance Act in 1988</w:t>
      </w:r>
      <w:r w:rsidR="00DC024C">
        <w:rPr>
          <w:rFonts w:ascii="Times New Roman" w:hAnsi="Times New Roman"/>
          <w:sz w:val="24"/>
          <w:szCs w:val="24"/>
        </w:rPr>
        <w:t>,</w:t>
      </w:r>
      <w:r w:rsidR="00450D8C" w:rsidRPr="00450D8C">
        <w:rPr>
          <w:rFonts w:ascii="Times New Roman" w:hAnsi="Times New Roman"/>
          <w:sz w:val="24"/>
          <w:szCs w:val="24"/>
        </w:rPr>
        <w:t xml:space="preserve"> </w:t>
      </w:r>
      <w:r w:rsidR="00C719BD">
        <w:rPr>
          <w:rFonts w:ascii="Times New Roman" w:hAnsi="Times New Roman"/>
          <w:sz w:val="24"/>
          <w:szCs w:val="24"/>
        </w:rPr>
        <w:t xml:space="preserve">authorize </w:t>
      </w:r>
      <w:r w:rsidR="00EC1929" w:rsidRPr="002C2858">
        <w:rPr>
          <w:rFonts w:ascii="Times New Roman" w:hAnsi="Times New Roman"/>
          <w:sz w:val="24"/>
          <w:szCs w:val="24"/>
        </w:rPr>
        <w:t>the Secretary</w:t>
      </w:r>
      <w:r w:rsidR="001A0345" w:rsidRPr="002C2858">
        <w:rPr>
          <w:rFonts w:ascii="Times New Roman" w:hAnsi="Times New Roman"/>
          <w:sz w:val="24"/>
          <w:szCs w:val="24"/>
        </w:rPr>
        <w:t xml:space="preserve"> of Agriculture </w:t>
      </w:r>
      <w:r w:rsidR="003A3AF6" w:rsidRPr="002C2858">
        <w:rPr>
          <w:rFonts w:ascii="Times New Roman" w:hAnsi="Times New Roman"/>
          <w:sz w:val="24"/>
          <w:szCs w:val="24"/>
        </w:rPr>
        <w:t xml:space="preserve">to establish temporary emergency standards of eligibility for victims of a disaster if the commercial channels of food distribution have been disrupted and </w:t>
      </w:r>
      <w:r w:rsidR="003610CF">
        <w:rPr>
          <w:rFonts w:ascii="Times New Roman" w:hAnsi="Times New Roman"/>
          <w:sz w:val="24"/>
          <w:szCs w:val="24"/>
        </w:rPr>
        <w:t xml:space="preserve">subsequently </w:t>
      </w:r>
      <w:r w:rsidR="003A3AF6" w:rsidRPr="002C2858">
        <w:rPr>
          <w:rFonts w:ascii="Times New Roman" w:hAnsi="Times New Roman"/>
          <w:sz w:val="24"/>
          <w:szCs w:val="24"/>
        </w:rPr>
        <w:t>restored.</w:t>
      </w:r>
      <w:r w:rsidR="001A0345">
        <w:rPr>
          <w:szCs w:val="24"/>
        </w:rPr>
        <w:t xml:space="preserve">  </w:t>
      </w:r>
    </w:p>
    <w:p w:rsidR="003A3AF6" w:rsidRPr="008C55CA" w:rsidRDefault="003A3AF6" w:rsidP="008C55CA">
      <w:pPr>
        <w:pStyle w:val="bodytextblack"/>
        <w:tabs>
          <w:tab w:val="left" w:pos="720"/>
        </w:tabs>
        <w:spacing w:line="480" w:lineRule="auto"/>
        <w:ind w:left="720"/>
        <w:rPr>
          <w:rFonts w:ascii="Times New Roman" w:hAnsi="Times New Roman"/>
          <w:sz w:val="24"/>
          <w:szCs w:val="24"/>
        </w:rPr>
      </w:pPr>
      <w:r w:rsidRPr="008C55CA">
        <w:rPr>
          <w:rFonts w:ascii="Times New Roman" w:hAnsi="Times New Roman"/>
          <w:sz w:val="24"/>
          <w:szCs w:val="24"/>
        </w:rPr>
        <w:t xml:space="preserve">Section 11(e)(14) of the Food </w:t>
      </w:r>
      <w:r w:rsidR="00781014" w:rsidRPr="008C55CA">
        <w:rPr>
          <w:rFonts w:ascii="Times New Roman" w:hAnsi="Times New Roman"/>
          <w:sz w:val="24"/>
          <w:szCs w:val="24"/>
        </w:rPr>
        <w:t>and Nutrition Act</w:t>
      </w:r>
      <w:r w:rsidRPr="008C55CA">
        <w:rPr>
          <w:rFonts w:ascii="Times New Roman" w:hAnsi="Times New Roman"/>
          <w:sz w:val="24"/>
          <w:szCs w:val="24"/>
        </w:rPr>
        <w:t xml:space="preserve"> authorizes the Secretary to require State agencies to develop a plan of operation that includes</w:t>
      </w:r>
      <w:r w:rsidR="009F4F1B">
        <w:rPr>
          <w:rFonts w:ascii="Times New Roman" w:hAnsi="Times New Roman"/>
          <w:sz w:val="24"/>
          <w:szCs w:val="24"/>
        </w:rPr>
        <w:t xml:space="preserve"> </w:t>
      </w:r>
      <w:r w:rsidRPr="008C55CA">
        <w:rPr>
          <w:rFonts w:ascii="Times New Roman" w:hAnsi="Times New Roman"/>
          <w:sz w:val="24"/>
          <w:szCs w:val="24"/>
        </w:rPr>
        <w:t xml:space="preserve">procedures for informing the public about </w:t>
      </w:r>
      <w:r w:rsidR="00A946DF" w:rsidRPr="008C55CA">
        <w:rPr>
          <w:rFonts w:ascii="Times New Roman" w:hAnsi="Times New Roman"/>
          <w:sz w:val="24"/>
          <w:szCs w:val="24"/>
        </w:rPr>
        <w:t>D</w:t>
      </w:r>
      <w:r w:rsidR="003A5969" w:rsidRPr="008C55CA">
        <w:rPr>
          <w:rFonts w:ascii="Times New Roman" w:hAnsi="Times New Roman"/>
          <w:sz w:val="24"/>
          <w:szCs w:val="24"/>
        </w:rPr>
        <w:t>-</w:t>
      </w:r>
      <w:r w:rsidR="00824AF8" w:rsidRPr="008C55CA">
        <w:rPr>
          <w:rFonts w:ascii="Times New Roman" w:hAnsi="Times New Roman"/>
          <w:sz w:val="24"/>
          <w:szCs w:val="24"/>
        </w:rPr>
        <w:t>SNAP</w:t>
      </w:r>
      <w:r w:rsidR="00033B74">
        <w:rPr>
          <w:rFonts w:ascii="Times New Roman" w:hAnsi="Times New Roman"/>
          <w:sz w:val="24"/>
          <w:szCs w:val="24"/>
        </w:rPr>
        <w:t>, including</w:t>
      </w:r>
      <w:r w:rsidRPr="008C55CA">
        <w:rPr>
          <w:rFonts w:ascii="Times New Roman" w:hAnsi="Times New Roman"/>
          <w:sz w:val="24"/>
          <w:szCs w:val="24"/>
        </w:rPr>
        <w:t xml:space="preserve"> how to apply for benefits, coordinat</w:t>
      </w:r>
      <w:r w:rsidR="003610CF">
        <w:rPr>
          <w:rFonts w:ascii="Times New Roman" w:hAnsi="Times New Roman"/>
          <w:sz w:val="24"/>
          <w:szCs w:val="24"/>
        </w:rPr>
        <w:t>ing</w:t>
      </w:r>
      <w:r w:rsidRPr="008C55CA">
        <w:rPr>
          <w:rFonts w:ascii="Times New Roman" w:hAnsi="Times New Roman"/>
          <w:sz w:val="24"/>
          <w:szCs w:val="24"/>
        </w:rPr>
        <w:t xml:space="preserve"> with Federal and private disaster relief agencies and local government officials</w:t>
      </w:r>
      <w:r w:rsidR="009F4F1B">
        <w:rPr>
          <w:rFonts w:ascii="Times New Roman" w:hAnsi="Times New Roman"/>
          <w:sz w:val="24"/>
          <w:szCs w:val="24"/>
        </w:rPr>
        <w:t xml:space="preserve">, </w:t>
      </w:r>
      <w:r w:rsidR="003610CF">
        <w:rPr>
          <w:rFonts w:ascii="Times New Roman" w:hAnsi="Times New Roman"/>
          <w:sz w:val="24"/>
          <w:szCs w:val="24"/>
        </w:rPr>
        <w:t xml:space="preserve">developing </w:t>
      </w:r>
      <w:r w:rsidRPr="008C55CA">
        <w:rPr>
          <w:rFonts w:ascii="Times New Roman" w:hAnsi="Times New Roman"/>
          <w:sz w:val="24"/>
          <w:szCs w:val="24"/>
        </w:rPr>
        <w:t>application procedures</w:t>
      </w:r>
      <w:r w:rsidR="00F32AAB">
        <w:rPr>
          <w:rFonts w:ascii="Times New Roman" w:hAnsi="Times New Roman"/>
          <w:sz w:val="24"/>
          <w:szCs w:val="24"/>
        </w:rPr>
        <w:t xml:space="preserve"> to  reduce </w:t>
      </w:r>
      <w:r w:rsidRPr="008C55CA">
        <w:rPr>
          <w:rFonts w:ascii="Times New Roman" w:hAnsi="Times New Roman"/>
          <w:sz w:val="24"/>
          <w:szCs w:val="24"/>
        </w:rPr>
        <w:t xml:space="preserve"> hardship and inconvenience and deter fraud, and instruct</w:t>
      </w:r>
      <w:r w:rsidR="003610CF">
        <w:rPr>
          <w:rFonts w:ascii="Times New Roman" w:hAnsi="Times New Roman"/>
          <w:sz w:val="24"/>
          <w:szCs w:val="24"/>
        </w:rPr>
        <w:t>ing</w:t>
      </w:r>
      <w:r w:rsidRPr="008C55CA">
        <w:rPr>
          <w:rFonts w:ascii="Times New Roman" w:hAnsi="Times New Roman"/>
          <w:sz w:val="24"/>
          <w:szCs w:val="24"/>
        </w:rPr>
        <w:t xml:space="preserve"> caseworkers in procedures for implementing and operating the </w:t>
      </w:r>
      <w:r w:rsidR="00A946DF" w:rsidRPr="008C55CA">
        <w:rPr>
          <w:rFonts w:ascii="Times New Roman" w:hAnsi="Times New Roman"/>
          <w:sz w:val="24"/>
          <w:szCs w:val="24"/>
        </w:rPr>
        <w:t>D</w:t>
      </w:r>
      <w:r w:rsidR="001F14F7">
        <w:rPr>
          <w:rFonts w:ascii="Times New Roman" w:hAnsi="Times New Roman"/>
          <w:sz w:val="24"/>
          <w:szCs w:val="24"/>
        </w:rPr>
        <w:t>-</w:t>
      </w:r>
      <w:r w:rsidR="00824AF8" w:rsidRPr="008C55CA">
        <w:rPr>
          <w:rFonts w:ascii="Times New Roman" w:hAnsi="Times New Roman"/>
          <w:sz w:val="24"/>
          <w:szCs w:val="24"/>
        </w:rPr>
        <w:t>SNAP</w:t>
      </w:r>
      <w:r w:rsidRPr="008C55CA">
        <w:rPr>
          <w:rFonts w:ascii="Times New Roman" w:hAnsi="Times New Roman"/>
          <w:sz w:val="24"/>
          <w:szCs w:val="24"/>
        </w:rPr>
        <w:t>.</w:t>
      </w:r>
    </w:p>
    <w:p w:rsidR="003A3AF6" w:rsidRDefault="003A3AF6" w:rsidP="002944A6">
      <w:pPr>
        <w:tabs>
          <w:tab w:val="left" w:pos="-720"/>
          <w:tab w:val="left" w:pos="0"/>
        </w:tabs>
        <w:suppressAutoHyphens/>
        <w:spacing w:line="480" w:lineRule="auto"/>
        <w:ind w:left="720" w:right="-720" w:hanging="720"/>
        <w:rPr>
          <w:rFonts w:ascii="Times New Roman" w:hAnsi="Times New Roman"/>
        </w:rPr>
      </w:pPr>
      <w:r>
        <w:rPr>
          <w:rFonts w:ascii="Times New Roman" w:hAnsi="Times New Roman"/>
        </w:rPr>
        <w:tab/>
      </w:r>
      <w:r w:rsidR="00DD74B7">
        <w:rPr>
          <w:rFonts w:ascii="Times New Roman" w:hAnsi="Times New Roman"/>
        </w:rPr>
        <w:t>FNS may authorize State agencies to operate D-SNAPs for</w:t>
      </w:r>
      <w:r>
        <w:rPr>
          <w:rFonts w:ascii="Times New Roman" w:hAnsi="Times New Roman"/>
        </w:rPr>
        <w:t xml:space="preserve"> </w:t>
      </w:r>
      <w:r w:rsidR="003610CF">
        <w:rPr>
          <w:rFonts w:ascii="Times New Roman" w:hAnsi="Times New Roman"/>
        </w:rPr>
        <w:t>P</w:t>
      </w:r>
      <w:r>
        <w:rPr>
          <w:rFonts w:ascii="Times New Roman" w:hAnsi="Times New Roman"/>
        </w:rPr>
        <w:t>residentially</w:t>
      </w:r>
      <w:r w:rsidR="003610CF">
        <w:rPr>
          <w:rFonts w:ascii="Times New Roman" w:hAnsi="Times New Roman"/>
        </w:rPr>
        <w:t>-</w:t>
      </w:r>
      <w:r>
        <w:rPr>
          <w:rFonts w:ascii="Times New Roman" w:hAnsi="Times New Roman"/>
        </w:rPr>
        <w:t>declared disasters provided the President determines that the disaster is "major" in specified areas</w:t>
      </w:r>
      <w:r w:rsidR="00DD74B7">
        <w:rPr>
          <w:rFonts w:ascii="Times New Roman" w:hAnsi="Times New Roman"/>
        </w:rPr>
        <w:t>, t</w:t>
      </w:r>
      <w:r>
        <w:rPr>
          <w:rFonts w:ascii="Times New Roman" w:hAnsi="Times New Roman"/>
        </w:rPr>
        <w:t xml:space="preserve">hat Federal assistance is necessary, and that commercial food outlets are available where households can use </w:t>
      </w:r>
      <w:r w:rsidR="00B6331F">
        <w:rPr>
          <w:rFonts w:ascii="Times New Roman" w:hAnsi="Times New Roman"/>
        </w:rPr>
        <w:t>SNAP benefits</w:t>
      </w:r>
      <w:r>
        <w:rPr>
          <w:rFonts w:ascii="Times New Roman" w:hAnsi="Times New Roman"/>
        </w:rPr>
        <w:t xml:space="preserve"> to purchase adequate amounts of nutritious food. </w:t>
      </w:r>
      <w:r w:rsidR="00DD74B7">
        <w:rPr>
          <w:rFonts w:ascii="Times New Roman" w:hAnsi="Times New Roman"/>
        </w:rPr>
        <w:t xml:space="preserve"> </w:t>
      </w:r>
      <w:r w:rsidR="009F1732">
        <w:rPr>
          <w:rFonts w:ascii="Times New Roman" w:hAnsi="Times New Roman"/>
        </w:rPr>
        <w:t>Pursuant</w:t>
      </w:r>
      <w:r>
        <w:rPr>
          <w:rFonts w:ascii="Times New Roman" w:hAnsi="Times New Roman"/>
        </w:rPr>
        <w:t xml:space="preserve"> to Executive Order 11795</w:t>
      </w:r>
      <w:r w:rsidR="0067191B">
        <w:rPr>
          <w:rFonts w:ascii="Times New Roman" w:hAnsi="Times New Roman"/>
        </w:rPr>
        <w:t xml:space="preserve"> </w:t>
      </w:r>
      <w:r w:rsidR="00426CE2">
        <w:rPr>
          <w:rFonts w:ascii="Times New Roman" w:hAnsi="Times New Roman"/>
        </w:rPr>
        <w:t xml:space="preserve">and 7 CFR 280, </w:t>
      </w:r>
      <w:r>
        <w:rPr>
          <w:rFonts w:ascii="Times New Roman" w:hAnsi="Times New Roman"/>
        </w:rPr>
        <w:t xml:space="preserve">the Secretary of Agriculture is authorized to determine whether households residing within a "major disaster" area are in need of </w:t>
      </w:r>
      <w:r w:rsidR="00B6331F">
        <w:rPr>
          <w:rFonts w:ascii="Times New Roman" w:hAnsi="Times New Roman"/>
        </w:rPr>
        <w:t>SNAP</w:t>
      </w:r>
      <w:r>
        <w:rPr>
          <w:rFonts w:ascii="Times New Roman" w:hAnsi="Times New Roman"/>
        </w:rPr>
        <w:t xml:space="preserve"> assistance and if the disaster-affected households would be better served through the operation of the </w:t>
      </w:r>
      <w:r w:rsidR="00A946DF">
        <w:rPr>
          <w:rFonts w:ascii="Times New Roman" w:hAnsi="Times New Roman"/>
        </w:rPr>
        <w:t>D</w:t>
      </w:r>
      <w:r w:rsidR="009603A6">
        <w:rPr>
          <w:rFonts w:ascii="Times New Roman" w:hAnsi="Times New Roman"/>
        </w:rPr>
        <w:t>-</w:t>
      </w:r>
      <w:r w:rsidR="00824AF8">
        <w:rPr>
          <w:rFonts w:ascii="Times New Roman" w:hAnsi="Times New Roman"/>
        </w:rPr>
        <w:t>SNAP</w:t>
      </w:r>
      <w:r>
        <w:rPr>
          <w:rFonts w:ascii="Times New Roman" w:hAnsi="Times New Roman"/>
        </w:rPr>
        <w:t xml:space="preserve"> rather than the regular </w:t>
      </w:r>
      <w:r w:rsidR="00824AF8">
        <w:rPr>
          <w:rFonts w:ascii="Times New Roman" w:hAnsi="Times New Roman"/>
        </w:rPr>
        <w:t>S</w:t>
      </w:r>
      <w:r w:rsidR="003610CF">
        <w:rPr>
          <w:rFonts w:ascii="Times New Roman" w:hAnsi="Times New Roman"/>
        </w:rPr>
        <w:t xml:space="preserve">NAP.  </w:t>
      </w:r>
    </w:p>
    <w:p w:rsidR="003A3AF6" w:rsidRDefault="003A3AF6">
      <w:pPr>
        <w:tabs>
          <w:tab w:val="left" w:pos="-720"/>
          <w:tab w:val="left" w:pos="0"/>
        </w:tabs>
        <w:suppressAutoHyphens/>
        <w:ind w:left="720" w:right="-720" w:hanging="720"/>
        <w:rPr>
          <w:rFonts w:ascii="Times New Roman" w:hAnsi="Times New Roman"/>
        </w:rPr>
      </w:pPr>
      <w:r>
        <w:rPr>
          <w:rFonts w:ascii="Times New Roman" w:hAnsi="Times New Roman"/>
        </w:rPr>
        <w:tab/>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igh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b/>
          <w:u w:val="single"/>
        </w:rPr>
        <w:t>Indicate how, by whom and for what purpose the information will be used</w:t>
      </w:r>
      <w:r>
        <w:rPr>
          <w:rFonts w:ascii="Times New Roman" w:hAnsi="Times New Roman"/>
        </w:rPr>
        <w:t xml:space="preserve">. </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rPr>
      </w:pPr>
    </w:p>
    <w:p w:rsidR="00E46E1A" w:rsidRDefault="003A3AF6" w:rsidP="00E46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480" w:lineRule="auto"/>
        <w:ind w:left="720" w:right="-720" w:hanging="720"/>
      </w:pPr>
      <w:r>
        <w:rPr>
          <w:rFonts w:ascii="Times New Roman" w:hAnsi="Times New Roman"/>
        </w:rPr>
        <w:tab/>
        <w:t>This information collection concerns information</w:t>
      </w:r>
      <w:r w:rsidR="002C5F92">
        <w:rPr>
          <w:rFonts w:ascii="Times New Roman" w:hAnsi="Times New Roman"/>
        </w:rPr>
        <w:t xml:space="preserve"> that</w:t>
      </w:r>
      <w:r>
        <w:rPr>
          <w:rFonts w:ascii="Times New Roman" w:hAnsi="Times New Roman"/>
        </w:rPr>
        <w:t xml:space="preserve"> State agencies </w:t>
      </w:r>
      <w:r w:rsidR="002C5F92">
        <w:rPr>
          <w:rFonts w:ascii="Times New Roman" w:hAnsi="Times New Roman"/>
        </w:rPr>
        <w:t xml:space="preserve">are required to provide </w:t>
      </w:r>
      <w:r w:rsidR="003610CF">
        <w:rPr>
          <w:rFonts w:ascii="Times New Roman" w:hAnsi="Times New Roman"/>
        </w:rPr>
        <w:t xml:space="preserve">to FNS in support of a </w:t>
      </w:r>
      <w:r w:rsidR="002C5F92">
        <w:rPr>
          <w:rFonts w:ascii="Times New Roman" w:hAnsi="Times New Roman"/>
        </w:rPr>
        <w:t xml:space="preserve">request </w:t>
      </w:r>
      <w:r w:rsidR="003610CF">
        <w:rPr>
          <w:rFonts w:ascii="Times New Roman" w:hAnsi="Times New Roman"/>
        </w:rPr>
        <w:t>for a</w:t>
      </w:r>
      <w:r w:rsidR="002C5F92">
        <w:rPr>
          <w:rFonts w:ascii="Times New Roman" w:hAnsi="Times New Roman"/>
        </w:rPr>
        <w:t xml:space="preserve">uthority </w:t>
      </w:r>
      <w:r>
        <w:rPr>
          <w:rFonts w:ascii="Times New Roman" w:hAnsi="Times New Roman"/>
        </w:rPr>
        <w:t xml:space="preserve">to operate </w:t>
      </w:r>
      <w:r w:rsidR="003610CF">
        <w:rPr>
          <w:rFonts w:ascii="Times New Roman" w:hAnsi="Times New Roman"/>
        </w:rPr>
        <w:t xml:space="preserve">a </w:t>
      </w:r>
      <w:r w:rsidR="00A946DF">
        <w:rPr>
          <w:rFonts w:ascii="Times New Roman" w:hAnsi="Times New Roman"/>
        </w:rPr>
        <w:t>D</w:t>
      </w:r>
      <w:r w:rsidR="003A5969">
        <w:rPr>
          <w:rFonts w:ascii="Times New Roman" w:hAnsi="Times New Roman"/>
        </w:rPr>
        <w:t>-</w:t>
      </w:r>
      <w:r w:rsidR="00824AF8" w:rsidRPr="00695518">
        <w:rPr>
          <w:rFonts w:ascii="Times New Roman" w:hAnsi="Times New Roman"/>
        </w:rPr>
        <w:t>SNAP</w:t>
      </w:r>
      <w:r w:rsidRPr="00695518">
        <w:rPr>
          <w:rFonts w:ascii="Times New Roman" w:hAnsi="Times New Roman"/>
        </w:rPr>
        <w:t xml:space="preserve">.   </w:t>
      </w:r>
      <w:r w:rsidR="00695518" w:rsidRPr="00695518">
        <w:rPr>
          <w:rFonts w:ascii="Times New Roman" w:hAnsi="Times New Roman"/>
        </w:rPr>
        <w:t xml:space="preserve">A State agency request to </w:t>
      </w:r>
      <w:r w:rsidR="003610CF">
        <w:rPr>
          <w:rFonts w:ascii="Times New Roman" w:hAnsi="Times New Roman"/>
        </w:rPr>
        <w:t xml:space="preserve">FNS to </w:t>
      </w:r>
      <w:r w:rsidR="00695518" w:rsidRPr="00695518">
        <w:rPr>
          <w:rFonts w:ascii="Times New Roman" w:hAnsi="Times New Roman"/>
        </w:rPr>
        <w:t>operate a D-SNAP must contain the following information:  procedures for prompt</w:t>
      </w:r>
      <w:r w:rsidR="003610CF">
        <w:rPr>
          <w:rFonts w:ascii="Times New Roman" w:hAnsi="Times New Roman"/>
        </w:rPr>
        <w:t xml:space="preserve">ly </w:t>
      </w:r>
      <w:r w:rsidR="00695518" w:rsidRPr="00695518">
        <w:rPr>
          <w:rFonts w:ascii="Times New Roman" w:hAnsi="Times New Roman"/>
        </w:rPr>
        <w:t>assess</w:t>
      </w:r>
      <w:r w:rsidR="003610CF">
        <w:rPr>
          <w:rFonts w:ascii="Times New Roman" w:hAnsi="Times New Roman"/>
        </w:rPr>
        <w:t xml:space="preserve">ing </w:t>
      </w:r>
      <w:r w:rsidR="00695518" w:rsidRPr="00695518">
        <w:rPr>
          <w:rFonts w:ascii="Times New Roman" w:hAnsi="Times New Roman"/>
        </w:rPr>
        <w:lastRenderedPageBreak/>
        <w:t>the geographical limits of the areas in need of D-SNAP assistance; household responsibilities; a description of post-disaster reviews; procedures to inform both the general public and households already certified under the disaster program if the operation of the D-SNAP is extended; procedures to issue benefits during a disaster; and procedures to coordinate with other State agencies to obtain additional workers and other personnel if needed to supplement the State agency's regular staff.</w:t>
      </w:r>
      <w:r w:rsidR="00F32AAB">
        <w:rPr>
          <w:rFonts w:ascii="Times New Roman" w:hAnsi="Times New Roman"/>
        </w:rPr>
        <w:t xml:space="preserve">  The D-SNAP request from the State and the Federal approval provide the legal foundation for issuing food assistance </w:t>
      </w:r>
      <w:r w:rsidR="003610CF">
        <w:rPr>
          <w:rFonts w:ascii="Times New Roman" w:hAnsi="Times New Roman"/>
        </w:rPr>
        <w:t>t</w:t>
      </w:r>
      <w:r w:rsidR="00F32AAB">
        <w:rPr>
          <w:rFonts w:ascii="Times New Roman" w:hAnsi="Times New Roman"/>
        </w:rPr>
        <w:t>o victims of disasters.</w:t>
      </w:r>
      <w:r w:rsidR="00695518">
        <w:t xml:space="preserve">  </w:t>
      </w:r>
    </w:p>
    <w:p w:rsidR="00E46E1A" w:rsidRDefault="00E46E1A" w:rsidP="00E46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480" w:lineRule="auto"/>
        <w:ind w:left="720" w:right="-720" w:hanging="720"/>
        <w:rPr>
          <w:rFonts w:ascii="Times New Roman" w:hAnsi="Times New Roman"/>
        </w:rPr>
      </w:pPr>
    </w:p>
    <w:p w:rsidR="003A3AF6" w:rsidRDefault="003A3AF6" w:rsidP="00695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480" w:lineRule="auto"/>
        <w:ind w:left="720" w:right="-720"/>
        <w:rPr>
          <w:rFonts w:ascii="Times New Roman" w:hAnsi="Times New Roman"/>
        </w:rPr>
      </w:pPr>
      <w:r>
        <w:rPr>
          <w:rFonts w:ascii="Times New Roman" w:hAnsi="Times New Roman"/>
        </w:rPr>
        <w:t xml:space="preserve">The reporting burden related to the certification of households for </w:t>
      </w:r>
      <w:r w:rsidR="00656378">
        <w:rPr>
          <w:rFonts w:ascii="Times New Roman" w:hAnsi="Times New Roman"/>
        </w:rPr>
        <w:t>D-SNAP</w:t>
      </w:r>
      <w:r>
        <w:rPr>
          <w:rFonts w:ascii="Times New Roman" w:hAnsi="Times New Roman"/>
        </w:rPr>
        <w:t xml:space="preserve"> benefits is included in the reporting burden approved under </w:t>
      </w:r>
      <w:r w:rsidR="00907FA5" w:rsidRPr="00907FA5">
        <w:rPr>
          <w:rFonts w:ascii="Times New Roman" w:hAnsi="Times New Roman"/>
        </w:rPr>
        <w:t>Food Stamp Forms:  Applications, Periodic Reporting, Notices</w:t>
      </w:r>
      <w:r w:rsidR="00907FA5">
        <w:rPr>
          <w:rFonts w:ascii="Times New Roman" w:hAnsi="Times New Roman"/>
        </w:rPr>
        <w:t xml:space="preserve"> (</w:t>
      </w:r>
      <w:r>
        <w:rPr>
          <w:rFonts w:ascii="Times New Roman" w:hAnsi="Times New Roman"/>
        </w:rPr>
        <w:t>OMB No. 0584-0064</w:t>
      </w:r>
      <w:r w:rsidR="009B1909">
        <w:rPr>
          <w:rFonts w:ascii="Times New Roman" w:hAnsi="Times New Roman"/>
        </w:rPr>
        <w:t>,</w:t>
      </w:r>
      <w:r w:rsidR="00907FA5">
        <w:rPr>
          <w:rFonts w:ascii="Times New Roman" w:hAnsi="Times New Roman"/>
        </w:rPr>
        <w:t xml:space="preserve"> Expiration Date 12/31/2010) </w:t>
      </w:r>
      <w:r>
        <w:rPr>
          <w:rFonts w:ascii="Times New Roman" w:hAnsi="Times New Roman"/>
        </w:rPr>
        <w:t xml:space="preserve">which concerns all information collection activities related to the certification of participating and applicant households.  </w:t>
      </w:r>
      <w:r w:rsidR="008F7775">
        <w:rPr>
          <w:rFonts w:ascii="Times New Roman" w:hAnsi="Times New Roman"/>
        </w:rPr>
        <w:t xml:space="preserve">Under SNAP regulations, States are responsible for designing their own forms included in </w:t>
      </w:r>
      <w:r w:rsidR="00482E69">
        <w:rPr>
          <w:rFonts w:ascii="Times New Roman" w:hAnsi="Times New Roman"/>
        </w:rPr>
        <w:t xml:space="preserve">the </w:t>
      </w:r>
      <w:r w:rsidR="008F7775">
        <w:rPr>
          <w:rFonts w:ascii="Times New Roman" w:hAnsi="Times New Roman"/>
        </w:rPr>
        <w:t xml:space="preserve">OMB No. </w:t>
      </w:r>
      <w:r w:rsidR="003B3AAE">
        <w:rPr>
          <w:rFonts w:ascii="Times New Roman" w:hAnsi="Times New Roman"/>
        </w:rPr>
        <w:t>0</w:t>
      </w:r>
      <w:r w:rsidR="008F7775">
        <w:rPr>
          <w:rFonts w:ascii="Times New Roman" w:hAnsi="Times New Roman"/>
        </w:rPr>
        <w:t>584-0064</w:t>
      </w:r>
      <w:r w:rsidR="00482E69">
        <w:rPr>
          <w:rFonts w:ascii="Times New Roman" w:hAnsi="Times New Roman"/>
        </w:rPr>
        <w:t xml:space="preserve"> information collection</w:t>
      </w:r>
      <w:r w:rsidR="008F7775">
        <w:rPr>
          <w:rFonts w:ascii="Times New Roman" w:hAnsi="Times New Roman"/>
        </w:rPr>
        <w:t xml:space="preserve">, including </w:t>
      </w:r>
      <w:r w:rsidR="00705F17">
        <w:rPr>
          <w:rFonts w:ascii="Times New Roman" w:hAnsi="Times New Roman"/>
        </w:rPr>
        <w:t xml:space="preserve">the application for D-SNAP assistance used by individual households.  </w:t>
      </w:r>
      <w:r>
        <w:rPr>
          <w:rFonts w:ascii="Times New Roman" w:hAnsi="Times New Roman"/>
        </w:rPr>
        <w:t xml:space="preserve">The information collection and recordkeeping activities related to the issuance of </w:t>
      </w:r>
      <w:r w:rsidR="00656378">
        <w:rPr>
          <w:rFonts w:ascii="Times New Roman" w:hAnsi="Times New Roman"/>
        </w:rPr>
        <w:t>D-</w:t>
      </w:r>
      <w:r w:rsidR="00BF001D">
        <w:rPr>
          <w:rFonts w:ascii="Times New Roman" w:hAnsi="Times New Roman"/>
        </w:rPr>
        <w:t>SNAP</w:t>
      </w:r>
      <w:r>
        <w:rPr>
          <w:rFonts w:ascii="Times New Roman" w:hAnsi="Times New Roman"/>
        </w:rPr>
        <w:t xml:space="preserve"> benefits to eligible households as well as the various monitoring functions </w:t>
      </w:r>
      <w:r w:rsidR="003610CF">
        <w:rPr>
          <w:rFonts w:ascii="Times New Roman" w:hAnsi="Times New Roman"/>
        </w:rPr>
        <w:t>are</w:t>
      </w:r>
      <w:r>
        <w:rPr>
          <w:rFonts w:ascii="Times New Roman" w:hAnsi="Times New Roman"/>
        </w:rPr>
        <w:t xml:space="preserve"> </w:t>
      </w:r>
      <w:r w:rsidR="003610CF">
        <w:rPr>
          <w:rFonts w:ascii="Times New Roman" w:hAnsi="Times New Roman"/>
        </w:rPr>
        <w:t xml:space="preserve">already </w:t>
      </w:r>
      <w:r>
        <w:rPr>
          <w:rFonts w:ascii="Times New Roman" w:hAnsi="Times New Roman"/>
        </w:rPr>
        <w:t xml:space="preserve">included in </w:t>
      </w:r>
      <w:r w:rsidR="003610CF">
        <w:rPr>
          <w:rFonts w:ascii="Times New Roman" w:hAnsi="Times New Roman"/>
        </w:rPr>
        <w:t>currently-</w:t>
      </w:r>
      <w:r>
        <w:rPr>
          <w:rFonts w:ascii="Times New Roman" w:hAnsi="Times New Roman"/>
        </w:rPr>
        <w:t xml:space="preserve">approved information collections related to those activities for </w:t>
      </w:r>
      <w:r w:rsidR="003610CF">
        <w:rPr>
          <w:rFonts w:ascii="Times New Roman" w:hAnsi="Times New Roman"/>
        </w:rPr>
        <w:t>the regular SNAP</w:t>
      </w:r>
      <w:r w:rsidR="00C6657C">
        <w:rPr>
          <w:rFonts w:ascii="Times New Roman" w:hAnsi="Times New Roman"/>
        </w:rPr>
        <w:t xml:space="preserve"> </w:t>
      </w:r>
      <w:r w:rsidR="003610CF">
        <w:rPr>
          <w:rFonts w:ascii="Times New Roman" w:hAnsi="Times New Roman"/>
        </w:rPr>
        <w:t>a</w:t>
      </w:r>
      <w:r>
        <w:rPr>
          <w:rFonts w:ascii="Times New Roman" w:hAnsi="Times New Roman"/>
        </w:rPr>
        <w:t xml:space="preserve">s a whole.  </w:t>
      </w:r>
      <w:r w:rsidR="00601435">
        <w:rPr>
          <w:rFonts w:ascii="Times New Roman" w:hAnsi="Times New Roman"/>
        </w:rPr>
        <w:t xml:space="preserve">State agencies are required to report D-SNAP participation and issuance on Form </w:t>
      </w:r>
      <w:r w:rsidR="00601435" w:rsidRPr="007C2012">
        <w:rPr>
          <w:rFonts w:ascii="Times New Roman" w:hAnsi="Times New Roman"/>
        </w:rPr>
        <w:t>FNS-292-B</w:t>
      </w:r>
      <w:r w:rsidR="00601435">
        <w:rPr>
          <w:rFonts w:ascii="Times New Roman" w:hAnsi="Times New Roman"/>
        </w:rPr>
        <w:t xml:space="preserve"> (copy attached</w:t>
      </w:r>
      <w:r w:rsidR="00261E6C">
        <w:rPr>
          <w:rFonts w:ascii="Times New Roman" w:hAnsi="Times New Roman"/>
        </w:rPr>
        <w:t>),</w:t>
      </w:r>
      <w:r w:rsidR="00601435">
        <w:rPr>
          <w:rFonts w:ascii="Times New Roman" w:hAnsi="Times New Roman"/>
        </w:rPr>
        <w:t xml:space="preserve"> </w:t>
      </w:r>
      <w:r w:rsidR="00601435" w:rsidRPr="007C2012">
        <w:rPr>
          <w:rFonts w:ascii="Times New Roman" w:hAnsi="Times New Roman"/>
        </w:rPr>
        <w:t>Report of Disaster Food Stamp Benefit Issuance</w:t>
      </w:r>
      <w:r w:rsidR="00601435">
        <w:rPr>
          <w:rFonts w:ascii="Times New Roman" w:hAnsi="Times New Roman"/>
        </w:rPr>
        <w:t>, within 45 days after a disaster.  This burden is currently approved under OMB Number 0584-0037</w:t>
      </w:r>
      <w:r w:rsidR="003610CF">
        <w:rPr>
          <w:rFonts w:ascii="Times New Roman" w:hAnsi="Times New Roman"/>
        </w:rPr>
        <w:t xml:space="preserve"> (</w:t>
      </w:r>
      <w:r w:rsidR="00601435">
        <w:rPr>
          <w:rFonts w:ascii="Times New Roman" w:hAnsi="Times New Roman"/>
        </w:rPr>
        <w:t>Expiration Date:  7/31/2011</w:t>
      </w:r>
      <w:r w:rsidR="003610CF">
        <w:rPr>
          <w:rFonts w:ascii="Times New Roman" w:hAnsi="Times New Roman"/>
        </w:rPr>
        <w:t>)</w:t>
      </w:r>
      <w:r w:rsidR="00261E6C">
        <w:rPr>
          <w:rFonts w:ascii="Times New Roman" w:hAnsi="Times New Roman"/>
        </w:rPr>
        <w:t xml:space="preserve"> </w:t>
      </w:r>
      <w:r w:rsidR="00601435">
        <w:rPr>
          <w:rFonts w:ascii="Times New Roman" w:hAnsi="Times New Roman"/>
        </w:rPr>
        <w:t>and will not be reflected in this submission.</w:t>
      </w:r>
    </w:p>
    <w:p w:rsidR="003A3AF6" w:rsidRDefault="003A3AF6" w:rsidP="00695518">
      <w:pPr>
        <w:pStyle w:val="BlockText"/>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pPr>
      <w:r>
        <w:t xml:space="preserve">  </w:t>
      </w:r>
      <w:r w:rsidR="00E97F2D">
        <w:t xml:space="preserve"> </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ight="-720" w:hanging="720"/>
        <w:rPr>
          <w:rFonts w:ascii="Times New Roman" w:hAnsi="Times New Roman"/>
        </w:rPr>
      </w:pPr>
      <w:r>
        <w:rPr>
          <w:rFonts w:ascii="Times New Roman" w:hAnsi="Times New Roman"/>
        </w:rPr>
        <w:t>3.</w:t>
      </w:r>
      <w:r>
        <w:rPr>
          <w:rFonts w:ascii="Times New Roman" w:hAnsi="Times New Roman"/>
        </w:rPr>
        <w:tab/>
      </w:r>
      <w:r w:rsidR="009B1909">
        <w:rPr>
          <w:rFonts w:ascii="Times New Roman" w:hAnsi="Times New Roman"/>
          <w:b/>
          <w:u w:val="single"/>
        </w:rPr>
        <w:t>Use</w:t>
      </w:r>
      <w:r>
        <w:rPr>
          <w:rFonts w:ascii="Times New Roman" w:hAnsi="Times New Roman"/>
          <w:b/>
          <w:u w:val="single"/>
        </w:rPr>
        <w:t xml:space="preserve"> of </w:t>
      </w:r>
      <w:r w:rsidR="009B1909">
        <w:rPr>
          <w:rFonts w:ascii="Times New Roman" w:hAnsi="Times New Roman"/>
          <w:b/>
          <w:u w:val="single"/>
        </w:rPr>
        <w:t>information</w:t>
      </w:r>
      <w:r>
        <w:rPr>
          <w:rFonts w:ascii="Times New Roman" w:hAnsi="Times New Roman"/>
          <w:b/>
          <w:u w:val="single"/>
        </w:rPr>
        <w:t xml:space="preserve"> </w:t>
      </w:r>
      <w:r w:rsidR="009B1909">
        <w:rPr>
          <w:rFonts w:ascii="Times New Roman" w:hAnsi="Times New Roman"/>
          <w:b/>
          <w:u w:val="single"/>
        </w:rPr>
        <w:t xml:space="preserve">technology </w:t>
      </w:r>
      <w:r>
        <w:rPr>
          <w:rFonts w:ascii="Times New Roman" w:hAnsi="Times New Roman"/>
          <w:b/>
          <w:u w:val="single"/>
        </w:rPr>
        <w:t xml:space="preserve">or other </w:t>
      </w:r>
      <w:r w:rsidR="009B1909">
        <w:rPr>
          <w:rFonts w:ascii="Times New Roman" w:hAnsi="Times New Roman"/>
          <w:b/>
          <w:u w:val="single"/>
        </w:rPr>
        <w:t>burden reduction</w:t>
      </w:r>
      <w:r>
        <w:rPr>
          <w:rFonts w:ascii="Times New Roman" w:hAnsi="Times New Roman"/>
          <w:b/>
        </w:rPr>
        <w:t>.</w:t>
      </w:r>
    </w:p>
    <w:p w:rsidR="003A3AF6" w:rsidRPr="00282BF4"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szCs w:val="24"/>
        </w:rPr>
      </w:pPr>
    </w:p>
    <w:p w:rsidR="003A3AF6" w:rsidRDefault="003A3AF6" w:rsidP="00A6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480" w:lineRule="auto"/>
        <w:ind w:left="720" w:right="-720" w:hanging="720"/>
        <w:rPr>
          <w:rFonts w:ascii="Times New Roman" w:hAnsi="Times New Roman"/>
        </w:rPr>
      </w:pPr>
      <w:r w:rsidRPr="00282BF4">
        <w:rPr>
          <w:rFonts w:ascii="Times New Roman" w:hAnsi="Times New Roman"/>
          <w:szCs w:val="24"/>
        </w:rPr>
        <w:tab/>
      </w:r>
      <w:r w:rsidR="00282BF4" w:rsidRPr="00282BF4">
        <w:rPr>
          <w:rFonts w:ascii="Times New Roman" w:hAnsi="Times New Roman"/>
          <w:szCs w:val="24"/>
        </w:rPr>
        <w:t xml:space="preserve">In compliance with </w:t>
      </w:r>
      <w:r w:rsidR="00282BF4" w:rsidRPr="00753EB4">
        <w:rPr>
          <w:rFonts w:ascii="Times New Roman" w:hAnsi="Times New Roman"/>
          <w:szCs w:val="24"/>
        </w:rPr>
        <w:t>E-Government Act of 2002</w:t>
      </w:r>
      <w:r w:rsidR="00282BF4" w:rsidRPr="00282BF4">
        <w:rPr>
          <w:rFonts w:ascii="Times New Roman" w:hAnsi="Times New Roman"/>
          <w:color w:val="0000FF"/>
          <w:szCs w:val="24"/>
        </w:rPr>
        <w:t>,</w:t>
      </w:r>
      <w:r w:rsidR="00282BF4">
        <w:rPr>
          <w:rFonts w:ascii="Arial" w:hAnsi="Arial" w:cs="Arial"/>
          <w:color w:val="0000FF"/>
          <w:sz w:val="20"/>
        </w:rPr>
        <w:t xml:space="preserve"> </w:t>
      </w:r>
      <w:r>
        <w:rPr>
          <w:rFonts w:ascii="Times New Roman" w:hAnsi="Times New Roman"/>
        </w:rPr>
        <w:t xml:space="preserve">State agencies have the authority to use the </w:t>
      </w:r>
      <w:r>
        <w:rPr>
          <w:rFonts w:ascii="Times New Roman" w:hAnsi="Times New Roman"/>
        </w:rPr>
        <w:lastRenderedPageBreak/>
        <w:t>technology that best suits the needs of their individual or unique systems of operation to comply with the information collection and reporting requirements contained in this submission.</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rPr>
      </w:pPr>
      <w:r>
        <w:rPr>
          <w:rFonts w:ascii="Times New Roman" w:hAnsi="Times New Roman"/>
        </w:rPr>
        <w:t>4.</w:t>
      </w:r>
      <w:r>
        <w:rPr>
          <w:rFonts w:ascii="Times New Roman" w:hAnsi="Times New Roman"/>
        </w:rPr>
        <w:tab/>
      </w:r>
      <w:r>
        <w:rPr>
          <w:rFonts w:ascii="Times New Roman" w:hAnsi="Times New Roman"/>
          <w:b/>
          <w:u w:val="single"/>
        </w:rPr>
        <w:t>Describe efforts to identify duplication</w:t>
      </w:r>
      <w:r>
        <w:rPr>
          <w:rFonts w:ascii="Times New Roman" w:hAnsi="Times New Roman"/>
          <w:b/>
        </w:rPr>
        <w:t>.</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rPr>
      </w:pPr>
    </w:p>
    <w:p w:rsidR="003A3AF6" w:rsidRDefault="00AC7374" w:rsidP="00AC7374">
      <w:pPr>
        <w:tabs>
          <w:tab w:val="left" w:pos="-720"/>
        </w:tabs>
        <w:suppressAutoHyphens/>
        <w:spacing w:line="480" w:lineRule="auto"/>
        <w:ind w:left="720"/>
        <w:outlineLvl w:val="0"/>
        <w:rPr>
          <w:rFonts w:ascii="Times New Roman" w:hAnsi="Times New Roman"/>
        </w:rPr>
      </w:pPr>
      <w:r>
        <w:rPr>
          <w:rFonts w:ascii="Times New Roman" w:hAnsi="Times New Roman"/>
          <w:spacing w:val="-3"/>
          <w:szCs w:val="24"/>
        </w:rPr>
        <w:t>There is no similar information data collection available.  Th</w:t>
      </w:r>
      <w:r w:rsidR="003610CF">
        <w:rPr>
          <w:rFonts w:ascii="Times New Roman" w:hAnsi="Times New Roman"/>
          <w:spacing w:val="-3"/>
          <w:szCs w:val="24"/>
        </w:rPr>
        <w:t>e</w:t>
      </w:r>
      <w:r>
        <w:rPr>
          <w:rFonts w:ascii="Times New Roman" w:hAnsi="Times New Roman"/>
          <w:spacing w:val="-3"/>
          <w:szCs w:val="24"/>
        </w:rPr>
        <w:t xml:space="preserve"> D-SNAP is governed solely by FNS. </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ight="-720" w:hanging="720"/>
        <w:rPr>
          <w:rFonts w:ascii="Times New Roman" w:hAnsi="Times New Roman"/>
          <w:u w:val="single"/>
        </w:rPr>
      </w:pPr>
      <w:r>
        <w:rPr>
          <w:rFonts w:ascii="Times New Roman" w:hAnsi="Times New Roman"/>
        </w:rPr>
        <w:t>5.</w:t>
      </w:r>
      <w:r>
        <w:rPr>
          <w:rFonts w:ascii="Times New Roman" w:hAnsi="Times New Roman"/>
        </w:rPr>
        <w:tab/>
      </w:r>
      <w:r>
        <w:rPr>
          <w:rFonts w:ascii="Times New Roman" w:hAnsi="Times New Roman"/>
          <w:b/>
          <w:u w:val="single"/>
        </w:rPr>
        <w:t>Impact of the collection of information on small businesses or other small entities.</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u w:val="single"/>
        </w:rPr>
      </w:pPr>
    </w:p>
    <w:p w:rsidR="003A3AF6" w:rsidRDefault="003A3AF6" w:rsidP="00A6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480" w:lineRule="auto"/>
        <w:ind w:left="720" w:right="-720" w:hanging="720"/>
        <w:rPr>
          <w:rFonts w:ascii="Times New Roman" w:hAnsi="Times New Roman"/>
        </w:rPr>
      </w:pPr>
      <w:r>
        <w:rPr>
          <w:rFonts w:ascii="Times New Roman" w:hAnsi="Times New Roman"/>
        </w:rPr>
        <w:tab/>
      </w:r>
      <w:r w:rsidR="000C761B">
        <w:rPr>
          <w:rFonts w:ascii="Times New Roman" w:hAnsi="Times New Roman"/>
          <w:spacing w:val="-3"/>
        </w:rPr>
        <w:t>Information being requested or required has been held to the minimum required for the intended use</w:t>
      </w:r>
      <w:r w:rsidR="000C761B" w:rsidRPr="00480D3F">
        <w:rPr>
          <w:rFonts w:ascii="Times New Roman" w:hAnsi="Times New Roman"/>
          <w:spacing w:val="-3"/>
        </w:rPr>
        <w:t>.</w:t>
      </w:r>
      <w:r w:rsidR="000C761B">
        <w:rPr>
          <w:rFonts w:ascii="Times New Roman" w:hAnsi="Times New Roman"/>
          <w:spacing w:val="-3"/>
        </w:rPr>
        <w:t xml:space="preserve">  </w:t>
      </w:r>
      <w:r>
        <w:rPr>
          <w:rFonts w:ascii="Times New Roman" w:hAnsi="Times New Roman"/>
        </w:rPr>
        <w:t xml:space="preserve">This collection does not have a direct impact on small businesses or other small entities.  </w:t>
      </w:r>
      <w:r w:rsidR="00E33932">
        <w:rPr>
          <w:rFonts w:ascii="Times New Roman" w:hAnsi="Times New Roman"/>
        </w:rPr>
        <w:t xml:space="preserve">While </w:t>
      </w:r>
      <w:r w:rsidR="00576D11">
        <w:rPr>
          <w:rFonts w:ascii="Times New Roman" w:hAnsi="Times New Roman"/>
        </w:rPr>
        <w:t xml:space="preserve">certain </w:t>
      </w:r>
      <w:r w:rsidR="00E33932">
        <w:rPr>
          <w:rFonts w:ascii="Times New Roman" w:hAnsi="Times New Roman"/>
        </w:rPr>
        <w:t>s</w:t>
      </w:r>
      <w:r>
        <w:rPr>
          <w:rFonts w:ascii="Times New Roman" w:hAnsi="Times New Roman"/>
        </w:rPr>
        <w:t>mall businesses</w:t>
      </w:r>
      <w:r w:rsidR="00E33932">
        <w:rPr>
          <w:rFonts w:ascii="Times New Roman" w:hAnsi="Times New Roman"/>
        </w:rPr>
        <w:t>, specifically retail food stores already authorized to participate in the SNAP,</w:t>
      </w:r>
      <w:r>
        <w:rPr>
          <w:rFonts w:ascii="Times New Roman" w:hAnsi="Times New Roman"/>
        </w:rPr>
        <w:t xml:space="preserve"> </w:t>
      </w:r>
      <w:r w:rsidR="00E33932">
        <w:rPr>
          <w:rFonts w:ascii="Times New Roman" w:hAnsi="Times New Roman"/>
        </w:rPr>
        <w:t xml:space="preserve">indirectly </w:t>
      </w:r>
      <w:r>
        <w:rPr>
          <w:rFonts w:ascii="Times New Roman" w:hAnsi="Times New Roman"/>
        </w:rPr>
        <w:t xml:space="preserve">benefit from the </w:t>
      </w:r>
      <w:r w:rsidR="00A946DF">
        <w:rPr>
          <w:rFonts w:ascii="Times New Roman" w:hAnsi="Times New Roman"/>
        </w:rPr>
        <w:t>D</w:t>
      </w:r>
      <w:r w:rsidR="00B916C0">
        <w:rPr>
          <w:rFonts w:ascii="Times New Roman" w:hAnsi="Times New Roman"/>
        </w:rPr>
        <w:t>-</w:t>
      </w:r>
      <w:r w:rsidR="00824AF8">
        <w:rPr>
          <w:rFonts w:ascii="Times New Roman" w:hAnsi="Times New Roman"/>
        </w:rPr>
        <w:t>SNAP</w:t>
      </w:r>
      <w:r>
        <w:rPr>
          <w:rFonts w:ascii="Times New Roman" w:hAnsi="Times New Roman"/>
        </w:rPr>
        <w:t xml:space="preserve"> through increased food purchasing power of program recipients</w:t>
      </w:r>
      <w:r w:rsidR="00E33932">
        <w:rPr>
          <w:rFonts w:ascii="Times New Roman" w:hAnsi="Times New Roman"/>
        </w:rPr>
        <w:t xml:space="preserve">, this information collection does not impose any additional information collection or reporting requirements </w:t>
      </w:r>
      <w:r w:rsidR="00576D11">
        <w:rPr>
          <w:rFonts w:ascii="Times New Roman" w:hAnsi="Times New Roman"/>
        </w:rPr>
        <w:t>o</w:t>
      </w:r>
      <w:r w:rsidR="00E33932">
        <w:rPr>
          <w:rFonts w:ascii="Times New Roman" w:hAnsi="Times New Roman"/>
        </w:rPr>
        <w:t xml:space="preserve">n those businesses. </w:t>
      </w:r>
    </w:p>
    <w:p w:rsidR="00E46E1A" w:rsidRDefault="00E46E1A" w:rsidP="00A6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480" w:lineRule="auto"/>
        <w:ind w:left="720" w:right="-720" w:hanging="720"/>
        <w:rPr>
          <w:rFonts w:ascii="Times New Roman" w:hAnsi="Times New Roman"/>
        </w:rPr>
      </w:pPr>
    </w:p>
    <w:p w:rsidR="003A3AF6" w:rsidRDefault="000B4379" w:rsidP="0027172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ight="-720" w:hanging="720"/>
        <w:rPr>
          <w:rFonts w:ascii="Times New Roman" w:hAnsi="Times New Roman"/>
        </w:rPr>
      </w:pPr>
      <w:r>
        <w:rPr>
          <w:rFonts w:ascii="Times New Roman" w:hAnsi="Times New Roman"/>
          <w:b/>
          <w:u w:val="single"/>
        </w:rPr>
        <w:t>Consequences</w:t>
      </w:r>
      <w:r w:rsidR="003A3AF6">
        <w:rPr>
          <w:rFonts w:ascii="Times New Roman" w:hAnsi="Times New Roman"/>
          <w:b/>
          <w:u w:val="single"/>
        </w:rPr>
        <w:t xml:space="preserve"> if the collection is not conducted or conducted less frequently</w:t>
      </w:r>
      <w:r w:rsidR="003A3AF6">
        <w:rPr>
          <w:rFonts w:ascii="Times New Roman" w:hAnsi="Times New Roman"/>
          <w:b/>
        </w:rPr>
        <w:t>.</w:t>
      </w:r>
      <w:r w:rsidR="003A3AF6">
        <w:rPr>
          <w:rFonts w:ascii="Times New Roman" w:hAnsi="Times New Roman"/>
        </w:rPr>
        <w:t xml:space="preserve">  </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60" w:right="-720"/>
        <w:rPr>
          <w:rFonts w:ascii="Times New Roman" w:hAnsi="Times New Roman"/>
        </w:rPr>
      </w:pPr>
    </w:p>
    <w:p w:rsidR="003A3AF6" w:rsidRDefault="00576D11" w:rsidP="000B4379">
      <w:pPr>
        <w:widowControl/>
        <w:overflowPunct/>
        <w:spacing w:line="480" w:lineRule="auto"/>
        <w:ind w:left="720"/>
        <w:textAlignment w:val="auto"/>
        <w:rPr>
          <w:rFonts w:ascii="Times New Roman" w:hAnsi="Times New Roman"/>
        </w:rPr>
      </w:pPr>
      <w:r>
        <w:rPr>
          <w:rFonts w:ascii="Times New Roman" w:hAnsi="Times New Roman"/>
        </w:rPr>
        <w:t xml:space="preserve">D-SNAP is </w:t>
      </w:r>
      <w:r w:rsidR="000B4379" w:rsidRPr="005B7353">
        <w:rPr>
          <w:rFonts w:ascii="Times New Roman" w:hAnsi="Times New Roman"/>
          <w:bCs/>
          <w:iCs/>
          <w:szCs w:val="24"/>
        </w:rPr>
        <w:t xml:space="preserve">the primary </w:t>
      </w:r>
      <w:r>
        <w:rPr>
          <w:rFonts w:ascii="Times New Roman" w:hAnsi="Times New Roman"/>
          <w:bCs/>
          <w:iCs/>
          <w:szCs w:val="24"/>
        </w:rPr>
        <w:t xml:space="preserve">FNS </w:t>
      </w:r>
      <w:r w:rsidR="000B4379" w:rsidRPr="005B7353">
        <w:rPr>
          <w:rFonts w:ascii="Times New Roman" w:hAnsi="Times New Roman"/>
          <w:bCs/>
          <w:iCs/>
          <w:szCs w:val="24"/>
        </w:rPr>
        <w:t>nutrition assistance response in the disaster recovery phase</w:t>
      </w:r>
      <w:r>
        <w:rPr>
          <w:rFonts w:ascii="Times New Roman" w:hAnsi="Times New Roman"/>
          <w:bCs/>
          <w:iCs/>
          <w:szCs w:val="24"/>
        </w:rPr>
        <w:t xml:space="preserve">.  </w:t>
      </w:r>
      <w:r w:rsidR="00301979" w:rsidRPr="005B7353">
        <w:rPr>
          <w:rFonts w:ascii="Times New Roman" w:hAnsi="Times New Roman"/>
          <w:bCs/>
          <w:iCs/>
          <w:szCs w:val="24"/>
        </w:rPr>
        <w:t>If this collection is not conducted</w:t>
      </w:r>
      <w:r>
        <w:rPr>
          <w:rFonts w:ascii="Times New Roman" w:hAnsi="Times New Roman"/>
          <w:bCs/>
          <w:iCs/>
          <w:szCs w:val="24"/>
        </w:rPr>
        <w:t>,</w:t>
      </w:r>
      <w:r w:rsidR="00301979">
        <w:rPr>
          <w:rFonts w:ascii="Times New Roman" w:hAnsi="Times New Roman"/>
          <w:bCs/>
          <w:iCs/>
          <w:color w:val="3365FF"/>
          <w:szCs w:val="24"/>
        </w:rPr>
        <w:t xml:space="preserve"> </w:t>
      </w:r>
      <w:r w:rsidR="000B4379" w:rsidRPr="000B4379">
        <w:rPr>
          <w:rFonts w:ascii="Times New Roman" w:hAnsi="Times New Roman"/>
          <w:color w:val="000000"/>
          <w:szCs w:val="24"/>
        </w:rPr>
        <w:t xml:space="preserve">D-SNAP </w:t>
      </w:r>
      <w:r w:rsidR="00301979">
        <w:rPr>
          <w:rFonts w:ascii="Times New Roman" w:hAnsi="Times New Roman"/>
          <w:color w:val="000000"/>
          <w:szCs w:val="24"/>
        </w:rPr>
        <w:t>would not be</w:t>
      </w:r>
      <w:r w:rsidR="000B4379" w:rsidRPr="000B4379">
        <w:rPr>
          <w:rFonts w:ascii="Times New Roman" w:hAnsi="Times New Roman"/>
          <w:color w:val="000000"/>
          <w:szCs w:val="24"/>
        </w:rPr>
        <w:t xml:space="preserve"> available </w:t>
      </w:r>
      <w:r w:rsidR="00546140">
        <w:rPr>
          <w:rFonts w:ascii="Times New Roman" w:hAnsi="Times New Roman"/>
          <w:color w:val="000000"/>
          <w:szCs w:val="24"/>
        </w:rPr>
        <w:t xml:space="preserve">to assist </w:t>
      </w:r>
      <w:r w:rsidR="000B4379" w:rsidRPr="000B4379">
        <w:rPr>
          <w:rFonts w:ascii="Times New Roman" w:hAnsi="Times New Roman"/>
          <w:color w:val="000000"/>
          <w:szCs w:val="24"/>
        </w:rPr>
        <w:t xml:space="preserve">disaster victims </w:t>
      </w:r>
      <w:r w:rsidR="00546140">
        <w:rPr>
          <w:rFonts w:ascii="Times New Roman" w:hAnsi="Times New Roman"/>
          <w:color w:val="000000"/>
          <w:szCs w:val="24"/>
        </w:rPr>
        <w:t xml:space="preserve">once they </w:t>
      </w:r>
      <w:r w:rsidR="000B4379" w:rsidRPr="000B4379">
        <w:rPr>
          <w:rFonts w:ascii="Times New Roman" w:hAnsi="Times New Roman"/>
          <w:color w:val="000000"/>
          <w:szCs w:val="24"/>
        </w:rPr>
        <w:t>have returned</w:t>
      </w:r>
      <w:r w:rsidR="000B4379">
        <w:rPr>
          <w:rFonts w:ascii="Times New Roman" w:hAnsi="Times New Roman"/>
          <w:color w:val="000000"/>
          <w:szCs w:val="24"/>
        </w:rPr>
        <w:t xml:space="preserve"> </w:t>
      </w:r>
      <w:r w:rsidR="000B4379" w:rsidRPr="000B4379">
        <w:rPr>
          <w:rFonts w:ascii="Times New Roman" w:hAnsi="Times New Roman"/>
          <w:color w:val="000000"/>
          <w:szCs w:val="24"/>
        </w:rPr>
        <w:t>to their homes, their utilities are restored and commercial food supply</w:t>
      </w:r>
      <w:r w:rsidR="000B4379">
        <w:rPr>
          <w:rFonts w:ascii="Times New Roman" w:hAnsi="Times New Roman"/>
          <w:color w:val="000000"/>
          <w:szCs w:val="24"/>
        </w:rPr>
        <w:t xml:space="preserve"> </w:t>
      </w:r>
      <w:r w:rsidR="000B4379" w:rsidRPr="000B4379">
        <w:rPr>
          <w:rFonts w:ascii="Times New Roman" w:hAnsi="Times New Roman"/>
          <w:color w:val="000000"/>
          <w:szCs w:val="24"/>
        </w:rPr>
        <w:t>channels such as grocery stores have reopened. States operate D-SNAP</w:t>
      </w:r>
      <w:r w:rsidR="000B4379">
        <w:rPr>
          <w:rFonts w:ascii="Times New Roman" w:hAnsi="Times New Roman"/>
          <w:color w:val="000000"/>
          <w:szCs w:val="24"/>
        </w:rPr>
        <w:t xml:space="preserve"> </w:t>
      </w:r>
      <w:r w:rsidR="000B4379" w:rsidRPr="000B4379">
        <w:rPr>
          <w:rFonts w:ascii="Times New Roman" w:hAnsi="Times New Roman"/>
          <w:color w:val="000000"/>
          <w:szCs w:val="24"/>
        </w:rPr>
        <w:t xml:space="preserve">as </w:t>
      </w:r>
      <w:r>
        <w:rPr>
          <w:rFonts w:ascii="Times New Roman" w:hAnsi="Times New Roman"/>
          <w:color w:val="000000"/>
          <w:szCs w:val="24"/>
        </w:rPr>
        <w:t xml:space="preserve">a major component of </w:t>
      </w:r>
      <w:r w:rsidR="000B4379" w:rsidRPr="000B4379">
        <w:rPr>
          <w:rFonts w:ascii="Times New Roman" w:hAnsi="Times New Roman"/>
          <w:color w:val="000000"/>
          <w:szCs w:val="24"/>
        </w:rPr>
        <w:t xml:space="preserve">the disaster </w:t>
      </w:r>
      <w:r>
        <w:rPr>
          <w:rFonts w:ascii="Times New Roman" w:hAnsi="Times New Roman"/>
          <w:color w:val="000000"/>
          <w:szCs w:val="24"/>
        </w:rPr>
        <w:t xml:space="preserve">response to meet </w:t>
      </w:r>
      <w:r w:rsidR="000B4379" w:rsidRPr="000B4379">
        <w:rPr>
          <w:rFonts w:ascii="Times New Roman" w:hAnsi="Times New Roman"/>
          <w:color w:val="000000"/>
          <w:szCs w:val="24"/>
        </w:rPr>
        <w:t>nutrition</w:t>
      </w:r>
      <w:r>
        <w:rPr>
          <w:rFonts w:ascii="Times New Roman" w:hAnsi="Times New Roman"/>
          <w:color w:val="000000"/>
          <w:szCs w:val="24"/>
        </w:rPr>
        <w:t xml:space="preserve"> needs of affected households.  </w:t>
      </w:r>
      <w:r>
        <w:rPr>
          <w:rFonts w:ascii="Times New Roman" w:hAnsi="Times New Roman"/>
        </w:rPr>
        <w:t>This information is important to preserve p</w:t>
      </w:r>
      <w:r w:rsidR="003A3AF6">
        <w:rPr>
          <w:rFonts w:ascii="Times New Roman" w:hAnsi="Times New Roman"/>
        </w:rPr>
        <w:t>rogram integrity and to ensure that disaster procedures are quickly and effectively implemented.  This information can only be collected if and when a disaster occurs.</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ight="-720" w:hanging="720"/>
        <w:rPr>
          <w:rFonts w:ascii="Times New Roman" w:hAnsi="Times New Roman"/>
        </w:rPr>
      </w:pPr>
      <w:r>
        <w:rPr>
          <w:rFonts w:ascii="Times New Roman" w:hAnsi="Times New Roman"/>
        </w:rPr>
        <w:t>7.</w:t>
      </w:r>
      <w:r>
        <w:rPr>
          <w:rFonts w:ascii="Times New Roman" w:hAnsi="Times New Roman"/>
        </w:rPr>
        <w:tab/>
      </w:r>
      <w:r w:rsidR="00EF37E7">
        <w:rPr>
          <w:rFonts w:ascii="Times New Roman" w:hAnsi="Times New Roman"/>
          <w:b/>
          <w:u w:val="single"/>
        </w:rPr>
        <w:t>Special</w:t>
      </w:r>
      <w:r>
        <w:rPr>
          <w:rFonts w:ascii="Times New Roman" w:hAnsi="Times New Roman"/>
          <w:b/>
          <w:u w:val="single"/>
        </w:rPr>
        <w:t xml:space="preserve"> circumstances </w:t>
      </w:r>
      <w:r w:rsidR="00EF37E7">
        <w:rPr>
          <w:rFonts w:ascii="Times New Roman" w:hAnsi="Times New Roman"/>
          <w:b/>
          <w:u w:val="single"/>
        </w:rPr>
        <w:t>relating to guideline</w:t>
      </w:r>
      <w:r>
        <w:rPr>
          <w:rFonts w:ascii="Times New Roman" w:hAnsi="Times New Roman"/>
          <w:b/>
          <w:u w:val="single"/>
        </w:rPr>
        <w:t xml:space="preserve"> 5 CFR 1320.</w:t>
      </w:r>
      <w:r w:rsidR="00EF37E7">
        <w:rPr>
          <w:rFonts w:ascii="Times New Roman" w:hAnsi="Times New Roman"/>
          <w:b/>
          <w:u w:val="single"/>
        </w:rPr>
        <w:t>5</w:t>
      </w:r>
      <w:r>
        <w:rPr>
          <w:rFonts w:ascii="Times New Roman" w:hAnsi="Times New Roman"/>
        </w:rPr>
        <w:t>.</w:t>
      </w:r>
    </w:p>
    <w:p w:rsidR="003A3AF6" w:rsidRPr="00EF37E7"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szCs w:val="24"/>
        </w:rPr>
      </w:pPr>
    </w:p>
    <w:p w:rsidR="003A3AF6" w:rsidRPr="00EF37E7" w:rsidRDefault="003A3AF6" w:rsidP="00A6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480" w:lineRule="auto"/>
        <w:ind w:left="720" w:right="-720" w:hanging="720"/>
        <w:rPr>
          <w:rFonts w:ascii="Times New Roman" w:hAnsi="Times New Roman"/>
          <w:szCs w:val="24"/>
        </w:rPr>
      </w:pPr>
      <w:r w:rsidRPr="00EF37E7">
        <w:rPr>
          <w:rFonts w:ascii="Times New Roman" w:hAnsi="Times New Roman"/>
          <w:szCs w:val="24"/>
        </w:rPr>
        <w:tab/>
      </w:r>
      <w:r w:rsidR="00EF37E7" w:rsidRPr="00EF37E7">
        <w:rPr>
          <w:rFonts w:ascii="Times New Roman" w:hAnsi="Times New Roman"/>
          <w:szCs w:val="24"/>
        </w:rPr>
        <w:t>There are no special circumstances.  The collection of information is conducted in a manner consistent with the guidelines in 5 CFR 1320.5.</w:t>
      </w:r>
    </w:p>
    <w:p w:rsidR="003A3AF6" w:rsidRPr="00A950F3"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szCs w:val="24"/>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ight="-720" w:hanging="720"/>
        <w:rPr>
          <w:rFonts w:ascii="Times New Roman" w:hAnsi="Times New Roman"/>
          <w:b/>
          <w:bCs/>
          <w:szCs w:val="24"/>
        </w:rPr>
      </w:pPr>
      <w:r w:rsidRPr="00A950F3">
        <w:rPr>
          <w:rFonts w:ascii="Times New Roman" w:hAnsi="Times New Roman"/>
          <w:szCs w:val="24"/>
        </w:rPr>
        <w:t>8.</w:t>
      </w:r>
      <w:r w:rsidRPr="00A950F3">
        <w:rPr>
          <w:rFonts w:ascii="Times New Roman" w:hAnsi="Times New Roman"/>
          <w:szCs w:val="24"/>
        </w:rPr>
        <w:tab/>
      </w:r>
      <w:r w:rsidR="00A950F3" w:rsidRPr="00DD4993">
        <w:rPr>
          <w:rFonts w:ascii="Times New Roman" w:hAnsi="Times New Roman"/>
          <w:b/>
          <w:bCs/>
          <w:szCs w:val="24"/>
          <w:u w:val="single"/>
        </w:rPr>
        <w:t xml:space="preserve">Comments in Response the Federal Register Notice and Efforts to Consult Outside </w:t>
      </w:r>
      <w:r w:rsidR="005B7353" w:rsidRPr="00DD4993">
        <w:rPr>
          <w:rFonts w:ascii="Times New Roman" w:hAnsi="Times New Roman"/>
          <w:b/>
          <w:bCs/>
          <w:szCs w:val="24"/>
          <w:u w:val="single"/>
        </w:rPr>
        <w:t xml:space="preserve">the </w:t>
      </w:r>
      <w:r w:rsidR="00A950F3" w:rsidRPr="00DD4993">
        <w:rPr>
          <w:rFonts w:ascii="Times New Roman" w:hAnsi="Times New Roman"/>
          <w:b/>
          <w:bCs/>
          <w:szCs w:val="24"/>
          <w:u w:val="single"/>
        </w:rPr>
        <w:t>Agency.</w:t>
      </w:r>
      <w:r w:rsidR="00A950F3" w:rsidRPr="00A950F3">
        <w:rPr>
          <w:rFonts w:ascii="Times New Roman" w:hAnsi="Times New Roman"/>
          <w:b/>
          <w:bCs/>
          <w:szCs w:val="24"/>
        </w:rPr>
        <w:t xml:space="preserve">  </w:t>
      </w:r>
    </w:p>
    <w:p w:rsidR="005B7353" w:rsidRPr="00A950F3" w:rsidRDefault="005B7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ight="-720" w:hanging="720"/>
        <w:rPr>
          <w:rFonts w:ascii="Times New Roman" w:hAnsi="Times New Roman"/>
          <w:szCs w:val="24"/>
        </w:rPr>
      </w:pPr>
    </w:p>
    <w:p w:rsidR="003A3AF6" w:rsidRDefault="003A3AF6" w:rsidP="00A6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480" w:lineRule="auto"/>
        <w:ind w:left="720" w:right="-720" w:hanging="720"/>
        <w:rPr>
          <w:rFonts w:ascii="Times New Roman" w:hAnsi="Times New Roman"/>
        </w:rPr>
      </w:pPr>
      <w:r>
        <w:rPr>
          <w:rFonts w:ascii="Times New Roman" w:hAnsi="Times New Roman"/>
        </w:rPr>
        <w:tab/>
      </w:r>
      <w:r w:rsidR="00576D11">
        <w:rPr>
          <w:rFonts w:ascii="Times New Roman" w:hAnsi="Times New Roman"/>
        </w:rPr>
        <w:t xml:space="preserve">A </w:t>
      </w:r>
      <w:r>
        <w:rPr>
          <w:rFonts w:ascii="Times New Roman" w:hAnsi="Times New Roman"/>
        </w:rPr>
        <w:t xml:space="preserve">notice was published on </w:t>
      </w:r>
      <w:r w:rsidR="009603A6">
        <w:rPr>
          <w:rFonts w:ascii="Times New Roman" w:hAnsi="Times New Roman"/>
        </w:rPr>
        <w:t>March 9</w:t>
      </w:r>
      <w:r>
        <w:rPr>
          <w:rFonts w:ascii="Times New Roman" w:hAnsi="Times New Roman"/>
        </w:rPr>
        <w:t>,</w:t>
      </w:r>
      <w:r w:rsidR="008C7846">
        <w:rPr>
          <w:rFonts w:ascii="Times New Roman" w:hAnsi="Times New Roman"/>
        </w:rPr>
        <w:t xml:space="preserve"> </w:t>
      </w:r>
      <w:r>
        <w:rPr>
          <w:rFonts w:ascii="Times New Roman" w:hAnsi="Times New Roman"/>
        </w:rPr>
        <w:t>200</w:t>
      </w:r>
      <w:r w:rsidR="009603A6">
        <w:rPr>
          <w:rFonts w:ascii="Times New Roman" w:hAnsi="Times New Roman"/>
        </w:rPr>
        <w:t>9</w:t>
      </w:r>
      <w:r w:rsidR="00055396">
        <w:rPr>
          <w:rFonts w:ascii="Times New Roman" w:hAnsi="Times New Roman"/>
        </w:rPr>
        <w:t xml:space="preserve"> at 74</w:t>
      </w:r>
      <w:r>
        <w:rPr>
          <w:rFonts w:ascii="Times New Roman" w:hAnsi="Times New Roman"/>
        </w:rPr>
        <w:t xml:space="preserve"> FR </w:t>
      </w:r>
      <w:r w:rsidR="00055396">
        <w:rPr>
          <w:rFonts w:ascii="Times New Roman" w:hAnsi="Times New Roman"/>
        </w:rPr>
        <w:t>9979</w:t>
      </w:r>
      <w:r w:rsidR="004448F0">
        <w:rPr>
          <w:rFonts w:ascii="Times New Roman" w:hAnsi="Times New Roman"/>
        </w:rPr>
        <w:t>.</w:t>
      </w:r>
      <w:r w:rsidR="002E1032">
        <w:rPr>
          <w:rFonts w:ascii="Times New Roman" w:hAnsi="Times New Roman"/>
        </w:rPr>
        <w:t xml:space="preserve"> </w:t>
      </w:r>
      <w:r>
        <w:rPr>
          <w:rFonts w:ascii="Times New Roman" w:hAnsi="Times New Roman"/>
        </w:rPr>
        <w:t xml:space="preserve">  </w:t>
      </w:r>
      <w:r w:rsidR="00055396">
        <w:rPr>
          <w:rFonts w:ascii="Times New Roman" w:hAnsi="Times New Roman"/>
        </w:rPr>
        <w:t>No comments</w:t>
      </w:r>
      <w:r w:rsidR="00A946DF">
        <w:rPr>
          <w:rFonts w:ascii="Times New Roman" w:hAnsi="Times New Roman"/>
        </w:rPr>
        <w:t xml:space="preserve"> were rec</w:t>
      </w:r>
      <w:r w:rsidR="00ED37AF">
        <w:rPr>
          <w:rFonts w:ascii="Times New Roman" w:hAnsi="Times New Roman"/>
        </w:rPr>
        <w:t xml:space="preserve">eived in response to the notice.   </w:t>
      </w:r>
      <w:r w:rsidR="004448F0">
        <w:rPr>
          <w:rFonts w:ascii="Times New Roman" w:hAnsi="Times New Roman"/>
        </w:rPr>
        <w:t>As part of the ongoing process of preparing for disasters</w:t>
      </w:r>
      <w:r w:rsidR="00576D11">
        <w:rPr>
          <w:rFonts w:ascii="Times New Roman" w:hAnsi="Times New Roman"/>
        </w:rPr>
        <w:t>,</w:t>
      </w:r>
      <w:r w:rsidR="004448F0">
        <w:rPr>
          <w:rFonts w:ascii="Times New Roman" w:hAnsi="Times New Roman"/>
        </w:rPr>
        <w:t xml:space="preserve"> FNS routinely consults with State agencies, especially those States that are most likely to experience natural disasters and also participates in multi-agency conferences with other agencies or organizations that are involved in disaster preparation and response, including, but not limited to the Federal Emergency Management Agency (FEMA) and the American Red Cross.</w:t>
      </w:r>
      <w:r w:rsidR="00ED37AF">
        <w:rPr>
          <w:rFonts w:ascii="Times New Roman" w:hAnsi="Times New Roman"/>
        </w:rPr>
        <w:t xml:space="preserve"> </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ight="-720" w:hanging="720"/>
        <w:rPr>
          <w:rFonts w:ascii="Times New Roman" w:hAnsi="Times New Roman"/>
        </w:rPr>
      </w:pPr>
      <w:r>
        <w:rPr>
          <w:rFonts w:ascii="Times New Roman" w:hAnsi="Times New Roman"/>
        </w:rPr>
        <w:t>9.</w:t>
      </w:r>
      <w:r>
        <w:rPr>
          <w:rFonts w:ascii="Times New Roman" w:hAnsi="Times New Roman"/>
        </w:rPr>
        <w:tab/>
      </w:r>
      <w:r w:rsidR="00A950F3" w:rsidRPr="00E02594">
        <w:rPr>
          <w:rFonts w:ascii="Times New Roman" w:hAnsi="Times New Roman"/>
          <w:b/>
          <w:u w:val="single"/>
        </w:rPr>
        <w:t>Expla</w:t>
      </w:r>
      <w:r w:rsidR="00A950F3">
        <w:rPr>
          <w:rFonts w:ascii="Times New Roman" w:hAnsi="Times New Roman"/>
          <w:b/>
          <w:u w:val="single"/>
        </w:rPr>
        <w:t>nation of</w:t>
      </w:r>
      <w:r w:rsidR="00A950F3" w:rsidRPr="00E02594">
        <w:rPr>
          <w:rFonts w:ascii="Times New Roman" w:hAnsi="Times New Roman"/>
          <w:b/>
          <w:u w:val="single"/>
        </w:rPr>
        <w:t xml:space="preserve"> </w:t>
      </w:r>
      <w:r w:rsidRPr="00E02594">
        <w:rPr>
          <w:rFonts w:ascii="Times New Roman" w:hAnsi="Times New Roman"/>
          <w:b/>
          <w:u w:val="single"/>
        </w:rPr>
        <w:t>any payments or gifts to respondents</w:t>
      </w:r>
      <w:r w:rsidR="00A950F3">
        <w:rPr>
          <w:rFonts w:ascii="Times New Roman" w:hAnsi="Times New Roman"/>
          <w:b/>
          <w:u w:val="single"/>
        </w:rPr>
        <w:t>.</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rPr>
      </w:pPr>
    </w:p>
    <w:p w:rsidR="003A3AF6" w:rsidRDefault="003A3AF6" w:rsidP="00A6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480" w:lineRule="auto"/>
        <w:ind w:left="720" w:right="-720" w:hanging="720"/>
        <w:rPr>
          <w:rFonts w:ascii="Times New Roman" w:hAnsi="Times New Roman"/>
        </w:rPr>
      </w:pPr>
      <w:r>
        <w:rPr>
          <w:rFonts w:ascii="Times New Roman" w:hAnsi="Times New Roman"/>
        </w:rPr>
        <w:tab/>
      </w:r>
      <w:r w:rsidR="00A950F3">
        <w:rPr>
          <w:rFonts w:ascii="Times New Roman" w:hAnsi="Times New Roman"/>
        </w:rPr>
        <w:t>N</w:t>
      </w:r>
      <w:r>
        <w:rPr>
          <w:rFonts w:ascii="Times New Roman" w:hAnsi="Times New Roman"/>
        </w:rPr>
        <w:t xml:space="preserve">o payments or gifts are provided to respondents under this collection. </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ight="-720" w:hanging="720"/>
        <w:rPr>
          <w:rFonts w:ascii="Times New Roman" w:hAnsi="Times New Roman"/>
          <w:b/>
        </w:rPr>
      </w:pPr>
      <w:r>
        <w:rPr>
          <w:rFonts w:ascii="Times New Roman" w:hAnsi="Times New Roman"/>
        </w:rPr>
        <w:t>10</w:t>
      </w:r>
      <w:r>
        <w:rPr>
          <w:rFonts w:ascii="Times New Roman" w:hAnsi="Times New Roman"/>
          <w:b/>
        </w:rPr>
        <w:t>.</w:t>
      </w:r>
      <w:r>
        <w:rPr>
          <w:rFonts w:ascii="Times New Roman" w:hAnsi="Times New Roman"/>
          <w:b/>
        </w:rPr>
        <w:tab/>
      </w:r>
      <w:r>
        <w:rPr>
          <w:rFonts w:ascii="Times New Roman" w:hAnsi="Times New Roman"/>
          <w:b/>
          <w:u w:val="single"/>
        </w:rPr>
        <w:t>Describe any assurance of confidentiality provided to respondents</w:t>
      </w:r>
      <w:r>
        <w:rPr>
          <w:rFonts w:ascii="Times New Roman" w:hAnsi="Times New Roman"/>
          <w:b/>
        </w:rPr>
        <w:t>.</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rPr>
      </w:pPr>
    </w:p>
    <w:p w:rsidR="00C248EA" w:rsidRDefault="003A3AF6" w:rsidP="00C248EA">
      <w:pPr>
        <w:tabs>
          <w:tab w:val="left" w:pos="-720"/>
        </w:tabs>
        <w:suppressAutoHyphens/>
        <w:spacing w:line="480" w:lineRule="auto"/>
        <w:rPr>
          <w:rFonts w:ascii="Times New Roman" w:hAnsi="Times New Roman"/>
          <w:spacing w:val="-3"/>
        </w:rPr>
      </w:pPr>
      <w:r>
        <w:rPr>
          <w:rFonts w:ascii="Times New Roman" w:hAnsi="Times New Roman"/>
        </w:rPr>
        <w:tab/>
      </w:r>
      <w:r w:rsidR="00C248EA">
        <w:rPr>
          <w:rFonts w:ascii="Times New Roman" w:hAnsi="Times New Roman"/>
          <w:spacing w:val="-3"/>
        </w:rPr>
        <w:t>The Department will comply with the Privacy Act of 1974</w:t>
      </w:r>
      <w:r w:rsidR="00C248EA" w:rsidRPr="00BD08F4">
        <w:rPr>
          <w:rFonts w:ascii="Times New Roman" w:hAnsi="Times New Roman"/>
          <w:spacing w:val="-3"/>
        </w:rPr>
        <w:t>.</w:t>
      </w:r>
    </w:p>
    <w:p w:rsidR="00E46E1A" w:rsidRDefault="00E46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ight="-720" w:hanging="720"/>
        <w:rPr>
          <w:rFonts w:ascii="Times New Roman" w:hAnsi="Times New Roman"/>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ight="-720" w:hanging="720"/>
        <w:rPr>
          <w:rFonts w:ascii="Times New Roman" w:hAnsi="Times New Roman"/>
        </w:rPr>
      </w:pPr>
      <w:r>
        <w:rPr>
          <w:rFonts w:ascii="Times New Roman" w:hAnsi="Times New Roman"/>
        </w:rPr>
        <w:t>11.</w:t>
      </w:r>
      <w:r>
        <w:rPr>
          <w:rFonts w:ascii="Times New Roman" w:hAnsi="Times New Roman"/>
        </w:rPr>
        <w:tab/>
      </w:r>
      <w:r w:rsidR="00C248EA">
        <w:rPr>
          <w:rFonts w:ascii="Times New Roman" w:hAnsi="Times New Roman"/>
          <w:b/>
          <w:u w:val="single"/>
        </w:rPr>
        <w:t>Justification</w:t>
      </w:r>
      <w:r>
        <w:rPr>
          <w:rFonts w:ascii="Times New Roman" w:hAnsi="Times New Roman"/>
          <w:b/>
          <w:u w:val="single"/>
        </w:rPr>
        <w:t xml:space="preserve"> for any questions of a sensitive nature.</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rPr>
      </w:pPr>
    </w:p>
    <w:p w:rsidR="003A3AF6" w:rsidRDefault="003A3AF6" w:rsidP="00A6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480" w:lineRule="auto"/>
        <w:ind w:left="720" w:right="-720" w:hanging="720"/>
        <w:rPr>
          <w:rFonts w:ascii="Times New Roman" w:hAnsi="Times New Roman"/>
        </w:rPr>
      </w:pPr>
      <w:r>
        <w:rPr>
          <w:rFonts w:ascii="Times New Roman" w:hAnsi="Times New Roman"/>
        </w:rPr>
        <w:tab/>
        <w:t>There are no sensitive questions included in this proposed information collection.</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b/>
        </w:rPr>
      </w:pPr>
      <w:r>
        <w:rPr>
          <w:rFonts w:ascii="Times New Roman" w:hAnsi="Times New Roman"/>
        </w:rPr>
        <w:t>12.</w:t>
      </w:r>
      <w:r>
        <w:rPr>
          <w:rFonts w:ascii="Times New Roman" w:hAnsi="Times New Roman"/>
        </w:rPr>
        <w:tab/>
      </w:r>
      <w:r>
        <w:rPr>
          <w:rFonts w:ascii="Times New Roman" w:hAnsi="Times New Roman"/>
          <w:b/>
          <w:u w:val="single"/>
        </w:rPr>
        <w:t>Provide estimates of the hour burden of the collection of information</w:t>
      </w:r>
      <w:r>
        <w:rPr>
          <w:rFonts w:ascii="Times New Roman" w:hAnsi="Times New Roman"/>
          <w:b/>
        </w:rPr>
        <w:t xml:space="preserve">. </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720"/>
        <w:rPr>
          <w:rFonts w:ascii="Times New Roman" w:hAnsi="Times New Roman"/>
        </w:rPr>
      </w:pPr>
    </w:p>
    <w:p w:rsidR="003A3AF6" w:rsidRDefault="003A3AF6" w:rsidP="00A23B32">
      <w:pPr>
        <w:suppressAutoHyphens/>
        <w:spacing w:line="480" w:lineRule="auto"/>
        <w:ind w:left="720" w:right="-720"/>
        <w:rPr>
          <w:rFonts w:ascii="Times New Roman" w:hAnsi="Times New Roman"/>
        </w:rPr>
      </w:pPr>
      <w:r>
        <w:rPr>
          <w:rFonts w:ascii="Times New Roman" w:hAnsi="Times New Roman"/>
        </w:rPr>
        <w:t xml:space="preserve">Based on </w:t>
      </w:r>
      <w:r w:rsidR="00E46E1A">
        <w:rPr>
          <w:rFonts w:ascii="Times New Roman" w:hAnsi="Times New Roman"/>
        </w:rPr>
        <w:t xml:space="preserve">the </w:t>
      </w:r>
      <w:r>
        <w:rPr>
          <w:rFonts w:ascii="Times New Roman" w:hAnsi="Times New Roman"/>
        </w:rPr>
        <w:t xml:space="preserve">experience over the last </w:t>
      </w:r>
      <w:r w:rsidR="008C7846">
        <w:rPr>
          <w:rFonts w:ascii="Times New Roman" w:hAnsi="Times New Roman"/>
        </w:rPr>
        <w:t>eight</w:t>
      </w:r>
      <w:r>
        <w:rPr>
          <w:rFonts w:ascii="Times New Roman" w:hAnsi="Times New Roman"/>
        </w:rPr>
        <w:t xml:space="preserve"> years</w:t>
      </w:r>
      <w:r w:rsidR="00E46E1A">
        <w:rPr>
          <w:rFonts w:ascii="Times New Roman" w:hAnsi="Times New Roman"/>
        </w:rPr>
        <w:t xml:space="preserve">, FNS </w:t>
      </w:r>
      <w:r>
        <w:rPr>
          <w:rFonts w:ascii="Times New Roman" w:hAnsi="Times New Roman"/>
        </w:rPr>
        <w:t>estimate</w:t>
      </w:r>
      <w:r w:rsidR="00E46E1A">
        <w:rPr>
          <w:rFonts w:ascii="Times New Roman" w:hAnsi="Times New Roman"/>
        </w:rPr>
        <w:t>s</w:t>
      </w:r>
      <w:r>
        <w:rPr>
          <w:rFonts w:ascii="Times New Roman" w:hAnsi="Times New Roman"/>
        </w:rPr>
        <w:t xml:space="preserve"> that there will be </w:t>
      </w:r>
      <w:r w:rsidR="00E46E1A">
        <w:rPr>
          <w:rFonts w:ascii="Times New Roman" w:hAnsi="Times New Roman"/>
        </w:rPr>
        <w:t xml:space="preserve">an </w:t>
      </w:r>
      <w:r>
        <w:rPr>
          <w:rFonts w:ascii="Times New Roman" w:hAnsi="Times New Roman"/>
        </w:rPr>
        <w:t xml:space="preserve">average </w:t>
      </w:r>
      <w:r w:rsidR="008C7846">
        <w:rPr>
          <w:rFonts w:ascii="Times New Roman" w:hAnsi="Times New Roman"/>
        </w:rPr>
        <w:t xml:space="preserve">of </w:t>
      </w:r>
      <w:r w:rsidR="006379F0">
        <w:rPr>
          <w:rFonts w:ascii="Times New Roman" w:hAnsi="Times New Roman"/>
        </w:rPr>
        <w:t xml:space="preserve">fourteen </w:t>
      </w:r>
      <w:r>
        <w:rPr>
          <w:rFonts w:ascii="Times New Roman" w:hAnsi="Times New Roman"/>
        </w:rPr>
        <w:t xml:space="preserve">State agency requests per year to operate </w:t>
      </w:r>
      <w:r w:rsidR="00576D11">
        <w:rPr>
          <w:rFonts w:ascii="Times New Roman" w:hAnsi="Times New Roman"/>
        </w:rPr>
        <w:t xml:space="preserve">a </w:t>
      </w:r>
      <w:r w:rsidR="00A946DF">
        <w:rPr>
          <w:rFonts w:ascii="Times New Roman" w:hAnsi="Times New Roman"/>
        </w:rPr>
        <w:t>D</w:t>
      </w:r>
      <w:r w:rsidR="0089057C">
        <w:rPr>
          <w:rFonts w:ascii="Times New Roman" w:hAnsi="Times New Roman"/>
        </w:rPr>
        <w:t>-</w:t>
      </w:r>
      <w:r w:rsidR="00824AF8">
        <w:rPr>
          <w:rFonts w:ascii="Times New Roman" w:hAnsi="Times New Roman"/>
        </w:rPr>
        <w:t>SNAP</w:t>
      </w:r>
      <w:r w:rsidR="00E46E1A">
        <w:rPr>
          <w:rFonts w:ascii="Times New Roman" w:hAnsi="Times New Roman"/>
        </w:rPr>
        <w:t xml:space="preserve"> and that e</w:t>
      </w:r>
      <w:r w:rsidR="00576D11">
        <w:rPr>
          <w:rFonts w:ascii="Times New Roman" w:hAnsi="Times New Roman"/>
        </w:rPr>
        <w:t xml:space="preserve">ach State agency </w:t>
      </w:r>
      <w:r w:rsidR="00EC284A">
        <w:rPr>
          <w:rFonts w:ascii="Times New Roman" w:hAnsi="Times New Roman"/>
        </w:rPr>
        <w:t xml:space="preserve">will respond once per disaster to the required criteria.  </w:t>
      </w:r>
      <w:r w:rsidR="00E46E1A">
        <w:rPr>
          <w:rFonts w:ascii="Times New Roman" w:hAnsi="Times New Roman"/>
        </w:rPr>
        <w:t>As shown in the table below, w</w:t>
      </w:r>
      <w:r>
        <w:rPr>
          <w:rFonts w:ascii="Times New Roman" w:hAnsi="Times New Roman"/>
        </w:rPr>
        <w:t>e estimate that the preparation of each request</w:t>
      </w:r>
      <w:r w:rsidR="008C7846">
        <w:rPr>
          <w:rFonts w:ascii="Times New Roman" w:hAnsi="Times New Roman"/>
        </w:rPr>
        <w:t>,</w:t>
      </w:r>
      <w:r>
        <w:rPr>
          <w:rFonts w:ascii="Times New Roman" w:hAnsi="Times New Roman"/>
        </w:rPr>
        <w:t xml:space="preserve"> which usually </w:t>
      </w:r>
      <w:r w:rsidR="008C7846">
        <w:rPr>
          <w:rFonts w:ascii="Times New Roman" w:hAnsi="Times New Roman"/>
        </w:rPr>
        <w:t>contains</w:t>
      </w:r>
      <w:r>
        <w:rPr>
          <w:rFonts w:ascii="Times New Roman" w:hAnsi="Times New Roman"/>
        </w:rPr>
        <w:t xml:space="preserve"> a request for waivers of normal </w:t>
      </w:r>
      <w:r w:rsidR="00C332E9">
        <w:rPr>
          <w:rFonts w:ascii="Times New Roman" w:hAnsi="Times New Roman"/>
        </w:rPr>
        <w:t>SNAP</w:t>
      </w:r>
      <w:r>
        <w:rPr>
          <w:rFonts w:ascii="Times New Roman" w:hAnsi="Times New Roman"/>
        </w:rPr>
        <w:t xml:space="preserve"> operating </w:t>
      </w:r>
      <w:r w:rsidR="008C7846">
        <w:rPr>
          <w:rFonts w:ascii="Times New Roman" w:hAnsi="Times New Roman"/>
        </w:rPr>
        <w:t>procedures</w:t>
      </w:r>
      <w:r w:rsidR="00576D11">
        <w:rPr>
          <w:rFonts w:ascii="Times New Roman" w:hAnsi="Times New Roman"/>
        </w:rPr>
        <w:t xml:space="preserve"> and outlines the State’s proposed procedures</w:t>
      </w:r>
      <w:r w:rsidR="008C7846">
        <w:rPr>
          <w:rFonts w:ascii="Times New Roman" w:hAnsi="Times New Roman"/>
        </w:rPr>
        <w:t>,</w:t>
      </w:r>
      <w:r>
        <w:rPr>
          <w:rFonts w:ascii="Times New Roman" w:hAnsi="Times New Roman"/>
        </w:rPr>
        <w:t xml:space="preserve"> requires 10 hours of State </w:t>
      </w:r>
      <w:r>
        <w:rPr>
          <w:rFonts w:ascii="Times New Roman" w:hAnsi="Times New Roman"/>
        </w:rPr>
        <w:lastRenderedPageBreak/>
        <w:t xml:space="preserve">agency personnel time.  </w:t>
      </w:r>
    </w:p>
    <w:p w:rsidR="00E46E1A" w:rsidRDefault="00E46E1A" w:rsidP="00A23B32">
      <w:pPr>
        <w:suppressAutoHyphens/>
        <w:spacing w:line="480" w:lineRule="auto"/>
        <w:ind w:left="720" w:right="-72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990"/>
        <w:gridCol w:w="783"/>
        <w:gridCol w:w="1197"/>
        <w:gridCol w:w="1197"/>
        <w:gridCol w:w="1197"/>
        <w:gridCol w:w="1197"/>
        <w:gridCol w:w="1197"/>
      </w:tblGrid>
      <w:tr w:rsidR="0055009E" w:rsidTr="00375C0A">
        <w:tc>
          <w:tcPr>
            <w:tcW w:w="1818" w:type="dxa"/>
            <w:tcBorders>
              <w:bottom w:val="single" w:sz="4" w:space="0" w:color="000000"/>
            </w:tcBorders>
            <w:shd w:val="pct20" w:color="auto" w:fill="auto"/>
            <w:vAlign w:val="bottom"/>
          </w:tcPr>
          <w:p w:rsidR="0055009E" w:rsidRPr="0055009E" w:rsidRDefault="0055009E" w:rsidP="0055009E">
            <w:pPr>
              <w:widowControl/>
              <w:overflowPunct/>
              <w:autoSpaceDE/>
              <w:autoSpaceDN/>
              <w:adjustRightInd/>
              <w:jc w:val="center"/>
              <w:textAlignment w:val="auto"/>
              <w:rPr>
                <w:rFonts w:ascii="Arial Narrow" w:hAnsi="Arial Narrow" w:cs="Arial"/>
                <w:sz w:val="18"/>
                <w:szCs w:val="18"/>
              </w:rPr>
            </w:pPr>
            <w:r w:rsidRPr="0055009E">
              <w:rPr>
                <w:rFonts w:ascii="Arial Narrow" w:hAnsi="Arial Narrow" w:cs="Arial"/>
                <w:sz w:val="18"/>
                <w:szCs w:val="18"/>
              </w:rPr>
              <w:t>Affected Public</w:t>
            </w:r>
          </w:p>
        </w:tc>
        <w:tc>
          <w:tcPr>
            <w:tcW w:w="990" w:type="dxa"/>
            <w:tcBorders>
              <w:bottom w:val="single" w:sz="4" w:space="0" w:color="000000"/>
            </w:tcBorders>
            <w:shd w:val="pct20" w:color="auto" w:fill="auto"/>
            <w:vAlign w:val="center"/>
          </w:tcPr>
          <w:p w:rsidR="0055009E" w:rsidRPr="0055009E" w:rsidRDefault="0055009E" w:rsidP="0055009E">
            <w:pPr>
              <w:widowControl/>
              <w:overflowPunct/>
              <w:autoSpaceDE/>
              <w:autoSpaceDN/>
              <w:adjustRightInd/>
              <w:jc w:val="center"/>
              <w:textAlignment w:val="auto"/>
              <w:rPr>
                <w:rFonts w:ascii="Arial Narrow" w:hAnsi="Arial Narrow" w:cs="Arial"/>
                <w:sz w:val="18"/>
                <w:szCs w:val="18"/>
              </w:rPr>
            </w:pPr>
            <w:r w:rsidRPr="0055009E">
              <w:rPr>
                <w:rFonts w:ascii="Arial Narrow" w:hAnsi="Arial Narrow" w:cs="Arial"/>
                <w:sz w:val="18"/>
                <w:szCs w:val="18"/>
              </w:rPr>
              <w:t>(b)           Form Number</w:t>
            </w:r>
          </w:p>
        </w:tc>
        <w:tc>
          <w:tcPr>
            <w:tcW w:w="783" w:type="dxa"/>
            <w:tcBorders>
              <w:bottom w:val="single" w:sz="4" w:space="0" w:color="000000"/>
            </w:tcBorders>
            <w:shd w:val="pct20" w:color="auto" w:fill="auto"/>
            <w:vAlign w:val="center"/>
          </w:tcPr>
          <w:p w:rsidR="0055009E" w:rsidRPr="0055009E" w:rsidRDefault="0055009E" w:rsidP="00684AE7">
            <w:pPr>
              <w:widowControl/>
              <w:overflowPunct/>
              <w:autoSpaceDE/>
              <w:autoSpaceDN/>
              <w:adjustRightInd/>
              <w:jc w:val="center"/>
              <w:textAlignment w:val="auto"/>
              <w:rPr>
                <w:rFonts w:ascii="Arial Narrow" w:hAnsi="Arial Narrow" w:cs="Arial"/>
                <w:sz w:val="18"/>
                <w:szCs w:val="18"/>
              </w:rPr>
            </w:pPr>
            <w:r w:rsidRPr="0055009E">
              <w:rPr>
                <w:rFonts w:ascii="Arial Narrow" w:hAnsi="Arial Narrow" w:cs="Arial"/>
                <w:sz w:val="18"/>
                <w:szCs w:val="18"/>
              </w:rPr>
              <w:t>(c )                                   No. Respondents</w:t>
            </w:r>
          </w:p>
        </w:tc>
        <w:tc>
          <w:tcPr>
            <w:tcW w:w="1197" w:type="dxa"/>
            <w:tcBorders>
              <w:bottom w:val="single" w:sz="4" w:space="0" w:color="000000"/>
            </w:tcBorders>
            <w:shd w:val="pct20" w:color="auto" w:fill="auto"/>
            <w:vAlign w:val="center"/>
          </w:tcPr>
          <w:p w:rsidR="0055009E" w:rsidRPr="0055009E" w:rsidRDefault="0055009E" w:rsidP="0055009E">
            <w:pPr>
              <w:widowControl/>
              <w:overflowPunct/>
              <w:autoSpaceDE/>
              <w:autoSpaceDN/>
              <w:adjustRightInd/>
              <w:jc w:val="center"/>
              <w:textAlignment w:val="auto"/>
              <w:rPr>
                <w:rFonts w:ascii="Arial Narrow" w:hAnsi="Arial Narrow" w:cs="Arial"/>
                <w:sz w:val="18"/>
                <w:szCs w:val="18"/>
              </w:rPr>
            </w:pPr>
            <w:r w:rsidRPr="0055009E">
              <w:rPr>
                <w:rFonts w:ascii="Arial Narrow" w:hAnsi="Arial Narrow" w:cs="Arial"/>
                <w:sz w:val="18"/>
                <w:szCs w:val="18"/>
              </w:rPr>
              <w:t xml:space="preserve">Annual Number of Reports </w:t>
            </w:r>
          </w:p>
        </w:tc>
        <w:tc>
          <w:tcPr>
            <w:tcW w:w="1197" w:type="dxa"/>
            <w:tcBorders>
              <w:bottom w:val="single" w:sz="4" w:space="0" w:color="000000"/>
            </w:tcBorders>
            <w:shd w:val="pct20" w:color="auto" w:fill="auto"/>
            <w:vAlign w:val="center"/>
          </w:tcPr>
          <w:p w:rsidR="0055009E" w:rsidRPr="0055009E" w:rsidRDefault="0055009E" w:rsidP="0055009E">
            <w:pPr>
              <w:widowControl/>
              <w:overflowPunct/>
              <w:autoSpaceDE/>
              <w:autoSpaceDN/>
              <w:adjustRightInd/>
              <w:jc w:val="center"/>
              <w:textAlignment w:val="auto"/>
              <w:rPr>
                <w:rFonts w:ascii="Arial Narrow" w:hAnsi="Arial Narrow" w:cs="Arial"/>
                <w:sz w:val="18"/>
                <w:szCs w:val="18"/>
              </w:rPr>
            </w:pPr>
            <w:r w:rsidRPr="0055009E">
              <w:rPr>
                <w:rFonts w:ascii="Arial Narrow" w:hAnsi="Arial Narrow" w:cs="Arial"/>
                <w:sz w:val="18"/>
                <w:szCs w:val="18"/>
              </w:rPr>
              <w:t>(d)                           No. Responses Per Respondent</w:t>
            </w:r>
          </w:p>
        </w:tc>
        <w:tc>
          <w:tcPr>
            <w:tcW w:w="1197" w:type="dxa"/>
            <w:tcBorders>
              <w:bottom w:val="single" w:sz="4" w:space="0" w:color="000000"/>
            </w:tcBorders>
            <w:shd w:val="pct20" w:color="auto" w:fill="auto"/>
            <w:vAlign w:val="center"/>
          </w:tcPr>
          <w:p w:rsidR="0055009E" w:rsidRPr="0055009E" w:rsidRDefault="0055009E" w:rsidP="0055009E">
            <w:pPr>
              <w:widowControl/>
              <w:overflowPunct/>
              <w:autoSpaceDE/>
              <w:autoSpaceDN/>
              <w:adjustRightInd/>
              <w:jc w:val="center"/>
              <w:textAlignment w:val="auto"/>
              <w:rPr>
                <w:rFonts w:ascii="Arial Narrow" w:hAnsi="Arial Narrow" w:cs="Arial"/>
                <w:sz w:val="18"/>
                <w:szCs w:val="18"/>
              </w:rPr>
            </w:pPr>
            <w:r w:rsidRPr="0055009E">
              <w:rPr>
                <w:rFonts w:ascii="Arial Narrow" w:hAnsi="Arial Narrow" w:cs="Arial"/>
                <w:sz w:val="18"/>
                <w:szCs w:val="18"/>
              </w:rPr>
              <w:t>(e)                                     Est. Total Annual Responses          (cxd)</w:t>
            </w:r>
          </w:p>
        </w:tc>
        <w:tc>
          <w:tcPr>
            <w:tcW w:w="1197" w:type="dxa"/>
            <w:tcBorders>
              <w:bottom w:val="single" w:sz="4" w:space="0" w:color="000000"/>
            </w:tcBorders>
            <w:shd w:val="pct20" w:color="auto" w:fill="auto"/>
            <w:vAlign w:val="center"/>
          </w:tcPr>
          <w:p w:rsidR="0055009E" w:rsidRPr="0055009E" w:rsidRDefault="0055009E" w:rsidP="0055009E">
            <w:pPr>
              <w:widowControl/>
              <w:overflowPunct/>
              <w:autoSpaceDE/>
              <w:autoSpaceDN/>
              <w:adjustRightInd/>
              <w:jc w:val="center"/>
              <w:textAlignment w:val="auto"/>
              <w:rPr>
                <w:rFonts w:ascii="Arial Narrow" w:hAnsi="Arial Narrow" w:cs="Arial"/>
                <w:sz w:val="18"/>
                <w:szCs w:val="18"/>
              </w:rPr>
            </w:pPr>
            <w:r w:rsidRPr="0055009E">
              <w:rPr>
                <w:rFonts w:ascii="Arial Narrow" w:hAnsi="Arial Narrow" w:cs="Arial"/>
                <w:sz w:val="18"/>
                <w:szCs w:val="18"/>
              </w:rPr>
              <w:t>(f)                               Hours Per Response</w:t>
            </w:r>
          </w:p>
        </w:tc>
        <w:tc>
          <w:tcPr>
            <w:tcW w:w="1197" w:type="dxa"/>
            <w:tcBorders>
              <w:bottom w:val="single" w:sz="4" w:space="0" w:color="000000"/>
            </w:tcBorders>
            <w:shd w:val="pct20" w:color="auto" w:fill="auto"/>
            <w:vAlign w:val="center"/>
          </w:tcPr>
          <w:p w:rsidR="0055009E" w:rsidRPr="0055009E" w:rsidRDefault="0055009E" w:rsidP="00684AE7">
            <w:pPr>
              <w:widowControl/>
              <w:overflowPunct/>
              <w:autoSpaceDE/>
              <w:autoSpaceDN/>
              <w:adjustRightInd/>
              <w:jc w:val="center"/>
              <w:textAlignment w:val="auto"/>
              <w:rPr>
                <w:rFonts w:ascii="Arial Narrow" w:hAnsi="Arial Narrow" w:cs="Arial"/>
                <w:sz w:val="18"/>
                <w:szCs w:val="18"/>
              </w:rPr>
            </w:pPr>
            <w:r w:rsidRPr="0055009E">
              <w:rPr>
                <w:rFonts w:ascii="Arial Narrow" w:hAnsi="Arial Narrow" w:cs="Arial"/>
                <w:sz w:val="18"/>
                <w:szCs w:val="18"/>
              </w:rPr>
              <w:t>(g)                             Total Burden                 (exf)</w:t>
            </w:r>
          </w:p>
        </w:tc>
      </w:tr>
      <w:tr w:rsidR="0055009E" w:rsidTr="00375C0A">
        <w:tc>
          <w:tcPr>
            <w:tcW w:w="1818" w:type="dxa"/>
            <w:tcBorders>
              <w:right w:val="nil"/>
            </w:tcBorders>
            <w:shd w:val="clear" w:color="auto" w:fill="B6DDE8"/>
            <w:vAlign w:val="bottom"/>
          </w:tcPr>
          <w:p w:rsidR="0055009E" w:rsidRPr="0055009E" w:rsidRDefault="0055009E" w:rsidP="0055009E">
            <w:pPr>
              <w:widowControl/>
              <w:overflowPunct/>
              <w:autoSpaceDE/>
              <w:autoSpaceDN/>
              <w:adjustRightInd/>
              <w:textAlignment w:val="auto"/>
              <w:rPr>
                <w:rFonts w:ascii="Arial" w:hAnsi="Arial" w:cs="Arial"/>
                <w:b/>
                <w:bCs/>
                <w:color w:val="003366"/>
                <w:sz w:val="18"/>
                <w:szCs w:val="18"/>
              </w:rPr>
            </w:pPr>
            <w:r w:rsidRPr="0055009E">
              <w:rPr>
                <w:rFonts w:ascii="Arial" w:hAnsi="Arial" w:cs="Arial"/>
                <w:b/>
                <w:bCs/>
                <w:color w:val="003366"/>
                <w:sz w:val="18"/>
                <w:szCs w:val="18"/>
              </w:rPr>
              <w:t>Reporting Burden</w:t>
            </w:r>
          </w:p>
        </w:tc>
        <w:tc>
          <w:tcPr>
            <w:tcW w:w="990" w:type="dxa"/>
            <w:tcBorders>
              <w:left w:val="nil"/>
              <w:right w:val="nil"/>
            </w:tcBorders>
            <w:shd w:val="clear" w:color="auto" w:fill="B6DDE8"/>
            <w:vAlign w:val="bottom"/>
          </w:tcPr>
          <w:p w:rsidR="0055009E" w:rsidRPr="0055009E" w:rsidRDefault="0055009E" w:rsidP="0055009E">
            <w:pPr>
              <w:widowControl/>
              <w:overflowPunct/>
              <w:autoSpaceDE/>
              <w:autoSpaceDN/>
              <w:adjustRightInd/>
              <w:textAlignment w:val="auto"/>
              <w:rPr>
                <w:rFonts w:ascii="Arial" w:hAnsi="Arial" w:cs="Arial"/>
                <w:b/>
                <w:bCs/>
                <w:color w:val="003366"/>
                <w:sz w:val="18"/>
                <w:szCs w:val="18"/>
              </w:rPr>
            </w:pPr>
            <w:r w:rsidRPr="0055009E">
              <w:rPr>
                <w:rFonts w:ascii="Arial" w:hAnsi="Arial" w:cs="Arial"/>
                <w:b/>
                <w:bCs/>
                <w:color w:val="003366"/>
                <w:sz w:val="18"/>
                <w:szCs w:val="18"/>
              </w:rPr>
              <w:t> </w:t>
            </w:r>
          </w:p>
        </w:tc>
        <w:tc>
          <w:tcPr>
            <w:tcW w:w="783" w:type="dxa"/>
            <w:tcBorders>
              <w:left w:val="nil"/>
              <w:right w:val="nil"/>
            </w:tcBorders>
            <w:shd w:val="clear" w:color="auto" w:fill="B6DDE8"/>
            <w:vAlign w:val="bottom"/>
          </w:tcPr>
          <w:p w:rsidR="0055009E" w:rsidRPr="0055009E" w:rsidRDefault="0055009E" w:rsidP="0055009E">
            <w:pPr>
              <w:widowControl/>
              <w:overflowPunct/>
              <w:autoSpaceDE/>
              <w:autoSpaceDN/>
              <w:adjustRightInd/>
              <w:jc w:val="center"/>
              <w:textAlignment w:val="auto"/>
              <w:rPr>
                <w:rFonts w:ascii="Arial Narrow" w:hAnsi="Arial Narrow" w:cs="Arial"/>
                <w:color w:val="003366"/>
                <w:sz w:val="18"/>
                <w:szCs w:val="18"/>
              </w:rPr>
            </w:pPr>
            <w:r w:rsidRPr="0055009E">
              <w:rPr>
                <w:rFonts w:ascii="Arial Narrow" w:hAnsi="Arial Narrow" w:cs="Arial"/>
                <w:color w:val="003366"/>
                <w:sz w:val="18"/>
                <w:szCs w:val="18"/>
              </w:rPr>
              <w:t> </w:t>
            </w:r>
          </w:p>
        </w:tc>
        <w:tc>
          <w:tcPr>
            <w:tcW w:w="1197" w:type="dxa"/>
            <w:tcBorders>
              <w:left w:val="nil"/>
              <w:right w:val="nil"/>
            </w:tcBorders>
            <w:shd w:val="clear" w:color="auto" w:fill="B6DDE8"/>
            <w:vAlign w:val="bottom"/>
          </w:tcPr>
          <w:p w:rsidR="0055009E" w:rsidRPr="0055009E" w:rsidRDefault="0055009E" w:rsidP="0055009E">
            <w:pPr>
              <w:widowControl/>
              <w:overflowPunct/>
              <w:autoSpaceDE/>
              <w:autoSpaceDN/>
              <w:adjustRightInd/>
              <w:jc w:val="center"/>
              <w:textAlignment w:val="auto"/>
              <w:rPr>
                <w:rFonts w:ascii="Arial Narrow" w:hAnsi="Arial Narrow" w:cs="Arial"/>
                <w:color w:val="003366"/>
                <w:sz w:val="18"/>
                <w:szCs w:val="18"/>
              </w:rPr>
            </w:pPr>
            <w:r w:rsidRPr="0055009E">
              <w:rPr>
                <w:rFonts w:ascii="Arial Narrow" w:hAnsi="Arial Narrow" w:cs="Arial"/>
                <w:color w:val="003366"/>
                <w:sz w:val="18"/>
                <w:szCs w:val="18"/>
              </w:rPr>
              <w:t> </w:t>
            </w:r>
          </w:p>
        </w:tc>
        <w:tc>
          <w:tcPr>
            <w:tcW w:w="1197" w:type="dxa"/>
            <w:tcBorders>
              <w:left w:val="nil"/>
              <w:right w:val="nil"/>
            </w:tcBorders>
            <w:shd w:val="clear" w:color="auto" w:fill="B6DDE8"/>
            <w:vAlign w:val="bottom"/>
          </w:tcPr>
          <w:p w:rsidR="0055009E" w:rsidRPr="0055009E" w:rsidRDefault="0055009E" w:rsidP="0055009E">
            <w:pPr>
              <w:widowControl/>
              <w:overflowPunct/>
              <w:autoSpaceDE/>
              <w:autoSpaceDN/>
              <w:adjustRightInd/>
              <w:jc w:val="center"/>
              <w:textAlignment w:val="auto"/>
              <w:rPr>
                <w:rFonts w:ascii="Arial Narrow" w:hAnsi="Arial Narrow" w:cs="Arial"/>
                <w:color w:val="003366"/>
                <w:sz w:val="18"/>
                <w:szCs w:val="18"/>
              </w:rPr>
            </w:pPr>
            <w:r w:rsidRPr="0055009E">
              <w:rPr>
                <w:rFonts w:ascii="Arial Narrow" w:hAnsi="Arial Narrow" w:cs="Arial"/>
                <w:color w:val="003366"/>
                <w:sz w:val="18"/>
                <w:szCs w:val="18"/>
              </w:rPr>
              <w:t> </w:t>
            </w:r>
          </w:p>
        </w:tc>
        <w:tc>
          <w:tcPr>
            <w:tcW w:w="1197" w:type="dxa"/>
            <w:tcBorders>
              <w:left w:val="nil"/>
              <w:right w:val="nil"/>
            </w:tcBorders>
            <w:shd w:val="clear" w:color="auto" w:fill="B6DDE8"/>
            <w:vAlign w:val="bottom"/>
          </w:tcPr>
          <w:p w:rsidR="0055009E" w:rsidRPr="0055009E" w:rsidRDefault="0055009E" w:rsidP="0055009E">
            <w:pPr>
              <w:widowControl/>
              <w:overflowPunct/>
              <w:autoSpaceDE/>
              <w:autoSpaceDN/>
              <w:adjustRightInd/>
              <w:jc w:val="center"/>
              <w:textAlignment w:val="auto"/>
              <w:rPr>
                <w:rFonts w:ascii="Arial Narrow" w:hAnsi="Arial Narrow" w:cs="Arial"/>
                <w:color w:val="003366"/>
                <w:sz w:val="18"/>
                <w:szCs w:val="18"/>
              </w:rPr>
            </w:pPr>
            <w:r w:rsidRPr="0055009E">
              <w:rPr>
                <w:rFonts w:ascii="Arial Narrow" w:hAnsi="Arial Narrow" w:cs="Arial"/>
                <w:color w:val="003366"/>
                <w:sz w:val="18"/>
                <w:szCs w:val="18"/>
              </w:rPr>
              <w:t> </w:t>
            </w:r>
          </w:p>
        </w:tc>
        <w:tc>
          <w:tcPr>
            <w:tcW w:w="1197" w:type="dxa"/>
            <w:tcBorders>
              <w:left w:val="nil"/>
              <w:right w:val="nil"/>
            </w:tcBorders>
            <w:shd w:val="clear" w:color="auto" w:fill="B6DDE8"/>
            <w:vAlign w:val="bottom"/>
          </w:tcPr>
          <w:p w:rsidR="0055009E" w:rsidRPr="0055009E" w:rsidRDefault="0055009E" w:rsidP="0055009E">
            <w:pPr>
              <w:widowControl/>
              <w:overflowPunct/>
              <w:autoSpaceDE/>
              <w:autoSpaceDN/>
              <w:adjustRightInd/>
              <w:jc w:val="center"/>
              <w:textAlignment w:val="auto"/>
              <w:rPr>
                <w:rFonts w:ascii="Arial Narrow" w:hAnsi="Arial Narrow" w:cs="Arial"/>
                <w:color w:val="003366"/>
                <w:sz w:val="18"/>
                <w:szCs w:val="18"/>
              </w:rPr>
            </w:pPr>
            <w:r w:rsidRPr="0055009E">
              <w:rPr>
                <w:rFonts w:ascii="Arial Narrow" w:hAnsi="Arial Narrow" w:cs="Arial"/>
                <w:color w:val="003366"/>
                <w:sz w:val="18"/>
                <w:szCs w:val="18"/>
              </w:rPr>
              <w:t> </w:t>
            </w:r>
          </w:p>
        </w:tc>
        <w:tc>
          <w:tcPr>
            <w:tcW w:w="1197" w:type="dxa"/>
            <w:tcBorders>
              <w:left w:val="nil"/>
            </w:tcBorders>
            <w:shd w:val="clear" w:color="auto" w:fill="B6DDE8"/>
            <w:vAlign w:val="bottom"/>
          </w:tcPr>
          <w:p w:rsidR="0055009E" w:rsidRPr="0055009E" w:rsidRDefault="0055009E" w:rsidP="0055009E">
            <w:pPr>
              <w:widowControl/>
              <w:overflowPunct/>
              <w:autoSpaceDE/>
              <w:autoSpaceDN/>
              <w:adjustRightInd/>
              <w:jc w:val="center"/>
              <w:textAlignment w:val="auto"/>
              <w:rPr>
                <w:rFonts w:ascii="Arial" w:hAnsi="Arial" w:cs="Arial"/>
                <w:color w:val="003366"/>
                <w:sz w:val="18"/>
                <w:szCs w:val="18"/>
              </w:rPr>
            </w:pPr>
            <w:r w:rsidRPr="0055009E">
              <w:rPr>
                <w:rFonts w:ascii="Arial" w:hAnsi="Arial" w:cs="Arial"/>
                <w:color w:val="003366"/>
                <w:sz w:val="18"/>
                <w:szCs w:val="18"/>
              </w:rPr>
              <w:t> </w:t>
            </w:r>
          </w:p>
        </w:tc>
      </w:tr>
      <w:tr w:rsidR="0055009E" w:rsidTr="00375C0A">
        <w:trPr>
          <w:trHeight w:val="287"/>
        </w:trPr>
        <w:tc>
          <w:tcPr>
            <w:tcW w:w="1818" w:type="dxa"/>
          </w:tcPr>
          <w:p w:rsidR="0055009E" w:rsidRDefault="0055009E" w:rsidP="007D1360">
            <w:r w:rsidRPr="0055009E">
              <w:rPr>
                <w:rFonts w:ascii="Arial" w:hAnsi="Arial" w:cs="Arial"/>
                <w:sz w:val="18"/>
                <w:szCs w:val="18"/>
              </w:rPr>
              <w:t>State Agencies</w:t>
            </w:r>
          </w:p>
        </w:tc>
        <w:tc>
          <w:tcPr>
            <w:tcW w:w="990" w:type="dxa"/>
          </w:tcPr>
          <w:p w:rsidR="0055009E" w:rsidRDefault="0055009E" w:rsidP="007D1360">
            <w:r w:rsidRPr="0055009E">
              <w:rPr>
                <w:rFonts w:ascii="Arial" w:hAnsi="Arial" w:cs="Arial"/>
                <w:sz w:val="18"/>
                <w:szCs w:val="18"/>
              </w:rPr>
              <w:t>N/A</w:t>
            </w:r>
          </w:p>
        </w:tc>
        <w:tc>
          <w:tcPr>
            <w:tcW w:w="783" w:type="dxa"/>
          </w:tcPr>
          <w:p w:rsidR="0055009E" w:rsidRDefault="0055009E" w:rsidP="007D1360">
            <w:r w:rsidRPr="0055009E">
              <w:rPr>
                <w:rFonts w:ascii="Arial" w:hAnsi="Arial" w:cs="Arial"/>
                <w:sz w:val="18"/>
                <w:szCs w:val="18"/>
              </w:rPr>
              <w:t>14.00</w:t>
            </w:r>
          </w:p>
        </w:tc>
        <w:tc>
          <w:tcPr>
            <w:tcW w:w="1197" w:type="dxa"/>
          </w:tcPr>
          <w:p w:rsidR="0055009E" w:rsidRDefault="0055009E" w:rsidP="007D1360">
            <w:r w:rsidRPr="0055009E">
              <w:rPr>
                <w:rFonts w:ascii="Arial" w:hAnsi="Arial" w:cs="Arial"/>
                <w:sz w:val="18"/>
                <w:szCs w:val="18"/>
              </w:rPr>
              <w:t>1.00</w:t>
            </w:r>
          </w:p>
        </w:tc>
        <w:tc>
          <w:tcPr>
            <w:tcW w:w="1197" w:type="dxa"/>
          </w:tcPr>
          <w:p w:rsidR="0055009E" w:rsidRPr="0055009E" w:rsidRDefault="0055009E" w:rsidP="007D1360">
            <w:pPr>
              <w:rPr>
                <w:rFonts w:ascii="Arial" w:hAnsi="Arial" w:cs="Arial"/>
                <w:sz w:val="18"/>
                <w:szCs w:val="18"/>
              </w:rPr>
            </w:pPr>
            <w:r w:rsidRPr="0055009E">
              <w:rPr>
                <w:rFonts w:ascii="Arial" w:hAnsi="Arial" w:cs="Arial"/>
                <w:sz w:val="18"/>
                <w:szCs w:val="18"/>
              </w:rPr>
              <w:t>1.0</w:t>
            </w:r>
          </w:p>
        </w:tc>
        <w:tc>
          <w:tcPr>
            <w:tcW w:w="1197" w:type="dxa"/>
          </w:tcPr>
          <w:p w:rsidR="0055009E" w:rsidRPr="0055009E" w:rsidRDefault="0055009E" w:rsidP="007D1360">
            <w:pPr>
              <w:rPr>
                <w:rFonts w:ascii="Arial" w:hAnsi="Arial" w:cs="Arial"/>
                <w:sz w:val="18"/>
                <w:szCs w:val="18"/>
              </w:rPr>
            </w:pPr>
            <w:r w:rsidRPr="0055009E">
              <w:rPr>
                <w:rFonts w:ascii="Arial" w:hAnsi="Arial" w:cs="Arial"/>
                <w:sz w:val="18"/>
                <w:szCs w:val="18"/>
              </w:rPr>
              <w:t>14</w:t>
            </w:r>
          </w:p>
        </w:tc>
        <w:tc>
          <w:tcPr>
            <w:tcW w:w="1197" w:type="dxa"/>
          </w:tcPr>
          <w:p w:rsidR="0055009E" w:rsidRPr="0055009E" w:rsidRDefault="0055009E" w:rsidP="007D1360">
            <w:pPr>
              <w:rPr>
                <w:rFonts w:ascii="Arial" w:hAnsi="Arial" w:cs="Arial"/>
                <w:sz w:val="18"/>
                <w:szCs w:val="18"/>
              </w:rPr>
            </w:pPr>
            <w:r w:rsidRPr="0055009E">
              <w:rPr>
                <w:rFonts w:ascii="Arial" w:hAnsi="Arial" w:cs="Arial"/>
                <w:sz w:val="18"/>
                <w:szCs w:val="18"/>
              </w:rPr>
              <w:t>10</w:t>
            </w:r>
          </w:p>
        </w:tc>
        <w:tc>
          <w:tcPr>
            <w:tcW w:w="1197" w:type="dxa"/>
          </w:tcPr>
          <w:p w:rsidR="0055009E" w:rsidRPr="0055009E" w:rsidRDefault="0055009E" w:rsidP="007D1360">
            <w:pPr>
              <w:rPr>
                <w:rFonts w:ascii="Arial" w:hAnsi="Arial" w:cs="Arial"/>
                <w:sz w:val="18"/>
                <w:szCs w:val="18"/>
              </w:rPr>
            </w:pPr>
          </w:p>
        </w:tc>
      </w:tr>
      <w:tr w:rsidR="0055009E" w:rsidTr="00375C0A">
        <w:tc>
          <w:tcPr>
            <w:tcW w:w="1818" w:type="dxa"/>
          </w:tcPr>
          <w:p w:rsidR="0055009E" w:rsidRDefault="0055009E" w:rsidP="007D1360">
            <w:r w:rsidRPr="0055009E">
              <w:rPr>
                <w:rFonts w:ascii="Arial" w:hAnsi="Arial" w:cs="Arial"/>
                <w:b/>
                <w:bCs/>
                <w:sz w:val="18"/>
                <w:szCs w:val="18"/>
              </w:rPr>
              <w:t>Total Annual Burden Estimates</w:t>
            </w:r>
          </w:p>
        </w:tc>
        <w:tc>
          <w:tcPr>
            <w:tcW w:w="990" w:type="dxa"/>
          </w:tcPr>
          <w:p w:rsidR="0055009E" w:rsidRDefault="0055009E" w:rsidP="007D1360"/>
        </w:tc>
        <w:tc>
          <w:tcPr>
            <w:tcW w:w="783" w:type="dxa"/>
          </w:tcPr>
          <w:p w:rsidR="0055009E" w:rsidRDefault="0055009E" w:rsidP="007D1360">
            <w:r w:rsidRPr="0055009E">
              <w:rPr>
                <w:rFonts w:ascii="Arial" w:hAnsi="Arial" w:cs="Arial"/>
                <w:sz w:val="18"/>
                <w:szCs w:val="18"/>
              </w:rPr>
              <w:t>14.00</w:t>
            </w:r>
          </w:p>
        </w:tc>
        <w:tc>
          <w:tcPr>
            <w:tcW w:w="1197" w:type="dxa"/>
          </w:tcPr>
          <w:p w:rsidR="0055009E" w:rsidRDefault="0055009E" w:rsidP="007D1360">
            <w:r w:rsidRPr="0055009E">
              <w:rPr>
                <w:rFonts w:ascii="Arial" w:hAnsi="Arial" w:cs="Arial"/>
                <w:sz w:val="18"/>
                <w:szCs w:val="18"/>
              </w:rPr>
              <w:t>1.00</w:t>
            </w:r>
          </w:p>
        </w:tc>
        <w:tc>
          <w:tcPr>
            <w:tcW w:w="1197" w:type="dxa"/>
          </w:tcPr>
          <w:p w:rsidR="0055009E" w:rsidRPr="0055009E" w:rsidRDefault="0055009E" w:rsidP="007D1360">
            <w:pPr>
              <w:rPr>
                <w:rFonts w:ascii="Arial" w:hAnsi="Arial" w:cs="Arial"/>
                <w:sz w:val="18"/>
                <w:szCs w:val="18"/>
              </w:rPr>
            </w:pPr>
            <w:r w:rsidRPr="0055009E">
              <w:rPr>
                <w:rFonts w:ascii="Arial" w:hAnsi="Arial" w:cs="Arial"/>
                <w:sz w:val="18"/>
                <w:szCs w:val="18"/>
              </w:rPr>
              <w:t>1.0</w:t>
            </w:r>
          </w:p>
        </w:tc>
        <w:tc>
          <w:tcPr>
            <w:tcW w:w="1197" w:type="dxa"/>
          </w:tcPr>
          <w:p w:rsidR="0055009E" w:rsidRPr="0055009E" w:rsidRDefault="0055009E" w:rsidP="007D1360">
            <w:pPr>
              <w:rPr>
                <w:rFonts w:ascii="Arial" w:hAnsi="Arial" w:cs="Arial"/>
                <w:sz w:val="18"/>
                <w:szCs w:val="18"/>
              </w:rPr>
            </w:pPr>
            <w:r w:rsidRPr="0055009E">
              <w:rPr>
                <w:rFonts w:ascii="Arial" w:hAnsi="Arial" w:cs="Arial"/>
                <w:sz w:val="18"/>
                <w:szCs w:val="18"/>
              </w:rPr>
              <w:t>14</w:t>
            </w:r>
          </w:p>
        </w:tc>
        <w:tc>
          <w:tcPr>
            <w:tcW w:w="1197" w:type="dxa"/>
          </w:tcPr>
          <w:p w:rsidR="0055009E" w:rsidRPr="0055009E" w:rsidRDefault="0055009E" w:rsidP="007D1360">
            <w:pPr>
              <w:rPr>
                <w:rFonts w:ascii="Arial" w:hAnsi="Arial" w:cs="Arial"/>
                <w:sz w:val="18"/>
                <w:szCs w:val="18"/>
              </w:rPr>
            </w:pPr>
            <w:r w:rsidRPr="0055009E">
              <w:rPr>
                <w:rFonts w:ascii="Arial" w:hAnsi="Arial" w:cs="Arial"/>
                <w:sz w:val="18"/>
                <w:szCs w:val="18"/>
              </w:rPr>
              <w:t>10</w:t>
            </w:r>
          </w:p>
        </w:tc>
        <w:tc>
          <w:tcPr>
            <w:tcW w:w="1197" w:type="dxa"/>
          </w:tcPr>
          <w:p w:rsidR="0055009E" w:rsidRPr="0055009E" w:rsidRDefault="0055009E" w:rsidP="007D1360">
            <w:pPr>
              <w:rPr>
                <w:rFonts w:ascii="Arial" w:hAnsi="Arial" w:cs="Arial"/>
                <w:sz w:val="18"/>
                <w:szCs w:val="18"/>
              </w:rPr>
            </w:pPr>
            <w:r w:rsidRPr="0055009E">
              <w:rPr>
                <w:rFonts w:ascii="Arial" w:hAnsi="Arial" w:cs="Arial"/>
                <w:sz w:val="18"/>
                <w:szCs w:val="18"/>
              </w:rPr>
              <w:t>140</w:t>
            </w:r>
          </w:p>
        </w:tc>
      </w:tr>
    </w:tbl>
    <w:p w:rsidR="0055009E" w:rsidRDefault="0055009E" w:rsidP="00A23B32">
      <w:pPr>
        <w:suppressAutoHyphens/>
        <w:spacing w:line="480" w:lineRule="auto"/>
        <w:ind w:left="720" w:right="-720"/>
        <w:rPr>
          <w:rFonts w:ascii="Times New Roman" w:hAnsi="Times New Roman"/>
        </w:rPr>
      </w:pPr>
    </w:p>
    <w:p w:rsidR="00E46E1A" w:rsidRDefault="00E46E1A" w:rsidP="00A23B32">
      <w:pPr>
        <w:suppressAutoHyphens/>
        <w:spacing w:line="480" w:lineRule="auto"/>
        <w:ind w:left="720" w:right="-720"/>
        <w:rPr>
          <w:rFonts w:ascii="Times New Roman" w:hAnsi="Times New Roman"/>
        </w:rPr>
      </w:pPr>
    </w:p>
    <w:p w:rsidR="00BA0401" w:rsidRDefault="003A3AF6" w:rsidP="00A23B32">
      <w:pPr>
        <w:suppressAutoHyphens/>
        <w:spacing w:line="480" w:lineRule="auto"/>
        <w:ind w:left="720" w:right="-720"/>
        <w:rPr>
          <w:rFonts w:ascii="Times New Roman" w:hAnsi="Times New Roman"/>
        </w:rPr>
      </w:pPr>
      <w:r>
        <w:rPr>
          <w:rFonts w:ascii="Times New Roman" w:hAnsi="Times New Roman"/>
        </w:rPr>
        <w:t xml:space="preserve"> </w:t>
      </w:r>
      <w:r w:rsidR="00576D11">
        <w:rPr>
          <w:rFonts w:ascii="Times New Roman" w:hAnsi="Times New Roman"/>
        </w:rPr>
        <w:t xml:space="preserve">Based on the burden hours shown above, </w:t>
      </w:r>
      <w:r w:rsidR="0075156E">
        <w:rPr>
          <w:rFonts w:ascii="Times New Roman" w:hAnsi="Times New Roman"/>
        </w:rPr>
        <w:t xml:space="preserve">FNS estimates that </w:t>
      </w:r>
      <w:r w:rsidR="00576D11">
        <w:rPr>
          <w:rFonts w:ascii="Times New Roman" w:hAnsi="Times New Roman"/>
        </w:rPr>
        <w:t xml:space="preserve">this information collection will result in </w:t>
      </w:r>
      <w:r>
        <w:rPr>
          <w:rFonts w:ascii="Times New Roman" w:hAnsi="Times New Roman"/>
        </w:rPr>
        <w:t xml:space="preserve">a total cost </w:t>
      </w:r>
      <w:r w:rsidR="00753111">
        <w:rPr>
          <w:rFonts w:ascii="Times New Roman" w:hAnsi="Times New Roman"/>
        </w:rPr>
        <w:t xml:space="preserve">across </w:t>
      </w:r>
      <w:r w:rsidR="00BA0401">
        <w:rPr>
          <w:rFonts w:ascii="Times New Roman" w:hAnsi="Times New Roman"/>
        </w:rPr>
        <w:t xml:space="preserve">State agencies of </w:t>
      </w:r>
      <w:r w:rsidR="00B4621C">
        <w:rPr>
          <w:rFonts w:ascii="Times New Roman" w:hAnsi="Times New Roman"/>
        </w:rPr>
        <w:t>$</w:t>
      </w:r>
      <w:r w:rsidR="009476DE">
        <w:rPr>
          <w:rFonts w:ascii="Times New Roman" w:hAnsi="Times New Roman"/>
        </w:rPr>
        <w:t>2</w:t>
      </w:r>
      <w:r w:rsidR="003E7FBF">
        <w:rPr>
          <w:rFonts w:ascii="Times New Roman" w:hAnsi="Times New Roman"/>
        </w:rPr>
        <w:t>,</w:t>
      </w:r>
      <w:r w:rsidR="009476DE">
        <w:rPr>
          <w:rFonts w:ascii="Times New Roman" w:hAnsi="Times New Roman"/>
        </w:rPr>
        <w:t xml:space="preserve">173 </w:t>
      </w:r>
      <w:r>
        <w:rPr>
          <w:rFonts w:ascii="Times New Roman" w:hAnsi="Times New Roman"/>
        </w:rPr>
        <w:t>per year</w:t>
      </w:r>
      <w:r w:rsidR="00753111">
        <w:rPr>
          <w:rFonts w:ascii="Times New Roman" w:hAnsi="Times New Roman"/>
        </w:rPr>
        <w:t xml:space="preserve">.  This calculation assumes a net hourly rate for State personnel of </w:t>
      </w:r>
      <w:r w:rsidR="00BA0401" w:rsidRPr="00BA0401">
        <w:rPr>
          <w:rFonts w:ascii="Times New Roman" w:hAnsi="Times New Roman"/>
          <w:szCs w:val="24"/>
        </w:rPr>
        <w:t>$15.52</w:t>
      </w:r>
      <w:r w:rsidR="00BA0401">
        <w:rPr>
          <w:rFonts w:ascii="Arial" w:hAnsi="Arial" w:cs="Arial"/>
          <w:sz w:val="20"/>
        </w:rPr>
        <w:t xml:space="preserve"> </w:t>
      </w:r>
      <w:r w:rsidR="00BA0401" w:rsidRPr="00BA0401">
        <w:rPr>
          <w:rFonts w:ascii="Times New Roman" w:hAnsi="Times New Roman"/>
          <w:szCs w:val="24"/>
        </w:rPr>
        <w:t>per hour</w:t>
      </w:r>
      <w:r w:rsidR="00BA0401">
        <w:rPr>
          <w:rFonts w:ascii="Times New Roman" w:hAnsi="Times New Roman"/>
          <w:szCs w:val="24"/>
        </w:rPr>
        <w:t xml:space="preserve"> </w:t>
      </w:r>
      <w:r w:rsidR="00753111">
        <w:rPr>
          <w:rFonts w:ascii="Times New Roman" w:hAnsi="Times New Roman"/>
          <w:szCs w:val="24"/>
        </w:rPr>
        <w:t xml:space="preserve">(a total hourly rate of </w:t>
      </w:r>
      <w:r w:rsidR="00BA0401">
        <w:rPr>
          <w:rFonts w:ascii="Times New Roman" w:hAnsi="Times New Roman"/>
          <w:szCs w:val="24"/>
        </w:rPr>
        <w:t>$31.04 less 50</w:t>
      </w:r>
      <w:r w:rsidR="00753111">
        <w:rPr>
          <w:rFonts w:ascii="Times New Roman" w:hAnsi="Times New Roman"/>
          <w:szCs w:val="24"/>
        </w:rPr>
        <w:t xml:space="preserve"> percent </w:t>
      </w:r>
      <w:r w:rsidR="00BA0401">
        <w:rPr>
          <w:rFonts w:ascii="Times New Roman" w:hAnsi="Times New Roman"/>
          <w:szCs w:val="24"/>
        </w:rPr>
        <w:t>Federal reimbursement</w:t>
      </w:r>
      <w:r w:rsidR="00375C0A">
        <w:rPr>
          <w:rFonts w:ascii="Times New Roman" w:hAnsi="Times New Roman"/>
          <w:szCs w:val="24"/>
        </w:rPr>
        <w:t>).</w:t>
      </w:r>
    </w:p>
    <w:p w:rsidR="00C41DE4" w:rsidRDefault="00C41DE4" w:rsidP="00A6199D">
      <w:pPr>
        <w:suppressAutoHyphens/>
        <w:spacing w:line="480" w:lineRule="auto"/>
        <w:ind w:left="720" w:right="-720"/>
        <w:rPr>
          <w:rFonts w:ascii="Times New Roman" w:hAnsi="Times New Roman"/>
        </w:rPr>
      </w:pPr>
    </w:p>
    <w:p w:rsidR="003A3AF6" w:rsidRDefault="003A3AF6">
      <w:pPr>
        <w:suppressAutoHyphens/>
        <w:ind w:left="720" w:right="-720" w:hanging="720"/>
        <w:rPr>
          <w:rFonts w:ascii="Times New Roman" w:hAnsi="Times New Roman"/>
          <w:b/>
        </w:rPr>
      </w:pPr>
      <w:r>
        <w:rPr>
          <w:rFonts w:ascii="Times New Roman" w:hAnsi="Times New Roman"/>
        </w:rPr>
        <w:t xml:space="preserve">13.       </w:t>
      </w:r>
      <w:r>
        <w:rPr>
          <w:rFonts w:ascii="Times New Roman" w:hAnsi="Times New Roman"/>
          <w:b/>
          <w:u w:val="single"/>
        </w:rPr>
        <w:t>Provide an estimate of the total annual cost burden to respondents or recordkeepers</w:t>
      </w:r>
      <w:r>
        <w:rPr>
          <w:rFonts w:ascii="Times New Roman" w:hAnsi="Times New Roman"/>
          <w:b/>
        </w:rPr>
        <w:t>.</w:t>
      </w:r>
    </w:p>
    <w:p w:rsidR="003A3AF6" w:rsidRDefault="003A3AF6">
      <w:pPr>
        <w:suppressAutoHyphens/>
        <w:ind w:left="720" w:right="-720" w:hanging="720"/>
        <w:rPr>
          <w:rFonts w:ascii="Times New Roman" w:hAnsi="Times New Roman"/>
          <w:b/>
        </w:rPr>
      </w:pPr>
      <w:r>
        <w:rPr>
          <w:rFonts w:ascii="Times New Roman" w:hAnsi="Times New Roman"/>
          <w:b/>
        </w:rPr>
        <w:tab/>
      </w:r>
    </w:p>
    <w:p w:rsidR="003A3AF6" w:rsidRPr="00241D6E" w:rsidRDefault="003A3AF6" w:rsidP="00FB03BD">
      <w:pPr>
        <w:suppressAutoHyphens/>
        <w:spacing w:line="480" w:lineRule="auto"/>
        <w:ind w:left="720" w:right="-720" w:hanging="720"/>
        <w:rPr>
          <w:rFonts w:ascii="Times New Roman" w:hAnsi="Times New Roman"/>
        </w:rPr>
      </w:pPr>
      <w:r>
        <w:rPr>
          <w:rFonts w:ascii="Times New Roman" w:hAnsi="Times New Roman"/>
          <w:b/>
        </w:rPr>
        <w:tab/>
      </w:r>
      <w:r w:rsidR="00FB03BD" w:rsidRPr="00241D6E">
        <w:rPr>
          <w:rFonts w:ascii="Times New Roman" w:hAnsi="Times New Roman"/>
          <w:szCs w:val="24"/>
        </w:rPr>
        <w:t>There are no capital/start-up or ongoing operation/maintenance costs associated with this information collection.</w:t>
      </w:r>
      <w:r w:rsidRPr="00241D6E">
        <w:rPr>
          <w:rFonts w:ascii="Times New Roman" w:hAnsi="Times New Roman"/>
        </w:rPr>
        <w:t xml:space="preserve"> </w:t>
      </w:r>
      <w:r w:rsidRPr="00241D6E">
        <w:rPr>
          <w:rFonts w:ascii="Times New Roman" w:hAnsi="Times New Roman"/>
        </w:rPr>
        <w:tab/>
      </w:r>
    </w:p>
    <w:p w:rsidR="003A3AF6" w:rsidRDefault="003A3AF6">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rPr>
      </w:pPr>
      <w:r>
        <w:rPr>
          <w:rFonts w:ascii="Times New Roman" w:hAnsi="Times New Roman"/>
        </w:rPr>
        <w:t xml:space="preserve"> </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b/>
          <w:u w:val="single"/>
        </w:rPr>
        <w:t>Provide estimates of annualized cost to the Federal government</w:t>
      </w:r>
      <w:r>
        <w:rPr>
          <w:rFonts w:ascii="Times New Roman" w:hAnsi="Times New Roman"/>
        </w:rPr>
        <w:t>.</w:t>
      </w:r>
      <w:r>
        <w:rPr>
          <w:rFonts w:ascii="Times New Roman" w:hAnsi="Times New Roman"/>
          <w:b/>
        </w:rPr>
        <w:tab/>
      </w:r>
      <w:r>
        <w:rPr>
          <w:rFonts w:ascii="Times New Roman" w:hAnsi="Times New Roman"/>
        </w:rPr>
        <w:t xml:space="preserve"> </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rPr>
      </w:pPr>
    </w:p>
    <w:p w:rsidR="003A3AF6" w:rsidRDefault="003A3AF6" w:rsidP="00A6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480" w:lineRule="auto"/>
        <w:ind w:left="720" w:hanging="720"/>
        <w:rPr>
          <w:rFonts w:ascii="Times New Roman" w:hAnsi="Times New Roman"/>
        </w:rPr>
      </w:pPr>
      <w:r>
        <w:rPr>
          <w:rFonts w:ascii="Times New Roman" w:hAnsi="Times New Roman"/>
        </w:rPr>
        <w:tab/>
        <w:t xml:space="preserve">The Federal Government pays 50 percent of the </w:t>
      </w:r>
      <w:r w:rsidR="00753111">
        <w:rPr>
          <w:rFonts w:ascii="Times New Roman" w:hAnsi="Times New Roman"/>
        </w:rPr>
        <w:t xml:space="preserve">SNAP administrative </w:t>
      </w:r>
      <w:r>
        <w:rPr>
          <w:rFonts w:ascii="Times New Roman" w:hAnsi="Times New Roman"/>
        </w:rPr>
        <w:t xml:space="preserve">costs incurred by State agencies. </w:t>
      </w:r>
      <w:r w:rsidR="00753111">
        <w:rPr>
          <w:rFonts w:ascii="Times New Roman" w:hAnsi="Times New Roman"/>
        </w:rPr>
        <w:t xml:space="preserve">This information collection assumes </w:t>
      </w:r>
      <w:r>
        <w:rPr>
          <w:rFonts w:ascii="Times New Roman" w:hAnsi="Times New Roman"/>
        </w:rPr>
        <w:t>that each disaster requires</w:t>
      </w:r>
      <w:r w:rsidR="008B2503">
        <w:rPr>
          <w:rFonts w:ascii="Times New Roman" w:hAnsi="Times New Roman"/>
        </w:rPr>
        <w:t xml:space="preserve"> a total of</w:t>
      </w:r>
      <w:r>
        <w:rPr>
          <w:rFonts w:ascii="Times New Roman" w:hAnsi="Times New Roman"/>
        </w:rPr>
        <w:t xml:space="preserve"> 20 hours of Federal employee time</w:t>
      </w:r>
      <w:r w:rsidR="00E46E1A">
        <w:rPr>
          <w:rFonts w:ascii="Times New Roman" w:hAnsi="Times New Roman"/>
        </w:rPr>
        <w:t xml:space="preserve">: </w:t>
      </w:r>
      <w:r w:rsidR="00241D6E">
        <w:rPr>
          <w:rFonts w:ascii="Times New Roman" w:hAnsi="Times New Roman"/>
        </w:rPr>
        <w:t>17</w:t>
      </w:r>
      <w:r w:rsidR="004315C8">
        <w:rPr>
          <w:rFonts w:ascii="Times New Roman" w:hAnsi="Times New Roman"/>
        </w:rPr>
        <w:t xml:space="preserve"> hours for a GS-12, step 5 </w:t>
      </w:r>
      <w:r w:rsidR="00241D6E">
        <w:rPr>
          <w:rFonts w:ascii="Times New Roman" w:hAnsi="Times New Roman"/>
        </w:rPr>
        <w:t>Program</w:t>
      </w:r>
      <w:r w:rsidR="004315C8">
        <w:rPr>
          <w:rFonts w:ascii="Times New Roman" w:hAnsi="Times New Roman"/>
        </w:rPr>
        <w:t xml:space="preserve"> </w:t>
      </w:r>
      <w:r w:rsidR="00241D6E">
        <w:rPr>
          <w:rFonts w:ascii="Times New Roman" w:hAnsi="Times New Roman"/>
        </w:rPr>
        <w:t>A</w:t>
      </w:r>
      <w:r w:rsidR="004315C8">
        <w:rPr>
          <w:rFonts w:ascii="Times New Roman" w:hAnsi="Times New Roman"/>
        </w:rPr>
        <w:t>nalyst at $32.25 per hours</w:t>
      </w:r>
      <w:r w:rsidR="00E46E1A">
        <w:rPr>
          <w:rFonts w:ascii="Times New Roman" w:hAnsi="Times New Roman"/>
        </w:rPr>
        <w:t xml:space="preserve"> </w:t>
      </w:r>
      <w:r w:rsidR="00753111">
        <w:rPr>
          <w:rFonts w:ascii="Times New Roman" w:hAnsi="Times New Roman"/>
        </w:rPr>
        <w:t>(</w:t>
      </w:r>
      <w:r w:rsidR="008B2503">
        <w:rPr>
          <w:rFonts w:ascii="Times New Roman" w:hAnsi="Times New Roman"/>
        </w:rPr>
        <w:t>$548</w:t>
      </w:r>
      <w:r w:rsidR="004744A1">
        <w:rPr>
          <w:rFonts w:ascii="Times New Roman" w:hAnsi="Times New Roman"/>
        </w:rPr>
        <w:t>.25</w:t>
      </w:r>
      <w:r w:rsidR="008B2503">
        <w:rPr>
          <w:rFonts w:ascii="Times New Roman" w:hAnsi="Times New Roman"/>
        </w:rPr>
        <w:t xml:space="preserve"> per disaster</w:t>
      </w:r>
      <w:r w:rsidR="00753111">
        <w:rPr>
          <w:rFonts w:ascii="Times New Roman" w:hAnsi="Times New Roman"/>
        </w:rPr>
        <w:t>)</w:t>
      </w:r>
      <w:r w:rsidR="004315C8">
        <w:rPr>
          <w:rFonts w:ascii="Times New Roman" w:hAnsi="Times New Roman"/>
        </w:rPr>
        <w:t xml:space="preserve">; </w:t>
      </w:r>
      <w:r w:rsidR="00241D6E">
        <w:rPr>
          <w:rFonts w:ascii="Times New Roman" w:hAnsi="Times New Roman"/>
        </w:rPr>
        <w:t>0.5 hours for a GS-5, step 5 Secretary at $14.68 per hour</w:t>
      </w:r>
      <w:r w:rsidR="008B2503">
        <w:rPr>
          <w:rFonts w:ascii="Times New Roman" w:hAnsi="Times New Roman"/>
        </w:rPr>
        <w:t xml:space="preserve"> ($7</w:t>
      </w:r>
      <w:r w:rsidR="004744A1">
        <w:rPr>
          <w:rFonts w:ascii="Times New Roman" w:hAnsi="Times New Roman"/>
        </w:rPr>
        <w:t>.34</w:t>
      </w:r>
      <w:r w:rsidR="008B2503">
        <w:rPr>
          <w:rFonts w:ascii="Times New Roman" w:hAnsi="Times New Roman"/>
        </w:rPr>
        <w:t xml:space="preserve"> per disaster)</w:t>
      </w:r>
      <w:r w:rsidR="00753111">
        <w:rPr>
          <w:rFonts w:ascii="Times New Roman" w:hAnsi="Times New Roman"/>
        </w:rPr>
        <w:t>;</w:t>
      </w:r>
      <w:r w:rsidR="00241D6E">
        <w:rPr>
          <w:rFonts w:ascii="Times New Roman" w:hAnsi="Times New Roman"/>
        </w:rPr>
        <w:t xml:space="preserve"> </w:t>
      </w:r>
      <w:r w:rsidR="004315C8">
        <w:rPr>
          <w:rFonts w:ascii="Times New Roman" w:hAnsi="Times New Roman"/>
        </w:rPr>
        <w:t>1</w:t>
      </w:r>
      <w:r w:rsidR="00241D6E">
        <w:rPr>
          <w:rFonts w:ascii="Times New Roman" w:hAnsi="Times New Roman"/>
        </w:rPr>
        <w:t>.5</w:t>
      </w:r>
      <w:r w:rsidR="004315C8">
        <w:rPr>
          <w:rFonts w:ascii="Times New Roman" w:hAnsi="Times New Roman"/>
        </w:rPr>
        <w:t xml:space="preserve"> hour</w:t>
      </w:r>
      <w:r w:rsidR="00241D6E">
        <w:rPr>
          <w:rFonts w:ascii="Times New Roman" w:hAnsi="Times New Roman"/>
        </w:rPr>
        <w:t>s</w:t>
      </w:r>
      <w:r w:rsidR="004315C8">
        <w:rPr>
          <w:rFonts w:ascii="Times New Roman" w:hAnsi="Times New Roman"/>
        </w:rPr>
        <w:t xml:space="preserve"> for a GS-14, step 5</w:t>
      </w:r>
      <w:r w:rsidR="00521D9D">
        <w:rPr>
          <w:rFonts w:ascii="Times New Roman" w:hAnsi="Times New Roman"/>
        </w:rPr>
        <w:t xml:space="preserve"> </w:t>
      </w:r>
      <w:r w:rsidR="00241D6E">
        <w:rPr>
          <w:rFonts w:ascii="Times New Roman" w:hAnsi="Times New Roman"/>
        </w:rPr>
        <w:t>Branch Chief</w:t>
      </w:r>
      <w:r w:rsidR="004315C8">
        <w:rPr>
          <w:rFonts w:ascii="Times New Roman" w:hAnsi="Times New Roman"/>
        </w:rPr>
        <w:t xml:space="preserve"> </w:t>
      </w:r>
      <w:r w:rsidR="00241D6E">
        <w:rPr>
          <w:rFonts w:ascii="Times New Roman" w:hAnsi="Times New Roman"/>
        </w:rPr>
        <w:t>at $45.32 per hour</w:t>
      </w:r>
      <w:r w:rsidR="008B2503">
        <w:rPr>
          <w:rFonts w:ascii="Times New Roman" w:hAnsi="Times New Roman"/>
        </w:rPr>
        <w:t xml:space="preserve"> ($6</w:t>
      </w:r>
      <w:r w:rsidR="004744A1">
        <w:rPr>
          <w:rFonts w:ascii="Times New Roman" w:hAnsi="Times New Roman"/>
        </w:rPr>
        <w:t>7.9</w:t>
      </w:r>
      <w:r w:rsidR="008B2503">
        <w:rPr>
          <w:rFonts w:ascii="Times New Roman" w:hAnsi="Times New Roman"/>
        </w:rPr>
        <w:t>8 per disaster)</w:t>
      </w:r>
      <w:r w:rsidR="00521D9D">
        <w:rPr>
          <w:rFonts w:ascii="Times New Roman" w:hAnsi="Times New Roman"/>
        </w:rPr>
        <w:t xml:space="preserve"> </w:t>
      </w:r>
      <w:r w:rsidR="00241D6E">
        <w:rPr>
          <w:rFonts w:ascii="Times New Roman" w:hAnsi="Times New Roman"/>
        </w:rPr>
        <w:t>and 1 hour for a GS-15, step 5, Division Director</w:t>
      </w:r>
      <w:r w:rsidR="00521D9D">
        <w:rPr>
          <w:rFonts w:ascii="Times New Roman" w:hAnsi="Times New Roman"/>
        </w:rPr>
        <w:t xml:space="preserve"> at $53.30 per hour</w:t>
      </w:r>
      <w:r w:rsidR="00E46E1A">
        <w:rPr>
          <w:rFonts w:ascii="Times New Roman" w:hAnsi="Times New Roman"/>
        </w:rPr>
        <w:t xml:space="preserve"> </w:t>
      </w:r>
      <w:r w:rsidR="00753111">
        <w:rPr>
          <w:rFonts w:ascii="Times New Roman" w:hAnsi="Times New Roman"/>
        </w:rPr>
        <w:t>(</w:t>
      </w:r>
      <w:r w:rsidR="00F571E6">
        <w:rPr>
          <w:rFonts w:ascii="Times New Roman" w:hAnsi="Times New Roman"/>
        </w:rPr>
        <w:t>$</w:t>
      </w:r>
      <w:r w:rsidR="008B2503">
        <w:rPr>
          <w:rFonts w:ascii="Times New Roman" w:hAnsi="Times New Roman"/>
        </w:rPr>
        <w:t>53</w:t>
      </w:r>
      <w:r w:rsidR="004744A1">
        <w:rPr>
          <w:rFonts w:ascii="Times New Roman" w:hAnsi="Times New Roman"/>
        </w:rPr>
        <w:t>.30</w:t>
      </w:r>
      <w:r w:rsidR="00753111">
        <w:rPr>
          <w:rFonts w:ascii="Times New Roman" w:hAnsi="Times New Roman"/>
        </w:rPr>
        <w:t xml:space="preserve"> per disaster</w:t>
      </w:r>
      <w:r w:rsidR="00F571E6">
        <w:rPr>
          <w:rFonts w:ascii="Times New Roman" w:hAnsi="Times New Roman"/>
        </w:rPr>
        <w:t>)</w:t>
      </w:r>
      <w:r w:rsidR="00753111">
        <w:rPr>
          <w:rFonts w:ascii="Times New Roman" w:hAnsi="Times New Roman"/>
        </w:rPr>
        <w:t xml:space="preserve">.  Based on these estimated labor hours and cost, the Federal </w:t>
      </w:r>
      <w:r w:rsidR="00753111">
        <w:rPr>
          <w:rFonts w:ascii="Times New Roman" w:hAnsi="Times New Roman"/>
        </w:rPr>
        <w:lastRenderedPageBreak/>
        <w:t xml:space="preserve">staffing cost is </w:t>
      </w:r>
      <w:r w:rsidR="00F571E6">
        <w:rPr>
          <w:rFonts w:ascii="Times New Roman" w:hAnsi="Times New Roman"/>
        </w:rPr>
        <w:t>$67</w:t>
      </w:r>
      <w:r w:rsidR="000737B8">
        <w:rPr>
          <w:rFonts w:ascii="Times New Roman" w:hAnsi="Times New Roman"/>
        </w:rPr>
        <w:t>6.87</w:t>
      </w:r>
      <w:r w:rsidR="00F571E6">
        <w:rPr>
          <w:rFonts w:ascii="Times New Roman" w:hAnsi="Times New Roman"/>
        </w:rPr>
        <w:t xml:space="preserve"> per disaster </w:t>
      </w:r>
      <w:r w:rsidR="00753111">
        <w:rPr>
          <w:rFonts w:ascii="Times New Roman" w:hAnsi="Times New Roman"/>
        </w:rPr>
        <w:t xml:space="preserve">and </w:t>
      </w:r>
      <w:r w:rsidR="004E6A79">
        <w:rPr>
          <w:rFonts w:ascii="Times New Roman" w:hAnsi="Times New Roman"/>
        </w:rPr>
        <w:t>$</w:t>
      </w:r>
      <w:r w:rsidR="00F571E6">
        <w:rPr>
          <w:rFonts w:ascii="Times New Roman" w:hAnsi="Times New Roman"/>
        </w:rPr>
        <w:t>9,</w:t>
      </w:r>
      <w:r w:rsidR="004744A1">
        <w:rPr>
          <w:rFonts w:ascii="Times New Roman" w:hAnsi="Times New Roman"/>
        </w:rPr>
        <w:t xml:space="preserve">476 </w:t>
      </w:r>
      <w:r w:rsidR="00753111">
        <w:rPr>
          <w:rFonts w:ascii="Times New Roman" w:hAnsi="Times New Roman"/>
        </w:rPr>
        <w:t xml:space="preserve">on an annual basis, assuming 14 disasters.  </w:t>
      </w:r>
      <w:r w:rsidR="00241D6E">
        <w:rPr>
          <w:rFonts w:ascii="Times New Roman" w:hAnsi="Times New Roman"/>
        </w:rPr>
        <w:t>Federal employee pay rates are based on the General Schedule of the Office of Personnel Management (OPM</w:t>
      </w:r>
      <w:r w:rsidR="00F97332">
        <w:rPr>
          <w:rFonts w:ascii="Times New Roman" w:hAnsi="Times New Roman"/>
        </w:rPr>
        <w:t>) for 2009</w:t>
      </w:r>
      <w:r w:rsidR="000C761B">
        <w:rPr>
          <w:rFonts w:ascii="Times New Roman" w:hAnsi="Times New Roman"/>
        </w:rPr>
        <w:t xml:space="preserve">. </w:t>
      </w:r>
      <w:r w:rsidR="001078AD">
        <w:rPr>
          <w:rFonts w:ascii="Times New Roman" w:hAnsi="Times New Roman"/>
        </w:rPr>
        <w:t xml:space="preserve"> </w:t>
      </w:r>
      <w:r w:rsidR="006A41C1">
        <w:rPr>
          <w:rFonts w:ascii="Times New Roman" w:hAnsi="Times New Roman"/>
        </w:rPr>
        <w:t>Total Federal costs</w:t>
      </w:r>
      <w:r w:rsidR="00753111">
        <w:rPr>
          <w:rFonts w:ascii="Times New Roman" w:hAnsi="Times New Roman"/>
        </w:rPr>
        <w:t xml:space="preserve">, including Federal staff and the Federal share of State costs, </w:t>
      </w:r>
      <w:r w:rsidR="006A41C1">
        <w:rPr>
          <w:rFonts w:ascii="Times New Roman" w:hAnsi="Times New Roman"/>
        </w:rPr>
        <w:t>are $</w:t>
      </w:r>
      <w:r w:rsidR="000F7B99">
        <w:rPr>
          <w:rFonts w:ascii="Times New Roman" w:hAnsi="Times New Roman"/>
        </w:rPr>
        <w:t xml:space="preserve">11,649 </w:t>
      </w:r>
      <w:r>
        <w:rPr>
          <w:rFonts w:ascii="Times New Roman" w:hAnsi="Times New Roman"/>
        </w:rPr>
        <w:t>per year (</w:t>
      </w:r>
      <w:r w:rsidR="000F7B99">
        <w:rPr>
          <w:rFonts w:ascii="Times New Roman" w:hAnsi="Times New Roman"/>
        </w:rPr>
        <w:t xml:space="preserve">Federal employee costs of $9,476 plus </w:t>
      </w:r>
      <w:r w:rsidR="003E7FBF">
        <w:rPr>
          <w:rFonts w:ascii="Times New Roman" w:hAnsi="Times New Roman"/>
        </w:rPr>
        <w:t xml:space="preserve">Federal reimbursement of </w:t>
      </w:r>
      <w:r w:rsidR="006A41C1">
        <w:rPr>
          <w:rFonts w:ascii="Times New Roman" w:hAnsi="Times New Roman"/>
        </w:rPr>
        <w:t xml:space="preserve">the State </w:t>
      </w:r>
      <w:r w:rsidR="000F7B99">
        <w:rPr>
          <w:rFonts w:ascii="Times New Roman" w:hAnsi="Times New Roman"/>
        </w:rPr>
        <w:t>employee</w:t>
      </w:r>
      <w:r w:rsidR="009476DE">
        <w:rPr>
          <w:rFonts w:ascii="Times New Roman" w:hAnsi="Times New Roman"/>
        </w:rPr>
        <w:t xml:space="preserve"> cost</w:t>
      </w:r>
      <w:r w:rsidR="000F7B99">
        <w:rPr>
          <w:rFonts w:ascii="Times New Roman" w:hAnsi="Times New Roman"/>
        </w:rPr>
        <w:t>s</w:t>
      </w:r>
      <w:r w:rsidR="009476DE">
        <w:rPr>
          <w:rFonts w:ascii="Times New Roman" w:hAnsi="Times New Roman"/>
        </w:rPr>
        <w:t xml:space="preserve"> </w:t>
      </w:r>
      <w:r w:rsidR="003E7FBF">
        <w:rPr>
          <w:rFonts w:ascii="Times New Roman" w:hAnsi="Times New Roman"/>
        </w:rPr>
        <w:t>o</w:t>
      </w:r>
      <w:r w:rsidR="00753111">
        <w:rPr>
          <w:rFonts w:ascii="Times New Roman" w:hAnsi="Times New Roman"/>
        </w:rPr>
        <w:t>f</w:t>
      </w:r>
      <w:r w:rsidR="003E7FBF">
        <w:rPr>
          <w:rFonts w:ascii="Times New Roman" w:hAnsi="Times New Roman"/>
        </w:rPr>
        <w:t xml:space="preserve"> </w:t>
      </w:r>
      <w:r w:rsidR="009476DE">
        <w:rPr>
          <w:rFonts w:ascii="Times New Roman" w:hAnsi="Times New Roman"/>
        </w:rPr>
        <w:t>$</w:t>
      </w:r>
      <w:r w:rsidR="009476DE" w:rsidRPr="009476DE">
        <w:rPr>
          <w:rFonts w:ascii="Times New Roman" w:hAnsi="Times New Roman"/>
        </w:rPr>
        <w:t>2</w:t>
      </w:r>
      <w:r w:rsidR="003E7FBF">
        <w:rPr>
          <w:rFonts w:ascii="Times New Roman" w:hAnsi="Times New Roman"/>
        </w:rPr>
        <w:t>,</w:t>
      </w:r>
      <w:r w:rsidR="009476DE" w:rsidRPr="009476DE">
        <w:rPr>
          <w:rFonts w:ascii="Times New Roman" w:hAnsi="Times New Roman"/>
        </w:rPr>
        <w:t>173</w:t>
      </w:r>
      <w:r>
        <w:rPr>
          <w:rFonts w:ascii="Times New Roman" w:hAnsi="Times New Roman"/>
        </w:rPr>
        <w:t>)</w:t>
      </w:r>
      <w:r w:rsidR="003E7FBF">
        <w:rPr>
          <w:rFonts w:ascii="Times New Roman" w:hAnsi="Times New Roman"/>
        </w:rPr>
        <w:t>.</w:t>
      </w:r>
      <w:r>
        <w:rPr>
          <w:rFonts w:ascii="Times New Roman" w:hAnsi="Times New Roman"/>
        </w:rPr>
        <w:t xml:space="preserve"> </w:t>
      </w:r>
    </w:p>
    <w:tbl>
      <w:tblPr>
        <w:tblW w:w="10044" w:type="dxa"/>
        <w:tblInd w:w="93" w:type="dxa"/>
        <w:tblLook w:val="04A0"/>
      </w:tblPr>
      <w:tblGrid>
        <w:gridCol w:w="762"/>
        <w:gridCol w:w="1773"/>
        <w:gridCol w:w="1389"/>
        <w:gridCol w:w="1080"/>
        <w:gridCol w:w="1180"/>
        <w:gridCol w:w="1720"/>
        <w:gridCol w:w="1020"/>
        <w:gridCol w:w="1120"/>
      </w:tblGrid>
      <w:tr w:rsidR="009305C6" w:rsidRPr="009305C6" w:rsidTr="00567BFF">
        <w:trPr>
          <w:trHeight w:val="300"/>
        </w:trPr>
        <w:tc>
          <w:tcPr>
            <w:tcW w:w="762" w:type="dxa"/>
            <w:tcBorders>
              <w:top w:val="nil"/>
              <w:left w:val="nil"/>
              <w:bottom w:val="nil"/>
              <w:right w:val="nil"/>
            </w:tcBorders>
            <w:shd w:val="clear" w:color="auto" w:fill="auto"/>
            <w:noWrap/>
            <w:vAlign w:val="bottom"/>
            <w:hideMark/>
          </w:tcPr>
          <w:p w:rsidR="009305C6" w:rsidRPr="009305C6" w:rsidRDefault="009305C6" w:rsidP="009305C6">
            <w:pPr>
              <w:widowControl/>
              <w:overflowPunct/>
              <w:autoSpaceDE/>
              <w:autoSpaceDN/>
              <w:adjustRightInd/>
              <w:textAlignment w:val="auto"/>
              <w:rPr>
                <w:rFonts w:ascii="Calibri" w:hAnsi="Calibri"/>
                <w:color w:val="000000"/>
                <w:sz w:val="22"/>
                <w:szCs w:val="22"/>
              </w:rPr>
            </w:pPr>
          </w:p>
        </w:tc>
        <w:tc>
          <w:tcPr>
            <w:tcW w:w="1773" w:type="dxa"/>
            <w:tcBorders>
              <w:top w:val="nil"/>
              <w:left w:val="nil"/>
              <w:bottom w:val="nil"/>
              <w:right w:val="nil"/>
            </w:tcBorders>
            <w:shd w:val="clear" w:color="auto" w:fill="auto"/>
            <w:noWrap/>
            <w:vAlign w:val="bottom"/>
            <w:hideMark/>
          </w:tcPr>
          <w:p w:rsidR="009305C6" w:rsidRDefault="009305C6" w:rsidP="00E46E1A">
            <w:pPr>
              <w:widowControl/>
              <w:overflowPunct/>
              <w:autoSpaceDE/>
              <w:autoSpaceDN/>
              <w:adjustRightInd/>
              <w:textAlignment w:val="auto"/>
              <w:rPr>
                <w:rFonts w:ascii="Calibri" w:hAnsi="Calibri"/>
                <w:b/>
                <w:bCs/>
                <w:color w:val="000000"/>
                <w:sz w:val="22"/>
                <w:szCs w:val="22"/>
              </w:rPr>
            </w:pPr>
            <w:r w:rsidRPr="009305C6">
              <w:rPr>
                <w:rFonts w:ascii="Calibri" w:hAnsi="Calibri"/>
                <w:b/>
                <w:bCs/>
                <w:color w:val="000000"/>
                <w:sz w:val="22"/>
                <w:szCs w:val="22"/>
              </w:rPr>
              <w:t>Federal Costs</w:t>
            </w:r>
          </w:p>
          <w:p w:rsidR="00E46E1A" w:rsidRPr="009305C6" w:rsidRDefault="00E46E1A" w:rsidP="00E46E1A">
            <w:pPr>
              <w:widowControl/>
              <w:overflowPunct/>
              <w:autoSpaceDE/>
              <w:autoSpaceDN/>
              <w:adjustRightInd/>
              <w:textAlignment w:val="auto"/>
              <w:rPr>
                <w:rFonts w:ascii="Calibri" w:hAnsi="Calibri"/>
                <w:b/>
                <w:bCs/>
                <w:color w:val="000000"/>
                <w:sz w:val="22"/>
                <w:szCs w:val="22"/>
              </w:rPr>
            </w:pPr>
          </w:p>
        </w:tc>
        <w:tc>
          <w:tcPr>
            <w:tcW w:w="1389" w:type="dxa"/>
            <w:tcBorders>
              <w:top w:val="nil"/>
              <w:left w:val="nil"/>
              <w:bottom w:val="nil"/>
              <w:right w:val="nil"/>
            </w:tcBorders>
            <w:shd w:val="clear" w:color="auto" w:fill="auto"/>
            <w:noWrap/>
            <w:vAlign w:val="bottom"/>
            <w:hideMark/>
          </w:tcPr>
          <w:p w:rsidR="009305C6" w:rsidRPr="009305C6" w:rsidRDefault="009305C6" w:rsidP="009305C6">
            <w:pPr>
              <w:widowControl/>
              <w:overflowPunct/>
              <w:autoSpaceDE/>
              <w:autoSpaceDN/>
              <w:adjustRightInd/>
              <w:textAlignment w:val="auto"/>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9305C6" w:rsidRPr="009305C6" w:rsidRDefault="009305C6" w:rsidP="009305C6">
            <w:pPr>
              <w:widowControl/>
              <w:overflowPunct/>
              <w:autoSpaceDE/>
              <w:autoSpaceDN/>
              <w:adjustRightInd/>
              <w:textAlignment w:val="auto"/>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9305C6" w:rsidRPr="009305C6" w:rsidRDefault="009305C6" w:rsidP="009305C6">
            <w:pPr>
              <w:widowControl/>
              <w:overflowPunct/>
              <w:autoSpaceDE/>
              <w:autoSpaceDN/>
              <w:adjustRightInd/>
              <w:textAlignment w:val="auto"/>
              <w:rPr>
                <w:rFonts w:ascii="Calibri" w:hAnsi="Calibri"/>
                <w:color w:val="000000"/>
                <w:sz w:val="22"/>
                <w:szCs w:val="22"/>
              </w:rPr>
            </w:pPr>
          </w:p>
        </w:tc>
        <w:tc>
          <w:tcPr>
            <w:tcW w:w="1720" w:type="dxa"/>
            <w:tcBorders>
              <w:top w:val="nil"/>
              <w:left w:val="nil"/>
              <w:bottom w:val="nil"/>
              <w:right w:val="nil"/>
            </w:tcBorders>
            <w:shd w:val="clear" w:color="auto" w:fill="auto"/>
            <w:noWrap/>
            <w:vAlign w:val="bottom"/>
            <w:hideMark/>
          </w:tcPr>
          <w:p w:rsidR="009305C6" w:rsidRPr="009305C6" w:rsidRDefault="009305C6" w:rsidP="009305C6">
            <w:pPr>
              <w:widowControl/>
              <w:overflowPunct/>
              <w:autoSpaceDE/>
              <w:autoSpaceDN/>
              <w:adjustRightInd/>
              <w:textAlignment w:val="auto"/>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9305C6" w:rsidRPr="009305C6" w:rsidRDefault="009305C6" w:rsidP="009305C6">
            <w:pPr>
              <w:widowControl/>
              <w:overflowPunct/>
              <w:autoSpaceDE/>
              <w:autoSpaceDN/>
              <w:adjustRightInd/>
              <w:textAlignment w:val="auto"/>
              <w:rPr>
                <w:rFonts w:ascii="Calibri" w:hAnsi="Calibri"/>
                <w:b/>
                <w:bCs/>
                <w:color w:val="000000"/>
                <w:sz w:val="22"/>
                <w:szCs w:val="22"/>
              </w:rPr>
            </w:pPr>
          </w:p>
        </w:tc>
        <w:tc>
          <w:tcPr>
            <w:tcW w:w="1120" w:type="dxa"/>
            <w:tcBorders>
              <w:top w:val="nil"/>
              <w:left w:val="nil"/>
              <w:bottom w:val="nil"/>
              <w:right w:val="nil"/>
            </w:tcBorders>
            <w:shd w:val="clear" w:color="auto" w:fill="auto"/>
            <w:noWrap/>
            <w:vAlign w:val="bottom"/>
            <w:hideMark/>
          </w:tcPr>
          <w:p w:rsidR="009305C6" w:rsidRPr="009305C6" w:rsidRDefault="009305C6" w:rsidP="009305C6">
            <w:pPr>
              <w:widowControl/>
              <w:overflowPunct/>
              <w:autoSpaceDE/>
              <w:autoSpaceDN/>
              <w:adjustRightInd/>
              <w:textAlignment w:val="auto"/>
              <w:rPr>
                <w:rFonts w:ascii="Calibri" w:hAnsi="Calibri"/>
                <w:color w:val="000000"/>
                <w:sz w:val="22"/>
                <w:szCs w:val="22"/>
              </w:rPr>
            </w:pPr>
          </w:p>
        </w:tc>
      </w:tr>
      <w:tr w:rsidR="009305C6" w:rsidRPr="009305C6" w:rsidTr="00567BFF">
        <w:trPr>
          <w:trHeight w:val="12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5C6" w:rsidRPr="009305C6" w:rsidRDefault="009305C6" w:rsidP="009305C6">
            <w:pPr>
              <w:widowControl/>
              <w:overflowPunct/>
              <w:autoSpaceDE/>
              <w:autoSpaceDN/>
              <w:adjustRightInd/>
              <w:textAlignment w:val="auto"/>
              <w:rPr>
                <w:rFonts w:ascii="Calibri" w:hAnsi="Calibri"/>
                <w:color w:val="000000"/>
                <w:sz w:val="22"/>
                <w:szCs w:val="22"/>
              </w:rPr>
            </w:pPr>
            <w:r w:rsidRPr="009305C6">
              <w:rPr>
                <w:rFonts w:ascii="Calibri" w:hAnsi="Calibri"/>
                <w:color w:val="000000"/>
                <w:sz w:val="22"/>
                <w:szCs w:val="22"/>
              </w:rPr>
              <w:t>Grade</w:t>
            </w:r>
          </w:p>
        </w:tc>
        <w:tc>
          <w:tcPr>
            <w:tcW w:w="1773" w:type="dxa"/>
            <w:tcBorders>
              <w:top w:val="single" w:sz="4" w:space="0" w:color="auto"/>
              <w:left w:val="nil"/>
              <w:bottom w:val="single" w:sz="4" w:space="0" w:color="auto"/>
              <w:right w:val="single" w:sz="4" w:space="0" w:color="auto"/>
            </w:tcBorders>
            <w:shd w:val="clear" w:color="auto" w:fill="auto"/>
            <w:noWrap/>
            <w:vAlign w:val="bottom"/>
            <w:hideMark/>
          </w:tcPr>
          <w:p w:rsidR="009305C6" w:rsidRPr="009305C6" w:rsidRDefault="009305C6" w:rsidP="009305C6">
            <w:pPr>
              <w:widowControl/>
              <w:overflowPunct/>
              <w:autoSpaceDE/>
              <w:autoSpaceDN/>
              <w:adjustRightInd/>
              <w:textAlignment w:val="auto"/>
              <w:rPr>
                <w:rFonts w:ascii="Calibri" w:hAnsi="Calibri"/>
                <w:b/>
                <w:bCs/>
                <w:color w:val="000000"/>
                <w:sz w:val="22"/>
                <w:szCs w:val="22"/>
              </w:rPr>
            </w:pPr>
            <w:r w:rsidRPr="009305C6">
              <w:rPr>
                <w:rFonts w:ascii="Calibri" w:hAnsi="Calibri"/>
                <w:b/>
                <w:bCs/>
                <w:color w:val="000000"/>
                <w:sz w:val="22"/>
                <w:szCs w:val="22"/>
              </w:rPr>
              <w:t>Hours/response</w:t>
            </w:r>
          </w:p>
        </w:tc>
        <w:tc>
          <w:tcPr>
            <w:tcW w:w="1389" w:type="dxa"/>
            <w:tcBorders>
              <w:top w:val="single" w:sz="4" w:space="0" w:color="auto"/>
              <w:left w:val="nil"/>
              <w:bottom w:val="single" w:sz="4" w:space="0" w:color="auto"/>
              <w:right w:val="single" w:sz="4" w:space="0" w:color="auto"/>
            </w:tcBorders>
            <w:shd w:val="clear" w:color="auto" w:fill="auto"/>
            <w:vAlign w:val="bottom"/>
            <w:hideMark/>
          </w:tcPr>
          <w:p w:rsidR="009305C6" w:rsidRPr="009305C6" w:rsidRDefault="009305C6" w:rsidP="009305C6">
            <w:pPr>
              <w:widowControl/>
              <w:overflowPunct/>
              <w:autoSpaceDE/>
              <w:autoSpaceDN/>
              <w:adjustRightInd/>
              <w:textAlignment w:val="auto"/>
              <w:rPr>
                <w:rFonts w:ascii="Calibri" w:hAnsi="Calibri"/>
                <w:b/>
                <w:bCs/>
                <w:color w:val="000000"/>
                <w:sz w:val="22"/>
                <w:szCs w:val="22"/>
              </w:rPr>
            </w:pPr>
            <w:r w:rsidRPr="009305C6">
              <w:rPr>
                <w:rFonts w:ascii="Calibri" w:hAnsi="Calibri"/>
                <w:b/>
                <w:bCs/>
                <w:color w:val="000000"/>
                <w:sz w:val="22"/>
                <w:szCs w:val="22"/>
              </w:rPr>
              <w:t>Cost per hour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305C6" w:rsidRPr="009305C6" w:rsidRDefault="009305C6" w:rsidP="009305C6">
            <w:pPr>
              <w:widowControl/>
              <w:overflowPunct/>
              <w:autoSpaceDE/>
              <w:autoSpaceDN/>
              <w:adjustRightInd/>
              <w:textAlignment w:val="auto"/>
              <w:rPr>
                <w:rFonts w:ascii="Calibri" w:hAnsi="Calibri"/>
                <w:b/>
                <w:bCs/>
                <w:color w:val="000000"/>
                <w:sz w:val="22"/>
                <w:szCs w:val="22"/>
              </w:rPr>
            </w:pPr>
            <w:r w:rsidRPr="009305C6">
              <w:rPr>
                <w:rFonts w:ascii="Calibri" w:hAnsi="Calibri"/>
                <w:b/>
                <w:bCs/>
                <w:color w:val="000000"/>
                <w:sz w:val="22"/>
                <w:szCs w:val="22"/>
              </w:rPr>
              <w:t>Cost per Disaster</w:t>
            </w:r>
            <w:r w:rsidR="00B4567B">
              <w:rPr>
                <w:rFonts w:ascii="Calibri" w:hAnsi="Calibri"/>
                <w:b/>
                <w:bCs/>
                <w:color w:val="000000"/>
                <w:sz w:val="22"/>
                <w:szCs w:val="22"/>
              </w:rPr>
              <w:t>*</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9305C6" w:rsidRPr="009305C6" w:rsidRDefault="009305C6" w:rsidP="009305C6">
            <w:pPr>
              <w:widowControl/>
              <w:overflowPunct/>
              <w:autoSpaceDE/>
              <w:autoSpaceDN/>
              <w:adjustRightInd/>
              <w:textAlignment w:val="auto"/>
              <w:rPr>
                <w:rFonts w:ascii="Calibri" w:hAnsi="Calibri"/>
                <w:b/>
                <w:bCs/>
                <w:color w:val="000000"/>
                <w:sz w:val="22"/>
                <w:szCs w:val="22"/>
              </w:rPr>
            </w:pPr>
            <w:r w:rsidRPr="009305C6">
              <w:rPr>
                <w:rFonts w:ascii="Calibri" w:hAnsi="Calibri"/>
                <w:b/>
                <w:bCs/>
                <w:color w:val="000000"/>
                <w:sz w:val="22"/>
                <w:szCs w:val="22"/>
              </w:rPr>
              <w:t xml:space="preserve">Annual Responses </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9305C6" w:rsidRPr="009305C6" w:rsidRDefault="009305C6" w:rsidP="00567BFF">
            <w:pPr>
              <w:widowControl/>
              <w:overflowPunct/>
              <w:autoSpaceDE/>
              <w:autoSpaceDN/>
              <w:adjustRightInd/>
              <w:textAlignment w:val="auto"/>
              <w:rPr>
                <w:rFonts w:ascii="Calibri" w:hAnsi="Calibri"/>
                <w:b/>
                <w:bCs/>
                <w:color w:val="000000"/>
                <w:sz w:val="22"/>
                <w:szCs w:val="22"/>
              </w:rPr>
            </w:pPr>
            <w:r w:rsidRPr="009305C6">
              <w:rPr>
                <w:rFonts w:ascii="Calibri" w:hAnsi="Calibri"/>
                <w:b/>
                <w:bCs/>
                <w:color w:val="000000"/>
                <w:sz w:val="22"/>
                <w:szCs w:val="22"/>
              </w:rPr>
              <w:t xml:space="preserve">Total </w:t>
            </w:r>
            <w:r w:rsidR="00F640C3">
              <w:rPr>
                <w:rFonts w:ascii="Calibri" w:hAnsi="Calibri"/>
                <w:b/>
                <w:bCs/>
                <w:color w:val="000000"/>
                <w:sz w:val="22"/>
                <w:szCs w:val="22"/>
              </w:rPr>
              <w:t xml:space="preserve">Annual </w:t>
            </w:r>
            <w:r w:rsidRPr="009305C6">
              <w:rPr>
                <w:rFonts w:ascii="Calibri" w:hAnsi="Calibri"/>
                <w:b/>
                <w:bCs/>
                <w:color w:val="000000"/>
                <w:sz w:val="22"/>
                <w:szCs w:val="22"/>
              </w:rPr>
              <w:t>Federal Employee cost</w:t>
            </w:r>
            <w:r w:rsidR="00F640C3">
              <w:rPr>
                <w:rFonts w:ascii="Calibri" w:hAnsi="Calibri"/>
                <w:b/>
                <w:bCs/>
                <w:color w:val="000000"/>
                <w:sz w:val="22"/>
                <w:szCs w:val="22"/>
              </w:rPr>
              <w:t xml:space="preserve"> </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rsidR="009305C6" w:rsidRPr="009305C6" w:rsidRDefault="009305C6" w:rsidP="009305C6">
            <w:pPr>
              <w:widowControl/>
              <w:overflowPunct/>
              <w:autoSpaceDE/>
              <w:autoSpaceDN/>
              <w:adjustRightInd/>
              <w:textAlignment w:val="auto"/>
              <w:rPr>
                <w:rFonts w:ascii="Calibri" w:hAnsi="Calibri"/>
                <w:b/>
                <w:bCs/>
                <w:color w:val="000000"/>
                <w:sz w:val="22"/>
                <w:szCs w:val="22"/>
              </w:rPr>
            </w:pPr>
            <w:r w:rsidRPr="009305C6">
              <w:rPr>
                <w:rFonts w:ascii="Calibri" w:hAnsi="Calibri"/>
                <w:b/>
                <w:bCs/>
                <w:color w:val="000000"/>
                <w:sz w:val="22"/>
                <w:szCs w:val="22"/>
              </w:rPr>
              <w:t>Federal share of state cost</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9305C6" w:rsidRPr="009305C6" w:rsidRDefault="009305C6" w:rsidP="009305C6">
            <w:pPr>
              <w:widowControl/>
              <w:overflowPunct/>
              <w:autoSpaceDE/>
              <w:autoSpaceDN/>
              <w:adjustRightInd/>
              <w:textAlignment w:val="auto"/>
              <w:rPr>
                <w:rFonts w:ascii="Calibri" w:hAnsi="Calibri"/>
                <w:b/>
                <w:bCs/>
                <w:color w:val="000000"/>
                <w:sz w:val="22"/>
                <w:szCs w:val="22"/>
              </w:rPr>
            </w:pPr>
            <w:r w:rsidRPr="009305C6">
              <w:rPr>
                <w:rFonts w:ascii="Calibri" w:hAnsi="Calibri"/>
                <w:b/>
                <w:bCs/>
                <w:color w:val="000000"/>
                <w:sz w:val="22"/>
                <w:szCs w:val="22"/>
              </w:rPr>
              <w:t>Total Federal Cost</w:t>
            </w:r>
          </w:p>
        </w:tc>
      </w:tr>
      <w:tr w:rsidR="00567BFF" w:rsidRPr="009305C6" w:rsidTr="00567BFF">
        <w:trPr>
          <w:trHeight w:val="300"/>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sidRPr="009305C6">
              <w:rPr>
                <w:rFonts w:ascii="Calibri" w:hAnsi="Calibri"/>
                <w:color w:val="000000"/>
                <w:sz w:val="22"/>
                <w:szCs w:val="22"/>
              </w:rPr>
              <w:t>GS-12</w:t>
            </w:r>
          </w:p>
        </w:tc>
        <w:tc>
          <w:tcPr>
            <w:tcW w:w="1773"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sidRPr="009305C6">
              <w:rPr>
                <w:rFonts w:ascii="Calibri" w:hAnsi="Calibri"/>
                <w:color w:val="000000"/>
                <w:sz w:val="22"/>
                <w:szCs w:val="22"/>
              </w:rPr>
              <w:t>17</w:t>
            </w:r>
          </w:p>
        </w:tc>
        <w:tc>
          <w:tcPr>
            <w:tcW w:w="1389"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sidRPr="009305C6">
              <w:rPr>
                <w:rFonts w:ascii="Calibri" w:hAnsi="Calibri"/>
                <w:color w:val="000000"/>
                <w:sz w:val="22"/>
                <w:szCs w:val="22"/>
              </w:rPr>
              <w:t>32.25</w:t>
            </w:r>
          </w:p>
        </w:tc>
        <w:tc>
          <w:tcPr>
            <w:tcW w:w="108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$548.25</w:t>
            </w:r>
          </w:p>
        </w:tc>
        <w:tc>
          <w:tcPr>
            <w:tcW w:w="118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14</w:t>
            </w:r>
          </w:p>
        </w:tc>
        <w:tc>
          <w:tcPr>
            <w:tcW w:w="17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$7,675.50</w:t>
            </w:r>
          </w:p>
        </w:tc>
        <w:tc>
          <w:tcPr>
            <w:tcW w:w="10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Pr>
                <w:rFonts w:ascii="Calibri" w:hAnsi="Calibri"/>
                <w:color w:val="000000"/>
                <w:sz w:val="22"/>
                <w:szCs w:val="22"/>
              </w:rPr>
              <w:t> </w:t>
            </w:r>
          </w:p>
        </w:tc>
      </w:tr>
      <w:tr w:rsidR="00567BFF" w:rsidRPr="009305C6" w:rsidTr="00567BFF">
        <w:trPr>
          <w:trHeight w:val="300"/>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sidRPr="009305C6">
              <w:rPr>
                <w:rFonts w:ascii="Calibri" w:hAnsi="Calibri"/>
                <w:color w:val="000000"/>
                <w:sz w:val="22"/>
                <w:szCs w:val="22"/>
              </w:rPr>
              <w:t>GS-5</w:t>
            </w:r>
          </w:p>
        </w:tc>
        <w:tc>
          <w:tcPr>
            <w:tcW w:w="1773"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sidRPr="009305C6">
              <w:rPr>
                <w:rFonts w:ascii="Calibri" w:hAnsi="Calibri"/>
                <w:color w:val="000000"/>
                <w:sz w:val="22"/>
                <w:szCs w:val="22"/>
              </w:rPr>
              <w:t>0.5</w:t>
            </w:r>
          </w:p>
        </w:tc>
        <w:tc>
          <w:tcPr>
            <w:tcW w:w="1389"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sidRPr="009305C6">
              <w:rPr>
                <w:rFonts w:ascii="Calibri" w:hAnsi="Calibri"/>
                <w:color w:val="000000"/>
                <w:sz w:val="22"/>
                <w:szCs w:val="22"/>
              </w:rPr>
              <w:t>14.68</w:t>
            </w:r>
          </w:p>
        </w:tc>
        <w:tc>
          <w:tcPr>
            <w:tcW w:w="108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823C7B">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$7.34</w:t>
            </w:r>
          </w:p>
        </w:tc>
        <w:tc>
          <w:tcPr>
            <w:tcW w:w="118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14</w:t>
            </w:r>
          </w:p>
        </w:tc>
        <w:tc>
          <w:tcPr>
            <w:tcW w:w="17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$102.76</w:t>
            </w:r>
          </w:p>
        </w:tc>
        <w:tc>
          <w:tcPr>
            <w:tcW w:w="10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Pr>
                <w:rFonts w:ascii="Calibri" w:hAnsi="Calibri"/>
                <w:color w:val="000000"/>
                <w:sz w:val="22"/>
                <w:szCs w:val="22"/>
              </w:rPr>
              <w:t> </w:t>
            </w:r>
          </w:p>
        </w:tc>
      </w:tr>
      <w:tr w:rsidR="00567BFF" w:rsidRPr="009305C6" w:rsidTr="00567BFF">
        <w:trPr>
          <w:trHeight w:val="300"/>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sidRPr="009305C6">
              <w:rPr>
                <w:rFonts w:ascii="Calibri" w:hAnsi="Calibri"/>
                <w:color w:val="000000"/>
                <w:sz w:val="22"/>
                <w:szCs w:val="22"/>
              </w:rPr>
              <w:t>GS-14</w:t>
            </w:r>
          </w:p>
        </w:tc>
        <w:tc>
          <w:tcPr>
            <w:tcW w:w="1773"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sidRPr="009305C6">
              <w:rPr>
                <w:rFonts w:ascii="Calibri" w:hAnsi="Calibri"/>
                <w:color w:val="000000"/>
                <w:sz w:val="22"/>
                <w:szCs w:val="22"/>
              </w:rPr>
              <w:t>1.5</w:t>
            </w:r>
          </w:p>
        </w:tc>
        <w:tc>
          <w:tcPr>
            <w:tcW w:w="1389"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sidRPr="009305C6">
              <w:rPr>
                <w:rFonts w:ascii="Calibri" w:hAnsi="Calibri"/>
                <w:color w:val="000000"/>
                <w:sz w:val="22"/>
                <w:szCs w:val="22"/>
              </w:rPr>
              <w:t>45.32</w:t>
            </w:r>
          </w:p>
        </w:tc>
        <w:tc>
          <w:tcPr>
            <w:tcW w:w="108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823C7B">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$67.98</w:t>
            </w:r>
          </w:p>
        </w:tc>
        <w:tc>
          <w:tcPr>
            <w:tcW w:w="118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14</w:t>
            </w:r>
          </w:p>
        </w:tc>
        <w:tc>
          <w:tcPr>
            <w:tcW w:w="17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$951.72</w:t>
            </w:r>
          </w:p>
        </w:tc>
        <w:tc>
          <w:tcPr>
            <w:tcW w:w="10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Pr>
                <w:rFonts w:ascii="Calibri" w:hAnsi="Calibri"/>
                <w:color w:val="000000"/>
                <w:sz w:val="22"/>
                <w:szCs w:val="22"/>
              </w:rPr>
              <w:t> </w:t>
            </w:r>
          </w:p>
        </w:tc>
      </w:tr>
      <w:tr w:rsidR="00567BFF" w:rsidRPr="009305C6" w:rsidTr="00567BFF">
        <w:trPr>
          <w:trHeight w:val="300"/>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sidRPr="009305C6">
              <w:rPr>
                <w:rFonts w:ascii="Calibri" w:hAnsi="Calibri"/>
                <w:color w:val="000000"/>
                <w:sz w:val="22"/>
                <w:szCs w:val="22"/>
              </w:rPr>
              <w:t>GS-15</w:t>
            </w:r>
          </w:p>
        </w:tc>
        <w:tc>
          <w:tcPr>
            <w:tcW w:w="1773"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sidRPr="009305C6">
              <w:rPr>
                <w:rFonts w:ascii="Calibri" w:hAnsi="Calibri"/>
                <w:color w:val="000000"/>
                <w:sz w:val="22"/>
                <w:szCs w:val="22"/>
              </w:rPr>
              <w:t>1</w:t>
            </w:r>
          </w:p>
        </w:tc>
        <w:tc>
          <w:tcPr>
            <w:tcW w:w="1389"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sidRPr="009305C6">
              <w:rPr>
                <w:rFonts w:ascii="Calibri" w:hAnsi="Calibri"/>
                <w:color w:val="000000"/>
                <w:sz w:val="22"/>
                <w:szCs w:val="22"/>
              </w:rPr>
              <w:t>53.30</w:t>
            </w:r>
          </w:p>
        </w:tc>
        <w:tc>
          <w:tcPr>
            <w:tcW w:w="108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823C7B">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$53.30</w:t>
            </w:r>
          </w:p>
        </w:tc>
        <w:tc>
          <w:tcPr>
            <w:tcW w:w="118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14</w:t>
            </w:r>
          </w:p>
        </w:tc>
        <w:tc>
          <w:tcPr>
            <w:tcW w:w="17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$746.20</w:t>
            </w:r>
          </w:p>
        </w:tc>
        <w:tc>
          <w:tcPr>
            <w:tcW w:w="10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Pr>
                <w:rFonts w:ascii="Calibri" w:hAnsi="Calibri"/>
                <w:color w:val="000000"/>
                <w:sz w:val="22"/>
                <w:szCs w:val="22"/>
              </w:rPr>
              <w:t> </w:t>
            </w:r>
          </w:p>
        </w:tc>
      </w:tr>
      <w:tr w:rsidR="00567BFF" w:rsidRPr="009305C6" w:rsidTr="00567BFF">
        <w:trPr>
          <w:trHeight w:val="300"/>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sidRPr="009305C6">
              <w:rPr>
                <w:rFonts w:ascii="Calibri" w:hAnsi="Calibri"/>
                <w:color w:val="000000"/>
                <w:sz w:val="22"/>
                <w:szCs w:val="22"/>
              </w:rPr>
              <w:t> </w:t>
            </w:r>
          </w:p>
        </w:tc>
        <w:tc>
          <w:tcPr>
            <w:tcW w:w="1773"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sidRPr="009305C6">
              <w:rPr>
                <w:rFonts w:ascii="Calibri" w:hAnsi="Calibri"/>
                <w:color w:val="000000"/>
                <w:sz w:val="22"/>
                <w:szCs w:val="22"/>
              </w:rPr>
              <w:t> </w:t>
            </w:r>
          </w:p>
        </w:tc>
        <w:tc>
          <w:tcPr>
            <w:tcW w:w="1389"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textAlignment w:val="auto"/>
              <w:rPr>
                <w:rFonts w:ascii="Calibri" w:hAnsi="Calibri"/>
                <w:color w:val="000000"/>
                <w:sz w:val="22"/>
                <w:szCs w:val="22"/>
              </w:rPr>
            </w:pPr>
            <w:r w:rsidRPr="009305C6">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714453">
            <w:pPr>
              <w:widowControl/>
              <w:overflowPunct/>
              <w:autoSpaceDE/>
              <w:autoSpaceDN/>
              <w:adjustRightInd/>
              <w:textAlignment w:val="auto"/>
              <w:rPr>
                <w:rFonts w:ascii="Calibri" w:hAnsi="Calibri"/>
                <w:color w:val="000000"/>
                <w:sz w:val="22"/>
                <w:szCs w:val="22"/>
              </w:rPr>
            </w:pPr>
            <w:r>
              <w:rPr>
                <w:rFonts w:ascii="Calibri" w:hAnsi="Calibri"/>
                <w:color w:val="000000"/>
                <w:sz w:val="22"/>
                <w:szCs w:val="22"/>
              </w:rPr>
              <w:t>$676.87</w:t>
            </w:r>
          </w:p>
        </w:tc>
        <w:tc>
          <w:tcPr>
            <w:tcW w:w="118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753111">
            <w:pPr>
              <w:widowControl/>
              <w:overflowPunct/>
              <w:autoSpaceDE/>
              <w:autoSpaceDN/>
              <w:adjustRightInd/>
              <w:textAlignment w:val="auto"/>
              <w:rPr>
                <w:rFonts w:ascii="Calibri" w:hAnsi="Calibri"/>
                <w:color w:val="000000"/>
                <w:sz w:val="22"/>
                <w:szCs w:val="22"/>
              </w:rPr>
            </w:pPr>
            <w:r>
              <w:rPr>
                <w:rFonts w:ascii="Calibri" w:hAnsi="Calibri"/>
                <w:color w:val="000000"/>
                <w:sz w:val="22"/>
                <w:szCs w:val="22"/>
              </w:rPr>
              <w:t xml:space="preserve">             1</w:t>
            </w:r>
            <w:r w:rsidR="00753111">
              <w:rPr>
                <w:rFonts w:ascii="Calibri" w:hAnsi="Calibri"/>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305C6">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$9,476*</w:t>
            </w:r>
          </w:p>
        </w:tc>
        <w:tc>
          <w:tcPr>
            <w:tcW w:w="10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9476DE">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$2,173*</w:t>
            </w:r>
          </w:p>
        </w:tc>
        <w:tc>
          <w:tcPr>
            <w:tcW w:w="1120" w:type="dxa"/>
            <w:tcBorders>
              <w:top w:val="nil"/>
              <w:left w:val="nil"/>
              <w:bottom w:val="single" w:sz="4" w:space="0" w:color="auto"/>
              <w:right w:val="single" w:sz="4" w:space="0" w:color="auto"/>
            </w:tcBorders>
            <w:shd w:val="clear" w:color="auto" w:fill="auto"/>
            <w:noWrap/>
            <w:vAlign w:val="bottom"/>
            <w:hideMark/>
          </w:tcPr>
          <w:p w:rsidR="00567BFF" w:rsidRPr="009305C6" w:rsidRDefault="00567BFF" w:rsidP="000F7B99">
            <w:pPr>
              <w:widowControl/>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$11,649*</w:t>
            </w:r>
          </w:p>
        </w:tc>
      </w:tr>
    </w:tbl>
    <w:p w:rsidR="00B4567B" w:rsidRDefault="00567B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 w:val="20"/>
        </w:rPr>
      </w:pPr>
      <w:r w:rsidRPr="00567BFF">
        <w:rPr>
          <w:rFonts w:ascii="Times New Roman" w:hAnsi="Times New Roman"/>
          <w:sz w:val="20"/>
        </w:rPr>
        <w:t>*Rounded to the nearest dollar</w:t>
      </w:r>
    </w:p>
    <w:p w:rsidR="00E46E1A" w:rsidRDefault="00E46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 w:val="20"/>
        </w:rPr>
      </w:pPr>
    </w:p>
    <w:p w:rsidR="00567BFF" w:rsidRPr="00567BFF" w:rsidRDefault="00567B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 w:val="20"/>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hanging="720"/>
        <w:rPr>
          <w:rFonts w:ascii="Times New Roman" w:hAnsi="Times New Roman"/>
        </w:rPr>
      </w:pPr>
      <w:r>
        <w:rPr>
          <w:rFonts w:ascii="Times New Roman" w:hAnsi="Times New Roman"/>
        </w:rPr>
        <w:t>15.</w:t>
      </w:r>
      <w:r>
        <w:rPr>
          <w:rFonts w:ascii="Times New Roman" w:hAnsi="Times New Roman"/>
        </w:rPr>
        <w:tab/>
      </w:r>
      <w:r w:rsidR="00B27BE0" w:rsidRPr="00B27BE0">
        <w:rPr>
          <w:rFonts w:ascii="Times New Roman" w:hAnsi="Times New Roman"/>
          <w:b/>
          <w:bCs/>
          <w:szCs w:val="24"/>
        </w:rPr>
        <w:t>Explanation for Program Changes or Adjustments.</w:t>
      </w:r>
      <w:r w:rsidR="00B27BE0">
        <w:rPr>
          <w:rFonts w:ascii="Arial" w:hAnsi="Arial" w:cs="Arial"/>
          <w:b/>
          <w:bCs/>
          <w:sz w:val="20"/>
        </w:rPr>
        <w:t xml:space="preserve"> </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rPr>
      </w:pPr>
    </w:p>
    <w:p w:rsidR="003A3AF6" w:rsidRDefault="003A3AF6" w:rsidP="00A6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480" w:lineRule="auto"/>
        <w:ind w:left="720" w:hanging="720"/>
        <w:rPr>
          <w:rFonts w:ascii="Times New Roman" w:hAnsi="Times New Roman"/>
        </w:rPr>
      </w:pPr>
      <w:r>
        <w:rPr>
          <w:rFonts w:ascii="Times New Roman" w:hAnsi="Times New Roman"/>
        </w:rPr>
        <w:tab/>
      </w:r>
      <w:r w:rsidR="00523BB6">
        <w:rPr>
          <w:rFonts w:ascii="Times New Roman" w:hAnsi="Times New Roman"/>
        </w:rPr>
        <w:t xml:space="preserve">This </w:t>
      </w:r>
      <w:r w:rsidR="008C7846">
        <w:rPr>
          <w:rFonts w:ascii="Times New Roman" w:hAnsi="Times New Roman"/>
        </w:rPr>
        <w:t>revis</w:t>
      </w:r>
      <w:r w:rsidR="00523BB6">
        <w:rPr>
          <w:rFonts w:ascii="Times New Roman" w:hAnsi="Times New Roman"/>
        </w:rPr>
        <w:t xml:space="preserve">ion of a </w:t>
      </w:r>
      <w:r w:rsidR="00753111">
        <w:rPr>
          <w:rFonts w:ascii="Times New Roman" w:hAnsi="Times New Roman"/>
        </w:rPr>
        <w:t>currently</w:t>
      </w:r>
      <w:r w:rsidR="00E46E1A">
        <w:rPr>
          <w:rFonts w:ascii="Times New Roman" w:hAnsi="Times New Roman"/>
        </w:rPr>
        <w:t>-</w:t>
      </w:r>
      <w:r w:rsidR="00523BB6">
        <w:rPr>
          <w:rFonts w:ascii="Times New Roman" w:hAnsi="Times New Roman"/>
        </w:rPr>
        <w:t>approved information collection</w:t>
      </w:r>
      <w:r w:rsidR="00753111">
        <w:rPr>
          <w:rFonts w:ascii="Times New Roman" w:hAnsi="Times New Roman"/>
        </w:rPr>
        <w:t xml:space="preserve"> assumes </w:t>
      </w:r>
      <w:r w:rsidR="008C7846">
        <w:rPr>
          <w:rFonts w:ascii="Times New Roman" w:hAnsi="Times New Roman"/>
        </w:rPr>
        <w:t xml:space="preserve">an average of </w:t>
      </w:r>
      <w:r w:rsidR="00114DB7">
        <w:rPr>
          <w:rFonts w:ascii="Times New Roman" w:hAnsi="Times New Roman"/>
        </w:rPr>
        <w:t>14 D-SNAPs</w:t>
      </w:r>
      <w:r w:rsidR="008C7846">
        <w:rPr>
          <w:rFonts w:ascii="Times New Roman" w:hAnsi="Times New Roman"/>
        </w:rPr>
        <w:t xml:space="preserve"> per calendar year</w:t>
      </w:r>
      <w:r w:rsidR="00753111">
        <w:rPr>
          <w:rFonts w:ascii="Times New Roman" w:hAnsi="Times New Roman"/>
        </w:rPr>
        <w:t>, which is higher than the previously-assumed level</w:t>
      </w:r>
      <w:r w:rsidR="008C7846">
        <w:rPr>
          <w:rFonts w:ascii="Times New Roman" w:hAnsi="Times New Roman"/>
        </w:rPr>
        <w:t xml:space="preserve">.  </w:t>
      </w:r>
      <w:r w:rsidR="00523BB6">
        <w:rPr>
          <w:rFonts w:ascii="Times New Roman" w:hAnsi="Times New Roman"/>
        </w:rPr>
        <w:t>This adjustment is base</w:t>
      </w:r>
      <w:r w:rsidR="0052630E">
        <w:rPr>
          <w:rFonts w:ascii="Times New Roman" w:hAnsi="Times New Roman"/>
        </w:rPr>
        <w:t>d</w:t>
      </w:r>
      <w:r w:rsidR="00523BB6">
        <w:rPr>
          <w:rFonts w:ascii="Times New Roman" w:hAnsi="Times New Roman"/>
        </w:rPr>
        <w:t xml:space="preserve"> on an increase in the number of State agencies FNS anticipates will </w:t>
      </w:r>
      <w:r w:rsidR="00B27BE0">
        <w:rPr>
          <w:rFonts w:ascii="Times New Roman" w:hAnsi="Times New Roman"/>
        </w:rPr>
        <w:t>request to operate</w:t>
      </w:r>
      <w:r w:rsidR="00523BB6">
        <w:rPr>
          <w:rFonts w:ascii="Times New Roman" w:hAnsi="Times New Roman"/>
        </w:rPr>
        <w:t xml:space="preserve"> </w:t>
      </w:r>
      <w:r w:rsidR="00A31E41">
        <w:rPr>
          <w:rFonts w:ascii="Times New Roman" w:hAnsi="Times New Roman"/>
        </w:rPr>
        <w:t>D-SNAPs</w:t>
      </w:r>
      <w:r w:rsidR="00C6657C">
        <w:rPr>
          <w:rFonts w:ascii="Times New Roman" w:hAnsi="Times New Roman"/>
        </w:rPr>
        <w:t>.  The number of State D-SN</w:t>
      </w:r>
      <w:r w:rsidR="005E568E">
        <w:rPr>
          <w:rFonts w:ascii="Times New Roman" w:hAnsi="Times New Roman"/>
        </w:rPr>
        <w:t>A</w:t>
      </w:r>
      <w:r w:rsidR="00C6657C">
        <w:rPr>
          <w:rFonts w:ascii="Times New Roman" w:hAnsi="Times New Roman"/>
        </w:rPr>
        <w:t xml:space="preserve">P requests </w:t>
      </w:r>
      <w:r w:rsidR="006A41C1">
        <w:rPr>
          <w:rFonts w:ascii="Times New Roman" w:hAnsi="Times New Roman"/>
        </w:rPr>
        <w:t>varies great</w:t>
      </w:r>
      <w:r w:rsidR="00A31E41">
        <w:rPr>
          <w:rFonts w:ascii="Times New Roman" w:hAnsi="Times New Roman"/>
        </w:rPr>
        <w:t>ly</w:t>
      </w:r>
      <w:r w:rsidR="006A41C1">
        <w:rPr>
          <w:rFonts w:ascii="Times New Roman" w:hAnsi="Times New Roman"/>
        </w:rPr>
        <w:t xml:space="preserve"> fro</w:t>
      </w:r>
      <w:r w:rsidR="001449A4">
        <w:rPr>
          <w:rFonts w:ascii="Times New Roman" w:hAnsi="Times New Roman"/>
        </w:rPr>
        <w:t xml:space="preserve">m year to year and </w:t>
      </w:r>
      <w:r w:rsidR="006A41C1">
        <w:rPr>
          <w:rFonts w:ascii="Times New Roman" w:hAnsi="Times New Roman"/>
        </w:rPr>
        <w:t xml:space="preserve">has ranged from </w:t>
      </w:r>
      <w:r w:rsidR="00CB624B">
        <w:rPr>
          <w:rFonts w:ascii="Times New Roman" w:hAnsi="Times New Roman"/>
        </w:rPr>
        <w:t>five</w:t>
      </w:r>
      <w:r w:rsidR="008C7846">
        <w:rPr>
          <w:rFonts w:ascii="Times New Roman" w:hAnsi="Times New Roman"/>
        </w:rPr>
        <w:t xml:space="preserve"> to </w:t>
      </w:r>
      <w:r w:rsidR="00CB624B">
        <w:rPr>
          <w:rFonts w:ascii="Times New Roman" w:hAnsi="Times New Roman"/>
        </w:rPr>
        <w:t>26</w:t>
      </w:r>
      <w:r w:rsidR="00C6657C">
        <w:rPr>
          <w:rFonts w:ascii="Times New Roman" w:hAnsi="Times New Roman"/>
        </w:rPr>
        <w:t xml:space="preserve"> per year over the last six years</w:t>
      </w:r>
      <w:r w:rsidR="008C7846">
        <w:rPr>
          <w:rFonts w:ascii="Times New Roman" w:hAnsi="Times New Roman"/>
        </w:rPr>
        <w:t>.</w:t>
      </w:r>
      <w:r>
        <w:rPr>
          <w:rFonts w:ascii="Times New Roman" w:hAnsi="Times New Roman"/>
        </w:rPr>
        <w:t xml:space="preserve">  </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hanging="720"/>
        <w:rPr>
          <w:rFonts w:ascii="Times New Roman" w:hAnsi="Times New Roman"/>
        </w:rPr>
      </w:pPr>
      <w:r>
        <w:rPr>
          <w:rFonts w:ascii="Times New Roman" w:hAnsi="Times New Roman"/>
        </w:rPr>
        <w:t>16.</w:t>
      </w:r>
      <w:r>
        <w:rPr>
          <w:rFonts w:ascii="Times New Roman" w:hAnsi="Times New Roman"/>
        </w:rPr>
        <w:tab/>
      </w:r>
      <w:r w:rsidR="00B27BE0" w:rsidRPr="00B27BE0">
        <w:rPr>
          <w:rFonts w:ascii="Times New Roman" w:hAnsi="Times New Roman"/>
          <w:b/>
          <w:bCs/>
          <w:szCs w:val="24"/>
        </w:rPr>
        <w:t>Plans for Tabulation and Publication and Project Time Schedule.</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rPr>
      </w:pPr>
    </w:p>
    <w:p w:rsidR="00ED37AF"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hanging="720"/>
        <w:rPr>
          <w:rFonts w:ascii="Times New Roman" w:hAnsi="Times New Roman"/>
        </w:rPr>
      </w:pPr>
      <w:r>
        <w:rPr>
          <w:rFonts w:ascii="Times New Roman" w:hAnsi="Times New Roman"/>
        </w:rPr>
        <w:tab/>
        <w:t xml:space="preserve">We have no plans to </w:t>
      </w:r>
      <w:r w:rsidRPr="00B27BE0">
        <w:rPr>
          <w:rFonts w:ascii="Times New Roman" w:hAnsi="Times New Roman"/>
          <w:szCs w:val="24"/>
        </w:rPr>
        <w:t xml:space="preserve">publish </w:t>
      </w:r>
      <w:r w:rsidR="00B27BE0" w:rsidRPr="001078AD">
        <w:rPr>
          <w:rFonts w:ascii="Times New Roman" w:hAnsi="Times New Roman"/>
          <w:szCs w:val="24"/>
        </w:rPr>
        <w:t>statistical analyses in publications</w:t>
      </w:r>
      <w:r w:rsidRPr="001078AD">
        <w:rPr>
          <w:rFonts w:ascii="Times New Roman" w:hAnsi="Times New Roman"/>
        </w:rPr>
        <w:t>.</w:t>
      </w:r>
    </w:p>
    <w:p w:rsidR="00E46E1A" w:rsidRDefault="00E46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hanging="720"/>
        <w:rPr>
          <w:rFonts w:ascii="Times New Roman" w:hAnsi="Times New Roman"/>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 w:val="left" w:pos="9360"/>
          <w:tab w:val="left" w:pos="10080"/>
          <w:tab w:val="left" w:pos="10800"/>
          <w:tab w:val="left" w:pos="11520"/>
        </w:tabs>
        <w:suppressAutoHyphens/>
        <w:ind w:left="720" w:hanging="720"/>
        <w:rPr>
          <w:rFonts w:ascii="Times New Roman" w:hAnsi="Times New Roman"/>
        </w:rPr>
      </w:pPr>
      <w:r>
        <w:rPr>
          <w:rFonts w:ascii="Times New Roman" w:hAnsi="Times New Roman"/>
        </w:rPr>
        <w:t>17.</w:t>
      </w:r>
      <w:r>
        <w:rPr>
          <w:rFonts w:ascii="Times New Roman" w:hAnsi="Times New Roman"/>
        </w:rPr>
        <w:tab/>
      </w:r>
      <w:r w:rsidR="00306E01" w:rsidRPr="00306E01">
        <w:rPr>
          <w:rFonts w:ascii="Times New Roman" w:hAnsi="Times New Roman"/>
          <w:b/>
          <w:bCs/>
          <w:szCs w:val="24"/>
        </w:rPr>
        <w:t>Reason(s) Display of OMB Expiration Date is Inappropriate</w:t>
      </w:r>
      <w:r w:rsidR="001078AD">
        <w:rPr>
          <w:rFonts w:ascii="Arial" w:hAnsi="Arial" w:cs="Arial"/>
          <w:b/>
          <w:bCs/>
          <w:sz w:val="20"/>
        </w:rPr>
        <w:t>.</w:t>
      </w:r>
    </w:p>
    <w:p w:rsidR="003A3AF6" w:rsidRPr="00306E01"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szCs w:val="24"/>
        </w:rPr>
      </w:pPr>
    </w:p>
    <w:p w:rsidR="003A3AF6" w:rsidRPr="00025066" w:rsidRDefault="003A3AF6" w:rsidP="00A6199D">
      <w:pPr>
        <w:pStyle w:val="TOC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rFonts w:ascii="Times New Roman" w:hAnsi="Times New Roman"/>
        </w:rPr>
      </w:pPr>
      <w:r w:rsidRPr="00306E01">
        <w:rPr>
          <w:rFonts w:ascii="Times New Roman" w:hAnsi="Times New Roman"/>
          <w:szCs w:val="24"/>
        </w:rPr>
        <w:tab/>
      </w:r>
      <w:r w:rsidR="00306E01" w:rsidRPr="00025066">
        <w:rPr>
          <w:rFonts w:ascii="Times New Roman" w:hAnsi="Times New Roman"/>
          <w:szCs w:val="24"/>
        </w:rPr>
        <w:t>The agency plans to display the expiration date for OMB approval of the information collection on all instruments</w:t>
      </w:r>
      <w:r w:rsidRPr="00025066">
        <w:rPr>
          <w:rFonts w:ascii="Times New Roman" w:hAnsi="Times New Roman"/>
        </w:rPr>
        <w:t>.</w:t>
      </w:r>
    </w:p>
    <w:p w:rsidR="006A41C1" w:rsidRDefault="006A41C1" w:rsidP="006A41C1"/>
    <w:p w:rsidR="006A41C1" w:rsidRPr="006A41C1" w:rsidRDefault="006A41C1" w:rsidP="006A41C1">
      <w:pPr>
        <w:sectPr w:rsidR="006A41C1" w:rsidRPr="006A41C1">
          <w:footerReference w:type="default" r:id="rId8"/>
          <w:endnotePr>
            <w:numFmt w:val="decimal"/>
          </w:endnotePr>
          <w:type w:val="continuous"/>
          <w:pgSz w:w="12240" w:h="15840"/>
          <w:pgMar w:top="1440" w:right="1440" w:bottom="720" w:left="1440" w:header="720" w:footer="720" w:gutter="0"/>
          <w:cols w:space="720"/>
          <w:noEndnote/>
        </w:sectPr>
      </w:pPr>
    </w:p>
    <w:p w:rsidR="003A3AF6" w:rsidRDefault="003A3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hanging="720"/>
        <w:rPr>
          <w:rFonts w:ascii="Times New Roman" w:hAnsi="Times New Roman"/>
        </w:rPr>
      </w:pPr>
      <w:r>
        <w:rPr>
          <w:rFonts w:ascii="Times New Roman" w:hAnsi="Times New Roman"/>
        </w:rPr>
        <w:lastRenderedPageBreak/>
        <w:t>18.</w:t>
      </w:r>
      <w:r>
        <w:rPr>
          <w:rFonts w:ascii="Times New Roman" w:hAnsi="Times New Roman"/>
        </w:rPr>
        <w:tab/>
      </w:r>
      <w:r w:rsidR="0069366F" w:rsidRPr="00A23B32">
        <w:rPr>
          <w:rFonts w:ascii="Times New Roman" w:hAnsi="Times New Roman"/>
          <w:b/>
          <w:bCs/>
          <w:szCs w:val="24"/>
        </w:rPr>
        <w:t>Exceptions to Certification for Paperwork Reduction Act Submissions</w:t>
      </w:r>
      <w:r w:rsidR="00A23B32" w:rsidRPr="00A23B32">
        <w:rPr>
          <w:rFonts w:ascii="Times New Roman" w:hAnsi="Times New Roman"/>
          <w:b/>
          <w:bCs/>
          <w:szCs w:val="24"/>
        </w:rPr>
        <w:t>.</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hanging="720"/>
        <w:rPr>
          <w:rFonts w:ascii="Times New Roman" w:hAnsi="Times New Roman"/>
        </w:rPr>
      </w:pPr>
      <w:r>
        <w:rPr>
          <w:rFonts w:ascii="Times New Roman" w:hAnsi="Times New Roman"/>
        </w:rPr>
        <w:tab/>
        <w:t>There are no exceptions to the certification statement.</w:t>
      </w: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rPr>
      </w:pPr>
    </w:p>
    <w:p w:rsidR="003A3AF6" w:rsidRDefault="003A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rPr>
      </w:pPr>
    </w:p>
    <w:sectPr w:rsidR="003A3AF6" w:rsidSect="005F6508">
      <w:endnotePr>
        <w:numFmt w:val="decimal"/>
      </w:endnotePr>
      <w:type w:val="continuous"/>
      <w:pgSz w:w="12240" w:h="15840"/>
      <w:pgMar w:top="720" w:right="72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534" w:rsidRDefault="00081534">
      <w:pPr>
        <w:spacing w:line="20" w:lineRule="exact"/>
      </w:pPr>
    </w:p>
  </w:endnote>
  <w:endnote w:type="continuationSeparator" w:id="1">
    <w:p w:rsidR="00081534" w:rsidRDefault="00081534">
      <w:r>
        <w:t xml:space="preserve"> </w:t>
      </w:r>
    </w:p>
  </w:endnote>
  <w:endnote w:type="continuationNotice" w:id="2">
    <w:p w:rsidR="00081534" w:rsidRDefault="0008153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BFF" w:rsidRDefault="001F3945">
    <w:r>
      <w:rPr>
        <w:noProof/>
      </w:rPr>
      <w:pict>
        <v:rect id="_x0000_s1025" style="position:absolute;margin-left:1in;margin-top:12pt;width:468pt;height:12pt;z-index:251657728;mso-position-horizontal-relative:page" o:allowincell="f" filled="f" stroked="f" strokeweight="0">
          <v:textbox inset="0,0,0,0">
            <w:txbxContent>
              <w:p w:rsidR="00567BFF" w:rsidRDefault="00567BFF">
                <w:pPr>
                  <w:tabs>
                    <w:tab w:val="center" w:pos="4680"/>
                    <w:tab w:val="right" w:pos="9360"/>
                  </w:tabs>
                </w:pPr>
                <w:r>
                  <w:tab/>
                </w:r>
                <w:fldSimple w:instr="page \* arabic">
                  <w:r w:rsidR="005E568E">
                    <w:rPr>
                      <w:noProof/>
                    </w:rPr>
                    <w:t>9</w:t>
                  </w:r>
                </w:fldSimple>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534" w:rsidRDefault="00081534">
      <w:r>
        <w:separator/>
      </w:r>
    </w:p>
  </w:footnote>
  <w:footnote w:type="continuationSeparator" w:id="1">
    <w:p w:rsidR="00081534" w:rsidRDefault="00081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65291"/>
    <w:multiLevelType w:val="singleLevel"/>
    <w:tmpl w:val="DB7E352A"/>
    <w:lvl w:ilvl="0">
      <w:start w:val="6"/>
      <w:numFmt w:val="decimal"/>
      <w:lvlText w:val="%1."/>
      <w:legacy w:legacy="1" w:legacySpace="120" w:legacyIndent="360"/>
      <w:lvlJc w:val="left"/>
      <w:pPr>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8"/>
    <o:shapelayout v:ext="edit">
      <o:idmap v:ext="edit" data="1"/>
    </o:shapelayout>
  </w:hdrShapeDefaults>
  <w:footnotePr>
    <w:footnote w:id="0"/>
    <w:footnote w:id="1"/>
  </w:footnotePr>
  <w:endnotePr>
    <w:numFmt w:val="decimal"/>
    <w:endnote w:id="0"/>
    <w:endnote w:id="1"/>
    <w:endnote w:id="2"/>
  </w:endnotePr>
  <w:compat>
    <w:spaceForUL/>
    <w:balanceSingleByteDoubleByteWidth/>
    <w:doNotLeaveBackslashAlone/>
    <w:ulTrailSpace/>
    <w:doNotExpandShiftReturn/>
  </w:compat>
  <w:rsids>
    <w:rsidRoot w:val="00271722"/>
    <w:rsid w:val="00025066"/>
    <w:rsid w:val="00030A9B"/>
    <w:rsid w:val="00033B74"/>
    <w:rsid w:val="0003435B"/>
    <w:rsid w:val="000357A5"/>
    <w:rsid w:val="0005515F"/>
    <w:rsid w:val="00055396"/>
    <w:rsid w:val="000622F4"/>
    <w:rsid w:val="0007166E"/>
    <w:rsid w:val="000737B8"/>
    <w:rsid w:val="0008021C"/>
    <w:rsid w:val="00081534"/>
    <w:rsid w:val="00082BB4"/>
    <w:rsid w:val="000B4379"/>
    <w:rsid w:val="000C761B"/>
    <w:rsid w:val="000F26A0"/>
    <w:rsid w:val="000F423B"/>
    <w:rsid w:val="000F7B99"/>
    <w:rsid w:val="00102539"/>
    <w:rsid w:val="001078AD"/>
    <w:rsid w:val="00114DB7"/>
    <w:rsid w:val="0011602D"/>
    <w:rsid w:val="001449A4"/>
    <w:rsid w:val="00187FFC"/>
    <w:rsid w:val="001A0345"/>
    <w:rsid w:val="001D28B9"/>
    <w:rsid w:val="001D59CE"/>
    <w:rsid w:val="001E3ADE"/>
    <w:rsid w:val="001E6315"/>
    <w:rsid w:val="001F14F7"/>
    <w:rsid w:val="001F3945"/>
    <w:rsid w:val="001F4479"/>
    <w:rsid w:val="0020223F"/>
    <w:rsid w:val="00203F31"/>
    <w:rsid w:val="00212AD8"/>
    <w:rsid w:val="00223C2C"/>
    <w:rsid w:val="002330DA"/>
    <w:rsid w:val="00241D6E"/>
    <w:rsid w:val="00256242"/>
    <w:rsid w:val="00261E6C"/>
    <w:rsid w:val="00265434"/>
    <w:rsid w:val="00271722"/>
    <w:rsid w:val="00272A4B"/>
    <w:rsid w:val="00282BF4"/>
    <w:rsid w:val="002868D4"/>
    <w:rsid w:val="002944A6"/>
    <w:rsid w:val="002B10FE"/>
    <w:rsid w:val="002B207C"/>
    <w:rsid w:val="002C207F"/>
    <w:rsid w:val="002C2858"/>
    <w:rsid w:val="002C5F92"/>
    <w:rsid w:val="002E1032"/>
    <w:rsid w:val="00301979"/>
    <w:rsid w:val="00306E01"/>
    <w:rsid w:val="0032460C"/>
    <w:rsid w:val="00332310"/>
    <w:rsid w:val="003346D5"/>
    <w:rsid w:val="003363B9"/>
    <w:rsid w:val="00336794"/>
    <w:rsid w:val="00346B06"/>
    <w:rsid w:val="003610CF"/>
    <w:rsid w:val="00370AF2"/>
    <w:rsid w:val="00375C0A"/>
    <w:rsid w:val="003802D6"/>
    <w:rsid w:val="0038674C"/>
    <w:rsid w:val="00387435"/>
    <w:rsid w:val="00390E4B"/>
    <w:rsid w:val="00395B1E"/>
    <w:rsid w:val="003A3AF6"/>
    <w:rsid w:val="003A5969"/>
    <w:rsid w:val="003B3AAE"/>
    <w:rsid w:val="003B758E"/>
    <w:rsid w:val="003C16EC"/>
    <w:rsid w:val="003E7FBF"/>
    <w:rsid w:val="00411023"/>
    <w:rsid w:val="00426CE2"/>
    <w:rsid w:val="004315C8"/>
    <w:rsid w:val="004448F0"/>
    <w:rsid w:val="00450D8C"/>
    <w:rsid w:val="004744A1"/>
    <w:rsid w:val="00480994"/>
    <w:rsid w:val="00482E69"/>
    <w:rsid w:val="00491B6E"/>
    <w:rsid w:val="004C1667"/>
    <w:rsid w:val="004C5D80"/>
    <w:rsid w:val="004D0723"/>
    <w:rsid w:val="004E17D0"/>
    <w:rsid w:val="004E6A79"/>
    <w:rsid w:val="004F25B2"/>
    <w:rsid w:val="004F333C"/>
    <w:rsid w:val="00500358"/>
    <w:rsid w:val="00517000"/>
    <w:rsid w:val="005219BE"/>
    <w:rsid w:val="00521D9D"/>
    <w:rsid w:val="00523BB6"/>
    <w:rsid w:val="0052630E"/>
    <w:rsid w:val="00546140"/>
    <w:rsid w:val="0055009E"/>
    <w:rsid w:val="00567BFF"/>
    <w:rsid w:val="00575657"/>
    <w:rsid w:val="00576D11"/>
    <w:rsid w:val="005B7353"/>
    <w:rsid w:val="005C162A"/>
    <w:rsid w:val="005D70FB"/>
    <w:rsid w:val="005E568E"/>
    <w:rsid w:val="005F6508"/>
    <w:rsid w:val="005F7500"/>
    <w:rsid w:val="00601435"/>
    <w:rsid w:val="0063741D"/>
    <w:rsid w:val="006379F0"/>
    <w:rsid w:val="00656378"/>
    <w:rsid w:val="00670898"/>
    <w:rsid w:val="0067191B"/>
    <w:rsid w:val="00684AE7"/>
    <w:rsid w:val="006909CF"/>
    <w:rsid w:val="0069366F"/>
    <w:rsid w:val="00695518"/>
    <w:rsid w:val="006A137A"/>
    <w:rsid w:val="006A41C1"/>
    <w:rsid w:val="006A4A67"/>
    <w:rsid w:val="006C7120"/>
    <w:rsid w:val="00705F17"/>
    <w:rsid w:val="00714453"/>
    <w:rsid w:val="00723922"/>
    <w:rsid w:val="00746045"/>
    <w:rsid w:val="0075156E"/>
    <w:rsid w:val="00753111"/>
    <w:rsid w:val="00753D59"/>
    <w:rsid w:val="00753EB4"/>
    <w:rsid w:val="007568D2"/>
    <w:rsid w:val="00781014"/>
    <w:rsid w:val="00782DED"/>
    <w:rsid w:val="007A591B"/>
    <w:rsid w:val="007C2012"/>
    <w:rsid w:val="007D1360"/>
    <w:rsid w:val="007F5D88"/>
    <w:rsid w:val="0081164C"/>
    <w:rsid w:val="00823C7B"/>
    <w:rsid w:val="00824AF8"/>
    <w:rsid w:val="00831E4D"/>
    <w:rsid w:val="00831FE0"/>
    <w:rsid w:val="0085120F"/>
    <w:rsid w:val="008777DC"/>
    <w:rsid w:val="0088094C"/>
    <w:rsid w:val="00883440"/>
    <w:rsid w:val="0089057C"/>
    <w:rsid w:val="0089264A"/>
    <w:rsid w:val="008B2503"/>
    <w:rsid w:val="008C21B4"/>
    <w:rsid w:val="008C55CA"/>
    <w:rsid w:val="008C7499"/>
    <w:rsid w:val="008C7846"/>
    <w:rsid w:val="008D082E"/>
    <w:rsid w:val="008F4C48"/>
    <w:rsid w:val="008F7775"/>
    <w:rsid w:val="00907FA5"/>
    <w:rsid w:val="00915507"/>
    <w:rsid w:val="009305C6"/>
    <w:rsid w:val="00937C46"/>
    <w:rsid w:val="0094699B"/>
    <w:rsid w:val="009476DE"/>
    <w:rsid w:val="009603A6"/>
    <w:rsid w:val="009949D0"/>
    <w:rsid w:val="00996C84"/>
    <w:rsid w:val="009B1909"/>
    <w:rsid w:val="009C1E0D"/>
    <w:rsid w:val="009C45D8"/>
    <w:rsid w:val="009C467F"/>
    <w:rsid w:val="009E5B36"/>
    <w:rsid w:val="009F1732"/>
    <w:rsid w:val="009F4F1B"/>
    <w:rsid w:val="009F7883"/>
    <w:rsid w:val="00A07E93"/>
    <w:rsid w:val="00A1428E"/>
    <w:rsid w:val="00A23B32"/>
    <w:rsid w:val="00A31A20"/>
    <w:rsid w:val="00A31E41"/>
    <w:rsid w:val="00A37DE1"/>
    <w:rsid w:val="00A52D0F"/>
    <w:rsid w:val="00A6199D"/>
    <w:rsid w:val="00A83E27"/>
    <w:rsid w:val="00A946DF"/>
    <w:rsid w:val="00A950F3"/>
    <w:rsid w:val="00AA14B2"/>
    <w:rsid w:val="00AA7A9A"/>
    <w:rsid w:val="00AC4156"/>
    <w:rsid w:val="00AC7374"/>
    <w:rsid w:val="00AD3204"/>
    <w:rsid w:val="00AE1AA6"/>
    <w:rsid w:val="00AE3ACD"/>
    <w:rsid w:val="00AF609F"/>
    <w:rsid w:val="00B07B6E"/>
    <w:rsid w:val="00B166E8"/>
    <w:rsid w:val="00B229F8"/>
    <w:rsid w:val="00B27BE0"/>
    <w:rsid w:val="00B4567B"/>
    <w:rsid w:val="00B4621C"/>
    <w:rsid w:val="00B55AE3"/>
    <w:rsid w:val="00B6331F"/>
    <w:rsid w:val="00B6724D"/>
    <w:rsid w:val="00B77523"/>
    <w:rsid w:val="00B840C9"/>
    <w:rsid w:val="00B916C0"/>
    <w:rsid w:val="00BA0401"/>
    <w:rsid w:val="00BC426D"/>
    <w:rsid w:val="00BD4524"/>
    <w:rsid w:val="00BF001D"/>
    <w:rsid w:val="00C14400"/>
    <w:rsid w:val="00C16EF8"/>
    <w:rsid w:val="00C248EA"/>
    <w:rsid w:val="00C332E9"/>
    <w:rsid w:val="00C34DD0"/>
    <w:rsid w:val="00C41DE4"/>
    <w:rsid w:val="00C4634F"/>
    <w:rsid w:val="00C514B7"/>
    <w:rsid w:val="00C655D8"/>
    <w:rsid w:val="00C6657C"/>
    <w:rsid w:val="00C719BD"/>
    <w:rsid w:val="00CB624B"/>
    <w:rsid w:val="00CE00FF"/>
    <w:rsid w:val="00D22599"/>
    <w:rsid w:val="00D41CB6"/>
    <w:rsid w:val="00D522E1"/>
    <w:rsid w:val="00D744EA"/>
    <w:rsid w:val="00D868BE"/>
    <w:rsid w:val="00DC024C"/>
    <w:rsid w:val="00DD4993"/>
    <w:rsid w:val="00DD74B7"/>
    <w:rsid w:val="00DE27EA"/>
    <w:rsid w:val="00DF01CC"/>
    <w:rsid w:val="00E02594"/>
    <w:rsid w:val="00E24621"/>
    <w:rsid w:val="00E25230"/>
    <w:rsid w:val="00E33932"/>
    <w:rsid w:val="00E46E1A"/>
    <w:rsid w:val="00E56B62"/>
    <w:rsid w:val="00E57502"/>
    <w:rsid w:val="00E61056"/>
    <w:rsid w:val="00E62AA8"/>
    <w:rsid w:val="00E96A01"/>
    <w:rsid w:val="00E97F2D"/>
    <w:rsid w:val="00EB72E0"/>
    <w:rsid w:val="00EB7ACF"/>
    <w:rsid w:val="00EC1929"/>
    <w:rsid w:val="00EC284A"/>
    <w:rsid w:val="00EC3183"/>
    <w:rsid w:val="00EC4A81"/>
    <w:rsid w:val="00EC7E61"/>
    <w:rsid w:val="00ED29C1"/>
    <w:rsid w:val="00ED37AF"/>
    <w:rsid w:val="00EF37E7"/>
    <w:rsid w:val="00F140E7"/>
    <w:rsid w:val="00F21350"/>
    <w:rsid w:val="00F32AAB"/>
    <w:rsid w:val="00F42FAC"/>
    <w:rsid w:val="00F43D48"/>
    <w:rsid w:val="00F571E6"/>
    <w:rsid w:val="00F640C3"/>
    <w:rsid w:val="00F90FA5"/>
    <w:rsid w:val="00F97332"/>
    <w:rsid w:val="00FB03BD"/>
    <w:rsid w:val="00FE3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508"/>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F6508"/>
    <w:pPr>
      <w:keepNext/>
      <w:tabs>
        <w:tab w:val="left" w:pos="-720"/>
        <w:tab w:val="left" w:pos="0"/>
      </w:tabs>
      <w:suppressAutoHyphens/>
      <w:ind w:left="720" w:right="-720" w:hanging="720"/>
      <w:outlineLvl w:val="0"/>
    </w:pPr>
    <w:rPr>
      <w:rFonts w:ascii="Times New Roman" w:hAnsi="Times New Roman"/>
      <w:b/>
    </w:rPr>
  </w:style>
  <w:style w:type="paragraph" w:styleId="Heading2">
    <w:name w:val="heading 2"/>
    <w:basedOn w:val="Normal"/>
    <w:next w:val="Normal"/>
    <w:qFormat/>
    <w:rsid w:val="005F6508"/>
    <w:pPr>
      <w:keepNext/>
      <w:tabs>
        <w:tab w:val="center" w:pos="4680"/>
      </w:tabs>
      <w:suppressAutoHyphens/>
      <w:ind w:left="-720" w:right="-720"/>
      <w:outlineLvl w:val="1"/>
    </w:pPr>
    <w:rPr>
      <w:rFonts w:ascii="Times New Roman" w:hAnsi="Times New Roman"/>
      <w:b/>
      <w:sz w:val="28"/>
    </w:rPr>
  </w:style>
  <w:style w:type="paragraph" w:styleId="Heading3">
    <w:name w:val="heading 3"/>
    <w:basedOn w:val="Normal"/>
    <w:next w:val="Normal"/>
    <w:qFormat/>
    <w:rsid w:val="005F650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hanging="72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F6508"/>
  </w:style>
  <w:style w:type="character" w:styleId="EndnoteReference">
    <w:name w:val="endnote reference"/>
    <w:basedOn w:val="DefaultParagraphFont"/>
    <w:semiHidden/>
    <w:rsid w:val="005F6508"/>
    <w:rPr>
      <w:vertAlign w:val="superscript"/>
    </w:rPr>
  </w:style>
  <w:style w:type="paragraph" w:styleId="FootnoteText">
    <w:name w:val="footnote text"/>
    <w:basedOn w:val="Normal"/>
    <w:semiHidden/>
    <w:rsid w:val="005F6508"/>
  </w:style>
  <w:style w:type="character" w:styleId="FootnoteReference">
    <w:name w:val="footnote reference"/>
    <w:basedOn w:val="DefaultParagraphFont"/>
    <w:semiHidden/>
    <w:rsid w:val="005F6508"/>
    <w:rPr>
      <w:vertAlign w:val="superscript"/>
    </w:rPr>
  </w:style>
  <w:style w:type="paragraph" w:styleId="TOC1">
    <w:name w:val="toc 1"/>
    <w:basedOn w:val="Normal"/>
    <w:next w:val="Normal"/>
    <w:semiHidden/>
    <w:rsid w:val="005F6508"/>
    <w:pPr>
      <w:tabs>
        <w:tab w:val="right" w:leader="dot" w:pos="9360"/>
      </w:tabs>
      <w:suppressAutoHyphens/>
      <w:spacing w:before="480"/>
      <w:ind w:left="720" w:right="720" w:hanging="720"/>
    </w:pPr>
  </w:style>
  <w:style w:type="paragraph" w:styleId="TOC2">
    <w:name w:val="toc 2"/>
    <w:basedOn w:val="Normal"/>
    <w:next w:val="Normal"/>
    <w:semiHidden/>
    <w:rsid w:val="005F6508"/>
    <w:pPr>
      <w:tabs>
        <w:tab w:val="right" w:leader="dot" w:pos="9360"/>
      </w:tabs>
      <w:suppressAutoHyphens/>
      <w:ind w:left="1440" w:right="720" w:hanging="720"/>
    </w:pPr>
  </w:style>
  <w:style w:type="paragraph" w:styleId="TOC3">
    <w:name w:val="toc 3"/>
    <w:basedOn w:val="Normal"/>
    <w:next w:val="Normal"/>
    <w:semiHidden/>
    <w:rsid w:val="005F6508"/>
    <w:pPr>
      <w:tabs>
        <w:tab w:val="right" w:leader="dot" w:pos="9360"/>
      </w:tabs>
      <w:suppressAutoHyphens/>
      <w:ind w:left="2160" w:right="720" w:hanging="720"/>
    </w:pPr>
  </w:style>
  <w:style w:type="paragraph" w:styleId="TOC4">
    <w:name w:val="toc 4"/>
    <w:basedOn w:val="Normal"/>
    <w:next w:val="Normal"/>
    <w:semiHidden/>
    <w:rsid w:val="005F6508"/>
    <w:pPr>
      <w:tabs>
        <w:tab w:val="right" w:leader="dot" w:pos="9360"/>
      </w:tabs>
      <w:suppressAutoHyphens/>
      <w:ind w:left="2880" w:right="720" w:hanging="720"/>
    </w:pPr>
  </w:style>
  <w:style w:type="paragraph" w:styleId="TOC5">
    <w:name w:val="toc 5"/>
    <w:basedOn w:val="Normal"/>
    <w:next w:val="Normal"/>
    <w:semiHidden/>
    <w:rsid w:val="005F6508"/>
    <w:pPr>
      <w:tabs>
        <w:tab w:val="right" w:leader="dot" w:pos="9360"/>
      </w:tabs>
      <w:suppressAutoHyphens/>
      <w:ind w:left="3600" w:right="720" w:hanging="720"/>
    </w:pPr>
  </w:style>
  <w:style w:type="paragraph" w:styleId="TOC6">
    <w:name w:val="toc 6"/>
    <w:basedOn w:val="Normal"/>
    <w:next w:val="Normal"/>
    <w:semiHidden/>
    <w:rsid w:val="005F6508"/>
    <w:pPr>
      <w:tabs>
        <w:tab w:val="right" w:pos="9360"/>
      </w:tabs>
      <w:suppressAutoHyphens/>
      <w:ind w:left="720" w:hanging="720"/>
    </w:pPr>
  </w:style>
  <w:style w:type="paragraph" w:styleId="TOC7">
    <w:name w:val="toc 7"/>
    <w:basedOn w:val="Normal"/>
    <w:next w:val="Normal"/>
    <w:semiHidden/>
    <w:rsid w:val="005F6508"/>
    <w:pPr>
      <w:suppressAutoHyphens/>
      <w:ind w:left="720" w:hanging="720"/>
    </w:pPr>
  </w:style>
  <w:style w:type="paragraph" w:styleId="TOC8">
    <w:name w:val="toc 8"/>
    <w:basedOn w:val="Normal"/>
    <w:next w:val="Normal"/>
    <w:semiHidden/>
    <w:rsid w:val="005F6508"/>
    <w:pPr>
      <w:tabs>
        <w:tab w:val="right" w:pos="9360"/>
      </w:tabs>
      <w:suppressAutoHyphens/>
      <w:ind w:left="720" w:hanging="720"/>
    </w:pPr>
  </w:style>
  <w:style w:type="paragraph" w:styleId="TOC9">
    <w:name w:val="toc 9"/>
    <w:basedOn w:val="Normal"/>
    <w:next w:val="Normal"/>
    <w:semiHidden/>
    <w:rsid w:val="005F6508"/>
    <w:pPr>
      <w:tabs>
        <w:tab w:val="right" w:leader="dot" w:pos="9360"/>
      </w:tabs>
      <w:suppressAutoHyphens/>
      <w:ind w:left="720" w:hanging="720"/>
    </w:pPr>
  </w:style>
  <w:style w:type="paragraph" w:styleId="Index1">
    <w:name w:val="index 1"/>
    <w:basedOn w:val="Normal"/>
    <w:next w:val="Normal"/>
    <w:semiHidden/>
    <w:rsid w:val="005F6508"/>
    <w:pPr>
      <w:tabs>
        <w:tab w:val="right" w:leader="dot" w:pos="9360"/>
      </w:tabs>
      <w:suppressAutoHyphens/>
      <w:ind w:left="1440" w:right="720" w:hanging="1440"/>
    </w:pPr>
  </w:style>
  <w:style w:type="paragraph" w:styleId="Index2">
    <w:name w:val="index 2"/>
    <w:basedOn w:val="Normal"/>
    <w:next w:val="Normal"/>
    <w:semiHidden/>
    <w:rsid w:val="005F6508"/>
    <w:pPr>
      <w:tabs>
        <w:tab w:val="right" w:leader="dot" w:pos="9360"/>
      </w:tabs>
      <w:suppressAutoHyphens/>
      <w:ind w:left="1440" w:right="720" w:hanging="720"/>
    </w:pPr>
  </w:style>
  <w:style w:type="paragraph" w:styleId="TOAHeading">
    <w:name w:val="toa heading"/>
    <w:basedOn w:val="Normal"/>
    <w:next w:val="Normal"/>
    <w:semiHidden/>
    <w:rsid w:val="005F6508"/>
    <w:pPr>
      <w:tabs>
        <w:tab w:val="right" w:pos="9360"/>
      </w:tabs>
      <w:suppressAutoHyphens/>
    </w:pPr>
  </w:style>
  <w:style w:type="paragraph" w:styleId="Caption">
    <w:name w:val="caption"/>
    <w:basedOn w:val="Normal"/>
    <w:next w:val="Normal"/>
    <w:qFormat/>
    <w:rsid w:val="005F6508"/>
  </w:style>
  <w:style w:type="character" w:customStyle="1" w:styleId="EquationCaption">
    <w:name w:val="_Equation Caption"/>
    <w:rsid w:val="005F6508"/>
  </w:style>
  <w:style w:type="paragraph" w:styleId="Footer">
    <w:name w:val="footer"/>
    <w:basedOn w:val="Normal"/>
    <w:rsid w:val="005F6508"/>
    <w:pPr>
      <w:tabs>
        <w:tab w:val="center" w:pos="4320"/>
        <w:tab w:val="right" w:pos="8640"/>
      </w:tabs>
    </w:pPr>
  </w:style>
  <w:style w:type="paragraph" w:styleId="Header">
    <w:name w:val="header"/>
    <w:basedOn w:val="Normal"/>
    <w:rsid w:val="005F6508"/>
    <w:pPr>
      <w:tabs>
        <w:tab w:val="center" w:pos="4320"/>
        <w:tab w:val="right" w:pos="8640"/>
      </w:tabs>
    </w:pPr>
  </w:style>
  <w:style w:type="character" w:styleId="PageNumber">
    <w:name w:val="page number"/>
    <w:basedOn w:val="DefaultParagraphFont"/>
    <w:rsid w:val="005F6508"/>
  </w:style>
  <w:style w:type="paragraph" w:styleId="BlockText">
    <w:name w:val="Block Text"/>
    <w:basedOn w:val="Normal"/>
    <w:rsid w:val="005F6508"/>
    <w:pPr>
      <w:tabs>
        <w:tab w:val="left" w:pos="-720"/>
        <w:tab w:val="left" w:pos="0"/>
      </w:tabs>
      <w:suppressAutoHyphens/>
      <w:ind w:left="720" w:right="-720" w:hanging="720"/>
    </w:pPr>
    <w:rPr>
      <w:rFonts w:ascii="Times New Roman" w:hAnsi="Times New Roman"/>
    </w:rPr>
  </w:style>
  <w:style w:type="character" w:styleId="CommentReference">
    <w:name w:val="annotation reference"/>
    <w:basedOn w:val="DefaultParagraphFont"/>
    <w:semiHidden/>
    <w:rsid w:val="00387435"/>
    <w:rPr>
      <w:sz w:val="16"/>
      <w:szCs w:val="16"/>
    </w:rPr>
  </w:style>
  <w:style w:type="paragraph" w:styleId="CommentText">
    <w:name w:val="annotation text"/>
    <w:basedOn w:val="Normal"/>
    <w:link w:val="CommentTextChar"/>
    <w:semiHidden/>
    <w:rsid w:val="00387435"/>
    <w:pPr>
      <w:overflowPunct/>
      <w:autoSpaceDE/>
      <w:autoSpaceDN/>
      <w:adjustRightInd/>
      <w:textAlignment w:val="auto"/>
    </w:pPr>
    <w:rPr>
      <w:rFonts w:ascii="Courier New" w:hAnsi="Courier New"/>
      <w:sz w:val="20"/>
    </w:rPr>
  </w:style>
  <w:style w:type="paragraph" w:styleId="BalloonText">
    <w:name w:val="Balloon Text"/>
    <w:basedOn w:val="Normal"/>
    <w:semiHidden/>
    <w:rsid w:val="00387435"/>
    <w:rPr>
      <w:rFonts w:ascii="Tahoma" w:hAnsi="Tahoma" w:cs="Tahoma"/>
      <w:sz w:val="16"/>
      <w:szCs w:val="16"/>
    </w:rPr>
  </w:style>
  <w:style w:type="paragraph" w:customStyle="1" w:styleId="bodytextblack">
    <w:name w:val="bodytextblack"/>
    <w:basedOn w:val="Normal"/>
    <w:rsid w:val="00A37DE1"/>
    <w:pPr>
      <w:widowControl/>
      <w:overflowPunct/>
      <w:autoSpaceDE/>
      <w:autoSpaceDN/>
      <w:adjustRightInd/>
      <w:spacing w:before="100" w:beforeAutospacing="1" w:after="100" w:afterAutospacing="1"/>
      <w:textAlignment w:val="auto"/>
    </w:pPr>
    <w:rPr>
      <w:rFonts w:ascii="Verdana" w:hAnsi="Verdana"/>
      <w:color w:val="000000"/>
      <w:sz w:val="17"/>
      <w:szCs w:val="17"/>
    </w:rPr>
  </w:style>
  <w:style w:type="paragraph" w:styleId="CommentSubject">
    <w:name w:val="annotation subject"/>
    <w:basedOn w:val="CommentText"/>
    <w:next w:val="CommentText"/>
    <w:link w:val="CommentSubjectChar"/>
    <w:rsid w:val="004F25B2"/>
    <w:pPr>
      <w:overflowPunct w:val="0"/>
      <w:autoSpaceDE w:val="0"/>
      <w:autoSpaceDN w:val="0"/>
      <w:adjustRightInd w:val="0"/>
      <w:textAlignment w:val="baseline"/>
    </w:pPr>
    <w:rPr>
      <w:rFonts w:ascii="Courier" w:hAnsi="Courier"/>
      <w:b/>
      <w:bCs/>
    </w:rPr>
  </w:style>
  <w:style w:type="character" w:customStyle="1" w:styleId="CommentTextChar">
    <w:name w:val="Comment Text Char"/>
    <w:basedOn w:val="DefaultParagraphFont"/>
    <w:link w:val="CommentText"/>
    <w:semiHidden/>
    <w:rsid w:val="004F25B2"/>
    <w:rPr>
      <w:rFonts w:ascii="Courier New" w:hAnsi="Courier New"/>
    </w:rPr>
  </w:style>
  <w:style w:type="character" w:customStyle="1" w:styleId="CommentSubjectChar">
    <w:name w:val="Comment Subject Char"/>
    <w:basedOn w:val="CommentTextChar"/>
    <w:link w:val="CommentSubject"/>
    <w:rsid w:val="004F25B2"/>
  </w:style>
  <w:style w:type="paragraph" w:styleId="Revision">
    <w:name w:val="Revision"/>
    <w:hidden/>
    <w:uiPriority w:val="99"/>
    <w:semiHidden/>
    <w:rsid w:val="004F25B2"/>
    <w:rPr>
      <w:rFonts w:ascii="Courier" w:hAnsi="Courier"/>
      <w:sz w:val="24"/>
    </w:rPr>
  </w:style>
  <w:style w:type="character" w:styleId="Hyperlink">
    <w:name w:val="Hyperlink"/>
    <w:basedOn w:val="DefaultParagraphFont"/>
    <w:uiPriority w:val="99"/>
    <w:rsid w:val="0075156E"/>
    <w:rPr>
      <w:rFonts w:cs="Times New Roman"/>
      <w:color w:val="0000FF"/>
      <w:u w:val="single"/>
    </w:rPr>
  </w:style>
  <w:style w:type="character" w:styleId="FollowedHyperlink">
    <w:name w:val="FollowedHyperlink"/>
    <w:basedOn w:val="DefaultParagraphFont"/>
    <w:rsid w:val="0007166E"/>
    <w:rPr>
      <w:color w:val="800080"/>
      <w:u w:val="single"/>
    </w:rPr>
  </w:style>
  <w:style w:type="table" w:styleId="TableGrid">
    <w:name w:val="Table Grid"/>
    <w:basedOn w:val="TableNormal"/>
    <w:uiPriority w:val="59"/>
    <w:rsid w:val="0055009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261581">
      <w:bodyDiv w:val="1"/>
      <w:marLeft w:val="0"/>
      <w:marRight w:val="0"/>
      <w:marTop w:val="0"/>
      <w:marBottom w:val="0"/>
      <w:divBdr>
        <w:top w:val="none" w:sz="0" w:space="0" w:color="auto"/>
        <w:left w:val="none" w:sz="0" w:space="0" w:color="auto"/>
        <w:bottom w:val="none" w:sz="0" w:space="0" w:color="auto"/>
        <w:right w:val="none" w:sz="0" w:space="0" w:color="auto"/>
      </w:divBdr>
    </w:div>
    <w:div w:id="115678841">
      <w:bodyDiv w:val="1"/>
      <w:marLeft w:val="0"/>
      <w:marRight w:val="0"/>
      <w:marTop w:val="0"/>
      <w:marBottom w:val="0"/>
      <w:divBdr>
        <w:top w:val="none" w:sz="0" w:space="0" w:color="auto"/>
        <w:left w:val="none" w:sz="0" w:space="0" w:color="auto"/>
        <w:bottom w:val="none" w:sz="0" w:space="0" w:color="auto"/>
        <w:right w:val="none" w:sz="0" w:space="0" w:color="auto"/>
      </w:divBdr>
    </w:div>
    <w:div w:id="135491853">
      <w:bodyDiv w:val="1"/>
      <w:marLeft w:val="0"/>
      <w:marRight w:val="0"/>
      <w:marTop w:val="0"/>
      <w:marBottom w:val="0"/>
      <w:divBdr>
        <w:top w:val="none" w:sz="0" w:space="0" w:color="auto"/>
        <w:left w:val="none" w:sz="0" w:space="0" w:color="auto"/>
        <w:bottom w:val="none" w:sz="0" w:space="0" w:color="auto"/>
        <w:right w:val="none" w:sz="0" w:space="0" w:color="auto"/>
      </w:divBdr>
    </w:div>
    <w:div w:id="354500658">
      <w:bodyDiv w:val="1"/>
      <w:marLeft w:val="0"/>
      <w:marRight w:val="0"/>
      <w:marTop w:val="0"/>
      <w:marBottom w:val="0"/>
      <w:divBdr>
        <w:top w:val="none" w:sz="0" w:space="0" w:color="auto"/>
        <w:left w:val="none" w:sz="0" w:space="0" w:color="auto"/>
        <w:bottom w:val="none" w:sz="0" w:space="0" w:color="auto"/>
        <w:right w:val="none" w:sz="0" w:space="0" w:color="auto"/>
      </w:divBdr>
    </w:div>
    <w:div w:id="362364914">
      <w:bodyDiv w:val="1"/>
      <w:marLeft w:val="0"/>
      <w:marRight w:val="0"/>
      <w:marTop w:val="0"/>
      <w:marBottom w:val="0"/>
      <w:divBdr>
        <w:top w:val="none" w:sz="0" w:space="0" w:color="auto"/>
        <w:left w:val="none" w:sz="0" w:space="0" w:color="auto"/>
        <w:bottom w:val="none" w:sz="0" w:space="0" w:color="auto"/>
        <w:right w:val="none" w:sz="0" w:space="0" w:color="auto"/>
      </w:divBdr>
    </w:div>
    <w:div w:id="422839504">
      <w:bodyDiv w:val="1"/>
      <w:marLeft w:val="0"/>
      <w:marRight w:val="0"/>
      <w:marTop w:val="0"/>
      <w:marBottom w:val="0"/>
      <w:divBdr>
        <w:top w:val="none" w:sz="0" w:space="0" w:color="auto"/>
        <w:left w:val="none" w:sz="0" w:space="0" w:color="auto"/>
        <w:bottom w:val="none" w:sz="0" w:space="0" w:color="auto"/>
        <w:right w:val="none" w:sz="0" w:space="0" w:color="auto"/>
      </w:divBdr>
    </w:div>
    <w:div w:id="627517379">
      <w:bodyDiv w:val="1"/>
      <w:marLeft w:val="0"/>
      <w:marRight w:val="0"/>
      <w:marTop w:val="0"/>
      <w:marBottom w:val="0"/>
      <w:divBdr>
        <w:top w:val="none" w:sz="0" w:space="0" w:color="auto"/>
        <w:left w:val="none" w:sz="0" w:space="0" w:color="auto"/>
        <w:bottom w:val="none" w:sz="0" w:space="0" w:color="auto"/>
        <w:right w:val="none" w:sz="0" w:space="0" w:color="auto"/>
      </w:divBdr>
    </w:div>
    <w:div w:id="1142962309">
      <w:bodyDiv w:val="1"/>
      <w:marLeft w:val="0"/>
      <w:marRight w:val="0"/>
      <w:marTop w:val="0"/>
      <w:marBottom w:val="0"/>
      <w:divBdr>
        <w:top w:val="none" w:sz="0" w:space="0" w:color="auto"/>
        <w:left w:val="none" w:sz="0" w:space="0" w:color="auto"/>
        <w:bottom w:val="none" w:sz="0" w:space="0" w:color="auto"/>
        <w:right w:val="none" w:sz="0" w:space="0" w:color="auto"/>
      </w:divBdr>
    </w:div>
    <w:div w:id="1706716045">
      <w:bodyDiv w:val="1"/>
      <w:marLeft w:val="0"/>
      <w:marRight w:val="0"/>
      <w:marTop w:val="0"/>
      <w:marBottom w:val="0"/>
      <w:divBdr>
        <w:top w:val="none" w:sz="0" w:space="0" w:color="auto"/>
        <w:left w:val="none" w:sz="0" w:space="0" w:color="auto"/>
        <w:bottom w:val="none" w:sz="0" w:space="0" w:color="auto"/>
        <w:right w:val="none" w:sz="0" w:space="0" w:color="auto"/>
      </w:divBdr>
    </w:div>
    <w:div w:id="1711686762">
      <w:bodyDiv w:val="1"/>
      <w:marLeft w:val="0"/>
      <w:marRight w:val="0"/>
      <w:marTop w:val="0"/>
      <w:marBottom w:val="0"/>
      <w:divBdr>
        <w:top w:val="none" w:sz="0" w:space="0" w:color="auto"/>
        <w:left w:val="none" w:sz="0" w:space="0" w:color="auto"/>
        <w:bottom w:val="none" w:sz="0" w:space="0" w:color="auto"/>
        <w:right w:val="none" w:sz="0" w:space="0" w:color="auto"/>
      </w:divBdr>
    </w:div>
    <w:div w:id="1713921313">
      <w:bodyDiv w:val="1"/>
      <w:marLeft w:val="0"/>
      <w:marRight w:val="0"/>
      <w:marTop w:val="0"/>
      <w:marBottom w:val="0"/>
      <w:divBdr>
        <w:top w:val="none" w:sz="0" w:space="0" w:color="auto"/>
        <w:left w:val="none" w:sz="0" w:space="0" w:color="auto"/>
        <w:bottom w:val="none" w:sz="0" w:space="0" w:color="auto"/>
        <w:right w:val="none" w:sz="0" w:space="0" w:color="auto"/>
      </w:divBdr>
    </w:div>
    <w:div w:id="1799765052">
      <w:bodyDiv w:val="1"/>
      <w:marLeft w:val="0"/>
      <w:marRight w:val="0"/>
      <w:marTop w:val="0"/>
      <w:marBottom w:val="0"/>
      <w:divBdr>
        <w:top w:val="none" w:sz="0" w:space="0" w:color="auto"/>
        <w:left w:val="none" w:sz="0" w:space="0" w:color="auto"/>
        <w:bottom w:val="none" w:sz="0" w:space="0" w:color="auto"/>
        <w:right w:val="none" w:sz="0" w:space="0" w:color="auto"/>
      </w:divBdr>
    </w:div>
    <w:div w:id="18354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EEB4-850F-45F9-A2AC-BE964581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_</vt:lpstr>
    </vt:vector>
  </TitlesOfParts>
  <Company>USDA/FNS</Company>
  <LinksUpToDate>false</LinksUpToDate>
  <CharactersWithSpaces>13149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USDA</dc:creator>
  <cp:keywords/>
  <dc:description/>
  <cp:lastModifiedBy>Gateway</cp:lastModifiedBy>
  <cp:revision>7</cp:revision>
  <cp:lastPrinted>2009-06-02T11:44:00Z</cp:lastPrinted>
  <dcterms:created xsi:type="dcterms:W3CDTF">2009-06-09T20:12:00Z</dcterms:created>
  <dcterms:modified xsi:type="dcterms:W3CDTF">2009-06-09T20:19:00Z</dcterms:modified>
</cp:coreProperties>
</file>