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F14" w:rsidRDefault="00731F14">
      <w:pPr>
        <w:pStyle w:val="Title"/>
      </w:pPr>
      <w:r>
        <w:t>Supporting Statement</w:t>
      </w:r>
    </w:p>
    <w:p w:rsidR="00731F14" w:rsidRDefault="00731F14">
      <w:pPr>
        <w:jc w:val="center"/>
        <w:rPr>
          <w:rFonts w:ascii="Arial" w:hAnsi="Arial"/>
          <w:b/>
          <w:sz w:val="28"/>
        </w:rPr>
      </w:pPr>
      <w:r>
        <w:rPr>
          <w:rFonts w:ascii="Arial" w:hAnsi="Arial"/>
          <w:b/>
          <w:sz w:val="28"/>
        </w:rPr>
        <w:t>for</w:t>
      </w:r>
    </w:p>
    <w:p w:rsidR="00094C85" w:rsidRDefault="00731F14" w:rsidP="00094C85">
      <w:pPr>
        <w:pStyle w:val="Heading1"/>
        <w:rPr>
          <w:b/>
          <w:sz w:val="28"/>
        </w:rPr>
      </w:pPr>
      <w:r>
        <w:rPr>
          <w:b/>
          <w:sz w:val="28"/>
        </w:rPr>
        <w:t>Advance Notice of Vessel Arrival</w:t>
      </w:r>
      <w:r w:rsidR="00094C85">
        <w:rPr>
          <w:b/>
          <w:sz w:val="28"/>
        </w:rPr>
        <w:t xml:space="preserve"> and Departure</w:t>
      </w:r>
    </w:p>
    <w:p w:rsidR="00094C85" w:rsidRPr="00094C85" w:rsidRDefault="00094C85" w:rsidP="00094C85">
      <w:pPr>
        <w:jc w:val="center"/>
        <w:rPr>
          <w:rFonts w:ascii="Arial" w:hAnsi="Arial" w:cs="Arial"/>
          <w:b/>
          <w:sz w:val="28"/>
          <w:szCs w:val="28"/>
        </w:rPr>
      </w:pPr>
      <w:r w:rsidRPr="00094C85">
        <w:rPr>
          <w:rFonts w:ascii="Arial" w:hAnsi="Arial" w:cs="Arial"/>
          <w:b/>
          <w:sz w:val="28"/>
          <w:szCs w:val="28"/>
        </w:rPr>
        <w:t>[w/ prop</w:t>
      </w:r>
      <w:r>
        <w:rPr>
          <w:rFonts w:ascii="Arial" w:hAnsi="Arial" w:cs="Arial"/>
          <w:b/>
          <w:sz w:val="28"/>
          <w:szCs w:val="28"/>
        </w:rPr>
        <w:t>o</w:t>
      </w:r>
      <w:r w:rsidRPr="00094C85">
        <w:rPr>
          <w:rFonts w:ascii="Arial" w:hAnsi="Arial" w:cs="Arial"/>
          <w:b/>
          <w:sz w:val="28"/>
          <w:szCs w:val="28"/>
        </w:rPr>
        <w:t xml:space="preserve">sed changes per </w:t>
      </w:r>
      <w:r>
        <w:rPr>
          <w:rFonts w:ascii="Arial" w:hAnsi="Arial" w:cs="Arial"/>
          <w:b/>
          <w:sz w:val="28"/>
          <w:szCs w:val="28"/>
        </w:rPr>
        <w:t>USCG</w:t>
      </w:r>
      <w:r w:rsidRPr="00094C85">
        <w:rPr>
          <w:rFonts w:ascii="Arial" w:hAnsi="Arial" w:cs="Arial"/>
          <w:b/>
          <w:sz w:val="28"/>
          <w:szCs w:val="28"/>
        </w:rPr>
        <w:t>-2005-21869]</w:t>
      </w:r>
    </w:p>
    <w:p w:rsidR="004D61C8" w:rsidRPr="00094C85" w:rsidRDefault="004D61C8" w:rsidP="004D61C8">
      <w:pPr>
        <w:jc w:val="center"/>
        <w:rPr>
          <w:rFonts w:ascii="Arial" w:hAnsi="Arial" w:cs="Arial"/>
          <w:b/>
          <w:sz w:val="28"/>
          <w:szCs w:val="28"/>
        </w:rPr>
      </w:pPr>
      <w:r w:rsidRPr="00094C85">
        <w:rPr>
          <w:rFonts w:ascii="Arial" w:hAnsi="Arial" w:cs="Arial"/>
          <w:b/>
          <w:sz w:val="28"/>
          <w:szCs w:val="28"/>
        </w:rPr>
        <w:t>[w/ prop</w:t>
      </w:r>
      <w:r>
        <w:rPr>
          <w:rFonts w:ascii="Arial" w:hAnsi="Arial" w:cs="Arial"/>
          <w:b/>
          <w:sz w:val="28"/>
          <w:szCs w:val="28"/>
        </w:rPr>
        <w:t>o</w:t>
      </w:r>
      <w:r w:rsidRPr="00094C85">
        <w:rPr>
          <w:rFonts w:ascii="Arial" w:hAnsi="Arial" w:cs="Arial"/>
          <w:b/>
          <w:sz w:val="28"/>
          <w:szCs w:val="28"/>
        </w:rPr>
        <w:t xml:space="preserve">sed changes per </w:t>
      </w:r>
      <w:r>
        <w:rPr>
          <w:rFonts w:ascii="Arial" w:hAnsi="Arial" w:cs="Arial"/>
          <w:b/>
          <w:sz w:val="28"/>
          <w:szCs w:val="28"/>
        </w:rPr>
        <w:t>USCG</w:t>
      </w:r>
      <w:r w:rsidRPr="00094C85">
        <w:rPr>
          <w:rFonts w:ascii="Arial" w:hAnsi="Arial" w:cs="Arial"/>
          <w:b/>
          <w:sz w:val="28"/>
          <w:szCs w:val="28"/>
        </w:rPr>
        <w:t>-200</w:t>
      </w:r>
      <w:r>
        <w:rPr>
          <w:rFonts w:ascii="Arial" w:hAnsi="Arial" w:cs="Arial"/>
          <w:b/>
          <w:sz w:val="28"/>
          <w:szCs w:val="28"/>
        </w:rPr>
        <w:t>8-1088</w:t>
      </w:r>
      <w:r w:rsidRPr="00094C85">
        <w:rPr>
          <w:rFonts w:ascii="Arial" w:hAnsi="Arial" w:cs="Arial"/>
          <w:b/>
          <w:sz w:val="28"/>
          <w:szCs w:val="28"/>
        </w:rPr>
        <w:t>]</w:t>
      </w:r>
    </w:p>
    <w:p w:rsidR="00C817E3" w:rsidRPr="00094C85" w:rsidRDefault="00C817E3" w:rsidP="00C817E3">
      <w:pPr>
        <w:jc w:val="center"/>
        <w:rPr>
          <w:rFonts w:ascii="Arial" w:hAnsi="Arial" w:cs="Arial"/>
          <w:b/>
          <w:sz w:val="28"/>
          <w:szCs w:val="28"/>
        </w:rPr>
      </w:pPr>
      <w:r w:rsidRPr="00094C85">
        <w:rPr>
          <w:rFonts w:ascii="Arial" w:hAnsi="Arial" w:cs="Arial"/>
          <w:b/>
          <w:sz w:val="28"/>
          <w:szCs w:val="28"/>
        </w:rPr>
        <w:t>[w/ prop</w:t>
      </w:r>
      <w:r>
        <w:rPr>
          <w:rFonts w:ascii="Arial" w:hAnsi="Arial" w:cs="Arial"/>
          <w:b/>
          <w:sz w:val="28"/>
          <w:szCs w:val="28"/>
        </w:rPr>
        <w:t>o</w:t>
      </w:r>
      <w:r w:rsidRPr="00094C85">
        <w:rPr>
          <w:rFonts w:ascii="Arial" w:hAnsi="Arial" w:cs="Arial"/>
          <w:b/>
          <w:sz w:val="28"/>
          <w:szCs w:val="28"/>
        </w:rPr>
        <w:t xml:space="preserve">sed changes per </w:t>
      </w:r>
      <w:r>
        <w:rPr>
          <w:rFonts w:ascii="Arial" w:hAnsi="Arial" w:cs="Arial"/>
          <w:b/>
          <w:sz w:val="28"/>
          <w:szCs w:val="28"/>
        </w:rPr>
        <w:t>USCG</w:t>
      </w:r>
      <w:r w:rsidRPr="00094C85">
        <w:rPr>
          <w:rFonts w:ascii="Arial" w:hAnsi="Arial" w:cs="Arial"/>
          <w:b/>
          <w:sz w:val="28"/>
          <w:szCs w:val="28"/>
        </w:rPr>
        <w:t>-200</w:t>
      </w:r>
      <w:r>
        <w:rPr>
          <w:rFonts w:ascii="Arial" w:hAnsi="Arial" w:cs="Arial"/>
          <w:b/>
          <w:sz w:val="28"/>
          <w:szCs w:val="28"/>
        </w:rPr>
        <w:t>8-1070</w:t>
      </w:r>
      <w:r w:rsidRPr="00094C85">
        <w:rPr>
          <w:rFonts w:ascii="Arial" w:hAnsi="Arial" w:cs="Arial"/>
          <w:b/>
          <w:sz w:val="28"/>
          <w:szCs w:val="28"/>
        </w:rPr>
        <w:t>]</w:t>
      </w:r>
    </w:p>
    <w:p w:rsidR="00090390" w:rsidRPr="00094C85" w:rsidRDefault="00090390" w:rsidP="00090390">
      <w:pPr>
        <w:jc w:val="center"/>
        <w:rPr>
          <w:rFonts w:ascii="Arial" w:hAnsi="Arial" w:cs="Arial"/>
          <w:b/>
          <w:sz w:val="28"/>
          <w:szCs w:val="28"/>
        </w:rPr>
      </w:pPr>
      <w:r w:rsidRPr="00094C85">
        <w:rPr>
          <w:rFonts w:ascii="Arial" w:hAnsi="Arial" w:cs="Arial"/>
          <w:b/>
          <w:sz w:val="28"/>
          <w:szCs w:val="28"/>
        </w:rPr>
        <w:t>[w/ prop</w:t>
      </w:r>
      <w:r>
        <w:rPr>
          <w:rFonts w:ascii="Arial" w:hAnsi="Arial" w:cs="Arial"/>
          <w:b/>
          <w:sz w:val="28"/>
          <w:szCs w:val="28"/>
        </w:rPr>
        <w:t>o</w:t>
      </w:r>
      <w:r w:rsidRPr="00094C85">
        <w:rPr>
          <w:rFonts w:ascii="Arial" w:hAnsi="Arial" w:cs="Arial"/>
          <w:b/>
          <w:sz w:val="28"/>
          <w:szCs w:val="28"/>
        </w:rPr>
        <w:t xml:space="preserve">sed changes per </w:t>
      </w:r>
      <w:r>
        <w:rPr>
          <w:rFonts w:ascii="Arial" w:hAnsi="Arial" w:cs="Arial"/>
          <w:b/>
          <w:sz w:val="28"/>
          <w:szCs w:val="28"/>
        </w:rPr>
        <w:t>USCG</w:t>
      </w:r>
      <w:r w:rsidRPr="00094C85">
        <w:rPr>
          <w:rFonts w:ascii="Arial" w:hAnsi="Arial" w:cs="Arial"/>
          <w:b/>
          <w:sz w:val="28"/>
          <w:szCs w:val="28"/>
        </w:rPr>
        <w:t>-200</w:t>
      </w:r>
      <w:r>
        <w:rPr>
          <w:rFonts w:ascii="Arial" w:hAnsi="Arial" w:cs="Arial"/>
          <w:b/>
          <w:sz w:val="28"/>
          <w:szCs w:val="28"/>
        </w:rPr>
        <w:t>4-19963</w:t>
      </w:r>
      <w:r w:rsidRPr="00094C85">
        <w:rPr>
          <w:rFonts w:ascii="Arial" w:hAnsi="Arial" w:cs="Arial"/>
          <w:b/>
          <w:sz w:val="28"/>
          <w:szCs w:val="28"/>
        </w:rPr>
        <w:t>]</w:t>
      </w:r>
    </w:p>
    <w:p w:rsidR="00731F14" w:rsidRDefault="00731F14">
      <w:pPr>
        <w:jc w:val="center"/>
        <w:rPr>
          <w:rFonts w:ascii="Arial" w:hAnsi="Arial"/>
          <w:b/>
          <w:sz w:val="28"/>
        </w:rPr>
      </w:pPr>
    </w:p>
    <w:p w:rsidR="00731F14" w:rsidRDefault="00731F14">
      <w:pPr>
        <w:rPr>
          <w:rFonts w:ascii="Arial" w:hAnsi="Arial"/>
          <w:b/>
          <w:sz w:val="24"/>
        </w:rPr>
      </w:pPr>
      <w:r>
        <w:rPr>
          <w:rFonts w:ascii="Arial" w:hAnsi="Arial"/>
          <w:b/>
          <w:sz w:val="24"/>
        </w:rPr>
        <w:t xml:space="preserve">A.  </w:t>
      </w:r>
      <w:r>
        <w:rPr>
          <w:rFonts w:ascii="Arial" w:hAnsi="Arial"/>
          <w:b/>
          <w:sz w:val="24"/>
          <w:u w:val="single"/>
        </w:rPr>
        <w:t>Justification</w:t>
      </w:r>
      <w:r>
        <w:rPr>
          <w:rFonts w:ascii="Arial" w:hAnsi="Arial"/>
          <w:b/>
          <w:sz w:val="24"/>
        </w:rPr>
        <w:t>.</w:t>
      </w:r>
    </w:p>
    <w:p w:rsidR="00731F14" w:rsidRDefault="00731F14">
      <w:pPr>
        <w:rPr>
          <w:rFonts w:ascii="Arial" w:hAnsi="Arial"/>
          <w:sz w:val="24"/>
        </w:rPr>
      </w:pPr>
    </w:p>
    <w:p w:rsidR="00731F14" w:rsidRDefault="00731F14">
      <w:pPr>
        <w:rPr>
          <w:rFonts w:ascii="Arial" w:hAnsi="Arial"/>
          <w:b/>
          <w:sz w:val="24"/>
          <w:u w:val="single"/>
        </w:rPr>
      </w:pPr>
      <w:r>
        <w:rPr>
          <w:rFonts w:ascii="Arial" w:hAnsi="Arial"/>
          <w:b/>
          <w:sz w:val="24"/>
        </w:rPr>
        <w:t xml:space="preserve">1.  </w:t>
      </w:r>
      <w:r>
        <w:rPr>
          <w:rFonts w:ascii="Arial" w:hAnsi="Arial"/>
          <w:b/>
          <w:sz w:val="24"/>
          <w:u w:val="single"/>
        </w:rPr>
        <w:t>Circumstances that make the collection of information necessary</w:t>
      </w:r>
      <w:r>
        <w:rPr>
          <w:rFonts w:ascii="Arial" w:hAnsi="Arial"/>
          <w:b/>
          <w:sz w:val="24"/>
        </w:rPr>
        <w:t>.</w:t>
      </w:r>
    </w:p>
    <w:p w:rsidR="00731F14" w:rsidRDefault="00731F14">
      <w:pPr>
        <w:rPr>
          <w:rFonts w:ascii="Arial" w:hAnsi="Arial"/>
          <w:sz w:val="24"/>
        </w:rPr>
      </w:pPr>
    </w:p>
    <w:p w:rsidR="00731F14" w:rsidRDefault="00731F14">
      <w:pPr>
        <w:rPr>
          <w:rFonts w:ascii="Arial" w:hAnsi="Arial"/>
          <w:sz w:val="24"/>
        </w:rPr>
      </w:pPr>
      <w:r>
        <w:rPr>
          <w:rFonts w:ascii="Arial" w:hAnsi="Arial"/>
          <w:sz w:val="24"/>
        </w:rPr>
        <w:t>The Ports and Waterways Safety Act of 1972, as amended by the Port and Tanker Safety Act of 1978</w:t>
      </w:r>
      <w:r w:rsidR="00D9003F">
        <w:rPr>
          <w:rStyle w:val="FootnoteReference"/>
          <w:rFonts w:ascii="Arial" w:hAnsi="Arial"/>
          <w:sz w:val="24"/>
        </w:rPr>
        <w:footnoteReference w:id="1"/>
      </w:r>
      <w:r>
        <w:rPr>
          <w:rFonts w:ascii="Arial" w:hAnsi="Arial"/>
          <w:sz w:val="24"/>
        </w:rPr>
        <w:t xml:space="preserve">, authorizes the Secretary of the department in which the Coast Guard is operating to require the receipt of pre-arrival message from any vessel destined for a port of place in the </w:t>
      </w:r>
      <w:smartTag w:uri="urn:schemas-microsoft-com:office:smarttags" w:element="place">
        <w:smartTag w:uri="urn:schemas-microsoft-com:office:smarttags" w:element="country-region">
          <w:r>
            <w:rPr>
              <w:rFonts w:ascii="Arial" w:hAnsi="Arial"/>
              <w:sz w:val="24"/>
            </w:rPr>
            <w:t>United States</w:t>
          </w:r>
        </w:smartTag>
      </w:smartTag>
      <w:r>
        <w:rPr>
          <w:rFonts w:ascii="Arial" w:hAnsi="Arial"/>
          <w:sz w:val="24"/>
        </w:rPr>
        <w:t>. This requirement is found in 33 U.S.C. 1223(a)(5)</w:t>
      </w:r>
      <w:r w:rsidR="00D9003F">
        <w:rPr>
          <w:rStyle w:val="FootnoteReference"/>
          <w:rFonts w:ascii="Arial" w:hAnsi="Arial"/>
          <w:sz w:val="24"/>
        </w:rPr>
        <w:footnoteReference w:id="2"/>
      </w:r>
      <w:r>
        <w:rPr>
          <w:rFonts w:ascii="Arial" w:hAnsi="Arial"/>
          <w:sz w:val="24"/>
        </w:rPr>
        <w:t xml:space="preserve"> and promulgated in 33 CFR 160 Subpart C</w:t>
      </w:r>
      <w:r w:rsidR="00D9003F">
        <w:rPr>
          <w:rStyle w:val="FootnoteReference"/>
          <w:rFonts w:ascii="Arial" w:hAnsi="Arial"/>
          <w:sz w:val="24"/>
        </w:rPr>
        <w:footnoteReference w:id="3"/>
      </w:r>
      <w:r>
        <w:rPr>
          <w:rFonts w:ascii="Arial" w:hAnsi="Arial"/>
          <w:sz w:val="24"/>
        </w:rPr>
        <w:t>.</w:t>
      </w:r>
    </w:p>
    <w:p w:rsidR="00731F14" w:rsidRDefault="00731F14">
      <w:pPr>
        <w:rPr>
          <w:rFonts w:ascii="Arial" w:hAnsi="Arial"/>
          <w:sz w:val="24"/>
        </w:rPr>
      </w:pPr>
    </w:p>
    <w:p w:rsidR="00731F14" w:rsidRDefault="00731F14">
      <w:pPr>
        <w:rPr>
          <w:rFonts w:ascii="Arial" w:hAnsi="Arial"/>
          <w:sz w:val="24"/>
        </w:rPr>
      </w:pPr>
      <w:r>
        <w:rPr>
          <w:rFonts w:ascii="Arial" w:hAnsi="Arial"/>
          <w:sz w:val="24"/>
        </w:rPr>
        <w:t>Senate Report (103-150)</w:t>
      </w:r>
      <w:r w:rsidR="00F472B5">
        <w:rPr>
          <w:rStyle w:val="FootnoteReference"/>
          <w:rFonts w:ascii="Arial" w:hAnsi="Arial"/>
          <w:sz w:val="24"/>
        </w:rPr>
        <w:footnoteReference w:id="4"/>
      </w:r>
      <w:r>
        <w:rPr>
          <w:rFonts w:ascii="Arial" w:hAnsi="Arial"/>
          <w:sz w:val="24"/>
        </w:rPr>
        <w:t xml:space="preserve"> on the 1994 appropriation bill for the Department of Transportation and related agencies directed the Coast Guard to implement procedures designed to eliminate substandard ships for </w:t>
      </w:r>
      <w:smartTag w:uri="urn:schemas-microsoft-com:office:smarttags" w:element="place">
        <w:smartTag w:uri="urn:schemas-microsoft-com:office:smarttags" w:element="country-region">
          <w:r>
            <w:rPr>
              <w:rFonts w:ascii="Arial" w:hAnsi="Arial"/>
              <w:sz w:val="24"/>
            </w:rPr>
            <w:t>U.S.</w:t>
          </w:r>
        </w:smartTag>
      </w:smartTag>
      <w:r>
        <w:rPr>
          <w:rFonts w:ascii="Arial" w:hAnsi="Arial"/>
          <w:sz w:val="24"/>
        </w:rPr>
        <w:t xml:space="preserve"> waters.  This made it necessary for the advance notice of arrival to be expanded to cover additional vessels.  In April 1994, the Coast Guard’s Port State Control Program (PSCP) was put in place to pursue the directive’s goal.  A comprehensive risk-based targeting scheme was developed to establish vessel</w:t>
      </w:r>
      <w:r w:rsidR="008B5CE1">
        <w:rPr>
          <w:rFonts w:ascii="Arial" w:hAnsi="Arial"/>
          <w:sz w:val="24"/>
        </w:rPr>
        <w:t xml:space="preserve"> examination </w:t>
      </w:r>
      <w:r>
        <w:rPr>
          <w:rFonts w:ascii="Arial" w:hAnsi="Arial"/>
          <w:sz w:val="24"/>
        </w:rPr>
        <w:t>priorities.  The primary factors in this analysis are the vessel’s flag, classification (“class”) society, owner, operator, age, and operating history.  The PSCP’s success hinges on the service’s ability to target and examine those ships that appear to pose the greatest risk to life, property, and the environment.  By requiring vessels to provide additional arrival information, Coast Guard field units can target vessels and allocate inspection resources efficiently.</w:t>
      </w:r>
    </w:p>
    <w:p w:rsidR="00731F14" w:rsidRDefault="00731F14">
      <w:pPr>
        <w:rPr>
          <w:rFonts w:ascii="Arial" w:hAnsi="Arial"/>
          <w:sz w:val="24"/>
        </w:rPr>
      </w:pPr>
    </w:p>
    <w:p w:rsidR="00731F14" w:rsidRDefault="00731F14">
      <w:pPr>
        <w:pStyle w:val="Heading8"/>
        <w:pBdr>
          <w:top w:val="none" w:sz="0" w:space="0" w:color="auto"/>
        </w:pBdr>
        <w:rPr>
          <w:b w:val="0"/>
          <w:bCs w:val="0"/>
        </w:rPr>
      </w:pPr>
      <w:r>
        <w:rPr>
          <w:b w:val="0"/>
          <w:bCs w:val="0"/>
        </w:rPr>
        <w:t>On September 11, 2001, terrorists attacked the United States.  To ensure port safety and security and to ensure the uninterrupted flow of commerce, the Coast Guard amended regulations in 2001-</w:t>
      </w:r>
      <w:r w:rsidR="00094C85">
        <w:rPr>
          <w:b w:val="0"/>
          <w:bCs w:val="0"/>
        </w:rPr>
        <w:t xml:space="preserve">2005 </w:t>
      </w:r>
      <w:r>
        <w:rPr>
          <w:b w:val="0"/>
          <w:bCs w:val="0"/>
        </w:rPr>
        <w:t xml:space="preserve">relating to the </w:t>
      </w:r>
      <w:r w:rsidR="00D22744">
        <w:rPr>
          <w:b w:val="0"/>
          <w:bCs w:val="0"/>
        </w:rPr>
        <w:t xml:space="preserve">Notice </w:t>
      </w:r>
      <w:r>
        <w:rPr>
          <w:b w:val="0"/>
          <w:bCs w:val="0"/>
        </w:rPr>
        <w:t xml:space="preserve">of Arrival </w:t>
      </w:r>
      <w:r w:rsidR="00D22744">
        <w:rPr>
          <w:b w:val="0"/>
          <w:bCs w:val="0"/>
        </w:rPr>
        <w:t xml:space="preserve">(NOA) </w:t>
      </w:r>
      <w:r>
        <w:rPr>
          <w:b w:val="0"/>
          <w:bCs w:val="0"/>
        </w:rPr>
        <w:t>requirements.  Changes to the requirements included:  (1) earlier receipt of the notice of arrival—96 hours vice 24 hours, (2) submission of reports to a central clearinghouse--the National Vessel Movement Center (NVMC), (3) additional information such as--crew lists, passenger lists, and a general description of cargo</w:t>
      </w:r>
      <w:r w:rsidR="00094C85">
        <w:rPr>
          <w:b w:val="0"/>
          <w:bCs w:val="0"/>
        </w:rPr>
        <w:t>, and (4) additions to the Certain Dangerous Cargoes list</w:t>
      </w:r>
      <w:r>
        <w:rPr>
          <w:b w:val="0"/>
          <w:bCs w:val="0"/>
        </w:rPr>
        <w:t xml:space="preserve">.  </w:t>
      </w:r>
      <w:r w:rsidR="00094C85">
        <w:rPr>
          <w:b w:val="0"/>
          <w:bCs w:val="0"/>
        </w:rPr>
        <w:t xml:space="preserve">Future amendments are </w:t>
      </w:r>
      <w:r w:rsidR="00545B7F">
        <w:rPr>
          <w:b w:val="0"/>
          <w:bCs w:val="0"/>
        </w:rPr>
        <w:t>described</w:t>
      </w:r>
      <w:r w:rsidR="00094C85">
        <w:rPr>
          <w:b w:val="0"/>
          <w:bCs w:val="0"/>
        </w:rPr>
        <w:t xml:space="preserve"> in section 8.  </w:t>
      </w:r>
    </w:p>
    <w:p w:rsidR="00731F14" w:rsidRDefault="00731F14">
      <w:pPr>
        <w:rPr>
          <w:rFonts w:ascii="Arial" w:hAnsi="Arial"/>
          <w:sz w:val="24"/>
        </w:rPr>
      </w:pPr>
    </w:p>
    <w:p w:rsidR="00731F14" w:rsidRDefault="00731F14">
      <w:pPr>
        <w:rPr>
          <w:rFonts w:ascii="Arial" w:hAnsi="Arial"/>
          <w:sz w:val="24"/>
        </w:rPr>
      </w:pPr>
      <w:r>
        <w:rPr>
          <w:rFonts w:ascii="Arial" w:hAnsi="Arial"/>
          <w:sz w:val="24"/>
        </w:rPr>
        <w:lastRenderedPageBreak/>
        <w:t>This information collection supports the following strategic goals.</w:t>
      </w:r>
    </w:p>
    <w:p w:rsidR="000169C4" w:rsidRPr="000169C4" w:rsidRDefault="000169C4" w:rsidP="000169C4">
      <w:pPr>
        <w:ind w:left="720"/>
        <w:rPr>
          <w:rFonts w:ascii="Arial" w:hAnsi="Arial"/>
          <w:sz w:val="24"/>
          <w:u w:val="single"/>
        </w:rPr>
      </w:pPr>
      <w:r w:rsidRPr="000169C4">
        <w:rPr>
          <w:rFonts w:ascii="Arial" w:hAnsi="Arial"/>
          <w:sz w:val="24"/>
          <w:u w:val="single"/>
        </w:rPr>
        <w:t>Department of Homeland Security</w:t>
      </w:r>
    </w:p>
    <w:p w:rsidR="00D6717A" w:rsidRDefault="00D6717A" w:rsidP="000169C4">
      <w:pPr>
        <w:numPr>
          <w:ilvl w:val="0"/>
          <w:numId w:val="44"/>
        </w:numPr>
        <w:rPr>
          <w:rFonts w:ascii="Arial" w:hAnsi="Arial"/>
          <w:sz w:val="24"/>
        </w:rPr>
      </w:pPr>
      <w:r>
        <w:rPr>
          <w:rFonts w:ascii="Arial" w:hAnsi="Arial"/>
          <w:sz w:val="24"/>
        </w:rPr>
        <w:t>Awareness</w:t>
      </w:r>
    </w:p>
    <w:p w:rsidR="000169C4" w:rsidRPr="000169C4" w:rsidRDefault="000169C4" w:rsidP="000169C4">
      <w:pPr>
        <w:numPr>
          <w:ilvl w:val="0"/>
          <w:numId w:val="44"/>
        </w:numPr>
        <w:rPr>
          <w:rFonts w:ascii="Arial" w:hAnsi="Arial"/>
          <w:sz w:val="24"/>
        </w:rPr>
      </w:pPr>
      <w:r w:rsidRPr="000169C4">
        <w:rPr>
          <w:rFonts w:ascii="Arial" w:hAnsi="Arial"/>
          <w:sz w:val="24"/>
        </w:rPr>
        <w:t>Prevention</w:t>
      </w:r>
    </w:p>
    <w:p w:rsidR="000169C4" w:rsidRDefault="000169C4" w:rsidP="000169C4">
      <w:pPr>
        <w:numPr>
          <w:ilvl w:val="0"/>
          <w:numId w:val="44"/>
        </w:numPr>
        <w:rPr>
          <w:rFonts w:ascii="Arial" w:hAnsi="Arial"/>
          <w:sz w:val="24"/>
        </w:rPr>
      </w:pPr>
      <w:r w:rsidRPr="000169C4">
        <w:rPr>
          <w:rFonts w:ascii="Arial" w:hAnsi="Arial"/>
          <w:sz w:val="24"/>
        </w:rPr>
        <w:t>Protection</w:t>
      </w:r>
    </w:p>
    <w:p w:rsidR="00D6717A" w:rsidRDefault="00D6717A" w:rsidP="000169C4">
      <w:pPr>
        <w:numPr>
          <w:ilvl w:val="0"/>
          <w:numId w:val="44"/>
        </w:numPr>
        <w:rPr>
          <w:rFonts w:ascii="Arial" w:hAnsi="Arial"/>
          <w:sz w:val="24"/>
        </w:rPr>
      </w:pPr>
      <w:r>
        <w:rPr>
          <w:rFonts w:ascii="Arial" w:hAnsi="Arial"/>
          <w:sz w:val="24"/>
        </w:rPr>
        <w:t>Response</w:t>
      </w:r>
    </w:p>
    <w:p w:rsidR="000169C4" w:rsidRPr="000169C4" w:rsidRDefault="000169C4" w:rsidP="000169C4">
      <w:pPr>
        <w:ind w:left="720"/>
        <w:rPr>
          <w:rFonts w:ascii="Arial" w:hAnsi="Arial"/>
          <w:sz w:val="24"/>
          <w:u w:val="single"/>
        </w:rPr>
      </w:pPr>
      <w:r w:rsidRPr="000169C4">
        <w:rPr>
          <w:rFonts w:ascii="Arial" w:hAnsi="Arial"/>
          <w:sz w:val="24"/>
          <w:u w:val="single"/>
        </w:rPr>
        <w:t>Coast Guard</w:t>
      </w:r>
    </w:p>
    <w:p w:rsidR="000169C4" w:rsidRPr="000169C4" w:rsidRDefault="000169C4" w:rsidP="000169C4">
      <w:pPr>
        <w:numPr>
          <w:ilvl w:val="0"/>
          <w:numId w:val="45"/>
        </w:numPr>
        <w:rPr>
          <w:rFonts w:ascii="Arial" w:hAnsi="Arial"/>
          <w:sz w:val="24"/>
        </w:rPr>
      </w:pPr>
      <w:r w:rsidRPr="000169C4">
        <w:rPr>
          <w:rFonts w:ascii="Arial" w:hAnsi="Arial"/>
          <w:sz w:val="24"/>
        </w:rPr>
        <w:t>Maritime Safety</w:t>
      </w:r>
    </w:p>
    <w:p w:rsidR="000169C4" w:rsidRPr="000169C4" w:rsidRDefault="000169C4" w:rsidP="000169C4">
      <w:pPr>
        <w:numPr>
          <w:ilvl w:val="0"/>
          <w:numId w:val="45"/>
        </w:numPr>
        <w:rPr>
          <w:rFonts w:ascii="Arial" w:hAnsi="Arial"/>
          <w:sz w:val="24"/>
        </w:rPr>
      </w:pPr>
      <w:r w:rsidRPr="000169C4">
        <w:rPr>
          <w:rFonts w:ascii="Arial" w:hAnsi="Arial"/>
          <w:sz w:val="24"/>
        </w:rPr>
        <w:t>Maritime S</w:t>
      </w:r>
      <w:r>
        <w:rPr>
          <w:rFonts w:ascii="Arial" w:hAnsi="Arial"/>
          <w:sz w:val="24"/>
        </w:rPr>
        <w:t>ecurity</w:t>
      </w:r>
    </w:p>
    <w:p w:rsidR="000169C4" w:rsidRPr="000169C4" w:rsidRDefault="000169C4" w:rsidP="000169C4">
      <w:pPr>
        <w:numPr>
          <w:ilvl w:val="0"/>
          <w:numId w:val="45"/>
        </w:numPr>
        <w:rPr>
          <w:rFonts w:ascii="Arial" w:hAnsi="Arial"/>
          <w:sz w:val="24"/>
        </w:rPr>
      </w:pPr>
      <w:r w:rsidRPr="000169C4">
        <w:rPr>
          <w:rFonts w:ascii="Arial" w:hAnsi="Arial"/>
          <w:sz w:val="24"/>
        </w:rPr>
        <w:t>Maritime Stewardship</w:t>
      </w:r>
    </w:p>
    <w:p w:rsidR="00731F14" w:rsidRPr="000169C4" w:rsidRDefault="00A7177D" w:rsidP="000169C4">
      <w:pPr>
        <w:ind w:left="720"/>
        <w:rPr>
          <w:rFonts w:ascii="Arial" w:hAnsi="Arial"/>
          <w:sz w:val="24"/>
          <w:szCs w:val="24"/>
          <w:u w:val="single"/>
        </w:rPr>
      </w:pPr>
      <w:r>
        <w:rPr>
          <w:rFonts w:ascii="Arial" w:hAnsi="Arial"/>
          <w:sz w:val="24"/>
          <w:szCs w:val="24"/>
          <w:u w:val="single"/>
        </w:rPr>
        <w:t>Marine Safety, Security and Stewardship</w:t>
      </w:r>
      <w:r w:rsidRPr="000169C4">
        <w:rPr>
          <w:rFonts w:ascii="Arial" w:hAnsi="Arial"/>
          <w:sz w:val="24"/>
          <w:szCs w:val="24"/>
          <w:u w:val="single"/>
        </w:rPr>
        <w:t xml:space="preserve"> </w:t>
      </w:r>
      <w:r w:rsidR="00731F14" w:rsidRPr="000169C4">
        <w:rPr>
          <w:rFonts w:ascii="Arial" w:hAnsi="Arial"/>
          <w:sz w:val="24"/>
          <w:szCs w:val="24"/>
          <w:u w:val="single"/>
        </w:rPr>
        <w:t>Directorate (</w:t>
      </w:r>
      <w:r w:rsidR="000169C4" w:rsidRPr="000169C4">
        <w:rPr>
          <w:rFonts w:ascii="Arial" w:hAnsi="Arial"/>
          <w:sz w:val="24"/>
          <w:szCs w:val="24"/>
          <w:u w:val="single"/>
        </w:rPr>
        <w:t>C</w:t>
      </w:r>
      <w:r w:rsidR="00731F14" w:rsidRPr="000169C4">
        <w:rPr>
          <w:rFonts w:ascii="Arial" w:hAnsi="Arial"/>
          <w:sz w:val="24"/>
          <w:szCs w:val="24"/>
          <w:u w:val="single"/>
        </w:rPr>
        <w:t>G-</w:t>
      </w:r>
      <w:r w:rsidR="001E408C">
        <w:rPr>
          <w:rFonts w:ascii="Arial" w:hAnsi="Arial"/>
          <w:sz w:val="24"/>
          <w:szCs w:val="24"/>
          <w:u w:val="single"/>
        </w:rPr>
        <w:t>5</w:t>
      </w:r>
      <w:r w:rsidR="00731F14" w:rsidRPr="000169C4">
        <w:rPr>
          <w:rFonts w:ascii="Arial" w:hAnsi="Arial"/>
          <w:sz w:val="24"/>
          <w:szCs w:val="24"/>
          <w:u w:val="single"/>
        </w:rPr>
        <w:t>)</w:t>
      </w:r>
    </w:p>
    <w:p w:rsidR="00731F14" w:rsidRDefault="00731F14" w:rsidP="000169C4">
      <w:pPr>
        <w:numPr>
          <w:ilvl w:val="0"/>
          <w:numId w:val="19"/>
        </w:numPr>
        <w:ind w:left="1440"/>
        <w:rPr>
          <w:rFonts w:ascii="Arial" w:hAnsi="Arial"/>
          <w:sz w:val="24"/>
        </w:rPr>
      </w:pPr>
      <w:r>
        <w:rPr>
          <w:rFonts w:ascii="Arial" w:hAnsi="Arial"/>
          <w:sz w:val="24"/>
        </w:rPr>
        <w:t>Safety: Eliminate deaths, injuries, and property damage associated with commercial maritime operations.</w:t>
      </w:r>
    </w:p>
    <w:p w:rsidR="00731F14" w:rsidRDefault="00731F14" w:rsidP="000169C4">
      <w:pPr>
        <w:numPr>
          <w:ilvl w:val="0"/>
          <w:numId w:val="19"/>
        </w:numPr>
        <w:ind w:left="1440"/>
        <w:rPr>
          <w:rFonts w:ascii="Arial" w:hAnsi="Arial"/>
          <w:sz w:val="24"/>
        </w:rPr>
      </w:pPr>
      <w:r>
        <w:rPr>
          <w:rFonts w:ascii="Arial" w:hAnsi="Arial"/>
          <w:sz w:val="24"/>
        </w:rPr>
        <w:t>Security: Eliminate marine transportation and coastal security vulnerability.</w:t>
      </w:r>
    </w:p>
    <w:p w:rsidR="00731F14" w:rsidRDefault="00731F14" w:rsidP="000169C4">
      <w:pPr>
        <w:numPr>
          <w:ilvl w:val="0"/>
          <w:numId w:val="19"/>
        </w:numPr>
        <w:ind w:left="1440"/>
        <w:rPr>
          <w:rFonts w:ascii="Arial" w:hAnsi="Arial"/>
          <w:sz w:val="24"/>
        </w:rPr>
      </w:pPr>
      <w:r>
        <w:rPr>
          <w:rFonts w:ascii="Arial" w:hAnsi="Arial"/>
          <w:sz w:val="24"/>
        </w:rPr>
        <w:t>Human and Natural Environment: Eliminate environmental damage associated with maritime transportation and operations on and around the nation’s waterways.</w:t>
      </w:r>
    </w:p>
    <w:p w:rsidR="00731F14" w:rsidRDefault="00731F14" w:rsidP="000169C4">
      <w:pPr>
        <w:numPr>
          <w:ilvl w:val="0"/>
          <w:numId w:val="19"/>
        </w:numPr>
        <w:ind w:left="1440"/>
        <w:rPr>
          <w:rFonts w:ascii="Arial" w:hAnsi="Arial"/>
          <w:sz w:val="24"/>
        </w:rPr>
      </w:pPr>
      <w:r>
        <w:rPr>
          <w:rFonts w:ascii="Arial" w:hAnsi="Arial"/>
          <w:sz w:val="24"/>
        </w:rPr>
        <w:t>Economic Growth and Trade/Mobility: Reduce interruptions and impediments that restrict the economical movement of goods and people, while maximizing safe, effective, and efficient waterways for all users.</w:t>
      </w:r>
    </w:p>
    <w:p w:rsidR="00731F14" w:rsidRDefault="00731F14">
      <w:pPr>
        <w:rPr>
          <w:rFonts w:ascii="Arial" w:hAnsi="Arial"/>
          <w:sz w:val="24"/>
        </w:rPr>
      </w:pPr>
    </w:p>
    <w:p w:rsidR="00731F14" w:rsidRDefault="00731F14">
      <w:pPr>
        <w:rPr>
          <w:rFonts w:ascii="Arial" w:hAnsi="Arial"/>
          <w:b/>
          <w:sz w:val="24"/>
          <w:u w:val="single"/>
        </w:rPr>
      </w:pPr>
      <w:r>
        <w:rPr>
          <w:rFonts w:ascii="Arial" w:hAnsi="Arial"/>
          <w:b/>
          <w:sz w:val="24"/>
        </w:rPr>
        <w:t xml:space="preserve">2.  </w:t>
      </w:r>
      <w:r>
        <w:rPr>
          <w:rFonts w:ascii="Arial" w:hAnsi="Arial"/>
          <w:b/>
          <w:sz w:val="24"/>
          <w:u w:val="single"/>
        </w:rPr>
        <w:t>Purpose of the information collection</w:t>
      </w:r>
      <w:r>
        <w:rPr>
          <w:rFonts w:ascii="Arial" w:hAnsi="Arial"/>
          <w:b/>
          <w:sz w:val="24"/>
        </w:rPr>
        <w:t>.</w:t>
      </w:r>
    </w:p>
    <w:p w:rsidR="00731F14" w:rsidRDefault="00731F14">
      <w:pPr>
        <w:pStyle w:val="BodyText"/>
      </w:pPr>
    </w:p>
    <w:p w:rsidR="00731F14" w:rsidRDefault="003F72BF">
      <w:pPr>
        <w:pStyle w:val="BodyText"/>
      </w:pPr>
      <w:r>
        <w:t>Captains of the Port (</w:t>
      </w:r>
      <w:r w:rsidR="00731F14">
        <w:t>COTPs</w:t>
      </w:r>
      <w:r>
        <w:t>)</w:t>
      </w:r>
      <w:r w:rsidR="00731F14">
        <w:t xml:space="preserve"> use the advance notice of arrival information for vessel traffic control; denying entry to unsafe vessels; targeting vessels for boarding and examination; planning for oil and hazardous substances spills; counter terrorism; and firefighting contingencies; controlling the port entry of vessels which may constitute a threat to the safety or security of U.S. ports.</w:t>
      </w:r>
    </w:p>
    <w:p w:rsidR="00731F14" w:rsidRDefault="00731F14">
      <w:pPr>
        <w:pStyle w:val="BodyText"/>
      </w:pPr>
    </w:p>
    <w:p w:rsidR="00731F14" w:rsidRDefault="00731F14">
      <w:pPr>
        <w:pStyle w:val="BodyText"/>
      </w:pPr>
      <w:r>
        <w:t>Vessel traffic control is accomplished by establishing safety or security zones near vessels or waterfront facilities, issuing various types of COTP orders, and escorting vessels.  The Coast Guard escorts certain vessels carrying explosives, liquefied gases, and other particularly dangerous cargoes carried in large quantities</w:t>
      </w:r>
      <w:r w:rsidR="00937CAB">
        <w:t>,</w:t>
      </w:r>
      <w:r>
        <w:t xml:space="preserve"> and establishes moving safety zones around the vessels to keep smaller vessels away while in restricted channels.  Safety zones are also maintained around certain vessels during unloading.  Without up-to-date arrival information, COTP personnel would not be present during the critical times of the port transit and transfer.</w:t>
      </w:r>
    </w:p>
    <w:p w:rsidR="00731F14" w:rsidRDefault="00731F14">
      <w:pPr>
        <w:pStyle w:val="BodyText"/>
      </w:pPr>
    </w:p>
    <w:p w:rsidR="00731F14" w:rsidRDefault="00731F14">
      <w:pPr>
        <w:pStyle w:val="BodyText"/>
      </w:pPr>
      <w:r>
        <w:t xml:space="preserve">The COTP uses the advance notice of arrival information to deny certain vessels entry into a port.  A vessel may be denied entry to a port because of dangerous conditions on the vessel or because they have previously been identified by another COTP as posing a threat to the safety or environment of </w:t>
      </w:r>
      <w:smartTag w:uri="urn:schemas-microsoft-com:office:smarttags" w:element="country-region">
        <w:smartTag w:uri="urn:schemas-microsoft-com:office:smarttags" w:element="place">
          <w:r>
            <w:t>U.S.</w:t>
          </w:r>
        </w:smartTag>
      </w:smartTag>
      <w:r>
        <w:t xml:space="preserve"> ports.  Denial of vessel entry is an important enforcement device used by the COTP to encourage unsafe vessels to correct vessel deficiencies.</w:t>
      </w:r>
    </w:p>
    <w:p w:rsidR="00731F14" w:rsidRDefault="00731F14">
      <w:pPr>
        <w:pStyle w:val="BodyText"/>
      </w:pPr>
    </w:p>
    <w:p w:rsidR="00731F14" w:rsidRDefault="00731F14">
      <w:pPr>
        <w:pStyle w:val="BodyText"/>
      </w:pPr>
      <w:r>
        <w:lastRenderedPageBreak/>
        <w:t xml:space="preserve">Upon receiving an advance notice of arrival, Coast Guard personnel examine the vessel’s violation and discrepancy history on the </w:t>
      </w:r>
      <w:r w:rsidR="00C46C8B" w:rsidRPr="00C46C8B">
        <w:t xml:space="preserve">Marine Information for Safety and Law Enforcement </w:t>
      </w:r>
      <w:r>
        <w:t>(M</w:t>
      </w:r>
      <w:r w:rsidR="00C46C8B">
        <w:t>I</w:t>
      </w:r>
      <w:r>
        <w:t>S</w:t>
      </w:r>
      <w:r w:rsidR="00C46C8B">
        <w:t>LE</w:t>
      </w:r>
      <w:r>
        <w:t>)</w:t>
      </w:r>
      <w:r w:rsidR="002056EA">
        <w:t xml:space="preserve"> database</w:t>
      </w:r>
      <w:r>
        <w:t xml:space="preserve">, and determine whether the vessels should be boarded and examined.  Vessels which have a history of safety or pollution violations, have unresolved discrepancies, or have not had recent pollution prevention or safety examinations, are targeted for </w:t>
      </w:r>
      <w:r w:rsidR="001B3312">
        <w:t>examination</w:t>
      </w:r>
      <w:r>
        <w:t>.  Without the advance notice of arrival information, a vessel that poses a threat to port may enter and transfer cargo in spite of existing deficiencies, posing a threat to port safety and the environment.</w:t>
      </w:r>
    </w:p>
    <w:p w:rsidR="00731F14" w:rsidRDefault="00731F14">
      <w:pPr>
        <w:pStyle w:val="BodyText"/>
      </w:pPr>
    </w:p>
    <w:p w:rsidR="00731F14" w:rsidRDefault="00731F14">
      <w:pPr>
        <w:pStyle w:val="BodyText"/>
      </w:pPr>
      <w:r>
        <w:t>Arrival information is also used for long-range and short-range contingency planning.  Planners and duty officers focus Coast Guard resources on certain areas of the port because of vessels with hazardous conditions, the cargoes transported, the country of registry, the time of arrival, and other reasons.  During a marine emergency, such as a grounding or collision, duty officers base their initial response on type of cargo carried, the amounts, and the stowage location.  It is critical that this cargo information be available before the emergency occurs because it may be difficult or impossible to obtain during the emergency.  This is especially important for bulk chemical and container vessels, which carry many different dangerous cargoes that may interact to intensify an emergency situation.</w:t>
      </w:r>
    </w:p>
    <w:p w:rsidR="00731F14" w:rsidRDefault="00731F14">
      <w:pPr>
        <w:pStyle w:val="BodyText"/>
      </w:pPr>
    </w:p>
    <w:p w:rsidR="00731F14" w:rsidRDefault="00731F14">
      <w:pPr>
        <w:pStyle w:val="HTMLPreformatted"/>
        <w:rPr>
          <w:rFonts w:ascii="Arial" w:hAnsi="Arial" w:cs="Arial"/>
          <w:sz w:val="24"/>
        </w:rPr>
      </w:pPr>
      <w:r>
        <w:rPr>
          <w:rFonts w:ascii="Arial" w:hAnsi="Arial" w:cs="Arial"/>
          <w:sz w:val="24"/>
        </w:rPr>
        <w:t>Since September 11</w:t>
      </w:r>
      <w:r>
        <w:rPr>
          <w:rFonts w:ascii="Arial" w:hAnsi="Arial" w:cs="Arial"/>
          <w:sz w:val="24"/>
          <w:vertAlign w:val="superscript"/>
        </w:rPr>
        <w:t>th</w:t>
      </w:r>
      <w:r>
        <w:rPr>
          <w:rFonts w:ascii="Arial" w:hAnsi="Arial" w:cs="Arial"/>
          <w:sz w:val="24"/>
        </w:rPr>
        <w:t>--in the maritime context--extra time is needed for security checks, and vessels bound for U.S. ports could experience delays in entering port if required arrival information is not received early enough.  The information now required on the notification of arrival (NOA) should provide sufficient data for security measures to protect our nation's ports and waterways.  Timely receipt of this security information will minimize vessel delays.</w:t>
      </w:r>
    </w:p>
    <w:p w:rsidR="00731F14" w:rsidRDefault="00731F14">
      <w:pPr>
        <w:pStyle w:val="BodyText"/>
      </w:pPr>
    </w:p>
    <w:p w:rsidR="00731F14" w:rsidRDefault="00731F14">
      <w:pPr>
        <w:pStyle w:val="BodyText"/>
      </w:pPr>
      <w:r>
        <w:t>The applicant requesting a waiver of the advance notice of arrival requirements is required to submit, with the waiver request, reasons for the waiver and proposed alternative procedures or methods.  Without this information, the COTP cannot determine the effects of granting or denying the waiver.</w:t>
      </w:r>
    </w:p>
    <w:p w:rsidR="006B23C6" w:rsidRDefault="006B23C6">
      <w:pPr>
        <w:pStyle w:val="BodyText"/>
      </w:pPr>
    </w:p>
    <w:p w:rsidR="00731F14" w:rsidRDefault="00731F14">
      <w:pPr>
        <w:ind w:left="360" w:hanging="360"/>
        <w:rPr>
          <w:rFonts w:ascii="Arial" w:hAnsi="Arial"/>
          <w:b/>
          <w:sz w:val="24"/>
          <w:u w:val="single"/>
        </w:rPr>
      </w:pPr>
      <w:r>
        <w:rPr>
          <w:rFonts w:ascii="Arial" w:hAnsi="Arial"/>
          <w:b/>
          <w:sz w:val="24"/>
        </w:rPr>
        <w:t xml:space="preserve">3.  </w:t>
      </w:r>
      <w:r>
        <w:rPr>
          <w:rFonts w:ascii="Arial" w:hAnsi="Arial"/>
          <w:b/>
          <w:sz w:val="24"/>
          <w:u w:val="single"/>
        </w:rPr>
        <w:t>Considerations of the use of improved information technology to reduce the burden</w:t>
      </w:r>
      <w:r>
        <w:rPr>
          <w:rFonts w:ascii="Arial" w:hAnsi="Arial"/>
          <w:b/>
          <w:sz w:val="24"/>
        </w:rPr>
        <w:t>.</w:t>
      </w:r>
    </w:p>
    <w:p w:rsidR="00731F14" w:rsidRDefault="00731F14">
      <w:pPr>
        <w:rPr>
          <w:rFonts w:ascii="Arial" w:hAnsi="Arial"/>
          <w:sz w:val="24"/>
        </w:rPr>
      </w:pPr>
    </w:p>
    <w:p w:rsidR="00731F14" w:rsidRDefault="00094C85">
      <w:pPr>
        <w:autoSpaceDE w:val="0"/>
        <w:autoSpaceDN w:val="0"/>
        <w:adjustRightInd w:val="0"/>
        <w:rPr>
          <w:rFonts w:ascii="Arial" w:hAnsi="Arial" w:cs="Arial"/>
          <w:sz w:val="24"/>
        </w:rPr>
      </w:pPr>
      <w:r w:rsidRPr="00EF3DA9">
        <w:rPr>
          <w:rFonts w:ascii="Arial" w:hAnsi="Arial"/>
          <w:sz w:val="24"/>
        </w:rPr>
        <w:t xml:space="preserve">The Coast Guard will mandate the submission of </w:t>
      </w:r>
      <w:r>
        <w:rPr>
          <w:rFonts w:ascii="Arial" w:hAnsi="Arial"/>
          <w:sz w:val="24"/>
        </w:rPr>
        <w:t>notices of arrival and departure (NOAD)</w:t>
      </w:r>
      <w:r w:rsidRPr="00EF3DA9">
        <w:rPr>
          <w:rFonts w:ascii="Arial" w:hAnsi="Arial"/>
          <w:sz w:val="24"/>
        </w:rPr>
        <w:t xml:space="preserve"> electronically </w:t>
      </w:r>
      <w:r w:rsidR="00A7177D">
        <w:rPr>
          <w:rFonts w:ascii="Arial" w:hAnsi="Arial"/>
          <w:sz w:val="24"/>
        </w:rPr>
        <w:t xml:space="preserve">via the electronic Notice of Arrival and Departure system (eNOA/D) at </w:t>
      </w:r>
      <w:hyperlink r:id="rId8" w:history="1">
        <w:r w:rsidR="00A7177D" w:rsidRPr="0099187F">
          <w:rPr>
            <w:rStyle w:val="Hyperlink"/>
            <w:rFonts w:ascii="Arial" w:hAnsi="Arial"/>
            <w:sz w:val="24"/>
          </w:rPr>
          <w:t>http://www.nvmc.uscg.gov</w:t>
        </w:r>
      </w:hyperlink>
      <w:r w:rsidR="00A7177D">
        <w:rPr>
          <w:rFonts w:ascii="Arial" w:hAnsi="Arial"/>
          <w:sz w:val="24"/>
        </w:rPr>
        <w:t xml:space="preserve">. </w:t>
      </w:r>
      <w:r>
        <w:rPr>
          <w:rFonts w:ascii="Arial" w:hAnsi="Arial"/>
          <w:sz w:val="24"/>
        </w:rPr>
        <w:t xml:space="preserve"> </w:t>
      </w:r>
      <w:r w:rsidRPr="00EF3DA9">
        <w:rPr>
          <w:rFonts w:ascii="Arial" w:hAnsi="Arial"/>
          <w:sz w:val="24"/>
        </w:rPr>
        <w:t>The Coast Guard expects that submitting NOADs by this format will reduce burden hours imposed on industry.</w:t>
      </w:r>
      <w:r>
        <w:rPr>
          <w:rFonts w:ascii="Arial" w:hAnsi="Arial"/>
          <w:sz w:val="24"/>
        </w:rPr>
        <w:t xml:space="preserve">  </w:t>
      </w:r>
      <w:r w:rsidR="00870C31">
        <w:rPr>
          <w:rFonts w:ascii="Arial" w:hAnsi="Arial" w:cs="Arial"/>
          <w:sz w:val="24"/>
        </w:rPr>
        <w:t>This change will result in</w:t>
      </w:r>
      <w:r w:rsidR="00731F14">
        <w:rPr>
          <w:rFonts w:ascii="Arial" w:hAnsi="Arial" w:cs="Arial"/>
          <w:sz w:val="24"/>
        </w:rPr>
        <w:t xml:space="preserve"> 100% of the reporting requirements be</w:t>
      </w:r>
      <w:r w:rsidR="00870C31">
        <w:rPr>
          <w:rFonts w:ascii="Arial" w:hAnsi="Arial" w:cs="Arial"/>
          <w:sz w:val="24"/>
        </w:rPr>
        <w:t>ing</w:t>
      </w:r>
      <w:r w:rsidR="00731F14">
        <w:rPr>
          <w:rFonts w:ascii="Arial" w:hAnsi="Arial" w:cs="Arial"/>
          <w:sz w:val="24"/>
        </w:rPr>
        <w:t xml:space="preserve"> done electronically.  </w:t>
      </w:r>
    </w:p>
    <w:p w:rsidR="00731F14" w:rsidRDefault="00731F14">
      <w:pPr>
        <w:rPr>
          <w:rFonts w:ascii="Arial" w:hAnsi="Arial"/>
          <w:b/>
          <w:sz w:val="24"/>
        </w:rPr>
      </w:pPr>
    </w:p>
    <w:p w:rsidR="00731F14" w:rsidRDefault="00731F14">
      <w:pPr>
        <w:rPr>
          <w:rFonts w:ascii="Arial" w:hAnsi="Arial"/>
          <w:b/>
          <w:sz w:val="24"/>
          <w:u w:val="single"/>
        </w:rPr>
      </w:pPr>
      <w:r>
        <w:rPr>
          <w:rFonts w:ascii="Arial" w:hAnsi="Arial"/>
          <w:b/>
          <w:sz w:val="24"/>
        </w:rPr>
        <w:t xml:space="preserve">4.  </w:t>
      </w:r>
      <w:r>
        <w:rPr>
          <w:rFonts w:ascii="Arial" w:hAnsi="Arial"/>
          <w:b/>
          <w:sz w:val="24"/>
          <w:u w:val="single"/>
        </w:rPr>
        <w:t>Efforts to identify duplication. Why similar information cannot be used</w:t>
      </w:r>
      <w:r>
        <w:rPr>
          <w:rFonts w:ascii="Arial" w:hAnsi="Arial"/>
          <w:b/>
          <w:sz w:val="24"/>
        </w:rPr>
        <w:t>.</w:t>
      </w:r>
    </w:p>
    <w:p w:rsidR="00731F14" w:rsidRDefault="00731F14">
      <w:pPr>
        <w:rPr>
          <w:rFonts w:ascii="Arial" w:hAnsi="Arial"/>
          <w:sz w:val="24"/>
        </w:rPr>
      </w:pPr>
    </w:p>
    <w:p w:rsidR="000169C4" w:rsidRPr="000169C4" w:rsidRDefault="000169C4" w:rsidP="000169C4">
      <w:pPr>
        <w:rPr>
          <w:rFonts w:ascii="Arial" w:hAnsi="Arial" w:cs="Arial"/>
          <w:sz w:val="24"/>
        </w:rPr>
      </w:pPr>
      <w:r w:rsidRPr="000169C4">
        <w:rPr>
          <w:rFonts w:ascii="Arial" w:hAnsi="Arial" w:cs="Arial"/>
          <w:sz w:val="24"/>
        </w:rPr>
        <w:t xml:space="preserve">The Coast Guard monitors State and local regulatory activity in this field.  </w:t>
      </w:r>
    </w:p>
    <w:p w:rsidR="000169C4" w:rsidRPr="000169C4" w:rsidRDefault="000169C4" w:rsidP="000169C4">
      <w:pPr>
        <w:rPr>
          <w:rFonts w:ascii="Arial" w:hAnsi="Arial" w:cs="Arial"/>
          <w:sz w:val="24"/>
        </w:rPr>
      </w:pPr>
    </w:p>
    <w:p w:rsidR="00731F14" w:rsidRPr="00A7177D" w:rsidRDefault="000169C4" w:rsidP="000169C4">
      <w:pPr>
        <w:rPr>
          <w:rFonts w:ascii="Arial" w:hAnsi="Arial" w:cs="Arial"/>
          <w:sz w:val="24"/>
          <w:szCs w:val="24"/>
        </w:rPr>
      </w:pPr>
      <w:r w:rsidRPr="000169C4">
        <w:rPr>
          <w:rFonts w:ascii="Arial" w:hAnsi="Arial" w:cs="Arial"/>
          <w:sz w:val="24"/>
        </w:rPr>
        <w:lastRenderedPageBreak/>
        <w:t>To eliminate duplication, the Advance Passenger Information System (APIS) Final Rule, published on April 7, 2005</w:t>
      </w:r>
      <w:r w:rsidR="00A91759">
        <w:rPr>
          <w:rFonts w:ascii="Arial" w:hAnsi="Arial" w:cs="Arial"/>
          <w:sz w:val="24"/>
        </w:rPr>
        <w:t xml:space="preserve"> (70 FR 17820)</w:t>
      </w:r>
      <w:r w:rsidRPr="000169C4">
        <w:rPr>
          <w:rFonts w:ascii="Arial" w:hAnsi="Arial" w:cs="Arial"/>
          <w:sz w:val="24"/>
        </w:rPr>
        <w:t xml:space="preserve">, requires APIS manifests to be submitted through the United States Coast Guard (USCG) &amp; Customs and Border Protection (CBP) </w:t>
      </w:r>
      <w:r w:rsidR="00A7177D">
        <w:rPr>
          <w:rFonts w:ascii="Arial" w:hAnsi="Arial" w:cs="Arial"/>
          <w:sz w:val="24"/>
        </w:rPr>
        <w:t>e</w:t>
      </w:r>
      <w:r w:rsidR="00A7177D" w:rsidRPr="000169C4">
        <w:rPr>
          <w:rFonts w:ascii="Arial" w:hAnsi="Arial" w:cs="Arial"/>
          <w:sz w:val="24"/>
        </w:rPr>
        <w:t xml:space="preserve">lectronic </w:t>
      </w:r>
      <w:r w:rsidRPr="000169C4">
        <w:rPr>
          <w:rFonts w:ascii="Arial" w:hAnsi="Arial" w:cs="Arial"/>
          <w:sz w:val="24"/>
        </w:rPr>
        <w:t>Notice of Arrival/Departure (eNOA/D) web portal (</w:t>
      </w:r>
      <w:hyperlink r:id="rId9" w:history="1">
        <w:r w:rsidR="00A7177D" w:rsidRPr="0099187F">
          <w:rPr>
            <w:rStyle w:val="Hyperlink"/>
            <w:rFonts w:ascii="Arial" w:hAnsi="Arial" w:cs="Arial"/>
            <w:sz w:val="24"/>
          </w:rPr>
          <w:t>www.nvmc.u</w:t>
        </w:r>
        <w:r w:rsidR="00A7177D" w:rsidRPr="0099187F">
          <w:rPr>
            <w:rStyle w:val="Hyperlink"/>
            <w:rFonts w:ascii="Arial" w:hAnsi="Arial" w:cs="Arial"/>
            <w:sz w:val="24"/>
          </w:rPr>
          <w:t>s</w:t>
        </w:r>
        <w:r w:rsidR="00A7177D" w:rsidRPr="0099187F">
          <w:rPr>
            <w:rStyle w:val="Hyperlink"/>
            <w:rFonts w:ascii="Arial" w:hAnsi="Arial" w:cs="Arial"/>
            <w:sz w:val="24"/>
          </w:rPr>
          <w:t>cg.gov</w:t>
        </w:r>
      </w:hyperlink>
      <w:r w:rsidRPr="000169C4">
        <w:rPr>
          <w:rFonts w:ascii="Arial" w:hAnsi="Arial" w:cs="Arial"/>
          <w:sz w:val="24"/>
        </w:rPr>
        <w:t xml:space="preserve">) for all commercial vessels arriving from or departing for a foreign port or place.  Compliant eNOA/D submissions through this portal work to fulfill both USCG (Notice </w:t>
      </w:r>
      <w:r w:rsidR="009D75A4">
        <w:rPr>
          <w:rFonts w:ascii="Arial" w:hAnsi="Arial" w:cs="Arial"/>
          <w:sz w:val="24"/>
        </w:rPr>
        <w:t>o</w:t>
      </w:r>
      <w:r w:rsidRPr="000169C4">
        <w:rPr>
          <w:rFonts w:ascii="Arial" w:hAnsi="Arial" w:cs="Arial"/>
          <w:sz w:val="24"/>
        </w:rPr>
        <w:t>f Arrival) and CBP (APIS) reporting requirements.</w:t>
      </w:r>
      <w:r w:rsidR="001B3312">
        <w:rPr>
          <w:rFonts w:ascii="Arial" w:hAnsi="Arial" w:cs="Arial"/>
          <w:sz w:val="24"/>
        </w:rPr>
        <w:t xml:space="preserve"> </w:t>
      </w:r>
      <w:r w:rsidR="001E408C">
        <w:rPr>
          <w:rFonts w:ascii="Arial" w:hAnsi="Arial" w:cs="Arial"/>
          <w:sz w:val="24"/>
        </w:rPr>
        <w:t xml:space="preserve"> </w:t>
      </w:r>
      <w:r w:rsidR="001B3312">
        <w:rPr>
          <w:rFonts w:ascii="Arial" w:hAnsi="Arial" w:cs="Arial"/>
          <w:sz w:val="24"/>
        </w:rPr>
        <w:t xml:space="preserve">Additionally, vessels report their transit through the </w:t>
      </w:r>
      <w:smartTag w:uri="urn:schemas-microsoft-com:office:smarttags" w:element="place">
        <w:r w:rsidR="001B3312">
          <w:rPr>
            <w:rFonts w:ascii="Arial" w:hAnsi="Arial" w:cs="Arial"/>
            <w:sz w:val="24"/>
          </w:rPr>
          <w:t>St. Lawrence Seaway</w:t>
        </w:r>
      </w:smartTag>
      <w:r w:rsidR="001B3312">
        <w:rPr>
          <w:rFonts w:ascii="Arial" w:hAnsi="Arial" w:cs="Arial"/>
          <w:sz w:val="24"/>
        </w:rPr>
        <w:t xml:space="preserve"> by submitting arrival notices to the St. Lawrence Seaway Development Corporation</w:t>
      </w:r>
      <w:r w:rsidR="008B5CE1">
        <w:rPr>
          <w:rFonts w:ascii="Arial" w:hAnsi="Arial" w:cs="Arial"/>
          <w:sz w:val="24"/>
        </w:rPr>
        <w:t xml:space="preserve"> (SLSDC)</w:t>
      </w:r>
      <w:r w:rsidR="001B3312">
        <w:rPr>
          <w:rFonts w:ascii="Arial" w:hAnsi="Arial" w:cs="Arial"/>
          <w:sz w:val="24"/>
        </w:rPr>
        <w:t xml:space="preserve">. </w:t>
      </w:r>
      <w:r w:rsidR="00200FAF">
        <w:rPr>
          <w:rFonts w:ascii="Arial" w:hAnsi="Arial" w:cs="Arial"/>
          <w:sz w:val="24"/>
        </w:rPr>
        <w:t xml:space="preserve"> </w:t>
      </w:r>
      <w:r w:rsidR="001B3312">
        <w:rPr>
          <w:rFonts w:ascii="Arial" w:hAnsi="Arial" w:cs="Arial"/>
          <w:sz w:val="24"/>
        </w:rPr>
        <w:t xml:space="preserve">33 CFR 401.79.  </w:t>
      </w:r>
      <w:r w:rsidR="008B5CE1" w:rsidRPr="00A7177D">
        <w:rPr>
          <w:rFonts w:ascii="Arial" w:hAnsi="Arial" w:cs="Arial"/>
          <w:sz w:val="24"/>
          <w:szCs w:val="24"/>
        </w:rPr>
        <w:t>Similar to the arrangement with CBP, the SLSDC shares t</w:t>
      </w:r>
      <w:r w:rsidR="001B3312" w:rsidRPr="00A7177D">
        <w:rPr>
          <w:rFonts w:ascii="Arial" w:hAnsi="Arial" w:cs="Arial"/>
          <w:sz w:val="24"/>
          <w:szCs w:val="24"/>
        </w:rPr>
        <w:t>his information with the National Vessel Movement Center through our Coast Guard Marine Safety Unit in Massena</w:t>
      </w:r>
      <w:r w:rsidR="008B5CE1" w:rsidRPr="00A7177D">
        <w:rPr>
          <w:rFonts w:ascii="Arial" w:hAnsi="Arial" w:cs="Arial"/>
          <w:sz w:val="24"/>
          <w:szCs w:val="24"/>
        </w:rPr>
        <w:t xml:space="preserve"> to avoid a duplicate reporting burden on the maritime industry</w:t>
      </w:r>
      <w:r w:rsidR="001B3312" w:rsidRPr="00A7177D">
        <w:rPr>
          <w:rFonts w:ascii="Arial" w:hAnsi="Arial" w:cs="Arial"/>
          <w:sz w:val="24"/>
          <w:szCs w:val="24"/>
        </w:rPr>
        <w:t xml:space="preserve">. </w:t>
      </w:r>
      <w:r w:rsidR="001E408C" w:rsidRPr="00A7177D">
        <w:rPr>
          <w:rFonts w:ascii="Arial" w:hAnsi="Arial" w:cs="Arial"/>
          <w:sz w:val="24"/>
          <w:szCs w:val="24"/>
        </w:rPr>
        <w:t xml:space="preserve"> </w:t>
      </w:r>
      <w:r w:rsidR="001B3312" w:rsidRPr="00A7177D">
        <w:rPr>
          <w:rFonts w:ascii="Arial" w:hAnsi="Arial" w:cs="Arial"/>
          <w:sz w:val="24"/>
          <w:szCs w:val="24"/>
        </w:rPr>
        <w:t>52</w:t>
      </w:r>
      <w:r w:rsidR="00200FAF">
        <w:rPr>
          <w:rFonts w:ascii="Arial" w:hAnsi="Arial" w:cs="Arial"/>
          <w:sz w:val="24"/>
          <w:szCs w:val="24"/>
        </w:rPr>
        <w:t xml:space="preserve"> </w:t>
      </w:r>
      <w:r w:rsidR="001B3312" w:rsidRPr="00A7177D">
        <w:rPr>
          <w:rFonts w:ascii="Arial" w:hAnsi="Arial" w:cs="Arial"/>
          <w:sz w:val="24"/>
          <w:szCs w:val="24"/>
        </w:rPr>
        <w:t>FR</w:t>
      </w:r>
      <w:r w:rsidR="00200FAF">
        <w:rPr>
          <w:rFonts w:ascii="Arial" w:hAnsi="Arial" w:cs="Arial"/>
          <w:sz w:val="24"/>
          <w:szCs w:val="24"/>
        </w:rPr>
        <w:t xml:space="preserve"> </w:t>
      </w:r>
      <w:r w:rsidR="001B3312" w:rsidRPr="00A7177D">
        <w:rPr>
          <w:rFonts w:ascii="Arial" w:hAnsi="Arial" w:cs="Arial"/>
          <w:sz w:val="24"/>
          <w:szCs w:val="24"/>
        </w:rPr>
        <w:t xml:space="preserve">48264.   </w:t>
      </w:r>
    </w:p>
    <w:p w:rsidR="000169C4" w:rsidRPr="000169C4" w:rsidRDefault="000169C4" w:rsidP="000169C4">
      <w:pPr>
        <w:rPr>
          <w:rFonts w:ascii="Arial" w:hAnsi="Arial" w:cs="Arial"/>
          <w:sz w:val="24"/>
        </w:rPr>
      </w:pPr>
    </w:p>
    <w:p w:rsidR="00731F14" w:rsidRDefault="00731F14">
      <w:pPr>
        <w:rPr>
          <w:rFonts w:ascii="Arial" w:hAnsi="Arial"/>
          <w:b/>
          <w:sz w:val="24"/>
          <w:u w:val="single"/>
        </w:rPr>
      </w:pPr>
      <w:r>
        <w:rPr>
          <w:rFonts w:ascii="Arial" w:hAnsi="Arial"/>
          <w:b/>
          <w:sz w:val="24"/>
        </w:rPr>
        <w:t xml:space="preserve">5.  </w:t>
      </w:r>
      <w:r>
        <w:rPr>
          <w:rFonts w:ascii="Arial" w:hAnsi="Arial"/>
          <w:b/>
          <w:sz w:val="24"/>
          <w:u w:val="single"/>
        </w:rPr>
        <w:t>Methods used to minimize the burdens to small businesses, if involved</w:t>
      </w:r>
      <w:r>
        <w:rPr>
          <w:rFonts w:ascii="Arial" w:hAnsi="Arial"/>
          <w:b/>
          <w:sz w:val="24"/>
        </w:rPr>
        <w:t>.</w:t>
      </w:r>
    </w:p>
    <w:p w:rsidR="00731F14" w:rsidRDefault="00731F14">
      <w:pPr>
        <w:rPr>
          <w:rFonts w:ascii="Arial" w:hAnsi="Arial"/>
          <w:sz w:val="24"/>
        </w:rPr>
      </w:pPr>
    </w:p>
    <w:p w:rsidR="00731F14" w:rsidRDefault="00731F14">
      <w:pPr>
        <w:rPr>
          <w:rFonts w:ascii="Arial" w:hAnsi="Arial"/>
          <w:sz w:val="24"/>
        </w:rPr>
      </w:pPr>
      <w:r>
        <w:rPr>
          <w:rFonts w:ascii="Arial" w:hAnsi="Arial"/>
          <w:sz w:val="24"/>
        </w:rPr>
        <w:t xml:space="preserve">Reporting requirements for small entities are generally proportionately less due to the </w:t>
      </w:r>
      <w:r w:rsidR="00E27093">
        <w:rPr>
          <w:rFonts w:ascii="Arial" w:hAnsi="Arial"/>
          <w:sz w:val="24"/>
        </w:rPr>
        <w:t xml:space="preserve">fewer </w:t>
      </w:r>
      <w:r>
        <w:rPr>
          <w:rFonts w:ascii="Arial" w:hAnsi="Arial"/>
          <w:sz w:val="24"/>
        </w:rPr>
        <w:t>number</w:t>
      </w:r>
      <w:r w:rsidR="00E27093">
        <w:rPr>
          <w:rFonts w:ascii="Arial" w:hAnsi="Arial"/>
          <w:sz w:val="24"/>
        </w:rPr>
        <w:t>s</w:t>
      </w:r>
      <w:r>
        <w:rPr>
          <w:rFonts w:ascii="Arial" w:hAnsi="Arial"/>
          <w:sz w:val="24"/>
        </w:rPr>
        <w:t xml:space="preserve"> of vessels they operate.  </w:t>
      </w:r>
      <w:r w:rsidR="00E27093">
        <w:rPr>
          <w:rFonts w:ascii="Arial" w:hAnsi="Arial"/>
          <w:sz w:val="24"/>
        </w:rPr>
        <w:t>Additionally, s</w:t>
      </w:r>
      <w:r>
        <w:rPr>
          <w:rFonts w:ascii="Arial" w:hAnsi="Arial"/>
          <w:sz w:val="24"/>
        </w:rPr>
        <w:t xml:space="preserve">mall </w:t>
      </w:r>
      <w:r w:rsidR="00E27093">
        <w:rPr>
          <w:rFonts w:ascii="Arial" w:hAnsi="Arial"/>
          <w:sz w:val="24"/>
        </w:rPr>
        <w:t xml:space="preserve">entities </w:t>
      </w:r>
      <w:r>
        <w:rPr>
          <w:rFonts w:ascii="Arial" w:hAnsi="Arial"/>
          <w:sz w:val="24"/>
        </w:rPr>
        <w:t>often operate smaller</w:t>
      </w:r>
      <w:r w:rsidR="00E27093">
        <w:rPr>
          <w:rFonts w:ascii="Arial" w:hAnsi="Arial"/>
          <w:sz w:val="24"/>
        </w:rPr>
        <w:t>-size</w:t>
      </w:r>
      <w:r>
        <w:rPr>
          <w:rFonts w:ascii="Arial" w:hAnsi="Arial"/>
          <w:sz w:val="24"/>
        </w:rPr>
        <w:t xml:space="preserve"> vessels that </w:t>
      </w:r>
      <w:r w:rsidR="00E27093">
        <w:rPr>
          <w:rFonts w:ascii="Arial" w:hAnsi="Arial"/>
          <w:sz w:val="24"/>
        </w:rPr>
        <w:t xml:space="preserve">may be </w:t>
      </w:r>
      <w:r>
        <w:rPr>
          <w:rFonts w:ascii="Arial" w:hAnsi="Arial"/>
          <w:sz w:val="24"/>
        </w:rPr>
        <w:t xml:space="preserve">exempt from the reporting requirements.  </w:t>
      </w:r>
    </w:p>
    <w:p w:rsidR="00731F14" w:rsidRDefault="00731F14">
      <w:pPr>
        <w:ind w:left="360" w:hanging="360"/>
        <w:rPr>
          <w:rFonts w:ascii="Arial" w:hAnsi="Arial"/>
          <w:b/>
          <w:sz w:val="24"/>
        </w:rPr>
      </w:pPr>
    </w:p>
    <w:p w:rsidR="00731F14" w:rsidRDefault="00731F14">
      <w:pPr>
        <w:ind w:left="360" w:hanging="360"/>
        <w:rPr>
          <w:rFonts w:ascii="Arial" w:hAnsi="Arial"/>
          <w:b/>
          <w:sz w:val="24"/>
          <w:u w:val="single"/>
        </w:rPr>
      </w:pPr>
      <w:r>
        <w:rPr>
          <w:rFonts w:ascii="Arial" w:hAnsi="Arial"/>
          <w:b/>
          <w:sz w:val="24"/>
        </w:rPr>
        <w:t xml:space="preserve">6.  </w:t>
      </w:r>
      <w:r>
        <w:rPr>
          <w:rFonts w:ascii="Arial" w:hAnsi="Arial"/>
          <w:b/>
          <w:sz w:val="24"/>
          <w:u w:val="single"/>
        </w:rPr>
        <w:t>Consequences to the Federal program if collection were conducted less frequently</w:t>
      </w:r>
      <w:r>
        <w:rPr>
          <w:rFonts w:ascii="Arial" w:hAnsi="Arial"/>
          <w:b/>
          <w:sz w:val="24"/>
        </w:rPr>
        <w:t>.</w:t>
      </w:r>
    </w:p>
    <w:p w:rsidR="00731F14" w:rsidRDefault="00731F14">
      <w:pPr>
        <w:rPr>
          <w:rFonts w:ascii="Arial" w:hAnsi="Arial"/>
          <w:sz w:val="24"/>
        </w:rPr>
      </w:pPr>
    </w:p>
    <w:p w:rsidR="00731F14" w:rsidRDefault="00731F14">
      <w:pPr>
        <w:rPr>
          <w:rFonts w:ascii="Arial" w:hAnsi="Arial"/>
          <w:sz w:val="24"/>
        </w:rPr>
      </w:pPr>
      <w:r>
        <w:rPr>
          <w:rFonts w:ascii="Arial" w:hAnsi="Arial"/>
          <w:sz w:val="24"/>
        </w:rPr>
        <w:t xml:space="preserve">This information is reported whenever certain vessels arrive in </w:t>
      </w:r>
      <w:smartTag w:uri="urn:schemas-microsoft-com:office:smarttags" w:element="country-region">
        <w:r>
          <w:rPr>
            <w:rFonts w:ascii="Arial" w:hAnsi="Arial"/>
            <w:sz w:val="24"/>
          </w:rPr>
          <w:t>U.S.</w:t>
        </w:r>
      </w:smartTag>
      <w:r>
        <w:rPr>
          <w:rFonts w:ascii="Arial" w:hAnsi="Arial"/>
          <w:sz w:val="24"/>
        </w:rPr>
        <w:t xml:space="preserve"> ports, and whenever vessels carrying certain dangerous cargoes arrive in </w:t>
      </w:r>
      <w:smartTag w:uri="urn:schemas-microsoft-com:office:smarttags" w:element="country-region">
        <w:smartTag w:uri="urn:schemas-microsoft-com:office:smarttags" w:element="place">
          <w:r>
            <w:rPr>
              <w:rFonts w:ascii="Arial" w:hAnsi="Arial"/>
              <w:sz w:val="24"/>
            </w:rPr>
            <w:t>U.S.</w:t>
          </w:r>
        </w:smartTag>
      </w:smartTag>
      <w:r>
        <w:rPr>
          <w:rFonts w:ascii="Arial" w:hAnsi="Arial"/>
          <w:sz w:val="24"/>
        </w:rPr>
        <w:t xml:space="preserve"> ports.  If it were reported less frequently, the COTP would not have a timely picture of what vessels or cargoes were entering the port, and in what condition.  Without this knowledge, the COTP could not take the actions described in </w:t>
      </w:r>
      <w:r w:rsidR="00117E12">
        <w:rPr>
          <w:rFonts w:ascii="Arial" w:hAnsi="Arial"/>
          <w:sz w:val="24"/>
        </w:rPr>
        <w:t>section</w:t>
      </w:r>
      <w:r w:rsidR="00870C31">
        <w:rPr>
          <w:rFonts w:ascii="Arial" w:hAnsi="Arial"/>
          <w:sz w:val="24"/>
        </w:rPr>
        <w:t xml:space="preserve"> </w:t>
      </w:r>
      <w:r>
        <w:rPr>
          <w:rFonts w:ascii="Arial" w:hAnsi="Arial"/>
          <w:sz w:val="24"/>
        </w:rPr>
        <w:t xml:space="preserve">2 to protect the port and the environment.  </w:t>
      </w:r>
    </w:p>
    <w:p w:rsidR="00731F14" w:rsidRDefault="00731F14">
      <w:pPr>
        <w:rPr>
          <w:rFonts w:ascii="Arial" w:hAnsi="Arial"/>
          <w:sz w:val="24"/>
        </w:rPr>
      </w:pPr>
    </w:p>
    <w:p w:rsidR="00731F14" w:rsidRDefault="00731F14">
      <w:pPr>
        <w:rPr>
          <w:rFonts w:ascii="Arial" w:hAnsi="Arial"/>
          <w:sz w:val="24"/>
        </w:rPr>
      </w:pPr>
      <w:r>
        <w:rPr>
          <w:rFonts w:ascii="Arial" w:hAnsi="Arial"/>
          <w:sz w:val="24"/>
        </w:rPr>
        <w:t>The waiver information is reported whenever a vessel requests a waiver.  Requests are evaluated on a case-by-case basis.  Without this information, the COTP cannot grant or deny a waiver.</w:t>
      </w:r>
    </w:p>
    <w:p w:rsidR="00731F14" w:rsidRDefault="00731F14">
      <w:pPr>
        <w:rPr>
          <w:rFonts w:ascii="Arial" w:hAnsi="Arial"/>
          <w:sz w:val="24"/>
        </w:rPr>
      </w:pPr>
    </w:p>
    <w:p w:rsidR="00731F14" w:rsidRPr="004E6B27" w:rsidRDefault="00731F14">
      <w:pPr>
        <w:ind w:left="360" w:hanging="360"/>
        <w:rPr>
          <w:rFonts w:ascii="Arial" w:hAnsi="Arial" w:cs="Arial"/>
          <w:b/>
          <w:sz w:val="24"/>
          <w:szCs w:val="24"/>
          <w:u w:val="single"/>
        </w:rPr>
      </w:pPr>
      <w:r>
        <w:rPr>
          <w:rFonts w:ascii="Arial" w:hAnsi="Arial"/>
          <w:b/>
          <w:sz w:val="24"/>
        </w:rPr>
        <w:t xml:space="preserve">7.  </w:t>
      </w:r>
      <w:r>
        <w:rPr>
          <w:rFonts w:ascii="Arial" w:hAnsi="Arial"/>
          <w:b/>
          <w:sz w:val="24"/>
          <w:u w:val="single"/>
        </w:rPr>
        <w:t xml:space="preserve">Special circumstances that require collection to be conducted in an </w:t>
      </w:r>
      <w:r w:rsidRPr="004E6B27">
        <w:rPr>
          <w:rFonts w:ascii="Arial" w:hAnsi="Arial" w:cs="Arial"/>
          <w:b/>
          <w:sz w:val="24"/>
          <w:szCs w:val="24"/>
          <w:u w:val="single"/>
        </w:rPr>
        <w:t>inconsistent manner</w:t>
      </w:r>
      <w:r w:rsidRPr="004E6B27">
        <w:rPr>
          <w:rFonts w:ascii="Arial" w:hAnsi="Arial" w:cs="Arial"/>
          <w:b/>
          <w:sz w:val="24"/>
          <w:szCs w:val="24"/>
        </w:rPr>
        <w:t>.</w:t>
      </w:r>
    </w:p>
    <w:p w:rsidR="00731F14" w:rsidRPr="004E6B27" w:rsidRDefault="00731F14">
      <w:pPr>
        <w:rPr>
          <w:rFonts w:ascii="Arial" w:hAnsi="Arial" w:cs="Arial"/>
          <w:sz w:val="24"/>
          <w:szCs w:val="24"/>
        </w:rPr>
      </w:pPr>
    </w:p>
    <w:p w:rsidR="00731F14" w:rsidRPr="004E6B27" w:rsidRDefault="004E6B27">
      <w:pPr>
        <w:rPr>
          <w:rFonts w:ascii="Arial" w:hAnsi="Arial" w:cs="Arial"/>
          <w:sz w:val="24"/>
          <w:szCs w:val="24"/>
        </w:rPr>
      </w:pPr>
      <w:r w:rsidRPr="004E6B27">
        <w:rPr>
          <w:rFonts w:ascii="Arial" w:hAnsi="Arial" w:cs="Arial"/>
          <w:sz w:val="24"/>
          <w:szCs w:val="24"/>
        </w:rPr>
        <w:t>This information collection is conducted in manner consistent with the guidelines in 5CFR 1320.5(d)(2)</w:t>
      </w:r>
      <w:r w:rsidR="00C46C8B" w:rsidRPr="004E6B27">
        <w:rPr>
          <w:rFonts w:ascii="Arial" w:hAnsi="Arial" w:cs="Arial"/>
          <w:sz w:val="24"/>
          <w:szCs w:val="24"/>
        </w:rPr>
        <w:t>.</w:t>
      </w:r>
    </w:p>
    <w:p w:rsidR="00731F14" w:rsidRPr="004E6B27" w:rsidRDefault="00731F14">
      <w:pPr>
        <w:rPr>
          <w:rFonts w:ascii="Arial" w:hAnsi="Arial" w:cs="Arial"/>
          <w:sz w:val="24"/>
          <w:szCs w:val="24"/>
        </w:rPr>
      </w:pPr>
    </w:p>
    <w:p w:rsidR="00731F14" w:rsidRDefault="00731F14">
      <w:pPr>
        <w:rPr>
          <w:rFonts w:ascii="Arial" w:hAnsi="Arial"/>
          <w:b/>
          <w:sz w:val="24"/>
          <w:u w:val="single"/>
        </w:rPr>
      </w:pPr>
      <w:r>
        <w:rPr>
          <w:rFonts w:ascii="Arial" w:hAnsi="Arial"/>
          <w:b/>
          <w:sz w:val="24"/>
        </w:rPr>
        <w:t xml:space="preserve">8.  </w:t>
      </w:r>
      <w:r>
        <w:rPr>
          <w:rFonts w:ascii="Arial" w:hAnsi="Arial"/>
          <w:b/>
          <w:sz w:val="24"/>
          <w:u w:val="single"/>
        </w:rPr>
        <w:t>Consultation</w:t>
      </w:r>
      <w:r>
        <w:rPr>
          <w:rFonts w:ascii="Arial" w:hAnsi="Arial"/>
          <w:b/>
          <w:sz w:val="24"/>
        </w:rPr>
        <w:t>.</w:t>
      </w:r>
    </w:p>
    <w:p w:rsidR="00731F14" w:rsidRDefault="00731F14">
      <w:pPr>
        <w:rPr>
          <w:rFonts w:ascii="Arial" w:hAnsi="Arial"/>
          <w:sz w:val="24"/>
        </w:rPr>
      </w:pPr>
    </w:p>
    <w:p w:rsidR="00870C31" w:rsidRDefault="00870C31" w:rsidP="00870C31">
      <w:pPr>
        <w:rPr>
          <w:rFonts w:ascii="Arial" w:hAnsi="Arial" w:cs="Arial"/>
          <w:sz w:val="24"/>
        </w:rPr>
      </w:pPr>
      <w:r>
        <w:rPr>
          <w:rFonts w:ascii="Arial" w:hAnsi="Arial" w:cs="Arial"/>
          <w:sz w:val="24"/>
        </w:rPr>
        <w:t>On 16 Dec 2008, t</w:t>
      </w:r>
      <w:r w:rsidRPr="00C52958">
        <w:rPr>
          <w:rFonts w:ascii="Arial" w:hAnsi="Arial" w:cs="Arial"/>
          <w:sz w:val="24"/>
        </w:rPr>
        <w:t xml:space="preserve">he Coast Guard </w:t>
      </w:r>
      <w:r>
        <w:rPr>
          <w:rFonts w:ascii="Arial" w:hAnsi="Arial" w:cs="Arial"/>
          <w:sz w:val="24"/>
        </w:rPr>
        <w:t xml:space="preserve">published a Notice of Proposed Rulemaking (NPRM) </w:t>
      </w:r>
      <w:r w:rsidRPr="00C52958">
        <w:rPr>
          <w:rFonts w:ascii="Arial" w:hAnsi="Arial" w:cs="Arial"/>
          <w:sz w:val="24"/>
        </w:rPr>
        <w:t>entitled “Vessel Requirements for Notices of Arrival and Departure, and Carriage of Automatic Identification System” [</w:t>
      </w:r>
      <w:r w:rsidR="00CB4033">
        <w:rPr>
          <w:rFonts w:ascii="Arial" w:hAnsi="Arial" w:cs="Arial"/>
          <w:sz w:val="24"/>
        </w:rPr>
        <w:t xml:space="preserve">RIN 1625-AA99; </w:t>
      </w:r>
      <w:r>
        <w:rPr>
          <w:rFonts w:ascii="Arial" w:hAnsi="Arial" w:cs="Arial"/>
          <w:sz w:val="24"/>
        </w:rPr>
        <w:t xml:space="preserve">73 FR 76295; </w:t>
      </w:r>
      <w:r w:rsidRPr="00C52958">
        <w:rPr>
          <w:rFonts w:ascii="Arial" w:hAnsi="Arial" w:cs="Arial"/>
          <w:sz w:val="24"/>
        </w:rPr>
        <w:t>USCG-2005-21869]</w:t>
      </w:r>
      <w:r>
        <w:rPr>
          <w:rFonts w:ascii="Arial" w:hAnsi="Arial" w:cs="Arial"/>
          <w:sz w:val="24"/>
        </w:rPr>
        <w:t>.</w:t>
      </w:r>
      <w:r w:rsidRPr="00C52958">
        <w:rPr>
          <w:rFonts w:ascii="Arial" w:hAnsi="Arial" w:cs="Arial"/>
          <w:sz w:val="24"/>
        </w:rPr>
        <w:t xml:space="preserve">  </w:t>
      </w:r>
      <w:r>
        <w:rPr>
          <w:rFonts w:ascii="Arial" w:hAnsi="Arial" w:cs="Arial"/>
          <w:sz w:val="24"/>
        </w:rPr>
        <w:t>The CG prop</w:t>
      </w:r>
      <w:r w:rsidR="00D22744">
        <w:rPr>
          <w:rFonts w:ascii="Arial" w:hAnsi="Arial" w:cs="Arial"/>
          <w:sz w:val="24"/>
        </w:rPr>
        <w:t>o</w:t>
      </w:r>
      <w:r>
        <w:rPr>
          <w:rFonts w:ascii="Arial" w:hAnsi="Arial" w:cs="Arial"/>
          <w:sz w:val="24"/>
        </w:rPr>
        <w:t>ses to—</w:t>
      </w:r>
    </w:p>
    <w:p w:rsidR="00870C31" w:rsidRDefault="00870C31" w:rsidP="00870C31">
      <w:pPr>
        <w:numPr>
          <w:ilvl w:val="0"/>
          <w:numId w:val="47"/>
        </w:numPr>
        <w:rPr>
          <w:rFonts w:ascii="Arial" w:hAnsi="Arial"/>
          <w:sz w:val="24"/>
        </w:rPr>
      </w:pPr>
      <w:r>
        <w:rPr>
          <w:rFonts w:ascii="Arial" w:hAnsi="Arial"/>
          <w:sz w:val="24"/>
        </w:rPr>
        <w:t>Expand the NOA requirements to more vessels</w:t>
      </w:r>
    </w:p>
    <w:p w:rsidR="00870C31" w:rsidRDefault="00870C31" w:rsidP="00870C31">
      <w:pPr>
        <w:numPr>
          <w:ilvl w:val="0"/>
          <w:numId w:val="47"/>
        </w:numPr>
        <w:rPr>
          <w:rFonts w:ascii="Arial" w:hAnsi="Arial"/>
          <w:sz w:val="24"/>
        </w:rPr>
      </w:pPr>
      <w:r>
        <w:rPr>
          <w:rFonts w:ascii="Arial" w:hAnsi="Arial"/>
          <w:sz w:val="24"/>
        </w:rPr>
        <w:lastRenderedPageBreak/>
        <w:t xml:space="preserve">Require a </w:t>
      </w:r>
      <w:r w:rsidR="00D22744">
        <w:rPr>
          <w:rFonts w:ascii="Arial" w:hAnsi="Arial"/>
          <w:sz w:val="24"/>
        </w:rPr>
        <w:t>Notice of Departure (</w:t>
      </w:r>
      <w:r>
        <w:rPr>
          <w:rFonts w:ascii="Arial" w:hAnsi="Arial"/>
          <w:sz w:val="24"/>
        </w:rPr>
        <w:t>NOD</w:t>
      </w:r>
      <w:r w:rsidR="00D22744">
        <w:rPr>
          <w:rFonts w:ascii="Arial" w:hAnsi="Arial"/>
          <w:sz w:val="24"/>
        </w:rPr>
        <w:t>)</w:t>
      </w:r>
    </w:p>
    <w:p w:rsidR="00870C31" w:rsidRDefault="00870C31" w:rsidP="00870C31">
      <w:pPr>
        <w:numPr>
          <w:ilvl w:val="0"/>
          <w:numId w:val="47"/>
        </w:numPr>
        <w:rPr>
          <w:rFonts w:ascii="Arial" w:hAnsi="Arial"/>
          <w:sz w:val="24"/>
        </w:rPr>
      </w:pPr>
      <w:r>
        <w:rPr>
          <w:rFonts w:ascii="Arial" w:hAnsi="Arial"/>
          <w:sz w:val="24"/>
        </w:rPr>
        <w:t>Require electronic submission of the NOAs &amp; NODs.</w:t>
      </w:r>
    </w:p>
    <w:p w:rsidR="000169C4" w:rsidRDefault="00870C31" w:rsidP="00870C31">
      <w:pPr>
        <w:rPr>
          <w:rFonts w:ascii="Arial" w:hAnsi="Arial" w:cs="Arial"/>
          <w:sz w:val="24"/>
        </w:rPr>
      </w:pPr>
      <w:r w:rsidRPr="00C52958">
        <w:rPr>
          <w:rFonts w:ascii="Arial" w:hAnsi="Arial" w:cs="Arial"/>
          <w:sz w:val="24"/>
        </w:rPr>
        <w:t xml:space="preserve">This change is necessary to enable the Coast Guard to correlate vessel AIS data with NOAD data, enhance our ability to identify and track vessels, detect anomalies, improve navigation safety, and heighten our overall maritime domain awareness.  </w:t>
      </w:r>
      <w:r>
        <w:rPr>
          <w:rFonts w:ascii="Arial" w:hAnsi="Arial" w:cs="Arial"/>
          <w:sz w:val="24"/>
        </w:rPr>
        <w:t xml:space="preserve">The NPRM </w:t>
      </w:r>
      <w:r w:rsidR="00D22744">
        <w:rPr>
          <w:rFonts w:ascii="Arial" w:hAnsi="Arial" w:cs="Arial"/>
          <w:sz w:val="24"/>
        </w:rPr>
        <w:t>had</w:t>
      </w:r>
      <w:r>
        <w:rPr>
          <w:rFonts w:ascii="Arial" w:hAnsi="Arial" w:cs="Arial"/>
          <w:sz w:val="24"/>
        </w:rPr>
        <w:t xml:space="preserve"> a </w:t>
      </w:r>
      <w:r w:rsidRPr="00C52958">
        <w:rPr>
          <w:rFonts w:ascii="Arial" w:hAnsi="Arial" w:cs="Arial"/>
          <w:sz w:val="24"/>
        </w:rPr>
        <w:t xml:space="preserve">120-day </w:t>
      </w:r>
      <w:r>
        <w:rPr>
          <w:rFonts w:ascii="Arial" w:hAnsi="Arial" w:cs="Arial"/>
          <w:sz w:val="24"/>
        </w:rPr>
        <w:t xml:space="preserve">comment </w:t>
      </w:r>
      <w:r w:rsidRPr="00C52958">
        <w:rPr>
          <w:rFonts w:ascii="Arial" w:hAnsi="Arial" w:cs="Arial"/>
          <w:sz w:val="24"/>
        </w:rPr>
        <w:t>period</w:t>
      </w:r>
      <w:r w:rsidR="00D22744">
        <w:rPr>
          <w:rFonts w:ascii="Arial" w:hAnsi="Arial" w:cs="Arial"/>
          <w:sz w:val="24"/>
        </w:rPr>
        <w:t xml:space="preserve"> that closed on 15 Apr 2009</w:t>
      </w:r>
      <w:r w:rsidRPr="00C52958">
        <w:rPr>
          <w:rFonts w:ascii="Arial" w:hAnsi="Arial" w:cs="Arial"/>
          <w:sz w:val="24"/>
        </w:rPr>
        <w:t xml:space="preserve">.  </w:t>
      </w:r>
    </w:p>
    <w:p w:rsidR="004D61C8" w:rsidRDefault="004D61C8" w:rsidP="00870C31">
      <w:pPr>
        <w:rPr>
          <w:rFonts w:ascii="Arial" w:hAnsi="Arial" w:cs="Arial"/>
          <w:sz w:val="24"/>
        </w:rPr>
      </w:pPr>
    </w:p>
    <w:p w:rsidR="004D61C8" w:rsidRDefault="004D61C8" w:rsidP="00870C31">
      <w:pPr>
        <w:rPr>
          <w:rFonts w:ascii="Arial" w:hAnsi="Arial" w:cs="Arial"/>
          <w:sz w:val="24"/>
        </w:rPr>
      </w:pPr>
      <w:r>
        <w:rPr>
          <w:rFonts w:ascii="Arial" w:hAnsi="Arial" w:cs="Arial"/>
          <w:sz w:val="24"/>
        </w:rPr>
        <w:t xml:space="preserve">On 22 Jun 2009, the Coast Guard published an NPRM entitled “Notice of Arrival on the Outer Continental Shelf” </w:t>
      </w:r>
      <w:r w:rsidR="00CA2702">
        <w:rPr>
          <w:rFonts w:ascii="Arial" w:hAnsi="Arial" w:cs="Arial"/>
          <w:sz w:val="24"/>
        </w:rPr>
        <w:t xml:space="preserve">(NOA-OCS) </w:t>
      </w:r>
      <w:r>
        <w:rPr>
          <w:rFonts w:ascii="Arial" w:hAnsi="Arial" w:cs="Arial"/>
          <w:sz w:val="24"/>
        </w:rPr>
        <w:t>[</w:t>
      </w:r>
      <w:r w:rsidR="00CB4033">
        <w:rPr>
          <w:rFonts w:ascii="Arial" w:hAnsi="Arial" w:cs="Arial"/>
          <w:sz w:val="24"/>
        </w:rPr>
        <w:t xml:space="preserve">RIN 1625-AB 28; </w:t>
      </w:r>
      <w:r>
        <w:rPr>
          <w:rFonts w:ascii="Arial" w:hAnsi="Arial" w:cs="Arial"/>
          <w:sz w:val="24"/>
        </w:rPr>
        <w:t>74 FR 29439; USCG-2008-1088].  The Coast Guard proposes to—</w:t>
      </w:r>
    </w:p>
    <w:p w:rsidR="004D61C8" w:rsidRPr="001E408C" w:rsidRDefault="004D61C8" w:rsidP="004D61C8">
      <w:pPr>
        <w:numPr>
          <w:ilvl w:val="0"/>
          <w:numId w:val="48"/>
        </w:numPr>
        <w:rPr>
          <w:rFonts w:ascii="Arial" w:hAnsi="Arial" w:cs="Arial"/>
          <w:sz w:val="24"/>
        </w:rPr>
      </w:pPr>
      <w:r>
        <w:rPr>
          <w:rFonts w:ascii="Arial" w:hAnsi="Arial" w:cs="Arial"/>
          <w:sz w:val="24"/>
        </w:rPr>
        <w:t>Expand the NOA requirement to vessels that engage in Outer Continental Shelf (OCS) activities.</w:t>
      </w:r>
    </w:p>
    <w:p w:rsidR="008908B9" w:rsidRDefault="004D61C8">
      <w:pPr>
        <w:rPr>
          <w:rFonts w:ascii="Arial" w:hAnsi="Arial" w:cs="Arial"/>
          <w:sz w:val="24"/>
        </w:rPr>
      </w:pPr>
      <w:r w:rsidRPr="00C52958">
        <w:rPr>
          <w:rFonts w:ascii="Arial" w:hAnsi="Arial" w:cs="Arial"/>
          <w:sz w:val="24"/>
        </w:rPr>
        <w:t xml:space="preserve">This change is necessary to heighten our overall maritime domain awareness.  </w:t>
      </w:r>
      <w:r>
        <w:rPr>
          <w:rFonts w:ascii="Arial" w:hAnsi="Arial" w:cs="Arial"/>
          <w:sz w:val="24"/>
        </w:rPr>
        <w:t>The NPRM had a 9</w:t>
      </w:r>
      <w:r w:rsidRPr="00C52958">
        <w:rPr>
          <w:rFonts w:ascii="Arial" w:hAnsi="Arial" w:cs="Arial"/>
          <w:sz w:val="24"/>
        </w:rPr>
        <w:t xml:space="preserve">0-day </w:t>
      </w:r>
      <w:r>
        <w:rPr>
          <w:rFonts w:ascii="Arial" w:hAnsi="Arial" w:cs="Arial"/>
          <w:sz w:val="24"/>
        </w:rPr>
        <w:t xml:space="preserve">comment </w:t>
      </w:r>
      <w:r w:rsidRPr="00C52958">
        <w:rPr>
          <w:rFonts w:ascii="Arial" w:hAnsi="Arial" w:cs="Arial"/>
          <w:sz w:val="24"/>
        </w:rPr>
        <w:t>period</w:t>
      </w:r>
      <w:r>
        <w:rPr>
          <w:rFonts w:ascii="Arial" w:hAnsi="Arial" w:cs="Arial"/>
          <w:sz w:val="24"/>
        </w:rPr>
        <w:t xml:space="preserve"> that closed on 21 Sep 2009</w:t>
      </w:r>
      <w:r w:rsidRPr="00C52958">
        <w:rPr>
          <w:rFonts w:ascii="Arial" w:hAnsi="Arial" w:cs="Arial"/>
          <w:sz w:val="24"/>
        </w:rPr>
        <w:t xml:space="preserve">.  </w:t>
      </w:r>
    </w:p>
    <w:p w:rsidR="00C817E3" w:rsidRDefault="00C817E3" w:rsidP="00C817E3">
      <w:pPr>
        <w:rPr>
          <w:rFonts w:ascii="Arial" w:hAnsi="Arial" w:cs="Arial"/>
          <w:sz w:val="24"/>
        </w:rPr>
      </w:pPr>
    </w:p>
    <w:p w:rsidR="00C817E3" w:rsidRDefault="00C817E3" w:rsidP="00C817E3">
      <w:pPr>
        <w:rPr>
          <w:rFonts w:ascii="Arial" w:hAnsi="Arial" w:cs="Arial"/>
          <w:sz w:val="24"/>
        </w:rPr>
      </w:pPr>
      <w:r>
        <w:rPr>
          <w:rFonts w:ascii="Arial" w:hAnsi="Arial" w:cs="Arial"/>
          <w:sz w:val="24"/>
        </w:rPr>
        <w:t>On 31 Aug 2009, the Coast Guard published an NPRM entitled “Nontank Vessel Response Plans and Other Vessel Response Plan Requirements” [</w:t>
      </w:r>
      <w:r w:rsidR="00CB4033">
        <w:rPr>
          <w:rFonts w:ascii="Arial" w:hAnsi="Arial" w:cs="Arial"/>
          <w:sz w:val="24"/>
        </w:rPr>
        <w:t xml:space="preserve">RIN 1625-AB27; </w:t>
      </w:r>
      <w:r>
        <w:rPr>
          <w:rFonts w:ascii="Arial" w:hAnsi="Arial" w:cs="Arial"/>
          <w:sz w:val="24"/>
        </w:rPr>
        <w:t>74 FR 44970; USCG-2008-1070].  The Coast Guard proposes to—</w:t>
      </w:r>
    </w:p>
    <w:p w:rsidR="00C817E3" w:rsidRPr="001E408C" w:rsidRDefault="00C817E3" w:rsidP="00C817E3">
      <w:pPr>
        <w:numPr>
          <w:ilvl w:val="0"/>
          <w:numId w:val="48"/>
        </w:numPr>
        <w:rPr>
          <w:rFonts w:ascii="Arial" w:hAnsi="Arial" w:cs="Arial"/>
          <w:sz w:val="24"/>
        </w:rPr>
      </w:pPr>
      <w:r>
        <w:rPr>
          <w:rFonts w:ascii="Arial" w:hAnsi="Arial" w:cs="Arial"/>
          <w:sz w:val="24"/>
        </w:rPr>
        <w:t>Expand the NOA requirement to include reporting of the Vessel Response Plan (VRP) control number.</w:t>
      </w:r>
    </w:p>
    <w:p w:rsidR="00C817E3" w:rsidRDefault="00C817E3" w:rsidP="00C817E3">
      <w:pPr>
        <w:rPr>
          <w:rFonts w:ascii="Arial" w:hAnsi="Arial" w:cs="Arial"/>
          <w:sz w:val="24"/>
        </w:rPr>
      </w:pPr>
      <w:r w:rsidRPr="00C52958">
        <w:rPr>
          <w:rFonts w:ascii="Arial" w:hAnsi="Arial" w:cs="Arial"/>
          <w:sz w:val="24"/>
        </w:rPr>
        <w:t xml:space="preserve">This change is necessary to enable </w:t>
      </w:r>
      <w:r>
        <w:rPr>
          <w:rFonts w:ascii="Arial" w:hAnsi="Arial" w:cs="Arial"/>
          <w:sz w:val="24"/>
        </w:rPr>
        <w:t xml:space="preserve">the Coast Guard to determine if the vessel has a VRP geographic specific appendix for each COTP zone the vessel intends to transit, thus </w:t>
      </w:r>
      <w:r w:rsidRPr="00C52958">
        <w:rPr>
          <w:rFonts w:ascii="Arial" w:hAnsi="Arial" w:cs="Arial"/>
          <w:sz w:val="24"/>
        </w:rPr>
        <w:t xml:space="preserve">heighten our overall </w:t>
      </w:r>
      <w:r>
        <w:rPr>
          <w:rFonts w:ascii="Arial" w:hAnsi="Arial" w:cs="Arial"/>
          <w:sz w:val="24"/>
        </w:rPr>
        <w:t>pollution preparedness</w:t>
      </w:r>
      <w:r w:rsidRPr="00C52958">
        <w:rPr>
          <w:rFonts w:ascii="Arial" w:hAnsi="Arial" w:cs="Arial"/>
          <w:sz w:val="24"/>
        </w:rPr>
        <w:t xml:space="preserve">.  </w:t>
      </w:r>
      <w:r>
        <w:rPr>
          <w:rFonts w:ascii="Arial" w:hAnsi="Arial" w:cs="Arial"/>
          <w:sz w:val="24"/>
        </w:rPr>
        <w:t>The NPRM has a 9</w:t>
      </w:r>
      <w:r w:rsidRPr="00C52958">
        <w:rPr>
          <w:rFonts w:ascii="Arial" w:hAnsi="Arial" w:cs="Arial"/>
          <w:sz w:val="24"/>
        </w:rPr>
        <w:t xml:space="preserve">0-day </w:t>
      </w:r>
      <w:r>
        <w:rPr>
          <w:rFonts w:ascii="Arial" w:hAnsi="Arial" w:cs="Arial"/>
          <w:sz w:val="24"/>
        </w:rPr>
        <w:t xml:space="preserve">comment </w:t>
      </w:r>
      <w:r w:rsidRPr="00C52958">
        <w:rPr>
          <w:rFonts w:ascii="Arial" w:hAnsi="Arial" w:cs="Arial"/>
          <w:sz w:val="24"/>
        </w:rPr>
        <w:t>period</w:t>
      </w:r>
      <w:r>
        <w:rPr>
          <w:rFonts w:ascii="Arial" w:hAnsi="Arial" w:cs="Arial"/>
          <w:sz w:val="24"/>
        </w:rPr>
        <w:t xml:space="preserve"> that closes 30 Nov 2009</w:t>
      </w:r>
      <w:r w:rsidRPr="00C52958">
        <w:rPr>
          <w:rFonts w:ascii="Arial" w:hAnsi="Arial" w:cs="Arial"/>
          <w:sz w:val="24"/>
        </w:rPr>
        <w:t xml:space="preserve">.  </w:t>
      </w:r>
    </w:p>
    <w:p w:rsidR="00CA2702" w:rsidRDefault="00CA2702" w:rsidP="00C817E3">
      <w:pPr>
        <w:rPr>
          <w:rFonts w:ascii="Arial" w:hAnsi="Arial" w:cs="Arial"/>
          <w:sz w:val="24"/>
        </w:rPr>
      </w:pPr>
    </w:p>
    <w:p w:rsidR="00CA2702" w:rsidRDefault="001A3FC0" w:rsidP="00C817E3">
      <w:pPr>
        <w:rPr>
          <w:rFonts w:ascii="Arial" w:hAnsi="Arial" w:cs="Arial"/>
          <w:sz w:val="24"/>
        </w:rPr>
      </w:pPr>
      <w:r>
        <w:rPr>
          <w:rFonts w:ascii="Arial" w:hAnsi="Arial" w:cs="Arial"/>
          <w:sz w:val="24"/>
        </w:rPr>
        <w:t>On 23 Dec 2009, the Coast Guard published an NPRM enti</w:t>
      </w:r>
      <w:r w:rsidR="00CA2702">
        <w:rPr>
          <w:rFonts w:ascii="Arial" w:hAnsi="Arial" w:cs="Arial"/>
          <w:sz w:val="24"/>
        </w:rPr>
        <w:t>tled “Notification of Arrival in U.S. Ports; Certain Dangerous Cargoes” (NOA-CDC) [</w:t>
      </w:r>
      <w:r>
        <w:rPr>
          <w:rFonts w:ascii="Arial" w:hAnsi="Arial" w:cs="Arial"/>
          <w:sz w:val="24"/>
        </w:rPr>
        <w:t>RIN 1</w:t>
      </w:r>
      <w:r w:rsidR="00D437D2">
        <w:rPr>
          <w:rFonts w:ascii="Arial" w:hAnsi="Arial" w:cs="Arial"/>
          <w:sz w:val="24"/>
        </w:rPr>
        <w:t>6</w:t>
      </w:r>
      <w:r>
        <w:rPr>
          <w:rFonts w:ascii="Arial" w:hAnsi="Arial" w:cs="Arial"/>
          <w:sz w:val="24"/>
        </w:rPr>
        <w:t xml:space="preserve">25-AA93; 74 FR 68208; </w:t>
      </w:r>
      <w:r w:rsidR="00CA2702">
        <w:rPr>
          <w:rFonts w:ascii="Arial" w:hAnsi="Arial" w:cs="Arial"/>
          <w:sz w:val="24"/>
        </w:rPr>
        <w:t>USCG-2004-19963].  The Coast Guard proposes to—</w:t>
      </w:r>
    </w:p>
    <w:p w:rsidR="00CA2702" w:rsidRDefault="00C47071" w:rsidP="00CA2702">
      <w:pPr>
        <w:numPr>
          <w:ilvl w:val="0"/>
          <w:numId w:val="48"/>
        </w:numPr>
        <w:rPr>
          <w:rFonts w:ascii="Arial" w:hAnsi="Arial" w:cs="Arial"/>
          <w:sz w:val="24"/>
        </w:rPr>
      </w:pPr>
      <w:r>
        <w:rPr>
          <w:rFonts w:ascii="Arial" w:hAnsi="Arial" w:cs="Arial"/>
          <w:sz w:val="24"/>
        </w:rPr>
        <w:t>Reduce the number of NOA submitted due to a c</w:t>
      </w:r>
      <w:r w:rsidR="00CA2702">
        <w:rPr>
          <w:rFonts w:ascii="Arial" w:hAnsi="Arial" w:cs="Arial"/>
          <w:sz w:val="24"/>
        </w:rPr>
        <w:t>hange the definition for Certain Dangerous Cargoes (CDC) residue.</w:t>
      </w:r>
    </w:p>
    <w:p w:rsidR="00CA2702" w:rsidRDefault="00CA2702" w:rsidP="00C817E3">
      <w:pPr>
        <w:rPr>
          <w:rFonts w:ascii="Arial" w:hAnsi="Arial" w:cs="Arial"/>
          <w:sz w:val="24"/>
        </w:rPr>
      </w:pPr>
      <w:r>
        <w:rPr>
          <w:rFonts w:ascii="Arial" w:hAnsi="Arial" w:cs="Arial"/>
          <w:sz w:val="24"/>
        </w:rPr>
        <w:t xml:space="preserve">The change is necessary to reduce the burden on shippers of certain CDC cargoes.  The NPRM will have a 60-day comment period.  </w:t>
      </w:r>
    </w:p>
    <w:p w:rsidR="004D61C8" w:rsidRPr="008908B9" w:rsidRDefault="004D61C8">
      <w:pPr>
        <w:rPr>
          <w:rFonts w:ascii="Arial" w:hAnsi="Arial"/>
          <w:sz w:val="24"/>
        </w:rPr>
      </w:pPr>
    </w:p>
    <w:p w:rsidR="00731F14" w:rsidRDefault="00731F14">
      <w:pPr>
        <w:rPr>
          <w:rFonts w:ascii="Arial" w:hAnsi="Arial"/>
          <w:b/>
          <w:sz w:val="24"/>
          <w:u w:val="single"/>
        </w:rPr>
      </w:pPr>
      <w:r>
        <w:rPr>
          <w:rFonts w:ascii="Arial" w:hAnsi="Arial"/>
          <w:b/>
          <w:sz w:val="24"/>
        </w:rPr>
        <w:t xml:space="preserve">9.  </w:t>
      </w:r>
      <w:r>
        <w:rPr>
          <w:rFonts w:ascii="Arial" w:hAnsi="Arial"/>
          <w:b/>
          <w:sz w:val="24"/>
          <w:u w:val="single"/>
        </w:rPr>
        <w:t>Provide any payment or gift to respondents</w:t>
      </w:r>
      <w:r>
        <w:rPr>
          <w:rFonts w:ascii="Arial" w:hAnsi="Arial"/>
          <w:b/>
          <w:sz w:val="24"/>
        </w:rPr>
        <w:t>.</w:t>
      </w:r>
    </w:p>
    <w:p w:rsidR="00731F14" w:rsidRDefault="00731F14">
      <w:pPr>
        <w:rPr>
          <w:rFonts w:ascii="Arial" w:hAnsi="Arial"/>
          <w:sz w:val="24"/>
        </w:rPr>
      </w:pPr>
    </w:p>
    <w:p w:rsidR="00731F14" w:rsidRPr="004E6B27" w:rsidRDefault="004E6B27">
      <w:pPr>
        <w:rPr>
          <w:rFonts w:ascii="Arial" w:hAnsi="Arial" w:cs="Arial"/>
          <w:sz w:val="24"/>
          <w:szCs w:val="24"/>
        </w:rPr>
      </w:pPr>
      <w:r w:rsidRPr="004E6B27">
        <w:rPr>
          <w:rFonts w:ascii="Arial" w:hAnsi="Arial" w:cs="Arial"/>
          <w:sz w:val="24"/>
          <w:szCs w:val="24"/>
        </w:rPr>
        <w:t>There is no offer of monetary or material value for this information collection</w:t>
      </w:r>
      <w:r w:rsidR="00731F14" w:rsidRPr="004E6B27">
        <w:rPr>
          <w:rFonts w:ascii="Arial" w:hAnsi="Arial" w:cs="Arial"/>
          <w:sz w:val="24"/>
          <w:szCs w:val="24"/>
        </w:rPr>
        <w:t>.</w:t>
      </w:r>
    </w:p>
    <w:p w:rsidR="00731F14" w:rsidRDefault="00731F14">
      <w:pPr>
        <w:rPr>
          <w:rFonts w:ascii="Arial" w:hAnsi="Arial"/>
          <w:sz w:val="24"/>
        </w:rPr>
      </w:pPr>
    </w:p>
    <w:p w:rsidR="00731F14" w:rsidRDefault="00731F14">
      <w:pPr>
        <w:rPr>
          <w:rFonts w:ascii="Arial" w:hAnsi="Arial"/>
          <w:b/>
          <w:sz w:val="24"/>
          <w:u w:val="single"/>
        </w:rPr>
      </w:pPr>
      <w:r>
        <w:rPr>
          <w:rFonts w:ascii="Arial" w:hAnsi="Arial"/>
          <w:b/>
          <w:sz w:val="24"/>
        </w:rPr>
        <w:t xml:space="preserve">10.  </w:t>
      </w:r>
      <w:r>
        <w:rPr>
          <w:rFonts w:ascii="Arial" w:hAnsi="Arial"/>
          <w:b/>
          <w:sz w:val="24"/>
          <w:u w:val="single"/>
        </w:rPr>
        <w:t>Assurances of confidentiality provided to respondents</w:t>
      </w:r>
      <w:r>
        <w:rPr>
          <w:rFonts w:ascii="Arial" w:hAnsi="Arial"/>
          <w:b/>
          <w:sz w:val="24"/>
        </w:rPr>
        <w:t>.</w:t>
      </w:r>
    </w:p>
    <w:p w:rsidR="00731F14" w:rsidRPr="004E6B27" w:rsidRDefault="00731F14">
      <w:pPr>
        <w:rPr>
          <w:rFonts w:ascii="Arial" w:hAnsi="Arial" w:cs="Arial"/>
          <w:sz w:val="24"/>
          <w:szCs w:val="24"/>
        </w:rPr>
      </w:pPr>
    </w:p>
    <w:p w:rsidR="00731F14" w:rsidRPr="004E6B27" w:rsidRDefault="004E6B27">
      <w:pPr>
        <w:rPr>
          <w:rFonts w:ascii="Arial" w:hAnsi="Arial" w:cs="Arial"/>
          <w:sz w:val="24"/>
          <w:szCs w:val="24"/>
        </w:rPr>
      </w:pPr>
      <w:r w:rsidRPr="004E6B27">
        <w:rPr>
          <w:rFonts w:ascii="Arial" w:hAnsi="Arial" w:cs="Arial"/>
          <w:sz w:val="24"/>
          <w:szCs w:val="24"/>
        </w:rPr>
        <w:t>There are no assurances of confidentiality provided to the respondents for this information collection</w:t>
      </w:r>
      <w:r w:rsidR="00C46C8B" w:rsidRPr="004E6B27">
        <w:rPr>
          <w:rFonts w:ascii="Arial" w:hAnsi="Arial" w:cs="Arial"/>
          <w:sz w:val="24"/>
          <w:szCs w:val="24"/>
        </w:rPr>
        <w:t>.</w:t>
      </w:r>
      <w:r w:rsidR="00731F14" w:rsidRPr="004E6B27">
        <w:rPr>
          <w:rFonts w:ascii="Arial" w:hAnsi="Arial" w:cs="Arial"/>
          <w:sz w:val="24"/>
          <w:szCs w:val="24"/>
        </w:rPr>
        <w:t xml:space="preserve"> </w:t>
      </w:r>
    </w:p>
    <w:p w:rsidR="00731F14" w:rsidRPr="004E6B27" w:rsidRDefault="00731F14">
      <w:pPr>
        <w:rPr>
          <w:rFonts w:ascii="Arial" w:hAnsi="Arial" w:cs="Arial"/>
          <w:sz w:val="24"/>
          <w:szCs w:val="24"/>
        </w:rPr>
      </w:pPr>
    </w:p>
    <w:p w:rsidR="00731F14" w:rsidRDefault="00731F14">
      <w:pPr>
        <w:rPr>
          <w:rFonts w:ascii="Arial" w:hAnsi="Arial"/>
          <w:b/>
          <w:sz w:val="24"/>
          <w:u w:val="single"/>
        </w:rPr>
      </w:pPr>
      <w:r>
        <w:rPr>
          <w:rFonts w:ascii="Arial" w:hAnsi="Arial"/>
          <w:b/>
          <w:sz w:val="24"/>
        </w:rPr>
        <w:t xml:space="preserve">11.  </w:t>
      </w:r>
      <w:r>
        <w:rPr>
          <w:rFonts w:ascii="Arial" w:hAnsi="Arial"/>
          <w:b/>
          <w:sz w:val="24"/>
          <w:u w:val="single"/>
        </w:rPr>
        <w:t>Additional justification for any questions of a sensitive nature</w:t>
      </w:r>
      <w:r>
        <w:rPr>
          <w:rFonts w:ascii="Arial" w:hAnsi="Arial"/>
          <w:b/>
          <w:sz w:val="24"/>
        </w:rPr>
        <w:t>.</w:t>
      </w:r>
    </w:p>
    <w:p w:rsidR="00731F14" w:rsidRDefault="00731F14">
      <w:pPr>
        <w:pStyle w:val="TxBrp4"/>
        <w:widowControl/>
        <w:tabs>
          <w:tab w:val="clear" w:pos="583"/>
        </w:tabs>
        <w:spacing w:line="240" w:lineRule="auto"/>
        <w:rPr>
          <w:rFonts w:ascii="Arial" w:hAnsi="Arial"/>
          <w:snapToGrid/>
        </w:rPr>
      </w:pPr>
    </w:p>
    <w:p w:rsidR="00731F14" w:rsidRPr="00C46C8B" w:rsidRDefault="004E6B27">
      <w:pPr>
        <w:pStyle w:val="BodyText"/>
      </w:pPr>
      <w:r>
        <w:t>There are no questions of sensitive nature</w:t>
      </w:r>
      <w:r w:rsidR="00C46C8B" w:rsidRPr="00C46C8B">
        <w:t>.</w:t>
      </w:r>
    </w:p>
    <w:p w:rsidR="00731F14" w:rsidRDefault="00731F14">
      <w:pPr>
        <w:rPr>
          <w:rFonts w:ascii="Arial" w:hAnsi="Arial"/>
          <w:sz w:val="24"/>
        </w:rPr>
      </w:pPr>
    </w:p>
    <w:p w:rsidR="00731F14" w:rsidRDefault="00731F14">
      <w:pPr>
        <w:rPr>
          <w:rFonts w:ascii="Arial" w:hAnsi="Arial"/>
          <w:b/>
          <w:sz w:val="24"/>
          <w:u w:val="single"/>
        </w:rPr>
      </w:pPr>
      <w:r>
        <w:rPr>
          <w:rFonts w:ascii="Arial" w:hAnsi="Arial"/>
          <w:b/>
          <w:sz w:val="24"/>
        </w:rPr>
        <w:lastRenderedPageBreak/>
        <w:t xml:space="preserve">12.  </w:t>
      </w:r>
      <w:r>
        <w:rPr>
          <w:rFonts w:ascii="Arial" w:hAnsi="Arial"/>
          <w:b/>
          <w:sz w:val="24"/>
          <w:u w:val="single"/>
        </w:rPr>
        <w:t>Estimates of information collection burden</w:t>
      </w:r>
      <w:r>
        <w:rPr>
          <w:rFonts w:ascii="Arial" w:hAnsi="Arial"/>
          <w:b/>
          <w:sz w:val="24"/>
        </w:rPr>
        <w:t>.</w:t>
      </w:r>
    </w:p>
    <w:p w:rsidR="00731F14" w:rsidRDefault="00731F14">
      <w:pPr>
        <w:pStyle w:val="TxBrp4"/>
        <w:widowControl/>
        <w:tabs>
          <w:tab w:val="clear" w:pos="583"/>
        </w:tabs>
        <w:spacing w:line="240" w:lineRule="auto"/>
        <w:rPr>
          <w:rFonts w:ascii="Arial" w:hAnsi="Arial"/>
          <w:snapToGrid/>
        </w:rPr>
      </w:pPr>
    </w:p>
    <w:p w:rsidR="00731F14" w:rsidRPr="004A01A1" w:rsidRDefault="00731F14">
      <w:pPr>
        <w:pStyle w:val="TxBrp4"/>
        <w:widowControl/>
        <w:tabs>
          <w:tab w:val="clear" w:pos="583"/>
          <w:tab w:val="left" w:pos="5400"/>
        </w:tabs>
        <w:spacing w:line="240" w:lineRule="auto"/>
        <w:ind w:left="720"/>
        <w:rPr>
          <w:rFonts w:ascii="Arial" w:hAnsi="Arial"/>
          <w:b/>
          <w:snapToGrid/>
        </w:rPr>
      </w:pPr>
      <w:r w:rsidRPr="008908B9">
        <w:rPr>
          <w:rFonts w:ascii="Arial" w:hAnsi="Arial"/>
          <w:b/>
          <w:snapToGrid/>
        </w:rPr>
        <w:t>Total number of annual respondents:</w:t>
      </w:r>
      <w:r w:rsidRPr="008908B9">
        <w:rPr>
          <w:rFonts w:ascii="Arial" w:hAnsi="Arial"/>
          <w:b/>
          <w:snapToGrid/>
        </w:rPr>
        <w:tab/>
        <w:t xml:space="preserve"> </w:t>
      </w:r>
      <w:r w:rsidR="00DC2D86">
        <w:rPr>
          <w:rFonts w:ascii="Arial" w:hAnsi="Arial"/>
          <w:b/>
          <w:snapToGrid/>
        </w:rPr>
        <w:t xml:space="preserve"> </w:t>
      </w:r>
      <w:r w:rsidR="00C16A29" w:rsidRPr="004A01A1">
        <w:rPr>
          <w:rFonts w:ascii="Arial" w:hAnsi="Arial"/>
          <w:b/>
          <w:snapToGrid/>
        </w:rPr>
        <w:t>3</w:t>
      </w:r>
      <w:r w:rsidR="00271220">
        <w:rPr>
          <w:rFonts w:ascii="Arial" w:hAnsi="Arial"/>
          <w:b/>
          <w:snapToGrid/>
        </w:rPr>
        <w:t>1</w:t>
      </w:r>
      <w:r w:rsidR="00C16A29" w:rsidRPr="004A01A1">
        <w:rPr>
          <w:rFonts w:ascii="Arial" w:hAnsi="Arial"/>
          <w:b/>
          <w:snapToGrid/>
        </w:rPr>
        <w:t>,</w:t>
      </w:r>
      <w:r w:rsidR="00271220">
        <w:rPr>
          <w:rFonts w:ascii="Arial" w:hAnsi="Arial"/>
          <w:b/>
          <w:snapToGrid/>
        </w:rPr>
        <w:t>594</w:t>
      </w:r>
      <w:r w:rsidR="00856560">
        <w:rPr>
          <w:rFonts w:ascii="Arial" w:hAnsi="Arial"/>
          <w:b/>
        </w:rPr>
        <w:t>*</w:t>
      </w:r>
    </w:p>
    <w:p w:rsidR="00731F14" w:rsidRPr="004A01A1" w:rsidRDefault="00731F14">
      <w:pPr>
        <w:tabs>
          <w:tab w:val="left" w:pos="6570"/>
        </w:tabs>
        <w:ind w:left="5400" w:hanging="4680"/>
        <w:rPr>
          <w:rFonts w:ascii="Arial" w:hAnsi="Arial"/>
          <w:b/>
          <w:sz w:val="24"/>
        </w:rPr>
      </w:pPr>
      <w:r w:rsidRPr="004A01A1">
        <w:rPr>
          <w:rFonts w:ascii="Arial" w:hAnsi="Arial"/>
          <w:b/>
          <w:sz w:val="24"/>
        </w:rPr>
        <w:t>Total number of annual responses:</w:t>
      </w:r>
      <w:r w:rsidRPr="004A01A1">
        <w:rPr>
          <w:rFonts w:ascii="Arial" w:hAnsi="Arial"/>
          <w:b/>
          <w:sz w:val="24"/>
        </w:rPr>
        <w:tab/>
      </w:r>
      <w:r w:rsidR="00856560">
        <w:rPr>
          <w:rFonts w:ascii="Arial" w:hAnsi="Arial"/>
          <w:b/>
          <w:sz w:val="24"/>
        </w:rPr>
        <w:t>171,016  (</w:t>
      </w:r>
      <w:r w:rsidR="00271220">
        <w:rPr>
          <w:rFonts w:ascii="Arial" w:hAnsi="Arial"/>
          <w:b/>
          <w:sz w:val="24"/>
        </w:rPr>
        <w:t>170,866</w:t>
      </w:r>
      <w:r w:rsidR="00856560">
        <w:rPr>
          <w:rFonts w:ascii="Arial" w:hAnsi="Arial"/>
          <w:b/>
          <w:sz w:val="24"/>
        </w:rPr>
        <w:t xml:space="preserve"> + 150)</w:t>
      </w:r>
    </w:p>
    <w:p w:rsidR="00D71CF8" w:rsidRPr="004A01A1" w:rsidRDefault="00731F14" w:rsidP="00D71CF8">
      <w:pPr>
        <w:pStyle w:val="Heading3"/>
        <w:tabs>
          <w:tab w:val="left" w:pos="5400"/>
        </w:tabs>
        <w:ind w:left="5400" w:hanging="4680"/>
      </w:pPr>
      <w:r w:rsidRPr="004A01A1">
        <w:t xml:space="preserve">Total annual </w:t>
      </w:r>
      <w:r w:rsidR="00805347" w:rsidRPr="004A01A1">
        <w:t xml:space="preserve">hour </w:t>
      </w:r>
      <w:r w:rsidRPr="004A01A1">
        <w:t>burden:</w:t>
      </w:r>
      <w:r w:rsidRPr="004A01A1">
        <w:tab/>
      </w:r>
      <w:r w:rsidR="00856560">
        <w:t>164,144  (</w:t>
      </w:r>
      <w:r w:rsidR="00C16A29" w:rsidRPr="004A01A1">
        <w:t>1</w:t>
      </w:r>
      <w:r w:rsidR="00271220">
        <w:t>63</w:t>
      </w:r>
      <w:r w:rsidR="00C47071" w:rsidRPr="004A01A1">
        <w:t>,</w:t>
      </w:r>
      <w:r w:rsidR="00271220">
        <w:t>994</w:t>
      </w:r>
      <w:r w:rsidR="00856560">
        <w:t xml:space="preserve"> + 150)</w:t>
      </w:r>
    </w:p>
    <w:p w:rsidR="00D71CF8" w:rsidRPr="00D71CF8" w:rsidRDefault="00D71CF8" w:rsidP="00D71CF8">
      <w:pPr>
        <w:pStyle w:val="Heading3"/>
        <w:tabs>
          <w:tab w:val="left" w:pos="5400"/>
        </w:tabs>
        <w:ind w:left="5400" w:hanging="4680"/>
      </w:pPr>
      <w:r w:rsidRPr="004A01A1">
        <w:t xml:space="preserve">Total annual </w:t>
      </w:r>
      <w:r w:rsidR="00805347" w:rsidRPr="004A01A1">
        <w:t xml:space="preserve">cost </w:t>
      </w:r>
      <w:r w:rsidRPr="004A01A1">
        <w:t>burden</w:t>
      </w:r>
      <w:r w:rsidR="00805347" w:rsidRPr="004A01A1">
        <w:t xml:space="preserve">:                </w:t>
      </w:r>
      <w:r w:rsidR="0079393F">
        <w:t xml:space="preserve">   </w:t>
      </w:r>
      <w:r w:rsidR="00805347" w:rsidRPr="004A01A1">
        <w:t xml:space="preserve">  </w:t>
      </w:r>
      <w:r w:rsidR="00856560">
        <w:t>$5,094,164  (</w:t>
      </w:r>
      <w:r w:rsidR="00856560" w:rsidRPr="00856560">
        <w:t>$5,083,814</w:t>
      </w:r>
      <w:r w:rsidR="00856560">
        <w:t xml:space="preserve"> + </w:t>
      </w:r>
      <w:r w:rsidR="00856560" w:rsidRPr="00856560">
        <w:t>$10,350</w:t>
      </w:r>
      <w:r w:rsidR="00856560">
        <w:t>)</w:t>
      </w:r>
    </w:p>
    <w:p w:rsidR="00731F14" w:rsidRPr="00271220" w:rsidRDefault="00271220">
      <w:pPr>
        <w:pStyle w:val="TxBrp4"/>
        <w:widowControl/>
        <w:tabs>
          <w:tab w:val="clear" w:pos="583"/>
        </w:tabs>
        <w:spacing w:line="240" w:lineRule="auto"/>
        <w:rPr>
          <w:rFonts w:ascii="Arial" w:hAnsi="Arial"/>
          <w:snapToGrid/>
          <w:sz w:val="18"/>
          <w:szCs w:val="18"/>
        </w:rPr>
      </w:pPr>
      <w:r>
        <w:rPr>
          <w:rFonts w:ascii="Arial" w:hAnsi="Arial"/>
          <w:snapToGrid/>
        </w:rPr>
        <w:tab/>
        <w:t>*</w:t>
      </w:r>
      <w:r>
        <w:rPr>
          <w:rFonts w:ascii="Arial" w:hAnsi="Arial"/>
          <w:snapToGrid/>
          <w:sz w:val="18"/>
          <w:szCs w:val="18"/>
        </w:rPr>
        <w:t>Figures include 150 waivers annually.</w:t>
      </w:r>
    </w:p>
    <w:p w:rsidR="00271220" w:rsidRDefault="00271220">
      <w:pPr>
        <w:pStyle w:val="TxBrp4"/>
        <w:widowControl/>
        <w:tabs>
          <w:tab w:val="clear" w:pos="583"/>
        </w:tabs>
        <w:spacing w:line="240" w:lineRule="auto"/>
        <w:rPr>
          <w:rFonts w:ascii="Arial" w:hAnsi="Arial"/>
          <w:snapToGrid/>
        </w:rPr>
      </w:pPr>
    </w:p>
    <w:p w:rsidR="00731F14" w:rsidRDefault="00731F14">
      <w:pPr>
        <w:pStyle w:val="TxBrp4"/>
        <w:widowControl/>
        <w:tabs>
          <w:tab w:val="clear" w:pos="583"/>
        </w:tabs>
        <w:spacing w:line="240" w:lineRule="auto"/>
        <w:rPr>
          <w:rFonts w:ascii="Arial" w:hAnsi="Arial"/>
          <w:snapToGrid/>
          <w:u w:val="single"/>
        </w:rPr>
      </w:pPr>
      <w:r>
        <w:rPr>
          <w:rFonts w:ascii="Arial" w:hAnsi="Arial"/>
          <w:snapToGrid/>
        </w:rPr>
        <w:t xml:space="preserve">a. </w:t>
      </w:r>
      <w:r>
        <w:rPr>
          <w:rFonts w:ascii="Arial" w:hAnsi="Arial"/>
          <w:snapToGrid/>
          <w:u w:val="single"/>
        </w:rPr>
        <w:t>Notice of Arrival</w:t>
      </w:r>
      <w:r w:rsidR="00821B48">
        <w:rPr>
          <w:rFonts w:ascii="Arial" w:hAnsi="Arial"/>
          <w:snapToGrid/>
          <w:u w:val="single"/>
        </w:rPr>
        <w:t xml:space="preserve"> and Departure</w:t>
      </w:r>
      <w:r>
        <w:rPr>
          <w:rFonts w:ascii="Arial" w:hAnsi="Arial"/>
          <w:snapToGrid/>
          <w:u w:val="single"/>
        </w:rPr>
        <w:t xml:space="preserve"> </w:t>
      </w:r>
    </w:p>
    <w:p w:rsidR="00731F14" w:rsidRDefault="00731F14">
      <w:pPr>
        <w:pStyle w:val="TxBrp4"/>
        <w:widowControl/>
        <w:tabs>
          <w:tab w:val="clear" w:pos="583"/>
        </w:tabs>
        <w:spacing w:line="240" w:lineRule="auto"/>
        <w:rPr>
          <w:rFonts w:ascii="Arial" w:hAnsi="Arial"/>
          <w:snapToGrid/>
        </w:rPr>
      </w:pPr>
    </w:p>
    <w:p w:rsidR="00731F14" w:rsidRDefault="00731F14">
      <w:pPr>
        <w:pStyle w:val="TxBrp4"/>
        <w:widowControl/>
        <w:tabs>
          <w:tab w:val="clear" w:pos="583"/>
        </w:tabs>
        <w:spacing w:line="240" w:lineRule="auto"/>
        <w:rPr>
          <w:rFonts w:ascii="Arial" w:hAnsi="Arial"/>
          <w:snapToGrid/>
        </w:rPr>
      </w:pPr>
      <w:r>
        <w:rPr>
          <w:rFonts w:ascii="Arial" w:hAnsi="Arial"/>
          <w:snapToGrid/>
        </w:rPr>
        <w:t>According to M</w:t>
      </w:r>
      <w:r w:rsidR="00DC2D86">
        <w:rPr>
          <w:rFonts w:ascii="Arial" w:hAnsi="Arial"/>
          <w:snapToGrid/>
        </w:rPr>
        <w:t>ISLE</w:t>
      </w:r>
      <w:r w:rsidR="00200FAF">
        <w:rPr>
          <w:rFonts w:ascii="Arial" w:hAnsi="Arial"/>
          <w:snapToGrid/>
        </w:rPr>
        <w:t>/SANS</w:t>
      </w:r>
      <w:r>
        <w:rPr>
          <w:rFonts w:ascii="Arial" w:hAnsi="Arial"/>
          <w:snapToGrid/>
        </w:rPr>
        <w:t xml:space="preserve"> </w:t>
      </w:r>
      <w:r w:rsidR="00200FAF">
        <w:rPr>
          <w:rFonts w:ascii="Arial" w:hAnsi="Arial"/>
          <w:snapToGrid/>
        </w:rPr>
        <w:t>data</w:t>
      </w:r>
      <w:r w:rsidR="00200FAF">
        <w:rPr>
          <w:rStyle w:val="FootnoteReference"/>
          <w:rFonts w:ascii="Arial" w:hAnsi="Arial"/>
          <w:snapToGrid/>
        </w:rPr>
        <w:footnoteReference w:id="5"/>
      </w:r>
      <w:r>
        <w:rPr>
          <w:rFonts w:ascii="Arial" w:hAnsi="Arial"/>
          <w:snapToGrid/>
        </w:rPr>
        <w:t xml:space="preserve"> </w:t>
      </w:r>
      <w:r w:rsidR="00D22744">
        <w:rPr>
          <w:rFonts w:ascii="Arial" w:hAnsi="Arial"/>
          <w:snapToGrid/>
        </w:rPr>
        <w:t xml:space="preserve">and information received from representatives Captains of the Port (COTPs), </w:t>
      </w:r>
      <w:r>
        <w:rPr>
          <w:rFonts w:ascii="Arial" w:hAnsi="Arial"/>
          <w:snapToGrid/>
        </w:rPr>
        <w:t xml:space="preserve">approximately </w:t>
      </w:r>
      <w:r w:rsidR="00D22744">
        <w:rPr>
          <w:rFonts w:ascii="Arial" w:hAnsi="Arial"/>
          <w:snapToGrid/>
        </w:rPr>
        <w:t>3</w:t>
      </w:r>
      <w:r w:rsidR="00271220">
        <w:rPr>
          <w:rFonts w:ascii="Arial" w:hAnsi="Arial"/>
          <w:snapToGrid/>
        </w:rPr>
        <w:t>1</w:t>
      </w:r>
      <w:r w:rsidR="00D22744">
        <w:rPr>
          <w:rFonts w:ascii="Arial" w:hAnsi="Arial"/>
          <w:snapToGrid/>
        </w:rPr>
        <w:t>,</w:t>
      </w:r>
      <w:r w:rsidR="00271220">
        <w:rPr>
          <w:rFonts w:ascii="Arial" w:hAnsi="Arial"/>
          <w:snapToGrid/>
        </w:rPr>
        <w:t>594</w:t>
      </w:r>
      <w:r>
        <w:rPr>
          <w:rFonts w:ascii="Arial" w:hAnsi="Arial"/>
          <w:snapToGrid/>
        </w:rPr>
        <w:t xml:space="preserve"> vessels, meeting the size and type limitations for advance notice </w:t>
      </w:r>
      <w:r w:rsidR="004D2D0D">
        <w:rPr>
          <w:rFonts w:ascii="Arial" w:hAnsi="Arial"/>
          <w:snapToGrid/>
        </w:rPr>
        <w:t xml:space="preserve">of </w:t>
      </w:r>
      <w:r>
        <w:rPr>
          <w:rFonts w:ascii="Arial" w:hAnsi="Arial"/>
          <w:snapToGrid/>
        </w:rPr>
        <w:t xml:space="preserve">arrival </w:t>
      </w:r>
      <w:r w:rsidR="00D22744">
        <w:rPr>
          <w:rFonts w:ascii="Arial" w:hAnsi="Arial"/>
          <w:snapToGrid/>
        </w:rPr>
        <w:t xml:space="preserve">and departure </w:t>
      </w:r>
      <w:r w:rsidR="004D2D0D">
        <w:rPr>
          <w:rFonts w:ascii="Arial" w:hAnsi="Arial"/>
          <w:snapToGrid/>
        </w:rPr>
        <w:t xml:space="preserve"> </w:t>
      </w:r>
      <w:r>
        <w:rPr>
          <w:rFonts w:ascii="Arial" w:hAnsi="Arial"/>
          <w:snapToGrid/>
        </w:rPr>
        <w:t xml:space="preserve">will enter </w:t>
      </w:r>
      <w:r w:rsidR="00D22744">
        <w:rPr>
          <w:rFonts w:ascii="Arial" w:hAnsi="Arial"/>
          <w:snapToGrid/>
        </w:rPr>
        <w:t xml:space="preserve">and depart </w:t>
      </w:r>
      <w:r>
        <w:rPr>
          <w:rFonts w:ascii="Arial" w:hAnsi="Arial"/>
          <w:snapToGrid/>
        </w:rPr>
        <w:t>U.S. ports each year</w:t>
      </w:r>
      <w:r w:rsidR="00200FAF">
        <w:rPr>
          <w:rFonts w:ascii="Arial" w:hAnsi="Arial"/>
          <w:snapToGrid/>
        </w:rPr>
        <w:t>, and t</w:t>
      </w:r>
      <w:r>
        <w:rPr>
          <w:rFonts w:ascii="Arial" w:hAnsi="Arial"/>
          <w:snapToGrid/>
        </w:rPr>
        <w:t xml:space="preserve">hese vessels </w:t>
      </w:r>
      <w:r w:rsidR="004D2D0D">
        <w:rPr>
          <w:rFonts w:ascii="Arial" w:hAnsi="Arial"/>
          <w:snapToGrid/>
        </w:rPr>
        <w:t xml:space="preserve">will </w:t>
      </w:r>
      <w:r>
        <w:rPr>
          <w:rFonts w:ascii="Arial" w:hAnsi="Arial"/>
          <w:snapToGrid/>
        </w:rPr>
        <w:t xml:space="preserve">provide </w:t>
      </w:r>
      <w:r w:rsidR="00271220">
        <w:rPr>
          <w:rFonts w:ascii="Arial" w:hAnsi="Arial"/>
          <w:snapToGrid/>
        </w:rPr>
        <w:t>170,866</w:t>
      </w:r>
      <w:r w:rsidR="00D22744">
        <w:rPr>
          <w:rFonts w:ascii="Arial" w:hAnsi="Arial"/>
          <w:snapToGrid/>
        </w:rPr>
        <w:t xml:space="preserve"> total estimated annual responses</w:t>
      </w:r>
      <w:r>
        <w:rPr>
          <w:rFonts w:ascii="Arial" w:hAnsi="Arial"/>
          <w:snapToGrid/>
        </w:rPr>
        <w:t xml:space="preserve"> </w:t>
      </w:r>
    </w:p>
    <w:p w:rsidR="006B23C6" w:rsidRDefault="006B23C6">
      <w:pPr>
        <w:pStyle w:val="TxBrp4"/>
        <w:widowControl/>
        <w:tabs>
          <w:tab w:val="clear" w:pos="583"/>
        </w:tabs>
        <w:spacing w:line="240" w:lineRule="auto"/>
        <w:rPr>
          <w:rFonts w:ascii="Arial" w:hAnsi="Arial"/>
          <w:snapToGrid/>
        </w:rPr>
      </w:pPr>
    </w:p>
    <w:p w:rsidR="00731F14" w:rsidRDefault="00731F14">
      <w:pPr>
        <w:pStyle w:val="TxBrp4"/>
        <w:widowControl/>
        <w:tabs>
          <w:tab w:val="clear" w:pos="583"/>
        </w:tabs>
        <w:spacing w:line="240" w:lineRule="auto"/>
        <w:rPr>
          <w:rFonts w:ascii="Arial" w:hAnsi="Arial"/>
          <w:snapToGrid/>
        </w:rPr>
      </w:pPr>
      <w:r>
        <w:rPr>
          <w:rFonts w:ascii="Arial" w:hAnsi="Arial"/>
          <w:snapToGrid/>
        </w:rPr>
        <w:t xml:space="preserve">The time needed to report a vessel arrival </w:t>
      </w:r>
      <w:r w:rsidR="00D22744">
        <w:rPr>
          <w:rFonts w:ascii="Arial" w:hAnsi="Arial"/>
          <w:snapToGrid/>
        </w:rPr>
        <w:t xml:space="preserve">and departure </w:t>
      </w:r>
      <w:r w:rsidR="009600E6">
        <w:rPr>
          <w:rFonts w:ascii="Arial" w:hAnsi="Arial"/>
          <w:snapToGrid/>
        </w:rPr>
        <w:t xml:space="preserve">(hour burden/response) </w:t>
      </w:r>
      <w:r>
        <w:rPr>
          <w:rFonts w:ascii="Arial" w:hAnsi="Arial"/>
          <w:snapToGrid/>
        </w:rPr>
        <w:t xml:space="preserve">is estimated in </w:t>
      </w:r>
      <w:r w:rsidR="009600E6">
        <w:rPr>
          <w:rFonts w:ascii="Arial" w:hAnsi="Arial"/>
          <w:snapToGrid/>
        </w:rPr>
        <w:t>Table 1</w:t>
      </w:r>
      <w:r>
        <w:rPr>
          <w:rFonts w:ascii="Arial" w:hAnsi="Arial"/>
          <w:snapToGrid/>
        </w:rPr>
        <w:t>.</w:t>
      </w:r>
    </w:p>
    <w:p w:rsidR="00D44707" w:rsidRDefault="00D44707">
      <w:pPr>
        <w:pStyle w:val="TxBrp4"/>
        <w:widowControl/>
        <w:tabs>
          <w:tab w:val="clear" w:pos="583"/>
        </w:tabs>
        <w:spacing w:line="240" w:lineRule="auto"/>
        <w:rPr>
          <w:rFonts w:ascii="Arial" w:hAnsi="Arial"/>
          <w:snapToGrid/>
        </w:rPr>
      </w:pPr>
    </w:p>
    <w:p w:rsidR="00731F14" w:rsidRPr="00D6717A" w:rsidRDefault="00731F14" w:rsidP="00D6717A">
      <w:pPr>
        <w:pStyle w:val="TxBrp4"/>
        <w:widowControl/>
        <w:tabs>
          <w:tab w:val="clear" w:pos="583"/>
        </w:tabs>
        <w:spacing w:line="240" w:lineRule="auto"/>
        <w:jc w:val="center"/>
        <w:rPr>
          <w:rFonts w:ascii="Arial" w:hAnsi="Arial" w:cs="Arial"/>
          <w:b/>
        </w:rPr>
      </w:pPr>
      <w:r w:rsidRPr="00D6717A">
        <w:rPr>
          <w:rFonts w:ascii="Arial" w:hAnsi="Arial" w:cs="Arial"/>
          <w:b/>
        </w:rPr>
        <w:t xml:space="preserve">Table </w:t>
      </w:r>
      <w:r w:rsidR="009600E6">
        <w:rPr>
          <w:rFonts w:ascii="Arial" w:hAnsi="Arial" w:cs="Arial"/>
          <w:b/>
        </w:rPr>
        <w:t>1</w:t>
      </w:r>
      <w:r w:rsidRPr="00D6717A">
        <w:rPr>
          <w:rFonts w:ascii="Arial" w:hAnsi="Arial" w:cs="Arial"/>
          <w:b/>
        </w:rPr>
        <w:t>.</w:t>
      </w:r>
      <w:r w:rsidRPr="00D6717A">
        <w:rPr>
          <w:rFonts w:ascii="Arial" w:hAnsi="Arial" w:cs="Arial"/>
          <w:b/>
        </w:rPr>
        <w:br/>
        <w:t>Estimate of Time Needed for Elements</w:t>
      </w:r>
      <w:r w:rsidRPr="00D6717A">
        <w:rPr>
          <w:rFonts w:ascii="Arial" w:hAnsi="Arial" w:cs="Arial"/>
          <w:b/>
        </w:rPr>
        <w:br/>
        <w:t>of Vessel Notice of Arrival</w:t>
      </w:r>
      <w:r w:rsidR="00D22744">
        <w:rPr>
          <w:rFonts w:ascii="Arial" w:hAnsi="Arial" w:cs="Arial"/>
          <w:b/>
        </w:rPr>
        <w:t xml:space="preserve"> and Departure</w:t>
      </w:r>
    </w:p>
    <w:tbl>
      <w:tblPr>
        <w:tblW w:w="6570" w:type="dxa"/>
        <w:tblInd w:w="1470"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4500"/>
        <w:gridCol w:w="2070"/>
      </w:tblGrid>
      <w:tr w:rsidR="00731F14">
        <w:tblPrEx>
          <w:tblCellMar>
            <w:top w:w="0" w:type="dxa"/>
            <w:bottom w:w="0" w:type="dxa"/>
          </w:tblCellMar>
        </w:tblPrEx>
        <w:trPr>
          <w:trHeight w:val="262"/>
        </w:trPr>
        <w:tc>
          <w:tcPr>
            <w:tcW w:w="4500" w:type="dxa"/>
            <w:tcBorders>
              <w:top w:val="single" w:sz="4" w:space="0" w:color="auto"/>
              <w:bottom w:val="single" w:sz="4" w:space="0" w:color="auto"/>
              <w:right w:val="nil"/>
            </w:tcBorders>
          </w:tcPr>
          <w:p w:rsidR="00731F14" w:rsidRDefault="00731F14">
            <w:pPr>
              <w:pStyle w:val="Heading9"/>
              <w:ind w:hanging="30"/>
              <w:rPr>
                <w:rFonts w:ascii="Arial" w:hAnsi="Arial" w:cs="Arial"/>
                <w:snapToGrid w:val="0"/>
                <w:color w:val="000000"/>
                <w:sz w:val="24"/>
              </w:rPr>
            </w:pPr>
            <w:r>
              <w:rPr>
                <w:rFonts w:ascii="Arial" w:hAnsi="Arial" w:cs="Arial"/>
                <w:sz w:val="24"/>
              </w:rPr>
              <w:t>Elements</w:t>
            </w:r>
          </w:p>
        </w:tc>
        <w:tc>
          <w:tcPr>
            <w:tcW w:w="2070" w:type="dxa"/>
            <w:tcBorders>
              <w:top w:val="single" w:sz="4" w:space="0" w:color="auto"/>
              <w:left w:val="single" w:sz="4" w:space="0" w:color="auto"/>
              <w:bottom w:val="single" w:sz="4" w:space="0" w:color="auto"/>
              <w:right w:val="single" w:sz="4" w:space="0" w:color="auto"/>
            </w:tcBorders>
          </w:tcPr>
          <w:p w:rsidR="00731F14" w:rsidRDefault="00731F14">
            <w:pPr>
              <w:jc w:val="center"/>
              <w:rPr>
                <w:rFonts w:ascii="Arial" w:hAnsi="Arial"/>
                <w:b/>
                <w:snapToGrid w:val="0"/>
                <w:color w:val="000000"/>
                <w:sz w:val="24"/>
              </w:rPr>
            </w:pPr>
            <w:r>
              <w:rPr>
                <w:rFonts w:ascii="Arial" w:hAnsi="Arial"/>
                <w:b/>
                <w:snapToGrid w:val="0"/>
                <w:color w:val="000000"/>
                <w:sz w:val="24"/>
              </w:rPr>
              <w:t>Burden</w:t>
            </w:r>
          </w:p>
        </w:tc>
      </w:tr>
      <w:tr w:rsidR="00D22744">
        <w:tblPrEx>
          <w:tblCellMar>
            <w:top w:w="0" w:type="dxa"/>
            <w:bottom w:w="0" w:type="dxa"/>
          </w:tblCellMar>
        </w:tblPrEx>
        <w:trPr>
          <w:trHeight w:val="262"/>
        </w:trPr>
        <w:tc>
          <w:tcPr>
            <w:tcW w:w="4500" w:type="dxa"/>
            <w:tcBorders>
              <w:top w:val="nil"/>
              <w:right w:val="nil"/>
            </w:tcBorders>
          </w:tcPr>
          <w:p w:rsidR="00D22744" w:rsidRDefault="00D22744">
            <w:pPr>
              <w:ind w:hanging="30"/>
              <w:rPr>
                <w:rFonts w:ascii="Arial" w:hAnsi="Arial"/>
                <w:snapToGrid w:val="0"/>
                <w:color w:val="000000"/>
                <w:sz w:val="24"/>
              </w:rPr>
            </w:pPr>
            <w:r>
              <w:rPr>
                <w:rFonts w:ascii="Arial" w:hAnsi="Arial"/>
                <w:snapToGrid w:val="0"/>
                <w:color w:val="000000"/>
                <w:sz w:val="24"/>
              </w:rPr>
              <w:t>Notice of Arrival;</w:t>
            </w:r>
          </w:p>
        </w:tc>
        <w:tc>
          <w:tcPr>
            <w:tcW w:w="2070" w:type="dxa"/>
            <w:tcBorders>
              <w:top w:val="nil"/>
              <w:left w:val="single" w:sz="4" w:space="0" w:color="auto"/>
              <w:bottom w:val="nil"/>
              <w:right w:val="single" w:sz="4" w:space="0" w:color="auto"/>
            </w:tcBorders>
          </w:tcPr>
          <w:p w:rsidR="00D22744" w:rsidRDefault="00D22744">
            <w:pPr>
              <w:ind w:right="150"/>
              <w:jc w:val="right"/>
              <w:rPr>
                <w:rFonts w:ascii="Arial" w:hAnsi="Arial"/>
                <w:snapToGrid w:val="0"/>
                <w:color w:val="000000"/>
                <w:sz w:val="24"/>
              </w:rPr>
            </w:pPr>
            <w:r>
              <w:rPr>
                <w:rFonts w:ascii="Arial" w:hAnsi="Arial"/>
                <w:snapToGrid w:val="0"/>
                <w:color w:val="000000"/>
                <w:sz w:val="24"/>
              </w:rPr>
              <w:t>30 min.</w:t>
            </w:r>
          </w:p>
        </w:tc>
      </w:tr>
      <w:tr w:rsidR="00D22744">
        <w:tblPrEx>
          <w:tblCellMar>
            <w:top w:w="0" w:type="dxa"/>
            <w:bottom w:w="0" w:type="dxa"/>
          </w:tblCellMar>
        </w:tblPrEx>
        <w:trPr>
          <w:trHeight w:val="262"/>
        </w:trPr>
        <w:tc>
          <w:tcPr>
            <w:tcW w:w="4500" w:type="dxa"/>
            <w:tcBorders>
              <w:top w:val="nil"/>
              <w:right w:val="nil"/>
            </w:tcBorders>
          </w:tcPr>
          <w:p w:rsidR="00D22744" w:rsidRDefault="00D22744">
            <w:pPr>
              <w:ind w:hanging="30"/>
              <w:rPr>
                <w:rFonts w:ascii="Arial" w:hAnsi="Arial"/>
                <w:snapToGrid w:val="0"/>
                <w:color w:val="000000"/>
                <w:sz w:val="24"/>
              </w:rPr>
            </w:pPr>
            <w:r>
              <w:rPr>
                <w:rFonts w:ascii="Arial" w:hAnsi="Arial"/>
                <w:snapToGrid w:val="0"/>
                <w:color w:val="000000"/>
                <w:sz w:val="24"/>
              </w:rPr>
              <w:t>Notice of Departure</w:t>
            </w:r>
          </w:p>
        </w:tc>
        <w:tc>
          <w:tcPr>
            <w:tcW w:w="2070" w:type="dxa"/>
            <w:tcBorders>
              <w:top w:val="nil"/>
              <w:left w:val="single" w:sz="4" w:space="0" w:color="auto"/>
              <w:bottom w:val="nil"/>
              <w:right w:val="single" w:sz="4" w:space="0" w:color="auto"/>
            </w:tcBorders>
          </w:tcPr>
          <w:p w:rsidR="00D22744" w:rsidRDefault="00D22744">
            <w:pPr>
              <w:ind w:right="150"/>
              <w:jc w:val="right"/>
              <w:rPr>
                <w:rFonts w:ascii="Arial" w:hAnsi="Arial"/>
                <w:snapToGrid w:val="0"/>
                <w:color w:val="000000"/>
                <w:sz w:val="24"/>
              </w:rPr>
            </w:pPr>
            <w:r>
              <w:rPr>
                <w:rFonts w:ascii="Arial" w:hAnsi="Arial"/>
                <w:snapToGrid w:val="0"/>
                <w:color w:val="000000"/>
                <w:sz w:val="24"/>
              </w:rPr>
              <w:t>30 min.</w:t>
            </w:r>
          </w:p>
        </w:tc>
      </w:tr>
      <w:tr w:rsidR="00731F14">
        <w:tblPrEx>
          <w:tblCellMar>
            <w:top w:w="0" w:type="dxa"/>
            <w:bottom w:w="0" w:type="dxa"/>
          </w:tblCellMar>
        </w:tblPrEx>
        <w:trPr>
          <w:trHeight w:val="262"/>
        </w:trPr>
        <w:tc>
          <w:tcPr>
            <w:tcW w:w="4500" w:type="dxa"/>
            <w:tcBorders>
              <w:top w:val="nil"/>
              <w:bottom w:val="single" w:sz="4" w:space="0" w:color="auto"/>
              <w:right w:val="nil"/>
            </w:tcBorders>
          </w:tcPr>
          <w:p w:rsidR="00731F14" w:rsidRDefault="00731F14">
            <w:pPr>
              <w:ind w:hanging="30"/>
              <w:rPr>
                <w:rFonts w:ascii="Arial" w:hAnsi="Arial"/>
                <w:b/>
                <w:snapToGrid w:val="0"/>
                <w:color w:val="000000"/>
                <w:sz w:val="24"/>
              </w:rPr>
            </w:pPr>
            <w:r>
              <w:rPr>
                <w:rFonts w:ascii="Arial" w:hAnsi="Arial"/>
                <w:b/>
                <w:snapToGrid w:val="0"/>
                <w:color w:val="000000"/>
                <w:sz w:val="24"/>
              </w:rPr>
              <w:t xml:space="preserve">Total </w:t>
            </w:r>
          </w:p>
        </w:tc>
        <w:tc>
          <w:tcPr>
            <w:tcW w:w="2070" w:type="dxa"/>
            <w:tcBorders>
              <w:top w:val="nil"/>
              <w:left w:val="single" w:sz="4" w:space="0" w:color="auto"/>
              <w:bottom w:val="single" w:sz="4" w:space="0" w:color="auto"/>
              <w:right w:val="single" w:sz="4" w:space="0" w:color="auto"/>
            </w:tcBorders>
          </w:tcPr>
          <w:p w:rsidR="00731F14" w:rsidRDefault="00731F14" w:rsidP="00D22744">
            <w:pPr>
              <w:ind w:right="150"/>
              <w:jc w:val="right"/>
              <w:rPr>
                <w:rFonts w:ascii="Arial" w:hAnsi="Arial"/>
                <w:b/>
                <w:snapToGrid w:val="0"/>
                <w:color w:val="000000"/>
                <w:sz w:val="24"/>
              </w:rPr>
            </w:pPr>
            <w:r>
              <w:rPr>
                <w:rFonts w:ascii="Arial" w:hAnsi="Arial"/>
                <w:b/>
                <w:snapToGrid w:val="0"/>
                <w:color w:val="000000"/>
                <w:sz w:val="24"/>
              </w:rPr>
              <w:t xml:space="preserve"> </w:t>
            </w:r>
            <w:r w:rsidR="00D22744">
              <w:rPr>
                <w:rFonts w:ascii="Arial" w:hAnsi="Arial"/>
                <w:b/>
                <w:snapToGrid w:val="0"/>
                <w:color w:val="000000"/>
                <w:sz w:val="24"/>
              </w:rPr>
              <w:t xml:space="preserve">60 </w:t>
            </w:r>
            <w:r>
              <w:rPr>
                <w:rFonts w:ascii="Arial" w:hAnsi="Arial"/>
                <w:b/>
                <w:snapToGrid w:val="0"/>
                <w:color w:val="000000"/>
                <w:sz w:val="24"/>
              </w:rPr>
              <w:t xml:space="preserve">min. </w:t>
            </w:r>
          </w:p>
        </w:tc>
      </w:tr>
    </w:tbl>
    <w:p w:rsidR="00731F14" w:rsidRDefault="00731F14">
      <w:pPr>
        <w:pStyle w:val="TxBrp4"/>
        <w:widowControl/>
        <w:tabs>
          <w:tab w:val="clear" w:pos="583"/>
        </w:tabs>
        <w:spacing w:line="240" w:lineRule="auto"/>
        <w:rPr>
          <w:rFonts w:ascii="Arial" w:hAnsi="Arial"/>
          <w:snapToGrid/>
        </w:rPr>
      </w:pPr>
    </w:p>
    <w:p w:rsidR="009600E6" w:rsidRDefault="009600E6">
      <w:pPr>
        <w:pStyle w:val="TxBrp4"/>
        <w:widowControl/>
        <w:tabs>
          <w:tab w:val="clear" w:pos="583"/>
        </w:tabs>
        <w:spacing w:line="240" w:lineRule="auto"/>
        <w:rPr>
          <w:rFonts w:ascii="Arial" w:hAnsi="Arial"/>
          <w:snapToGrid/>
        </w:rPr>
      </w:pPr>
      <w:r>
        <w:rPr>
          <w:rFonts w:ascii="Arial" w:hAnsi="Arial"/>
          <w:snapToGrid/>
        </w:rPr>
        <w:t>The hour and cost burden are estimated in Table 2.</w:t>
      </w:r>
    </w:p>
    <w:p w:rsidR="009600E6" w:rsidRDefault="00D44707">
      <w:pPr>
        <w:pStyle w:val="TxBrp4"/>
        <w:widowControl/>
        <w:tabs>
          <w:tab w:val="clear" w:pos="583"/>
        </w:tabs>
        <w:spacing w:line="240" w:lineRule="auto"/>
        <w:rPr>
          <w:rFonts w:ascii="Arial" w:hAnsi="Arial"/>
          <w:snapToGrid/>
        </w:rPr>
      </w:pPr>
      <w:r>
        <w:rPr>
          <w:rFonts w:ascii="Arial" w:hAnsi="Arial"/>
          <w:snapToGrid/>
        </w:rPr>
        <w:br w:type="page"/>
      </w:r>
    </w:p>
    <w:p w:rsidR="009600E6" w:rsidRDefault="009600E6" w:rsidP="009600E6">
      <w:pPr>
        <w:pStyle w:val="TxBrp4"/>
        <w:widowControl/>
        <w:tabs>
          <w:tab w:val="clear" w:pos="583"/>
        </w:tabs>
        <w:spacing w:line="240" w:lineRule="auto"/>
        <w:jc w:val="center"/>
        <w:rPr>
          <w:rFonts w:ascii="Arial" w:hAnsi="Arial" w:cs="Arial"/>
          <w:b/>
        </w:rPr>
      </w:pPr>
      <w:r w:rsidRPr="00D6717A">
        <w:rPr>
          <w:rFonts w:ascii="Arial" w:hAnsi="Arial" w:cs="Arial"/>
          <w:b/>
        </w:rPr>
        <w:lastRenderedPageBreak/>
        <w:t xml:space="preserve">Table </w:t>
      </w:r>
      <w:r>
        <w:rPr>
          <w:rFonts w:ascii="Arial" w:hAnsi="Arial" w:cs="Arial"/>
          <w:b/>
        </w:rPr>
        <w:t>2</w:t>
      </w:r>
      <w:r w:rsidRPr="00D6717A">
        <w:rPr>
          <w:rFonts w:ascii="Arial" w:hAnsi="Arial" w:cs="Arial"/>
          <w:b/>
        </w:rPr>
        <w:t>.</w:t>
      </w:r>
      <w:r w:rsidRPr="00D6717A">
        <w:rPr>
          <w:rFonts w:ascii="Arial" w:hAnsi="Arial" w:cs="Arial"/>
          <w:b/>
        </w:rPr>
        <w:br/>
        <w:t xml:space="preserve">Estimate of </w:t>
      </w:r>
      <w:r>
        <w:rPr>
          <w:rFonts w:ascii="Arial" w:hAnsi="Arial" w:cs="Arial"/>
          <w:b/>
        </w:rPr>
        <w:t>Hour and Cost Burden</w:t>
      </w:r>
      <w:r w:rsidRPr="00D6717A">
        <w:rPr>
          <w:rFonts w:ascii="Arial" w:hAnsi="Arial" w:cs="Arial"/>
          <w:b/>
        </w:rPr>
        <w:t xml:space="preserve"> for </w:t>
      </w:r>
      <w:r w:rsidRPr="00D6717A">
        <w:rPr>
          <w:rFonts w:ascii="Arial" w:hAnsi="Arial" w:cs="Arial"/>
          <w:b/>
        </w:rPr>
        <w:br/>
      </w:r>
      <w:r>
        <w:rPr>
          <w:rFonts w:ascii="Arial" w:hAnsi="Arial" w:cs="Arial"/>
          <w:b/>
        </w:rPr>
        <w:t>Advance Notice of</w:t>
      </w:r>
      <w:r w:rsidRPr="00D6717A">
        <w:rPr>
          <w:rFonts w:ascii="Arial" w:hAnsi="Arial" w:cs="Arial"/>
          <w:b/>
        </w:rPr>
        <w:t xml:space="preserve"> Vessel Arrival</w:t>
      </w:r>
      <w:r w:rsidR="00C16A29">
        <w:rPr>
          <w:rFonts w:ascii="Arial" w:hAnsi="Arial" w:cs="Arial"/>
          <w:b/>
        </w:rPr>
        <w:t xml:space="preserve"> and Departure</w:t>
      </w:r>
      <w:r w:rsidR="00E940BF">
        <w:rPr>
          <w:rStyle w:val="FootnoteReference"/>
          <w:rFonts w:ascii="Arial" w:hAnsi="Arial" w:cs="Arial"/>
          <w:b/>
        </w:rPr>
        <w:footnoteReference w:id="6"/>
      </w:r>
    </w:p>
    <w:tbl>
      <w:tblPr>
        <w:tblW w:w="94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39"/>
        <w:gridCol w:w="1550"/>
        <w:gridCol w:w="1511"/>
        <w:gridCol w:w="1106"/>
        <w:gridCol w:w="1194"/>
        <w:gridCol w:w="1123"/>
        <w:gridCol w:w="1487"/>
      </w:tblGrid>
      <w:tr w:rsidR="004D2D0D" w:rsidRPr="001E076A" w:rsidTr="004A01A1">
        <w:tc>
          <w:tcPr>
            <w:tcW w:w="1439" w:type="dxa"/>
          </w:tcPr>
          <w:p w:rsidR="004D2D0D" w:rsidRPr="001E076A" w:rsidRDefault="004D2D0D" w:rsidP="001E076A">
            <w:pPr>
              <w:pStyle w:val="TxBrp4"/>
              <w:widowControl/>
              <w:tabs>
                <w:tab w:val="clear" w:pos="583"/>
              </w:tabs>
              <w:spacing w:before="120" w:after="120" w:line="240" w:lineRule="auto"/>
              <w:jc w:val="center"/>
              <w:rPr>
                <w:rFonts w:ascii="Arial" w:hAnsi="Arial" w:cs="Arial"/>
                <w:b/>
                <w:sz w:val="20"/>
              </w:rPr>
            </w:pPr>
            <w:r w:rsidRPr="001E076A">
              <w:rPr>
                <w:rFonts w:ascii="Arial" w:hAnsi="Arial" w:cs="Arial"/>
                <w:b/>
                <w:sz w:val="20"/>
              </w:rPr>
              <w:t>Requirement</w:t>
            </w:r>
          </w:p>
        </w:tc>
        <w:tc>
          <w:tcPr>
            <w:tcW w:w="1550" w:type="dxa"/>
          </w:tcPr>
          <w:p w:rsidR="004D2D0D" w:rsidRPr="001E076A" w:rsidRDefault="004D2D0D" w:rsidP="001E076A">
            <w:pPr>
              <w:pStyle w:val="TxBrp4"/>
              <w:widowControl/>
              <w:tabs>
                <w:tab w:val="clear" w:pos="583"/>
              </w:tabs>
              <w:spacing w:before="120" w:after="120" w:line="240" w:lineRule="auto"/>
              <w:jc w:val="center"/>
              <w:rPr>
                <w:rFonts w:ascii="Arial" w:hAnsi="Arial" w:cs="Arial"/>
                <w:b/>
                <w:sz w:val="20"/>
              </w:rPr>
            </w:pPr>
            <w:r w:rsidRPr="001E076A">
              <w:rPr>
                <w:rFonts w:ascii="Arial" w:hAnsi="Arial" w:cs="Arial"/>
                <w:b/>
                <w:sz w:val="20"/>
              </w:rPr>
              <w:t>Vsl Population (respondents)</w:t>
            </w:r>
          </w:p>
        </w:tc>
        <w:tc>
          <w:tcPr>
            <w:tcW w:w="1511" w:type="dxa"/>
          </w:tcPr>
          <w:p w:rsidR="004D2D0D" w:rsidRPr="001E076A" w:rsidRDefault="004D2D0D" w:rsidP="001E076A">
            <w:pPr>
              <w:pStyle w:val="TxBrp4"/>
              <w:widowControl/>
              <w:tabs>
                <w:tab w:val="clear" w:pos="583"/>
              </w:tabs>
              <w:spacing w:before="120" w:after="120" w:line="240" w:lineRule="auto"/>
              <w:jc w:val="center"/>
              <w:rPr>
                <w:rFonts w:ascii="Arial" w:hAnsi="Arial" w:cs="Arial"/>
                <w:b/>
                <w:sz w:val="20"/>
              </w:rPr>
            </w:pPr>
            <w:r w:rsidRPr="001E076A">
              <w:rPr>
                <w:rFonts w:ascii="Arial" w:hAnsi="Arial" w:cs="Arial"/>
                <w:b/>
                <w:sz w:val="20"/>
              </w:rPr>
              <w:t>Vsl Arrivals</w:t>
            </w:r>
            <w:r w:rsidR="00002456">
              <w:rPr>
                <w:rFonts w:ascii="Arial" w:hAnsi="Arial" w:cs="Arial"/>
                <w:b/>
                <w:sz w:val="20"/>
              </w:rPr>
              <w:t xml:space="preserve"> or Departures</w:t>
            </w:r>
            <w:r w:rsidRPr="001E076A">
              <w:rPr>
                <w:rFonts w:ascii="Arial" w:hAnsi="Arial" w:cs="Arial"/>
                <w:b/>
                <w:sz w:val="20"/>
              </w:rPr>
              <w:t xml:space="preserve"> (responses)</w:t>
            </w:r>
          </w:p>
        </w:tc>
        <w:tc>
          <w:tcPr>
            <w:tcW w:w="1106" w:type="dxa"/>
          </w:tcPr>
          <w:p w:rsidR="004D2D0D" w:rsidRPr="001E076A" w:rsidRDefault="004D2D0D" w:rsidP="001E076A">
            <w:pPr>
              <w:pStyle w:val="TxBrp4"/>
              <w:widowControl/>
              <w:tabs>
                <w:tab w:val="clear" w:pos="583"/>
              </w:tabs>
              <w:spacing w:before="120" w:after="120" w:line="240" w:lineRule="auto"/>
              <w:jc w:val="center"/>
              <w:rPr>
                <w:rFonts w:ascii="Arial" w:hAnsi="Arial" w:cs="Arial"/>
                <w:b/>
                <w:sz w:val="20"/>
              </w:rPr>
            </w:pPr>
            <w:r w:rsidRPr="001E076A">
              <w:rPr>
                <w:rFonts w:ascii="Arial" w:hAnsi="Arial" w:cs="Arial"/>
                <w:b/>
                <w:sz w:val="20"/>
              </w:rPr>
              <w:t>Hour Burden per response</w:t>
            </w:r>
          </w:p>
        </w:tc>
        <w:tc>
          <w:tcPr>
            <w:tcW w:w="1194" w:type="dxa"/>
          </w:tcPr>
          <w:p w:rsidR="004D2D0D" w:rsidRPr="001E076A" w:rsidRDefault="004D2D0D" w:rsidP="001E076A">
            <w:pPr>
              <w:pStyle w:val="TxBrp4"/>
              <w:widowControl/>
              <w:tabs>
                <w:tab w:val="clear" w:pos="583"/>
              </w:tabs>
              <w:spacing w:before="120" w:after="120" w:line="240" w:lineRule="auto"/>
              <w:jc w:val="center"/>
              <w:rPr>
                <w:rFonts w:ascii="Arial" w:hAnsi="Arial" w:cs="Arial"/>
                <w:b/>
                <w:sz w:val="20"/>
              </w:rPr>
            </w:pPr>
            <w:r w:rsidRPr="001E076A">
              <w:rPr>
                <w:rFonts w:ascii="Arial" w:hAnsi="Arial" w:cs="Arial"/>
                <w:b/>
                <w:sz w:val="20"/>
              </w:rPr>
              <w:t>Total Hour Burden</w:t>
            </w:r>
          </w:p>
        </w:tc>
        <w:tc>
          <w:tcPr>
            <w:tcW w:w="1123" w:type="dxa"/>
          </w:tcPr>
          <w:p w:rsidR="004D2D0D" w:rsidRPr="001E076A" w:rsidRDefault="004D2D0D" w:rsidP="001E076A">
            <w:pPr>
              <w:pStyle w:val="TxBrp4"/>
              <w:widowControl/>
              <w:tabs>
                <w:tab w:val="clear" w:pos="583"/>
              </w:tabs>
              <w:spacing w:before="120" w:after="120" w:line="240" w:lineRule="auto"/>
              <w:jc w:val="center"/>
              <w:rPr>
                <w:rFonts w:ascii="Arial" w:hAnsi="Arial" w:cs="Arial"/>
                <w:b/>
                <w:sz w:val="20"/>
              </w:rPr>
            </w:pPr>
            <w:r w:rsidRPr="001E076A">
              <w:rPr>
                <w:rFonts w:ascii="Arial" w:hAnsi="Arial" w:cs="Arial"/>
                <w:b/>
                <w:sz w:val="20"/>
              </w:rPr>
              <w:t>Cost Burden per response</w:t>
            </w:r>
          </w:p>
        </w:tc>
        <w:tc>
          <w:tcPr>
            <w:tcW w:w="1487" w:type="dxa"/>
          </w:tcPr>
          <w:p w:rsidR="004D2D0D" w:rsidRPr="001E076A" w:rsidRDefault="004D2D0D" w:rsidP="001E076A">
            <w:pPr>
              <w:pStyle w:val="TxBrp4"/>
              <w:widowControl/>
              <w:tabs>
                <w:tab w:val="clear" w:pos="583"/>
              </w:tabs>
              <w:spacing w:before="120" w:after="120" w:line="240" w:lineRule="auto"/>
              <w:jc w:val="center"/>
              <w:rPr>
                <w:rFonts w:ascii="Arial" w:hAnsi="Arial" w:cs="Arial"/>
                <w:b/>
                <w:sz w:val="20"/>
              </w:rPr>
            </w:pPr>
            <w:r w:rsidRPr="001E076A">
              <w:rPr>
                <w:rFonts w:ascii="Arial" w:hAnsi="Arial" w:cs="Arial"/>
                <w:b/>
                <w:sz w:val="20"/>
              </w:rPr>
              <w:t>Total Cost Burden</w:t>
            </w:r>
          </w:p>
        </w:tc>
      </w:tr>
      <w:tr w:rsidR="004D2D0D" w:rsidRPr="00D71CF8" w:rsidTr="004A01A1">
        <w:tc>
          <w:tcPr>
            <w:tcW w:w="1439" w:type="dxa"/>
          </w:tcPr>
          <w:p w:rsidR="004D2D0D" w:rsidRPr="00D71CF8" w:rsidRDefault="004D2D0D" w:rsidP="001E076A">
            <w:pPr>
              <w:pStyle w:val="TxBrp4"/>
              <w:widowControl/>
              <w:tabs>
                <w:tab w:val="clear" w:pos="583"/>
              </w:tabs>
              <w:spacing w:before="120" w:after="120" w:line="240" w:lineRule="auto"/>
              <w:jc w:val="center"/>
              <w:rPr>
                <w:rFonts w:ascii="Arial" w:hAnsi="Arial" w:cs="Arial"/>
                <w:b/>
                <w:sz w:val="20"/>
              </w:rPr>
            </w:pPr>
            <w:r w:rsidRPr="00D71CF8">
              <w:rPr>
                <w:rFonts w:ascii="Arial" w:hAnsi="Arial" w:cs="Arial"/>
                <w:b/>
                <w:sz w:val="20"/>
              </w:rPr>
              <w:t>NOA</w:t>
            </w:r>
            <w:r w:rsidR="00117E12">
              <w:rPr>
                <w:rFonts w:ascii="Arial" w:hAnsi="Arial" w:cs="Arial"/>
                <w:b/>
                <w:sz w:val="20"/>
              </w:rPr>
              <w:t>/NOD</w:t>
            </w:r>
          </w:p>
        </w:tc>
        <w:tc>
          <w:tcPr>
            <w:tcW w:w="1550" w:type="dxa"/>
          </w:tcPr>
          <w:p w:rsidR="004D2D0D" w:rsidRPr="00D71CF8" w:rsidRDefault="00002456" w:rsidP="001E076A">
            <w:pPr>
              <w:pStyle w:val="TxBrp4"/>
              <w:widowControl/>
              <w:tabs>
                <w:tab w:val="clear" w:pos="583"/>
              </w:tabs>
              <w:spacing w:before="120" w:after="120" w:line="240" w:lineRule="auto"/>
              <w:jc w:val="center"/>
              <w:rPr>
                <w:rFonts w:ascii="Arial" w:hAnsi="Arial" w:cs="Arial"/>
                <w:b/>
                <w:sz w:val="20"/>
              </w:rPr>
            </w:pPr>
            <w:r>
              <w:rPr>
                <w:rFonts w:ascii="Arial" w:hAnsi="Arial" w:cs="Arial"/>
                <w:b/>
                <w:sz w:val="20"/>
              </w:rPr>
              <w:t>30,850</w:t>
            </w:r>
          </w:p>
        </w:tc>
        <w:tc>
          <w:tcPr>
            <w:tcW w:w="1511" w:type="dxa"/>
          </w:tcPr>
          <w:p w:rsidR="004D2D0D" w:rsidRPr="00D71CF8" w:rsidRDefault="00002456" w:rsidP="00002456">
            <w:pPr>
              <w:pStyle w:val="TxBrp4"/>
              <w:widowControl/>
              <w:tabs>
                <w:tab w:val="clear" w:pos="583"/>
              </w:tabs>
              <w:spacing w:before="120" w:after="120" w:line="240" w:lineRule="auto"/>
              <w:jc w:val="center"/>
              <w:rPr>
                <w:rFonts w:ascii="Arial" w:hAnsi="Arial" w:cs="Arial"/>
                <w:b/>
                <w:sz w:val="20"/>
              </w:rPr>
            </w:pPr>
            <w:r>
              <w:rPr>
                <w:rFonts w:ascii="Arial" w:hAnsi="Arial" w:cs="Arial"/>
                <w:b/>
                <w:sz w:val="20"/>
              </w:rPr>
              <w:t>157,122</w:t>
            </w:r>
          </w:p>
        </w:tc>
        <w:tc>
          <w:tcPr>
            <w:tcW w:w="1106" w:type="dxa"/>
          </w:tcPr>
          <w:p w:rsidR="004D2D0D" w:rsidRPr="00D71CF8" w:rsidRDefault="00271220" w:rsidP="001E076A">
            <w:pPr>
              <w:pStyle w:val="TxBrp4"/>
              <w:widowControl/>
              <w:tabs>
                <w:tab w:val="clear" w:pos="583"/>
              </w:tabs>
              <w:spacing w:before="120" w:after="120" w:line="240" w:lineRule="auto"/>
              <w:jc w:val="center"/>
              <w:rPr>
                <w:rFonts w:ascii="Arial" w:hAnsi="Arial" w:cs="Arial"/>
                <w:b/>
                <w:sz w:val="20"/>
              </w:rPr>
            </w:pPr>
            <w:r>
              <w:rPr>
                <w:rFonts w:ascii="Arial" w:hAnsi="Arial" w:cs="Arial"/>
                <w:b/>
                <w:sz w:val="20"/>
              </w:rPr>
              <w:t>0</w:t>
            </w:r>
            <w:r w:rsidR="00002456">
              <w:rPr>
                <w:rFonts w:ascii="Arial" w:hAnsi="Arial" w:cs="Arial"/>
                <w:b/>
                <w:sz w:val="20"/>
              </w:rPr>
              <w:t>.5</w:t>
            </w:r>
            <w:r w:rsidR="00117E12">
              <w:rPr>
                <w:rFonts w:ascii="Arial" w:hAnsi="Arial" w:cs="Arial"/>
                <w:b/>
                <w:sz w:val="20"/>
              </w:rPr>
              <w:t xml:space="preserve"> + </w:t>
            </w:r>
            <w:r>
              <w:rPr>
                <w:rFonts w:ascii="Arial" w:hAnsi="Arial" w:cs="Arial"/>
                <w:b/>
                <w:sz w:val="20"/>
              </w:rPr>
              <w:t>0</w:t>
            </w:r>
            <w:r w:rsidR="00117E12">
              <w:rPr>
                <w:rFonts w:ascii="Arial" w:hAnsi="Arial" w:cs="Arial"/>
                <w:b/>
                <w:sz w:val="20"/>
              </w:rPr>
              <w:t>.5</w:t>
            </w:r>
          </w:p>
        </w:tc>
        <w:tc>
          <w:tcPr>
            <w:tcW w:w="1194" w:type="dxa"/>
          </w:tcPr>
          <w:p w:rsidR="004D2D0D" w:rsidRPr="00D71CF8" w:rsidRDefault="00117E12" w:rsidP="00117E12">
            <w:pPr>
              <w:pStyle w:val="TxBrp4"/>
              <w:widowControl/>
              <w:tabs>
                <w:tab w:val="clear" w:pos="583"/>
              </w:tabs>
              <w:spacing w:before="120" w:after="120" w:line="240" w:lineRule="auto"/>
              <w:jc w:val="center"/>
              <w:rPr>
                <w:rFonts w:ascii="Arial" w:hAnsi="Arial" w:cs="Arial"/>
                <w:b/>
                <w:sz w:val="20"/>
              </w:rPr>
            </w:pPr>
            <w:r>
              <w:rPr>
                <w:rFonts w:ascii="Arial" w:hAnsi="Arial" w:cs="Arial"/>
                <w:b/>
                <w:sz w:val="20"/>
              </w:rPr>
              <w:t>157,122</w:t>
            </w:r>
          </w:p>
        </w:tc>
        <w:tc>
          <w:tcPr>
            <w:tcW w:w="1123" w:type="dxa"/>
          </w:tcPr>
          <w:p w:rsidR="004D2D0D" w:rsidRPr="00D71CF8" w:rsidRDefault="004D2D0D" w:rsidP="00117E12">
            <w:pPr>
              <w:pStyle w:val="TxBrp4"/>
              <w:widowControl/>
              <w:tabs>
                <w:tab w:val="clear" w:pos="583"/>
              </w:tabs>
              <w:spacing w:before="120" w:after="120" w:line="240" w:lineRule="auto"/>
              <w:jc w:val="center"/>
              <w:rPr>
                <w:rFonts w:ascii="Arial" w:hAnsi="Arial" w:cs="Arial"/>
                <w:b/>
                <w:sz w:val="20"/>
              </w:rPr>
            </w:pPr>
            <w:r w:rsidRPr="00D71CF8">
              <w:rPr>
                <w:rFonts w:ascii="Arial" w:hAnsi="Arial" w:cs="Arial"/>
                <w:b/>
                <w:sz w:val="20"/>
              </w:rPr>
              <w:t>$</w:t>
            </w:r>
            <w:r w:rsidR="00117E12">
              <w:rPr>
                <w:rFonts w:ascii="Arial" w:hAnsi="Arial" w:cs="Arial"/>
                <w:b/>
                <w:sz w:val="20"/>
              </w:rPr>
              <w:t>31</w:t>
            </w:r>
            <w:r w:rsidRPr="00D71CF8">
              <w:rPr>
                <w:rFonts w:ascii="Arial" w:hAnsi="Arial" w:cs="Arial"/>
                <w:b/>
                <w:sz w:val="20"/>
              </w:rPr>
              <w:t>.00</w:t>
            </w:r>
            <w:r w:rsidR="00E940BF" w:rsidRPr="00D71CF8">
              <w:rPr>
                <w:rStyle w:val="FootnoteReference"/>
                <w:rFonts w:ascii="Arial" w:hAnsi="Arial" w:cs="Arial"/>
                <w:b/>
                <w:sz w:val="20"/>
              </w:rPr>
              <w:footnoteReference w:id="7"/>
            </w:r>
          </w:p>
        </w:tc>
        <w:tc>
          <w:tcPr>
            <w:tcW w:w="1487" w:type="dxa"/>
          </w:tcPr>
          <w:p w:rsidR="004D2D0D" w:rsidRPr="004A01A1" w:rsidRDefault="004D2D0D" w:rsidP="00117E12">
            <w:pPr>
              <w:pStyle w:val="TxBrp4"/>
              <w:widowControl/>
              <w:tabs>
                <w:tab w:val="clear" w:pos="583"/>
              </w:tabs>
              <w:spacing w:before="120" w:after="120" w:line="240" w:lineRule="auto"/>
              <w:jc w:val="center"/>
              <w:rPr>
                <w:rFonts w:ascii="Arial" w:hAnsi="Arial" w:cs="Arial"/>
                <w:b/>
                <w:sz w:val="20"/>
              </w:rPr>
            </w:pPr>
            <w:r w:rsidRPr="004A01A1">
              <w:rPr>
                <w:rFonts w:ascii="Arial" w:hAnsi="Arial"/>
                <w:b/>
                <w:snapToGrid/>
                <w:sz w:val="20"/>
              </w:rPr>
              <w:t>$</w:t>
            </w:r>
            <w:r w:rsidR="00002456" w:rsidRPr="004A01A1">
              <w:rPr>
                <w:rFonts w:ascii="Arial" w:hAnsi="Arial"/>
                <w:b/>
                <w:snapToGrid/>
                <w:sz w:val="20"/>
              </w:rPr>
              <w:t>4,</w:t>
            </w:r>
            <w:r w:rsidR="00117E12" w:rsidRPr="004A01A1">
              <w:rPr>
                <w:rFonts w:ascii="Arial" w:hAnsi="Arial"/>
                <w:b/>
                <w:snapToGrid/>
                <w:sz w:val="20"/>
              </w:rPr>
              <w:t>870,782</w:t>
            </w:r>
          </w:p>
        </w:tc>
      </w:tr>
      <w:tr w:rsidR="009D618C" w:rsidRPr="00D71CF8" w:rsidTr="004A01A1">
        <w:tc>
          <w:tcPr>
            <w:tcW w:w="1439" w:type="dxa"/>
          </w:tcPr>
          <w:p w:rsidR="009D618C" w:rsidRDefault="009D618C" w:rsidP="001E076A">
            <w:pPr>
              <w:pStyle w:val="TxBrp4"/>
              <w:widowControl/>
              <w:tabs>
                <w:tab w:val="clear" w:pos="583"/>
              </w:tabs>
              <w:spacing w:before="120" w:after="120" w:line="240" w:lineRule="auto"/>
              <w:jc w:val="center"/>
              <w:rPr>
                <w:rFonts w:ascii="Arial" w:hAnsi="Arial" w:cs="Arial"/>
                <w:b/>
                <w:sz w:val="20"/>
              </w:rPr>
            </w:pPr>
            <w:r>
              <w:rPr>
                <w:rFonts w:ascii="Arial" w:hAnsi="Arial" w:cs="Arial"/>
                <w:b/>
                <w:sz w:val="20"/>
              </w:rPr>
              <w:t>NOA-OCS</w:t>
            </w:r>
          </w:p>
        </w:tc>
        <w:tc>
          <w:tcPr>
            <w:tcW w:w="1550" w:type="dxa"/>
          </w:tcPr>
          <w:p w:rsidR="009D618C" w:rsidRDefault="009D618C" w:rsidP="001E076A">
            <w:pPr>
              <w:pStyle w:val="TxBrp4"/>
              <w:widowControl/>
              <w:tabs>
                <w:tab w:val="clear" w:pos="583"/>
              </w:tabs>
              <w:spacing w:before="120" w:after="120" w:line="240" w:lineRule="auto"/>
              <w:jc w:val="center"/>
              <w:rPr>
                <w:rFonts w:ascii="Arial" w:hAnsi="Arial" w:cs="Arial"/>
                <w:b/>
                <w:sz w:val="20"/>
              </w:rPr>
            </w:pPr>
            <w:r>
              <w:rPr>
                <w:rFonts w:ascii="Arial" w:hAnsi="Arial" w:cs="Arial"/>
                <w:b/>
                <w:sz w:val="20"/>
              </w:rPr>
              <w:t>144</w:t>
            </w:r>
          </w:p>
        </w:tc>
        <w:tc>
          <w:tcPr>
            <w:tcW w:w="1511" w:type="dxa"/>
          </w:tcPr>
          <w:p w:rsidR="009D618C" w:rsidRDefault="009D618C" w:rsidP="001E076A">
            <w:pPr>
              <w:pStyle w:val="TxBrp4"/>
              <w:widowControl/>
              <w:tabs>
                <w:tab w:val="clear" w:pos="583"/>
              </w:tabs>
              <w:spacing w:before="120" w:after="120" w:line="240" w:lineRule="auto"/>
              <w:jc w:val="center"/>
              <w:rPr>
                <w:rFonts w:ascii="Arial" w:hAnsi="Arial" w:cs="Arial"/>
                <w:b/>
                <w:sz w:val="20"/>
              </w:rPr>
            </w:pPr>
            <w:r>
              <w:rPr>
                <w:rFonts w:ascii="Arial" w:hAnsi="Arial" w:cs="Arial"/>
                <w:b/>
                <w:sz w:val="20"/>
              </w:rPr>
              <w:t>144</w:t>
            </w:r>
          </w:p>
        </w:tc>
        <w:tc>
          <w:tcPr>
            <w:tcW w:w="1106" w:type="dxa"/>
          </w:tcPr>
          <w:p w:rsidR="009D618C" w:rsidRPr="00D71CF8" w:rsidRDefault="00271220" w:rsidP="001E076A">
            <w:pPr>
              <w:pStyle w:val="TxBrp4"/>
              <w:widowControl/>
              <w:tabs>
                <w:tab w:val="clear" w:pos="583"/>
              </w:tabs>
              <w:spacing w:before="120" w:after="120" w:line="240" w:lineRule="auto"/>
              <w:jc w:val="center"/>
              <w:rPr>
                <w:rFonts w:ascii="Arial" w:hAnsi="Arial" w:cs="Arial"/>
                <w:b/>
                <w:sz w:val="20"/>
              </w:rPr>
            </w:pPr>
            <w:r>
              <w:rPr>
                <w:rFonts w:ascii="Arial" w:hAnsi="Arial" w:cs="Arial"/>
                <w:b/>
                <w:sz w:val="20"/>
              </w:rPr>
              <w:t>0</w:t>
            </w:r>
            <w:r w:rsidR="009D618C">
              <w:rPr>
                <w:rFonts w:ascii="Arial" w:hAnsi="Arial" w:cs="Arial"/>
                <w:b/>
                <w:sz w:val="20"/>
              </w:rPr>
              <w:t>.5</w:t>
            </w:r>
          </w:p>
        </w:tc>
        <w:tc>
          <w:tcPr>
            <w:tcW w:w="1194" w:type="dxa"/>
          </w:tcPr>
          <w:p w:rsidR="009D618C" w:rsidRDefault="009D618C" w:rsidP="001E076A">
            <w:pPr>
              <w:pStyle w:val="TxBrp4"/>
              <w:widowControl/>
              <w:tabs>
                <w:tab w:val="clear" w:pos="583"/>
              </w:tabs>
              <w:spacing w:before="120" w:after="120" w:line="240" w:lineRule="auto"/>
              <w:jc w:val="center"/>
              <w:rPr>
                <w:rFonts w:ascii="Arial" w:hAnsi="Arial" w:cs="Arial"/>
                <w:b/>
                <w:sz w:val="20"/>
              </w:rPr>
            </w:pPr>
            <w:r>
              <w:rPr>
                <w:rFonts w:ascii="Arial" w:hAnsi="Arial" w:cs="Arial"/>
                <w:b/>
                <w:sz w:val="20"/>
              </w:rPr>
              <w:t>72</w:t>
            </w:r>
          </w:p>
        </w:tc>
        <w:tc>
          <w:tcPr>
            <w:tcW w:w="1123" w:type="dxa"/>
          </w:tcPr>
          <w:p w:rsidR="009D618C" w:rsidRPr="00D71CF8" w:rsidRDefault="009D618C" w:rsidP="00117E12">
            <w:pPr>
              <w:pStyle w:val="TxBrp4"/>
              <w:widowControl/>
              <w:tabs>
                <w:tab w:val="clear" w:pos="583"/>
              </w:tabs>
              <w:spacing w:before="120" w:after="120" w:line="240" w:lineRule="auto"/>
              <w:jc w:val="center"/>
              <w:rPr>
                <w:rFonts w:ascii="Arial" w:hAnsi="Arial" w:cs="Arial"/>
                <w:b/>
                <w:sz w:val="20"/>
              </w:rPr>
            </w:pPr>
            <w:r>
              <w:rPr>
                <w:rFonts w:ascii="Arial" w:hAnsi="Arial" w:cs="Arial"/>
                <w:b/>
                <w:sz w:val="20"/>
              </w:rPr>
              <w:t>$</w:t>
            </w:r>
            <w:r w:rsidR="00117E12">
              <w:rPr>
                <w:rFonts w:ascii="Arial" w:hAnsi="Arial" w:cs="Arial"/>
                <w:b/>
                <w:sz w:val="20"/>
              </w:rPr>
              <w:t>31</w:t>
            </w:r>
            <w:r>
              <w:rPr>
                <w:rFonts w:ascii="Arial" w:hAnsi="Arial" w:cs="Arial"/>
                <w:b/>
                <w:sz w:val="20"/>
              </w:rPr>
              <w:t>.00</w:t>
            </w:r>
          </w:p>
        </w:tc>
        <w:tc>
          <w:tcPr>
            <w:tcW w:w="1487" w:type="dxa"/>
          </w:tcPr>
          <w:p w:rsidR="009D618C" w:rsidRPr="004A01A1" w:rsidRDefault="009D618C" w:rsidP="00117E12">
            <w:pPr>
              <w:pStyle w:val="TxBrp4"/>
              <w:widowControl/>
              <w:tabs>
                <w:tab w:val="clear" w:pos="583"/>
              </w:tabs>
              <w:spacing w:before="120" w:after="120" w:line="240" w:lineRule="auto"/>
              <w:jc w:val="center"/>
              <w:rPr>
                <w:rFonts w:ascii="Arial" w:hAnsi="Arial"/>
                <w:b/>
                <w:snapToGrid/>
                <w:sz w:val="20"/>
              </w:rPr>
            </w:pPr>
            <w:r w:rsidRPr="004A01A1">
              <w:rPr>
                <w:rFonts w:ascii="Arial" w:hAnsi="Arial"/>
                <w:b/>
                <w:snapToGrid/>
                <w:sz w:val="20"/>
              </w:rPr>
              <w:t>$</w:t>
            </w:r>
            <w:r w:rsidR="00117E12" w:rsidRPr="004A01A1">
              <w:rPr>
                <w:rFonts w:ascii="Arial" w:hAnsi="Arial"/>
                <w:b/>
                <w:snapToGrid/>
                <w:sz w:val="20"/>
              </w:rPr>
              <w:t>2,232</w:t>
            </w:r>
          </w:p>
        </w:tc>
      </w:tr>
      <w:tr w:rsidR="00CA2702" w:rsidRPr="00D71CF8" w:rsidTr="004A01A1">
        <w:tc>
          <w:tcPr>
            <w:tcW w:w="1439" w:type="dxa"/>
          </w:tcPr>
          <w:p w:rsidR="00CA2702" w:rsidRDefault="00CA2702" w:rsidP="001E076A">
            <w:pPr>
              <w:pStyle w:val="TxBrp4"/>
              <w:widowControl/>
              <w:tabs>
                <w:tab w:val="clear" w:pos="583"/>
              </w:tabs>
              <w:spacing w:before="120" w:after="120" w:line="240" w:lineRule="auto"/>
              <w:jc w:val="center"/>
              <w:rPr>
                <w:rFonts w:ascii="Arial" w:hAnsi="Arial" w:cs="Arial"/>
                <w:b/>
                <w:sz w:val="20"/>
              </w:rPr>
            </w:pPr>
            <w:r>
              <w:rPr>
                <w:rFonts w:ascii="Arial" w:hAnsi="Arial" w:cs="Arial"/>
                <w:b/>
                <w:sz w:val="20"/>
              </w:rPr>
              <w:t>NOA-CDC</w:t>
            </w:r>
          </w:p>
        </w:tc>
        <w:tc>
          <w:tcPr>
            <w:tcW w:w="1550" w:type="dxa"/>
          </w:tcPr>
          <w:p w:rsidR="00CA2702" w:rsidRDefault="00CA2702" w:rsidP="009D618C">
            <w:pPr>
              <w:pStyle w:val="TxBrp4"/>
              <w:widowControl/>
              <w:tabs>
                <w:tab w:val="clear" w:pos="583"/>
              </w:tabs>
              <w:spacing w:before="120" w:after="120" w:line="240" w:lineRule="auto"/>
              <w:jc w:val="center"/>
              <w:rPr>
                <w:rFonts w:ascii="Arial" w:hAnsi="Arial" w:cs="Arial"/>
                <w:b/>
                <w:sz w:val="20"/>
              </w:rPr>
            </w:pPr>
            <w:r>
              <w:rPr>
                <w:rFonts w:ascii="Arial" w:hAnsi="Arial" w:cs="Arial"/>
                <w:b/>
                <w:sz w:val="20"/>
              </w:rPr>
              <w:t>2,800</w:t>
            </w:r>
            <w:r>
              <w:rPr>
                <w:rStyle w:val="FootnoteReference"/>
                <w:rFonts w:ascii="Arial" w:hAnsi="Arial" w:cs="Arial"/>
                <w:b/>
                <w:sz w:val="20"/>
              </w:rPr>
              <w:footnoteReference w:id="8"/>
            </w:r>
          </w:p>
        </w:tc>
        <w:tc>
          <w:tcPr>
            <w:tcW w:w="1511" w:type="dxa"/>
          </w:tcPr>
          <w:p w:rsidR="00CA2702" w:rsidRDefault="00FE19E5" w:rsidP="00FE19E5">
            <w:pPr>
              <w:pStyle w:val="TxBrp4"/>
              <w:widowControl/>
              <w:tabs>
                <w:tab w:val="clear" w:pos="583"/>
              </w:tabs>
              <w:spacing w:before="120" w:after="120" w:line="240" w:lineRule="auto"/>
              <w:jc w:val="center"/>
              <w:rPr>
                <w:rFonts w:ascii="Arial" w:hAnsi="Arial" w:cs="Arial"/>
                <w:b/>
                <w:sz w:val="20"/>
              </w:rPr>
            </w:pPr>
            <w:r>
              <w:rPr>
                <w:rFonts w:ascii="Arial" w:hAnsi="Arial" w:cs="Arial"/>
                <w:b/>
                <w:sz w:val="20"/>
              </w:rPr>
              <w:t>13,600**</w:t>
            </w:r>
          </w:p>
        </w:tc>
        <w:tc>
          <w:tcPr>
            <w:tcW w:w="1106" w:type="dxa"/>
          </w:tcPr>
          <w:p w:rsidR="00CA2702" w:rsidRPr="00D71CF8" w:rsidRDefault="00271220" w:rsidP="001E076A">
            <w:pPr>
              <w:pStyle w:val="TxBrp4"/>
              <w:widowControl/>
              <w:tabs>
                <w:tab w:val="clear" w:pos="583"/>
              </w:tabs>
              <w:spacing w:before="120" w:after="120" w:line="240" w:lineRule="auto"/>
              <w:jc w:val="center"/>
              <w:rPr>
                <w:rFonts w:ascii="Arial" w:hAnsi="Arial" w:cs="Arial"/>
                <w:b/>
                <w:sz w:val="20"/>
              </w:rPr>
            </w:pPr>
            <w:r>
              <w:rPr>
                <w:rFonts w:ascii="Arial" w:hAnsi="Arial" w:cs="Arial"/>
                <w:b/>
                <w:sz w:val="20"/>
              </w:rPr>
              <w:t>0</w:t>
            </w:r>
            <w:r w:rsidR="00CA2702">
              <w:rPr>
                <w:rFonts w:ascii="Arial" w:hAnsi="Arial" w:cs="Arial"/>
                <w:b/>
                <w:sz w:val="20"/>
              </w:rPr>
              <w:t>.5</w:t>
            </w:r>
          </w:p>
        </w:tc>
        <w:tc>
          <w:tcPr>
            <w:tcW w:w="1194" w:type="dxa"/>
          </w:tcPr>
          <w:p w:rsidR="00CA2702" w:rsidRDefault="00FE19E5" w:rsidP="00FE19E5">
            <w:pPr>
              <w:pStyle w:val="TxBrp4"/>
              <w:widowControl/>
              <w:tabs>
                <w:tab w:val="clear" w:pos="583"/>
              </w:tabs>
              <w:spacing w:before="120" w:after="120" w:line="240" w:lineRule="auto"/>
              <w:jc w:val="center"/>
              <w:rPr>
                <w:rFonts w:ascii="Arial" w:hAnsi="Arial" w:cs="Arial"/>
                <w:b/>
                <w:sz w:val="20"/>
              </w:rPr>
            </w:pPr>
            <w:r>
              <w:rPr>
                <w:rFonts w:ascii="Arial" w:hAnsi="Arial" w:cs="Arial"/>
                <w:b/>
                <w:sz w:val="20"/>
              </w:rPr>
              <w:t>6,800***</w:t>
            </w:r>
          </w:p>
        </w:tc>
        <w:tc>
          <w:tcPr>
            <w:tcW w:w="1123" w:type="dxa"/>
          </w:tcPr>
          <w:p w:rsidR="00CA2702" w:rsidRPr="00D71CF8" w:rsidRDefault="00117E12" w:rsidP="00D71CF8">
            <w:pPr>
              <w:pStyle w:val="TxBrp4"/>
              <w:widowControl/>
              <w:tabs>
                <w:tab w:val="clear" w:pos="583"/>
              </w:tabs>
              <w:spacing w:before="120" w:after="120" w:line="240" w:lineRule="auto"/>
              <w:jc w:val="center"/>
              <w:rPr>
                <w:rFonts w:ascii="Arial" w:hAnsi="Arial" w:cs="Arial"/>
                <w:b/>
                <w:sz w:val="20"/>
              </w:rPr>
            </w:pPr>
            <w:r>
              <w:rPr>
                <w:rFonts w:ascii="Arial" w:hAnsi="Arial" w:cs="Arial"/>
                <w:b/>
                <w:sz w:val="20"/>
              </w:rPr>
              <w:t>$31.00</w:t>
            </w:r>
          </w:p>
        </w:tc>
        <w:tc>
          <w:tcPr>
            <w:tcW w:w="1487" w:type="dxa"/>
          </w:tcPr>
          <w:p w:rsidR="00CA2702" w:rsidRPr="004A01A1" w:rsidRDefault="00561314" w:rsidP="00561314">
            <w:pPr>
              <w:pStyle w:val="TxBrp4"/>
              <w:widowControl/>
              <w:tabs>
                <w:tab w:val="clear" w:pos="583"/>
              </w:tabs>
              <w:spacing w:before="120" w:after="120" w:line="240" w:lineRule="auto"/>
              <w:jc w:val="center"/>
              <w:rPr>
                <w:rFonts w:ascii="Arial" w:hAnsi="Arial"/>
                <w:b/>
                <w:snapToGrid/>
                <w:sz w:val="20"/>
              </w:rPr>
            </w:pPr>
            <w:r>
              <w:rPr>
                <w:rFonts w:ascii="Arial" w:hAnsi="Arial"/>
                <w:b/>
                <w:snapToGrid/>
                <w:sz w:val="20"/>
              </w:rPr>
              <w:t>$210,800****</w:t>
            </w:r>
          </w:p>
        </w:tc>
      </w:tr>
      <w:tr w:rsidR="00002456" w:rsidRPr="00D71CF8" w:rsidTr="004A01A1">
        <w:tc>
          <w:tcPr>
            <w:tcW w:w="1439" w:type="dxa"/>
          </w:tcPr>
          <w:p w:rsidR="00002456" w:rsidRDefault="00002456" w:rsidP="001E076A">
            <w:pPr>
              <w:pStyle w:val="TxBrp4"/>
              <w:widowControl/>
              <w:tabs>
                <w:tab w:val="clear" w:pos="583"/>
              </w:tabs>
              <w:spacing w:before="120" w:after="120" w:line="240" w:lineRule="auto"/>
              <w:jc w:val="center"/>
              <w:rPr>
                <w:rFonts w:ascii="Arial" w:hAnsi="Arial" w:cs="Arial"/>
                <w:b/>
                <w:sz w:val="20"/>
              </w:rPr>
            </w:pPr>
            <w:r>
              <w:rPr>
                <w:rFonts w:ascii="Arial" w:hAnsi="Arial" w:cs="Arial"/>
                <w:b/>
                <w:sz w:val="20"/>
              </w:rPr>
              <w:t>TOTAL</w:t>
            </w:r>
          </w:p>
        </w:tc>
        <w:tc>
          <w:tcPr>
            <w:tcW w:w="1550" w:type="dxa"/>
          </w:tcPr>
          <w:p w:rsidR="00002456" w:rsidRDefault="00002456" w:rsidP="00CD79E3">
            <w:pPr>
              <w:pStyle w:val="TxBrp4"/>
              <w:widowControl/>
              <w:tabs>
                <w:tab w:val="clear" w:pos="583"/>
              </w:tabs>
              <w:spacing w:before="120" w:after="120" w:line="240" w:lineRule="auto"/>
              <w:jc w:val="center"/>
              <w:rPr>
                <w:rFonts w:ascii="Arial" w:hAnsi="Arial" w:cs="Arial"/>
                <w:b/>
                <w:sz w:val="20"/>
              </w:rPr>
            </w:pPr>
            <w:r>
              <w:rPr>
                <w:rFonts w:ascii="Arial" w:hAnsi="Arial" w:cs="Arial"/>
                <w:b/>
                <w:sz w:val="20"/>
              </w:rPr>
              <w:t>3</w:t>
            </w:r>
            <w:r w:rsidR="00271220">
              <w:rPr>
                <w:rFonts w:ascii="Arial" w:hAnsi="Arial" w:cs="Arial"/>
                <w:b/>
                <w:sz w:val="20"/>
              </w:rPr>
              <w:t>1</w:t>
            </w:r>
            <w:r>
              <w:rPr>
                <w:rFonts w:ascii="Arial" w:hAnsi="Arial" w:cs="Arial"/>
                <w:b/>
                <w:sz w:val="20"/>
              </w:rPr>
              <w:t>,</w:t>
            </w:r>
            <w:r w:rsidR="00CD79E3">
              <w:rPr>
                <w:rFonts w:ascii="Arial" w:hAnsi="Arial" w:cs="Arial"/>
                <w:b/>
                <w:sz w:val="20"/>
              </w:rPr>
              <w:t>7</w:t>
            </w:r>
            <w:r w:rsidR="009D618C">
              <w:rPr>
                <w:rFonts w:ascii="Arial" w:hAnsi="Arial" w:cs="Arial"/>
                <w:b/>
                <w:sz w:val="20"/>
              </w:rPr>
              <w:t>94</w:t>
            </w:r>
            <w:r w:rsidR="00FE19E5">
              <w:rPr>
                <w:rFonts w:ascii="Arial" w:hAnsi="Arial" w:cs="Arial"/>
                <w:b/>
                <w:sz w:val="20"/>
              </w:rPr>
              <w:t>*</w:t>
            </w:r>
          </w:p>
        </w:tc>
        <w:tc>
          <w:tcPr>
            <w:tcW w:w="1511" w:type="dxa"/>
          </w:tcPr>
          <w:p w:rsidR="00002456" w:rsidRPr="00D71CF8" w:rsidRDefault="00117E12" w:rsidP="00FE19E5">
            <w:pPr>
              <w:pStyle w:val="TxBrp4"/>
              <w:widowControl/>
              <w:tabs>
                <w:tab w:val="clear" w:pos="583"/>
              </w:tabs>
              <w:spacing w:before="120" w:after="120" w:line="240" w:lineRule="auto"/>
              <w:jc w:val="center"/>
              <w:rPr>
                <w:rFonts w:ascii="Arial" w:hAnsi="Arial" w:cs="Arial"/>
                <w:b/>
                <w:sz w:val="20"/>
              </w:rPr>
            </w:pPr>
            <w:r>
              <w:rPr>
                <w:rFonts w:ascii="Arial" w:hAnsi="Arial" w:cs="Arial"/>
                <w:b/>
                <w:sz w:val="20"/>
              </w:rPr>
              <w:t>1</w:t>
            </w:r>
            <w:r w:rsidR="00FE19E5">
              <w:rPr>
                <w:rFonts w:ascii="Arial" w:hAnsi="Arial" w:cs="Arial"/>
                <w:b/>
                <w:sz w:val="20"/>
              </w:rPr>
              <w:t>70,866</w:t>
            </w:r>
          </w:p>
        </w:tc>
        <w:tc>
          <w:tcPr>
            <w:tcW w:w="1106" w:type="dxa"/>
          </w:tcPr>
          <w:p w:rsidR="00002456" w:rsidRPr="00D71CF8" w:rsidRDefault="00561314" w:rsidP="001E076A">
            <w:pPr>
              <w:pStyle w:val="TxBrp4"/>
              <w:widowControl/>
              <w:tabs>
                <w:tab w:val="clear" w:pos="583"/>
              </w:tabs>
              <w:spacing w:before="120" w:after="120" w:line="240" w:lineRule="auto"/>
              <w:jc w:val="center"/>
              <w:rPr>
                <w:rFonts w:ascii="Arial" w:hAnsi="Arial" w:cs="Arial"/>
                <w:b/>
                <w:sz w:val="20"/>
              </w:rPr>
            </w:pPr>
            <w:r>
              <w:rPr>
                <w:rFonts w:ascii="Arial" w:hAnsi="Arial" w:cs="Arial"/>
                <w:b/>
                <w:sz w:val="20"/>
              </w:rPr>
              <w:t>-</w:t>
            </w:r>
          </w:p>
        </w:tc>
        <w:tc>
          <w:tcPr>
            <w:tcW w:w="1194" w:type="dxa"/>
          </w:tcPr>
          <w:p w:rsidR="00002456" w:rsidRPr="00D71CF8" w:rsidRDefault="00002456" w:rsidP="00561314">
            <w:pPr>
              <w:pStyle w:val="TxBrp4"/>
              <w:widowControl/>
              <w:tabs>
                <w:tab w:val="clear" w:pos="583"/>
              </w:tabs>
              <w:spacing w:before="120" w:after="120" w:line="240" w:lineRule="auto"/>
              <w:jc w:val="center"/>
              <w:rPr>
                <w:rFonts w:ascii="Arial" w:hAnsi="Arial" w:cs="Arial"/>
                <w:b/>
                <w:sz w:val="20"/>
              </w:rPr>
            </w:pPr>
            <w:r>
              <w:rPr>
                <w:rFonts w:ascii="Arial" w:hAnsi="Arial" w:cs="Arial"/>
                <w:b/>
                <w:sz w:val="20"/>
              </w:rPr>
              <w:t>1</w:t>
            </w:r>
            <w:r w:rsidR="00561314">
              <w:rPr>
                <w:rFonts w:ascii="Arial" w:hAnsi="Arial" w:cs="Arial"/>
                <w:b/>
                <w:sz w:val="20"/>
              </w:rPr>
              <w:t>63</w:t>
            </w:r>
            <w:r w:rsidR="00C47071">
              <w:rPr>
                <w:rFonts w:ascii="Arial" w:hAnsi="Arial" w:cs="Arial"/>
                <w:b/>
                <w:sz w:val="20"/>
              </w:rPr>
              <w:t>,</w:t>
            </w:r>
            <w:r w:rsidR="00561314">
              <w:rPr>
                <w:rFonts w:ascii="Arial" w:hAnsi="Arial" w:cs="Arial"/>
                <w:b/>
                <w:sz w:val="20"/>
              </w:rPr>
              <w:t>994</w:t>
            </w:r>
          </w:p>
        </w:tc>
        <w:tc>
          <w:tcPr>
            <w:tcW w:w="1123" w:type="dxa"/>
          </w:tcPr>
          <w:p w:rsidR="00002456" w:rsidRPr="00D71CF8" w:rsidRDefault="00561314" w:rsidP="00D71CF8">
            <w:pPr>
              <w:pStyle w:val="TxBrp4"/>
              <w:widowControl/>
              <w:tabs>
                <w:tab w:val="clear" w:pos="583"/>
              </w:tabs>
              <w:spacing w:before="120" w:after="120" w:line="240" w:lineRule="auto"/>
              <w:jc w:val="center"/>
              <w:rPr>
                <w:rFonts w:ascii="Arial" w:hAnsi="Arial" w:cs="Arial"/>
                <w:b/>
                <w:sz w:val="20"/>
              </w:rPr>
            </w:pPr>
            <w:r>
              <w:rPr>
                <w:rFonts w:ascii="Arial" w:hAnsi="Arial" w:cs="Arial"/>
                <w:b/>
                <w:sz w:val="20"/>
              </w:rPr>
              <w:t>-</w:t>
            </w:r>
          </w:p>
        </w:tc>
        <w:tc>
          <w:tcPr>
            <w:tcW w:w="1487" w:type="dxa"/>
          </w:tcPr>
          <w:p w:rsidR="00002456" w:rsidRPr="004A01A1" w:rsidRDefault="00002456" w:rsidP="00212BB1">
            <w:pPr>
              <w:pStyle w:val="TxBrp4"/>
              <w:widowControl/>
              <w:tabs>
                <w:tab w:val="clear" w:pos="583"/>
              </w:tabs>
              <w:spacing w:before="120" w:after="120" w:line="240" w:lineRule="auto"/>
              <w:jc w:val="center"/>
              <w:rPr>
                <w:rFonts w:ascii="Arial" w:hAnsi="Arial"/>
                <w:b/>
                <w:snapToGrid/>
                <w:sz w:val="20"/>
              </w:rPr>
            </w:pPr>
            <w:r w:rsidRPr="004A01A1">
              <w:rPr>
                <w:rFonts w:ascii="Arial" w:hAnsi="Arial"/>
                <w:b/>
                <w:snapToGrid/>
                <w:sz w:val="20"/>
              </w:rPr>
              <w:t>$</w:t>
            </w:r>
            <w:r w:rsidR="00212BB1">
              <w:rPr>
                <w:rFonts w:ascii="Arial" w:hAnsi="Arial"/>
                <w:b/>
                <w:snapToGrid/>
                <w:sz w:val="20"/>
              </w:rPr>
              <w:t>5</w:t>
            </w:r>
            <w:r w:rsidR="00117E12" w:rsidRPr="004A01A1">
              <w:rPr>
                <w:rFonts w:ascii="Arial" w:hAnsi="Arial"/>
                <w:b/>
                <w:snapToGrid/>
                <w:sz w:val="20"/>
              </w:rPr>
              <w:t>,</w:t>
            </w:r>
            <w:r w:rsidR="00212BB1">
              <w:rPr>
                <w:rFonts w:ascii="Arial" w:hAnsi="Arial"/>
                <w:b/>
                <w:snapToGrid/>
                <w:sz w:val="20"/>
              </w:rPr>
              <w:t>083</w:t>
            </w:r>
            <w:r w:rsidR="00117E12" w:rsidRPr="004A01A1">
              <w:rPr>
                <w:rFonts w:ascii="Arial" w:hAnsi="Arial"/>
                <w:b/>
                <w:snapToGrid/>
                <w:sz w:val="20"/>
              </w:rPr>
              <w:t>,</w:t>
            </w:r>
            <w:r w:rsidR="00212BB1">
              <w:rPr>
                <w:rFonts w:ascii="Arial" w:hAnsi="Arial"/>
                <w:b/>
                <w:snapToGrid/>
                <w:sz w:val="20"/>
              </w:rPr>
              <w:t>814</w:t>
            </w:r>
          </w:p>
        </w:tc>
      </w:tr>
    </w:tbl>
    <w:p w:rsidR="009600E6" w:rsidRDefault="00FE19E5">
      <w:pPr>
        <w:pStyle w:val="TxBrp4"/>
        <w:widowControl/>
        <w:tabs>
          <w:tab w:val="clear" w:pos="583"/>
        </w:tabs>
        <w:spacing w:line="240" w:lineRule="auto"/>
        <w:rPr>
          <w:rFonts w:ascii="Arial" w:hAnsi="Arial"/>
          <w:snapToGrid/>
          <w:sz w:val="18"/>
          <w:szCs w:val="18"/>
        </w:rPr>
      </w:pPr>
      <w:r>
        <w:rPr>
          <w:rFonts w:ascii="Arial" w:hAnsi="Arial"/>
          <w:snapToGrid/>
        </w:rPr>
        <w:t>*</w:t>
      </w:r>
      <w:r>
        <w:rPr>
          <w:rFonts w:ascii="Arial" w:hAnsi="Arial"/>
          <w:snapToGrid/>
          <w:sz w:val="18"/>
          <w:szCs w:val="18"/>
        </w:rPr>
        <w:t>See footnote number 9.  31,594 includes an increased population of 600 vessels carrying CDCs.</w:t>
      </w:r>
    </w:p>
    <w:p w:rsidR="00FE19E5" w:rsidRPr="00FE19E5" w:rsidRDefault="00FE19E5">
      <w:pPr>
        <w:pStyle w:val="TxBrp4"/>
        <w:widowControl/>
        <w:tabs>
          <w:tab w:val="clear" w:pos="583"/>
        </w:tabs>
        <w:spacing w:line="240" w:lineRule="auto"/>
        <w:rPr>
          <w:rFonts w:ascii="Arial" w:hAnsi="Arial"/>
          <w:snapToGrid/>
          <w:sz w:val="18"/>
          <w:szCs w:val="18"/>
        </w:rPr>
      </w:pPr>
      <w:r>
        <w:rPr>
          <w:rFonts w:ascii="Arial" w:hAnsi="Arial"/>
          <w:snapToGrid/>
          <w:sz w:val="18"/>
          <w:szCs w:val="18"/>
        </w:rPr>
        <w:t>**</w:t>
      </w:r>
      <w:r w:rsidR="00561314">
        <w:rPr>
          <w:rFonts w:ascii="Arial" w:hAnsi="Arial"/>
          <w:snapToGrid/>
          <w:sz w:val="18"/>
          <w:szCs w:val="18"/>
        </w:rPr>
        <w:t>Based on new data, the number of CDC arrivals increased by</w:t>
      </w:r>
      <w:r>
        <w:rPr>
          <w:rFonts w:ascii="Arial" w:hAnsi="Arial"/>
          <w:snapToGrid/>
          <w:sz w:val="18"/>
          <w:szCs w:val="18"/>
        </w:rPr>
        <w:t xml:space="preserve"> 13,600 </w:t>
      </w:r>
      <w:r w:rsidR="00561314">
        <w:rPr>
          <w:rFonts w:ascii="Arial" w:hAnsi="Arial"/>
          <w:snapToGrid/>
          <w:sz w:val="18"/>
          <w:szCs w:val="18"/>
        </w:rPr>
        <w:t>annually</w:t>
      </w:r>
      <w:r>
        <w:rPr>
          <w:rFonts w:ascii="Arial" w:hAnsi="Arial"/>
          <w:snapToGrid/>
          <w:sz w:val="18"/>
          <w:szCs w:val="18"/>
        </w:rPr>
        <w:t>; however, the CDC NPRM actually would reduce future NOA submissions by 1,250 annually.</w:t>
      </w:r>
    </w:p>
    <w:p w:rsidR="00FE19E5" w:rsidRPr="00561314" w:rsidRDefault="00FE19E5">
      <w:pPr>
        <w:pStyle w:val="TxBrp4"/>
        <w:widowControl/>
        <w:tabs>
          <w:tab w:val="clear" w:pos="583"/>
        </w:tabs>
        <w:spacing w:line="240" w:lineRule="auto"/>
        <w:rPr>
          <w:rFonts w:ascii="Arial" w:hAnsi="Arial"/>
          <w:snapToGrid/>
          <w:sz w:val="18"/>
          <w:szCs w:val="18"/>
        </w:rPr>
      </w:pPr>
      <w:r w:rsidRPr="00FE19E5">
        <w:rPr>
          <w:rFonts w:ascii="Arial" w:hAnsi="Arial"/>
          <w:snapToGrid/>
          <w:sz w:val="18"/>
          <w:szCs w:val="18"/>
        </w:rPr>
        <w:t>***As noted above</w:t>
      </w:r>
      <w:r>
        <w:rPr>
          <w:rFonts w:ascii="Arial" w:hAnsi="Arial"/>
          <w:snapToGrid/>
          <w:sz w:val="18"/>
          <w:szCs w:val="18"/>
        </w:rPr>
        <w:t xml:space="preserve">, </w:t>
      </w:r>
      <w:r w:rsidR="00561314">
        <w:rPr>
          <w:rFonts w:ascii="Arial" w:hAnsi="Arial"/>
          <w:snapToGrid/>
          <w:sz w:val="18"/>
          <w:szCs w:val="18"/>
        </w:rPr>
        <w:t>the number of increased arrivals i</w:t>
      </w:r>
      <w:r>
        <w:rPr>
          <w:rFonts w:ascii="Arial" w:hAnsi="Arial"/>
          <w:snapToGrid/>
          <w:sz w:val="18"/>
          <w:szCs w:val="18"/>
        </w:rPr>
        <w:t xml:space="preserve">ncreases the annual hour burden by 6,800 hours; however, the CDC NRPM would reduce the annual hour burden by 625 hours based </w:t>
      </w:r>
      <w:r w:rsidR="00561314">
        <w:rPr>
          <w:rFonts w:ascii="Arial" w:hAnsi="Arial"/>
          <w:snapToGrid/>
          <w:sz w:val="18"/>
          <w:szCs w:val="18"/>
        </w:rPr>
        <w:t>on the new requirements in the CDC NPRM.</w:t>
      </w:r>
      <w:r>
        <w:rPr>
          <w:rFonts w:ascii="Arial" w:hAnsi="Arial"/>
          <w:snapToGrid/>
          <w:sz w:val="18"/>
          <w:szCs w:val="18"/>
        </w:rPr>
        <w:t>.</w:t>
      </w:r>
    </w:p>
    <w:p w:rsidR="00561314" w:rsidRPr="00561314" w:rsidRDefault="00561314">
      <w:pPr>
        <w:pStyle w:val="TxBrp4"/>
        <w:widowControl/>
        <w:tabs>
          <w:tab w:val="clear" w:pos="583"/>
        </w:tabs>
        <w:spacing w:line="240" w:lineRule="auto"/>
        <w:rPr>
          <w:rFonts w:ascii="Arial" w:hAnsi="Arial"/>
          <w:snapToGrid/>
          <w:sz w:val="18"/>
          <w:szCs w:val="18"/>
        </w:rPr>
      </w:pPr>
      <w:r>
        <w:rPr>
          <w:rFonts w:ascii="Arial" w:hAnsi="Arial"/>
          <w:snapToGrid/>
          <w:sz w:val="18"/>
          <w:szCs w:val="18"/>
        </w:rPr>
        <w:t>****Based on new data on the number of vessels that carry CDCs, the annual cost for submissions has increased; however, the CDC NPRM would reduce the number of submissions as noted above and the annual cost by $</w:t>
      </w:r>
      <w:r w:rsidR="00212BB1">
        <w:rPr>
          <w:rFonts w:ascii="Arial" w:hAnsi="Arial"/>
          <w:snapToGrid/>
          <w:sz w:val="18"/>
          <w:szCs w:val="18"/>
        </w:rPr>
        <w:t>19,375.</w:t>
      </w:r>
    </w:p>
    <w:p w:rsidR="00561314" w:rsidRDefault="00561314">
      <w:pPr>
        <w:pStyle w:val="TxBrp4"/>
        <w:widowControl/>
        <w:tabs>
          <w:tab w:val="clear" w:pos="583"/>
        </w:tabs>
        <w:spacing w:line="240" w:lineRule="auto"/>
        <w:rPr>
          <w:rFonts w:ascii="Arial" w:hAnsi="Arial"/>
          <w:snapToGrid/>
        </w:rPr>
      </w:pPr>
    </w:p>
    <w:p w:rsidR="00731F14" w:rsidRDefault="00731F14">
      <w:pPr>
        <w:pStyle w:val="TxBrp4"/>
        <w:widowControl/>
        <w:tabs>
          <w:tab w:val="clear" w:pos="583"/>
        </w:tabs>
        <w:spacing w:line="240" w:lineRule="auto"/>
        <w:rPr>
          <w:rFonts w:ascii="Arial" w:hAnsi="Arial"/>
          <w:snapToGrid/>
          <w:u w:val="single"/>
        </w:rPr>
      </w:pPr>
      <w:r>
        <w:rPr>
          <w:rFonts w:ascii="Arial" w:hAnsi="Arial"/>
          <w:snapToGrid/>
        </w:rPr>
        <w:t xml:space="preserve">b. </w:t>
      </w:r>
      <w:r>
        <w:rPr>
          <w:rFonts w:ascii="Arial" w:hAnsi="Arial"/>
          <w:snapToGrid/>
          <w:u w:val="single"/>
        </w:rPr>
        <w:t>Waivers</w:t>
      </w:r>
    </w:p>
    <w:p w:rsidR="00731F14" w:rsidRDefault="00731F14">
      <w:pPr>
        <w:pStyle w:val="TxBrp4"/>
        <w:widowControl/>
        <w:tabs>
          <w:tab w:val="clear" w:pos="583"/>
        </w:tabs>
        <w:spacing w:line="240" w:lineRule="auto"/>
        <w:rPr>
          <w:rFonts w:ascii="Arial" w:hAnsi="Arial"/>
          <w:snapToGrid/>
        </w:rPr>
      </w:pPr>
    </w:p>
    <w:p w:rsidR="00731F14" w:rsidRDefault="00731F14">
      <w:pPr>
        <w:pStyle w:val="TxBrp4"/>
        <w:widowControl/>
        <w:tabs>
          <w:tab w:val="clear" w:pos="583"/>
        </w:tabs>
        <w:spacing w:line="240" w:lineRule="auto"/>
        <w:rPr>
          <w:rFonts w:ascii="Arial" w:hAnsi="Arial"/>
          <w:snapToGrid/>
        </w:rPr>
      </w:pPr>
      <w:r>
        <w:rPr>
          <w:rFonts w:ascii="Arial" w:hAnsi="Arial"/>
          <w:snapToGrid/>
        </w:rPr>
        <w:t>Previous experience indicates that the Coast Guard receives approximately 150 waiver requests annually.  We assume each waiver request takes approximately 30 minutes of management time to develop and 30 minutes of clerical time to type for a burden of 1 hour per request.  Using 1 hour per request, the total burden is 150 hours per year.  At $</w:t>
      </w:r>
      <w:r w:rsidR="00805347">
        <w:rPr>
          <w:rFonts w:ascii="Arial" w:hAnsi="Arial"/>
          <w:snapToGrid/>
        </w:rPr>
        <w:t>84</w:t>
      </w:r>
      <w:r>
        <w:rPr>
          <w:rFonts w:ascii="Arial" w:hAnsi="Arial"/>
          <w:snapToGrid/>
        </w:rPr>
        <w:t>.00 per hour</w:t>
      </w:r>
      <w:r>
        <w:rPr>
          <w:rStyle w:val="FootnoteReference"/>
          <w:rFonts w:ascii="Arial" w:hAnsi="Arial"/>
          <w:snapToGrid/>
        </w:rPr>
        <w:footnoteReference w:id="9"/>
      </w:r>
      <w:r>
        <w:rPr>
          <w:rFonts w:ascii="Arial" w:hAnsi="Arial"/>
          <w:snapToGrid/>
        </w:rPr>
        <w:t xml:space="preserve"> for management time and $</w:t>
      </w:r>
      <w:r w:rsidR="00805347">
        <w:rPr>
          <w:rFonts w:ascii="Arial" w:hAnsi="Arial"/>
          <w:snapToGrid/>
        </w:rPr>
        <w:t>54</w:t>
      </w:r>
      <w:r>
        <w:rPr>
          <w:rFonts w:ascii="Arial" w:hAnsi="Arial"/>
          <w:snapToGrid/>
        </w:rPr>
        <w:t>.00 per hour</w:t>
      </w:r>
      <w:r>
        <w:rPr>
          <w:rStyle w:val="FootnoteReference"/>
          <w:rFonts w:ascii="Arial" w:hAnsi="Arial"/>
          <w:snapToGrid/>
        </w:rPr>
        <w:footnoteReference w:id="10"/>
      </w:r>
      <w:r>
        <w:rPr>
          <w:rFonts w:ascii="Arial" w:hAnsi="Arial"/>
          <w:snapToGrid/>
        </w:rPr>
        <w:t xml:space="preserve"> for clerical time, the cost for waiver requests is $</w:t>
      </w:r>
      <w:r w:rsidR="00805347">
        <w:rPr>
          <w:rFonts w:ascii="Arial" w:hAnsi="Arial"/>
          <w:snapToGrid/>
        </w:rPr>
        <w:t>10,350</w:t>
      </w:r>
      <w:r>
        <w:rPr>
          <w:rFonts w:ascii="Arial" w:hAnsi="Arial"/>
          <w:snapToGrid/>
        </w:rPr>
        <w:t xml:space="preserve"> as shown in Table </w:t>
      </w:r>
      <w:r w:rsidR="0075035A">
        <w:rPr>
          <w:rFonts w:ascii="Arial" w:hAnsi="Arial"/>
          <w:snapToGrid/>
        </w:rPr>
        <w:t>3</w:t>
      </w:r>
      <w:r>
        <w:rPr>
          <w:rFonts w:ascii="Arial" w:hAnsi="Arial"/>
          <w:snapToGrid/>
        </w:rPr>
        <w:t>.</w:t>
      </w:r>
    </w:p>
    <w:p w:rsidR="00731F14" w:rsidRDefault="00731F14">
      <w:pPr>
        <w:pStyle w:val="BodyText"/>
        <w:tabs>
          <w:tab w:val="left" w:pos="810"/>
        </w:tabs>
        <w:jc w:val="center"/>
        <w:rPr>
          <w:b/>
        </w:rPr>
      </w:pPr>
    </w:p>
    <w:p w:rsidR="00731F14" w:rsidRDefault="00731F14">
      <w:pPr>
        <w:pStyle w:val="BodyText"/>
        <w:tabs>
          <w:tab w:val="left" w:pos="810"/>
        </w:tabs>
        <w:jc w:val="center"/>
        <w:rPr>
          <w:b/>
        </w:rPr>
      </w:pPr>
      <w:r>
        <w:rPr>
          <w:b/>
        </w:rPr>
        <w:t xml:space="preserve">Table </w:t>
      </w:r>
      <w:r w:rsidR="0075035A">
        <w:rPr>
          <w:b/>
        </w:rPr>
        <w:t>3</w:t>
      </w:r>
      <w:r>
        <w:rPr>
          <w:b/>
        </w:rPr>
        <w:t>.</w:t>
      </w:r>
      <w:r>
        <w:rPr>
          <w:b/>
        </w:rPr>
        <w:br/>
        <w:t>Hour and Cost Burden of all 150 Waivers</w:t>
      </w:r>
    </w:p>
    <w:tbl>
      <w:tblPr>
        <w:tblW w:w="8325" w:type="dxa"/>
        <w:jc w:val="center"/>
        <w:tblInd w:w="1830"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2520"/>
        <w:gridCol w:w="1935"/>
        <w:gridCol w:w="1935"/>
        <w:gridCol w:w="1935"/>
      </w:tblGrid>
      <w:tr w:rsidR="009E3BAC" w:rsidTr="009E3BAC">
        <w:tblPrEx>
          <w:tblCellMar>
            <w:top w:w="0" w:type="dxa"/>
            <w:bottom w:w="0" w:type="dxa"/>
          </w:tblCellMar>
        </w:tblPrEx>
        <w:trPr>
          <w:trHeight w:val="262"/>
          <w:jc w:val="center"/>
        </w:trPr>
        <w:tc>
          <w:tcPr>
            <w:tcW w:w="2520" w:type="dxa"/>
            <w:tcBorders>
              <w:top w:val="single" w:sz="4" w:space="0" w:color="auto"/>
              <w:bottom w:val="single" w:sz="4" w:space="0" w:color="auto"/>
              <w:right w:val="nil"/>
            </w:tcBorders>
          </w:tcPr>
          <w:p w:rsidR="009E3BAC" w:rsidRDefault="009E3BAC" w:rsidP="009E3BAC">
            <w:pPr>
              <w:jc w:val="right"/>
              <w:rPr>
                <w:rFonts w:ascii="Arial" w:hAnsi="Arial"/>
                <w:snapToGrid w:val="0"/>
                <w:color w:val="000000"/>
                <w:sz w:val="24"/>
              </w:rPr>
            </w:pPr>
          </w:p>
        </w:tc>
        <w:tc>
          <w:tcPr>
            <w:tcW w:w="1935" w:type="dxa"/>
            <w:tcBorders>
              <w:top w:val="single" w:sz="4" w:space="0" w:color="auto"/>
              <w:bottom w:val="single" w:sz="4" w:space="0" w:color="auto"/>
              <w:right w:val="single" w:sz="4" w:space="0" w:color="auto"/>
            </w:tcBorders>
          </w:tcPr>
          <w:p w:rsidR="009E3BAC" w:rsidRDefault="009E3BAC" w:rsidP="009E3BAC">
            <w:pPr>
              <w:jc w:val="center"/>
              <w:rPr>
                <w:rFonts w:ascii="Arial" w:hAnsi="Arial"/>
                <w:b/>
                <w:snapToGrid w:val="0"/>
                <w:color w:val="000000"/>
                <w:sz w:val="24"/>
              </w:rPr>
            </w:pPr>
            <w:r>
              <w:rPr>
                <w:rFonts w:ascii="Arial" w:hAnsi="Arial"/>
                <w:b/>
                <w:snapToGrid w:val="0"/>
                <w:color w:val="000000"/>
                <w:sz w:val="24"/>
              </w:rPr>
              <w:t>Hour Burden per response</w:t>
            </w:r>
          </w:p>
        </w:tc>
        <w:tc>
          <w:tcPr>
            <w:tcW w:w="1935" w:type="dxa"/>
            <w:tcBorders>
              <w:top w:val="single" w:sz="4" w:space="0" w:color="auto"/>
              <w:left w:val="single" w:sz="4" w:space="0" w:color="auto"/>
              <w:bottom w:val="single" w:sz="4" w:space="0" w:color="auto"/>
              <w:right w:val="single" w:sz="4" w:space="0" w:color="auto"/>
            </w:tcBorders>
          </w:tcPr>
          <w:p w:rsidR="009E3BAC" w:rsidRDefault="009E3BAC" w:rsidP="009E3BAC">
            <w:pPr>
              <w:jc w:val="center"/>
              <w:rPr>
                <w:rFonts w:ascii="Arial" w:hAnsi="Arial"/>
                <w:b/>
                <w:snapToGrid w:val="0"/>
                <w:color w:val="000000"/>
                <w:sz w:val="24"/>
              </w:rPr>
            </w:pPr>
            <w:r>
              <w:rPr>
                <w:rFonts w:ascii="Arial" w:hAnsi="Arial"/>
                <w:b/>
                <w:snapToGrid w:val="0"/>
                <w:color w:val="000000"/>
                <w:sz w:val="24"/>
              </w:rPr>
              <w:t>Total Hour Burden</w:t>
            </w:r>
          </w:p>
        </w:tc>
        <w:tc>
          <w:tcPr>
            <w:tcW w:w="1935" w:type="dxa"/>
            <w:tcBorders>
              <w:top w:val="single" w:sz="4" w:space="0" w:color="auto"/>
              <w:left w:val="nil"/>
              <w:bottom w:val="single" w:sz="4" w:space="0" w:color="auto"/>
              <w:right w:val="single" w:sz="4" w:space="0" w:color="auto"/>
            </w:tcBorders>
            <w:vAlign w:val="bottom"/>
          </w:tcPr>
          <w:p w:rsidR="009E3BAC" w:rsidRDefault="009E3BAC" w:rsidP="009E3BAC">
            <w:pPr>
              <w:pStyle w:val="Heading7"/>
            </w:pPr>
            <w:r>
              <w:t>Total Cost Burden</w:t>
            </w:r>
          </w:p>
        </w:tc>
      </w:tr>
      <w:tr w:rsidR="009E3BAC" w:rsidTr="009E3BAC">
        <w:tblPrEx>
          <w:tblCellMar>
            <w:top w:w="0" w:type="dxa"/>
            <w:bottom w:w="0" w:type="dxa"/>
          </w:tblCellMar>
        </w:tblPrEx>
        <w:trPr>
          <w:trHeight w:val="262"/>
          <w:jc w:val="center"/>
        </w:trPr>
        <w:tc>
          <w:tcPr>
            <w:tcW w:w="2520" w:type="dxa"/>
            <w:tcBorders>
              <w:top w:val="nil"/>
              <w:right w:val="nil"/>
            </w:tcBorders>
          </w:tcPr>
          <w:p w:rsidR="009E3BAC" w:rsidRDefault="009E3BAC" w:rsidP="009E3BAC">
            <w:pPr>
              <w:rPr>
                <w:rFonts w:ascii="Arial" w:hAnsi="Arial"/>
                <w:snapToGrid w:val="0"/>
                <w:color w:val="000000"/>
                <w:sz w:val="24"/>
              </w:rPr>
            </w:pPr>
            <w:r>
              <w:rPr>
                <w:rFonts w:ascii="Arial" w:hAnsi="Arial"/>
                <w:snapToGrid w:val="0"/>
                <w:color w:val="000000"/>
                <w:sz w:val="24"/>
              </w:rPr>
              <w:t>Clerical ($54/hr)</w:t>
            </w:r>
          </w:p>
        </w:tc>
        <w:tc>
          <w:tcPr>
            <w:tcW w:w="1935" w:type="dxa"/>
            <w:tcBorders>
              <w:top w:val="nil"/>
              <w:right w:val="single" w:sz="4" w:space="0" w:color="auto"/>
            </w:tcBorders>
          </w:tcPr>
          <w:p w:rsidR="009E3BAC" w:rsidRDefault="009E3BAC" w:rsidP="009E3BAC">
            <w:pPr>
              <w:ind w:right="150"/>
              <w:jc w:val="right"/>
              <w:rPr>
                <w:rFonts w:ascii="Arial" w:hAnsi="Arial"/>
                <w:snapToGrid w:val="0"/>
                <w:color w:val="000000"/>
                <w:sz w:val="24"/>
              </w:rPr>
            </w:pPr>
            <w:r>
              <w:rPr>
                <w:rFonts w:ascii="Arial" w:hAnsi="Arial"/>
                <w:snapToGrid w:val="0"/>
                <w:color w:val="000000"/>
                <w:sz w:val="24"/>
              </w:rPr>
              <w:t>0.5hrs/waiver</w:t>
            </w:r>
          </w:p>
        </w:tc>
        <w:tc>
          <w:tcPr>
            <w:tcW w:w="1935" w:type="dxa"/>
            <w:tcBorders>
              <w:top w:val="nil"/>
              <w:left w:val="single" w:sz="4" w:space="0" w:color="auto"/>
              <w:bottom w:val="nil"/>
              <w:right w:val="single" w:sz="4" w:space="0" w:color="auto"/>
            </w:tcBorders>
          </w:tcPr>
          <w:p w:rsidR="009E3BAC" w:rsidRDefault="009E3BAC" w:rsidP="009E3BAC">
            <w:pPr>
              <w:ind w:right="150"/>
              <w:jc w:val="right"/>
              <w:rPr>
                <w:rFonts w:ascii="Arial" w:hAnsi="Arial"/>
                <w:snapToGrid w:val="0"/>
                <w:color w:val="000000"/>
                <w:sz w:val="24"/>
              </w:rPr>
            </w:pPr>
            <w:r>
              <w:rPr>
                <w:rFonts w:ascii="Arial" w:hAnsi="Arial"/>
                <w:snapToGrid w:val="0"/>
                <w:color w:val="000000"/>
                <w:sz w:val="24"/>
              </w:rPr>
              <w:t>75</w:t>
            </w:r>
          </w:p>
        </w:tc>
        <w:tc>
          <w:tcPr>
            <w:tcW w:w="1935" w:type="dxa"/>
            <w:tcBorders>
              <w:top w:val="nil"/>
              <w:left w:val="nil"/>
              <w:right w:val="single" w:sz="4" w:space="0" w:color="auto"/>
            </w:tcBorders>
          </w:tcPr>
          <w:p w:rsidR="009E3BAC" w:rsidRDefault="009E3BAC" w:rsidP="009E3BAC">
            <w:pPr>
              <w:ind w:right="240"/>
              <w:jc w:val="right"/>
              <w:rPr>
                <w:rFonts w:ascii="Arial" w:hAnsi="Arial"/>
                <w:snapToGrid w:val="0"/>
                <w:color w:val="000000"/>
                <w:sz w:val="24"/>
              </w:rPr>
            </w:pPr>
            <w:r>
              <w:rPr>
                <w:rFonts w:ascii="Arial" w:hAnsi="Arial"/>
                <w:snapToGrid w:val="0"/>
                <w:color w:val="000000"/>
                <w:sz w:val="24"/>
              </w:rPr>
              <w:t xml:space="preserve"> $4,050 </w:t>
            </w:r>
          </w:p>
        </w:tc>
      </w:tr>
      <w:tr w:rsidR="009E3BAC" w:rsidTr="009E3BAC">
        <w:tblPrEx>
          <w:tblCellMar>
            <w:top w:w="0" w:type="dxa"/>
            <w:bottom w:w="0" w:type="dxa"/>
          </w:tblCellMar>
        </w:tblPrEx>
        <w:trPr>
          <w:trHeight w:val="262"/>
          <w:jc w:val="center"/>
        </w:trPr>
        <w:tc>
          <w:tcPr>
            <w:tcW w:w="2520" w:type="dxa"/>
            <w:tcBorders>
              <w:bottom w:val="nil"/>
              <w:right w:val="nil"/>
            </w:tcBorders>
          </w:tcPr>
          <w:p w:rsidR="009E3BAC" w:rsidRDefault="009E3BAC" w:rsidP="009E3BAC">
            <w:pPr>
              <w:rPr>
                <w:rFonts w:ascii="Arial" w:hAnsi="Arial"/>
                <w:snapToGrid w:val="0"/>
                <w:color w:val="000000"/>
                <w:sz w:val="24"/>
              </w:rPr>
            </w:pPr>
            <w:r>
              <w:rPr>
                <w:rFonts w:ascii="Arial" w:hAnsi="Arial"/>
                <w:snapToGrid w:val="0"/>
                <w:color w:val="000000"/>
                <w:sz w:val="24"/>
              </w:rPr>
              <w:t>Management ($84/hr)</w:t>
            </w:r>
          </w:p>
        </w:tc>
        <w:tc>
          <w:tcPr>
            <w:tcW w:w="1935" w:type="dxa"/>
            <w:tcBorders>
              <w:bottom w:val="nil"/>
              <w:right w:val="single" w:sz="4" w:space="0" w:color="auto"/>
            </w:tcBorders>
          </w:tcPr>
          <w:p w:rsidR="009E3BAC" w:rsidRDefault="009E3BAC" w:rsidP="009E3BAC">
            <w:pPr>
              <w:ind w:right="150"/>
              <w:jc w:val="right"/>
              <w:rPr>
                <w:rFonts w:ascii="Arial" w:hAnsi="Arial"/>
                <w:snapToGrid w:val="0"/>
                <w:color w:val="000000"/>
                <w:sz w:val="24"/>
              </w:rPr>
            </w:pPr>
            <w:r>
              <w:rPr>
                <w:rFonts w:ascii="Arial" w:hAnsi="Arial"/>
                <w:snapToGrid w:val="0"/>
                <w:color w:val="000000"/>
                <w:sz w:val="24"/>
              </w:rPr>
              <w:t>0.5hrs/waiver</w:t>
            </w:r>
          </w:p>
        </w:tc>
        <w:tc>
          <w:tcPr>
            <w:tcW w:w="1935" w:type="dxa"/>
            <w:tcBorders>
              <w:top w:val="nil"/>
              <w:left w:val="single" w:sz="4" w:space="0" w:color="auto"/>
              <w:bottom w:val="nil"/>
              <w:right w:val="single" w:sz="4" w:space="0" w:color="auto"/>
            </w:tcBorders>
          </w:tcPr>
          <w:p w:rsidR="009E3BAC" w:rsidRDefault="009E3BAC" w:rsidP="009E3BAC">
            <w:pPr>
              <w:ind w:right="150"/>
              <w:jc w:val="right"/>
              <w:rPr>
                <w:rFonts w:ascii="Arial" w:hAnsi="Arial"/>
                <w:snapToGrid w:val="0"/>
                <w:color w:val="000000"/>
                <w:sz w:val="24"/>
              </w:rPr>
            </w:pPr>
            <w:r>
              <w:rPr>
                <w:rFonts w:ascii="Arial" w:hAnsi="Arial"/>
                <w:snapToGrid w:val="0"/>
                <w:color w:val="000000"/>
                <w:sz w:val="24"/>
              </w:rPr>
              <w:t xml:space="preserve">75 </w:t>
            </w:r>
          </w:p>
        </w:tc>
        <w:tc>
          <w:tcPr>
            <w:tcW w:w="1935" w:type="dxa"/>
            <w:tcBorders>
              <w:left w:val="nil"/>
              <w:bottom w:val="nil"/>
              <w:right w:val="single" w:sz="4" w:space="0" w:color="auto"/>
            </w:tcBorders>
          </w:tcPr>
          <w:p w:rsidR="009E3BAC" w:rsidRDefault="009E3BAC" w:rsidP="009E3BAC">
            <w:pPr>
              <w:ind w:right="240"/>
              <w:jc w:val="right"/>
              <w:rPr>
                <w:rFonts w:ascii="Arial" w:hAnsi="Arial"/>
                <w:snapToGrid w:val="0"/>
                <w:color w:val="000000"/>
                <w:sz w:val="24"/>
              </w:rPr>
            </w:pPr>
            <w:r>
              <w:rPr>
                <w:rFonts w:ascii="Arial" w:hAnsi="Arial"/>
                <w:snapToGrid w:val="0"/>
                <w:color w:val="000000"/>
                <w:sz w:val="24"/>
              </w:rPr>
              <w:t xml:space="preserve"> $6,300</w:t>
            </w:r>
          </w:p>
        </w:tc>
      </w:tr>
      <w:tr w:rsidR="009E3BAC" w:rsidTr="009E3BAC">
        <w:tblPrEx>
          <w:tblCellMar>
            <w:top w:w="0" w:type="dxa"/>
            <w:bottom w:w="0" w:type="dxa"/>
          </w:tblCellMar>
        </w:tblPrEx>
        <w:trPr>
          <w:trHeight w:val="262"/>
          <w:jc w:val="center"/>
        </w:trPr>
        <w:tc>
          <w:tcPr>
            <w:tcW w:w="2520" w:type="dxa"/>
            <w:tcBorders>
              <w:top w:val="nil"/>
              <w:bottom w:val="single" w:sz="4" w:space="0" w:color="auto"/>
              <w:right w:val="nil"/>
            </w:tcBorders>
          </w:tcPr>
          <w:p w:rsidR="009E3BAC" w:rsidRDefault="009E3BAC" w:rsidP="009E3BAC">
            <w:pPr>
              <w:rPr>
                <w:rFonts w:ascii="Arial" w:hAnsi="Arial"/>
                <w:b/>
                <w:snapToGrid w:val="0"/>
                <w:color w:val="000000"/>
                <w:sz w:val="24"/>
              </w:rPr>
            </w:pPr>
            <w:r>
              <w:rPr>
                <w:rFonts w:ascii="Arial" w:hAnsi="Arial"/>
                <w:b/>
                <w:snapToGrid w:val="0"/>
                <w:color w:val="000000"/>
                <w:sz w:val="24"/>
              </w:rPr>
              <w:t xml:space="preserve">Total </w:t>
            </w:r>
          </w:p>
        </w:tc>
        <w:tc>
          <w:tcPr>
            <w:tcW w:w="1935" w:type="dxa"/>
            <w:tcBorders>
              <w:top w:val="nil"/>
              <w:bottom w:val="single" w:sz="4" w:space="0" w:color="auto"/>
              <w:right w:val="single" w:sz="4" w:space="0" w:color="auto"/>
            </w:tcBorders>
          </w:tcPr>
          <w:p w:rsidR="009E3BAC" w:rsidRDefault="009E3BAC" w:rsidP="009E3BAC">
            <w:pPr>
              <w:ind w:right="150"/>
              <w:jc w:val="right"/>
              <w:rPr>
                <w:rFonts w:ascii="Arial" w:hAnsi="Arial"/>
                <w:b/>
                <w:snapToGrid w:val="0"/>
                <w:color w:val="000000"/>
                <w:sz w:val="24"/>
              </w:rPr>
            </w:pPr>
          </w:p>
        </w:tc>
        <w:tc>
          <w:tcPr>
            <w:tcW w:w="1935" w:type="dxa"/>
            <w:tcBorders>
              <w:top w:val="nil"/>
              <w:left w:val="single" w:sz="4" w:space="0" w:color="auto"/>
              <w:bottom w:val="single" w:sz="4" w:space="0" w:color="auto"/>
              <w:right w:val="single" w:sz="4" w:space="0" w:color="auto"/>
            </w:tcBorders>
          </w:tcPr>
          <w:p w:rsidR="009E3BAC" w:rsidRDefault="009E3BAC" w:rsidP="009E3BAC">
            <w:pPr>
              <w:ind w:right="150"/>
              <w:jc w:val="right"/>
              <w:rPr>
                <w:rFonts w:ascii="Arial" w:hAnsi="Arial"/>
                <w:b/>
                <w:snapToGrid w:val="0"/>
                <w:color w:val="000000"/>
                <w:sz w:val="24"/>
              </w:rPr>
            </w:pPr>
            <w:r>
              <w:rPr>
                <w:rFonts w:ascii="Arial" w:hAnsi="Arial"/>
                <w:b/>
                <w:snapToGrid w:val="0"/>
                <w:color w:val="000000"/>
                <w:sz w:val="24"/>
              </w:rPr>
              <w:t xml:space="preserve">150 </w:t>
            </w:r>
          </w:p>
        </w:tc>
        <w:tc>
          <w:tcPr>
            <w:tcW w:w="1935" w:type="dxa"/>
            <w:tcBorders>
              <w:top w:val="nil"/>
              <w:left w:val="nil"/>
              <w:bottom w:val="single" w:sz="4" w:space="0" w:color="auto"/>
              <w:right w:val="single" w:sz="4" w:space="0" w:color="auto"/>
            </w:tcBorders>
          </w:tcPr>
          <w:p w:rsidR="009E3BAC" w:rsidRDefault="009E3BAC" w:rsidP="009E3BAC">
            <w:pPr>
              <w:ind w:right="240"/>
              <w:jc w:val="right"/>
              <w:rPr>
                <w:rFonts w:ascii="Arial" w:hAnsi="Arial"/>
                <w:b/>
                <w:snapToGrid w:val="0"/>
                <w:color w:val="000000"/>
                <w:sz w:val="24"/>
              </w:rPr>
            </w:pPr>
            <w:r>
              <w:rPr>
                <w:rFonts w:ascii="Arial" w:hAnsi="Arial"/>
                <w:b/>
                <w:snapToGrid w:val="0"/>
                <w:color w:val="000000"/>
                <w:sz w:val="24"/>
              </w:rPr>
              <w:t xml:space="preserve"> $10,350</w:t>
            </w:r>
          </w:p>
        </w:tc>
      </w:tr>
    </w:tbl>
    <w:p w:rsidR="009E3BAC" w:rsidRDefault="009E3BAC">
      <w:pPr>
        <w:pStyle w:val="BodyText"/>
        <w:tabs>
          <w:tab w:val="left" w:pos="810"/>
        </w:tabs>
        <w:jc w:val="center"/>
        <w:rPr>
          <w:b/>
        </w:rPr>
      </w:pPr>
    </w:p>
    <w:p w:rsidR="00271220" w:rsidRDefault="00271220">
      <w:pPr>
        <w:rPr>
          <w:rFonts w:ascii="Arial" w:hAnsi="Arial"/>
          <w:b/>
          <w:sz w:val="24"/>
        </w:rPr>
      </w:pPr>
    </w:p>
    <w:p w:rsidR="00731F14" w:rsidRDefault="00731F14">
      <w:pPr>
        <w:rPr>
          <w:rFonts w:ascii="Arial" w:hAnsi="Arial"/>
          <w:b/>
          <w:sz w:val="24"/>
          <w:u w:val="single"/>
        </w:rPr>
      </w:pPr>
      <w:r>
        <w:rPr>
          <w:rFonts w:ascii="Arial" w:hAnsi="Arial"/>
          <w:b/>
          <w:sz w:val="24"/>
        </w:rPr>
        <w:t xml:space="preserve">13.  </w:t>
      </w:r>
      <w:r>
        <w:rPr>
          <w:rFonts w:ascii="Arial" w:hAnsi="Arial"/>
          <w:b/>
          <w:sz w:val="24"/>
          <w:u w:val="single"/>
        </w:rPr>
        <w:t>Estimate of annual cost to the respondent (capital and start-up)</w:t>
      </w:r>
      <w:r>
        <w:rPr>
          <w:rFonts w:ascii="Arial" w:hAnsi="Arial"/>
          <w:b/>
          <w:sz w:val="24"/>
        </w:rPr>
        <w:t>.</w:t>
      </w:r>
    </w:p>
    <w:p w:rsidR="00D6717A" w:rsidRDefault="00D6717A">
      <w:pPr>
        <w:rPr>
          <w:rFonts w:ascii="Arial" w:hAnsi="Arial"/>
          <w:sz w:val="24"/>
        </w:rPr>
      </w:pPr>
    </w:p>
    <w:p w:rsidR="00731F14" w:rsidRPr="004E6B27" w:rsidRDefault="004E6B27">
      <w:pPr>
        <w:rPr>
          <w:rFonts w:ascii="Arial" w:hAnsi="Arial" w:cs="Arial"/>
          <w:sz w:val="24"/>
          <w:szCs w:val="24"/>
        </w:rPr>
      </w:pPr>
      <w:r w:rsidRPr="004E6B27">
        <w:rPr>
          <w:rFonts w:ascii="Arial" w:hAnsi="Arial" w:cs="Arial"/>
          <w:sz w:val="24"/>
          <w:szCs w:val="24"/>
        </w:rPr>
        <w:t>There are no recordkeeping, capital, start-up or maintenance costs associated with this information collection</w:t>
      </w:r>
      <w:r w:rsidR="009B35C4" w:rsidRPr="004E6B27">
        <w:rPr>
          <w:rFonts w:ascii="Arial" w:hAnsi="Arial" w:cs="Arial"/>
          <w:sz w:val="24"/>
          <w:szCs w:val="24"/>
        </w:rPr>
        <w:t>.</w:t>
      </w:r>
    </w:p>
    <w:p w:rsidR="00731F14" w:rsidRDefault="00731F14">
      <w:pPr>
        <w:rPr>
          <w:rFonts w:ascii="Arial" w:hAnsi="Arial"/>
          <w:sz w:val="24"/>
        </w:rPr>
      </w:pPr>
    </w:p>
    <w:p w:rsidR="00731F14" w:rsidRDefault="00731F14">
      <w:pPr>
        <w:rPr>
          <w:rFonts w:ascii="Arial" w:hAnsi="Arial"/>
          <w:b/>
          <w:sz w:val="24"/>
          <w:u w:val="single"/>
        </w:rPr>
      </w:pPr>
      <w:r>
        <w:rPr>
          <w:rFonts w:ascii="Arial" w:hAnsi="Arial"/>
          <w:b/>
          <w:sz w:val="24"/>
        </w:rPr>
        <w:t xml:space="preserve">14.  </w:t>
      </w:r>
      <w:r>
        <w:rPr>
          <w:rFonts w:ascii="Arial" w:hAnsi="Arial"/>
          <w:b/>
          <w:sz w:val="24"/>
          <w:u w:val="single"/>
        </w:rPr>
        <w:t>Estimates of annualized cost to the Federal Government</w:t>
      </w:r>
      <w:r>
        <w:rPr>
          <w:rFonts w:ascii="Arial" w:hAnsi="Arial"/>
          <w:b/>
          <w:sz w:val="24"/>
        </w:rPr>
        <w:t>.</w:t>
      </w:r>
    </w:p>
    <w:p w:rsidR="00731F14" w:rsidRDefault="00731F14">
      <w:pPr>
        <w:rPr>
          <w:rFonts w:ascii="Arial" w:hAnsi="Arial"/>
          <w:sz w:val="24"/>
        </w:rPr>
      </w:pPr>
    </w:p>
    <w:p w:rsidR="00731F14" w:rsidRDefault="00731F14">
      <w:pPr>
        <w:pStyle w:val="TxBrp4"/>
        <w:widowControl/>
        <w:tabs>
          <w:tab w:val="clear" w:pos="583"/>
        </w:tabs>
        <w:spacing w:line="240" w:lineRule="auto"/>
        <w:rPr>
          <w:rFonts w:ascii="Arial" w:hAnsi="Arial"/>
          <w:snapToGrid/>
          <w:u w:val="single"/>
        </w:rPr>
      </w:pPr>
      <w:r>
        <w:rPr>
          <w:rFonts w:ascii="Arial" w:hAnsi="Arial"/>
          <w:snapToGrid/>
        </w:rPr>
        <w:t xml:space="preserve">a.  </w:t>
      </w:r>
      <w:r>
        <w:rPr>
          <w:rFonts w:ascii="Arial" w:hAnsi="Arial"/>
          <w:snapToGrid/>
          <w:u w:val="single"/>
        </w:rPr>
        <w:t xml:space="preserve">Notice of Arrival </w:t>
      </w:r>
    </w:p>
    <w:p w:rsidR="00731F14" w:rsidRDefault="00731F14">
      <w:pPr>
        <w:rPr>
          <w:rFonts w:ascii="Arial" w:hAnsi="Arial"/>
          <w:sz w:val="24"/>
        </w:rPr>
      </w:pPr>
    </w:p>
    <w:p w:rsidR="00731F14" w:rsidRPr="002D1882" w:rsidRDefault="00805347">
      <w:pPr>
        <w:rPr>
          <w:rFonts w:ascii="Arial" w:hAnsi="Arial"/>
          <w:sz w:val="24"/>
        </w:rPr>
      </w:pPr>
      <w:r>
        <w:rPr>
          <w:rFonts w:ascii="Arial" w:hAnsi="Arial"/>
          <w:sz w:val="24"/>
        </w:rPr>
        <w:t xml:space="preserve">The </w:t>
      </w:r>
      <w:r w:rsidR="00731F14">
        <w:rPr>
          <w:rFonts w:ascii="Arial" w:hAnsi="Arial"/>
          <w:sz w:val="24"/>
        </w:rPr>
        <w:t xml:space="preserve">Coast Guard operates the National Vessel Movement Center in Kearneysville, WV, to receive </w:t>
      </w:r>
      <w:r w:rsidR="00C16A29">
        <w:rPr>
          <w:rFonts w:ascii="Arial" w:hAnsi="Arial"/>
          <w:sz w:val="24"/>
        </w:rPr>
        <w:t>vessel movement information</w:t>
      </w:r>
      <w:r w:rsidR="00731F14">
        <w:rPr>
          <w:rFonts w:ascii="Arial" w:hAnsi="Arial"/>
          <w:sz w:val="24"/>
        </w:rPr>
        <w:t xml:space="preserve">.  </w:t>
      </w:r>
      <w:r w:rsidR="00731F14" w:rsidRPr="002D1882">
        <w:rPr>
          <w:rFonts w:ascii="Arial" w:hAnsi="Arial"/>
          <w:sz w:val="24"/>
        </w:rPr>
        <w:t xml:space="preserve">The cost to the Federal Government for processing notices is approximately $3 million per year. </w:t>
      </w:r>
    </w:p>
    <w:p w:rsidR="00731F14" w:rsidRPr="002D1882" w:rsidRDefault="00731F14">
      <w:pPr>
        <w:rPr>
          <w:rFonts w:ascii="Arial" w:hAnsi="Arial"/>
          <w:sz w:val="24"/>
        </w:rPr>
      </w:pPr>
    </w:p>
    <w:p w:rsidR="00731F14" w:rsidRPr="002D1882" w:rsidRDefault="00731F14">
      <w:pPr>
        <w:pStyle w:val="TxBrp4"/>
        <w:widowControl/>
        <w:tabs>
          <w:tab w:val="clear" w:pos="583"/>
        </w:tabs>
        <w:spacing w:line="240" w:lineRule="auto"/>
        <w:rPr>
          <w:rFonts w:ascii="Arial" w:hAnsi="Arial"/>
          <w:snapToGrid/>
          <w:u w:val="single"/>
        </w:rPr>
      </w:pPr>
      <w:r w:rsidRPr="002D1882">
        <w:rPr>
          <w:rFonts w:ascii="Arial" w:hAnsi="Arial"/>
          <w:snapToGrid/>
        </w:rPr>
        <w:t xml:space="preserve">b.  </w:t>
      </w:r>
      <w:r w:rsidRPr="002D1882">
        <w:rPr>
          <w:rFonts w:ascii="Arial" w:hAnsi="Arial"/>
          <w:snapToGrid/>
          <w:u w:val="single"/>
        </w:rPr>
        <w:t>Waivers</w:t>
      </w:r>
    </w:p>
    <w:p w:rsidR="00731F14" w:rsidRPr="002D1882" w:rsidRDefault="00731F14">
      <w:pPr>
        <w:rPr>
          <w:rFonts w:ascii="Arial" w:hAnsi="Arial"/>
          <w:sz w:val="24"/>
        </w:rPr>
      </w:pPr>
    </w:p>
    <w:p w:rsidR="00731F14" w:rsidRDefault="00731F14">
      <w:pPr>
        <w:rPr>
          <w:rFonts w:ascii="Arial" w:hAnsi="Arial"/>
          <w:sz w:val="24"/>
        </w:rPr>
      </w:pPr>
      <w:r w:rsidRPr="002D1882">
        <w:rPr>
          <w:rFonts w:ascii="Arial" w:hAnsi="Arial"/>
          <w:sz w:val="24"/>
        </w:rPr>
        <w:t>Each waiver request submission requires approximately 30 minutes (.5 hrs.) for a commissioned officer to review.  At 30 minutes per request and 150 waiver requests per year the total burden is 75 hours per year.  At $</w:t>
      </w:r>
      <w:r w:rsidR="00D71CF8" w:rsidRPr="002D1882">
        <w:rPr>
          <w:rFonts w:ascii="Arial" w:hAnsi="Arial"/>
          <w:sz w:val="24"/>
        </w:rPr>
        <w:t>6</w:t>
      </w:r>
      <w:r w:rsidR="00D71CF8">
        <w:rPr>
          <w:rFonts w:ascii="Arial" w:hAnsi="Arial"/>
          <w:sz w:val="24"/>
        </w:rPr>
        <w:t>7</w:t>
      </w:r>
      <w:r w:rsidRPr="002D1882">
        <w:rPr>
          <w:rFonts w:ascii="Arial" w:hAnsi="Arial"/>
          <w:sz w:val="24"/>
        </w:rPr>
        <w:t>.00 per hour for an O-3 officer time</w:t>
      </w:r>
      <w:r w:rsidRPr="002D1882">
        <w:rPr>
          <w:rStyle w:val="FootnoteReference"/>
          <w:rFonts w:ascii="Arial" w:hAnsi="Arial"/>
          <w:sz w:val="24"/>
        </w:rPr>
        <w:footnoteReference w:id="11"/>
      </w:r>
      <w:r w:rsidRPr="002D1882">
        <w:rPr>
          <w:rFonts w:ascii="Arial" w:hAnsi="Arial"/>
          <w:sz w:val="24"/>
        </w:rPr>
        <w:t>, the annual cost to the Federal Government for waiver requests is $</w:t>
      </w:r>
      <w:r w:rsidR="00D71CF8">
        <w:rPr>
          <w:rFonts w:ascii="Arial" w:hAnsi="Arial"/>
          <w:sz w:val="24"/>
        </w:rPr>
        <w:t>5,025</w:t>
      </w:r>
      <w:r w:rsidRPr="002D1882">
        <w:rPr>
          <w:rFonts w:ascii="Arial" w:hAnsi="Arial"/>
          <w:sz w:val="24"/>
        </w:rPr>
        <w:t>.</w:t>
      </w:r>
    </w:p>
    <w:p w:rsidR="00731F14" w:rsidRDefault="00731F14">
      <w:pPr>
        <w:rPr>
          <w:rFonts w:ascii="Arial" w:hAnsi="Arial"/>
          <w:sz w:val="24"/>
        </w:rPr>
      </w:pPr>
    </w:p>
    <w:p w:rsidR="00731F14" w:rsidRDefault="00731F14">
      <w:pPr>
        <w:rPr>
          <w:rFonts w:ascii="Arial" w:hAnsi="Arial"/>
          <w:b/>
          <w:sz w:val="24"/>
          <w:u w:val="single"/>
        </w:rPr>
      </w:pPr>
      <w:r>
        <w:rPr>
          <w:rFonts w:ascii="Arial" w:hAnsi="Arial"/>
          <w:b/>
          <w:sz w:val="24"/>
        </w:rPr>
        <w:t xml:space="preserve">15.  </w:t>
      </w:r>
      <w:r>
        <w:rPr>
          <w:rFonts w:ascii="Arial" w:hAnsi="Arial"/>
          <w:b/>
          <w:sz w:val="24"/>
          <w:u w:val="single"/>
        </w:rPr>
        <w:t>Reasons for change in the burden</w:t>
      </w:r>
      <w:r>
        <w:rPr>
          <w:rFonts w:ascii="Arial" w:hAnsi="Arial"/>
          <w:b/>
          <w:sz w:val="24"/>
        </w:rPr>
        <w:t>.</w:t>
      </w:r>
    </w:p>
    <w:p w:rsidR="00731F14" w:rsidRDefault="00731F14">
      <w:pPr>
        <w:rPr>
          <w:rFonts w:ascii="Arial" w:hAnsi="Arial"/>
          <w:sz w:val="24"/>
        </w:rPr>
      </w:pPr>
    </w:p>
    <w:p w:rsidR="00C16A29" w:rsidRDefault="00C16A29">
      <w:pPr>
        <w:rPr>
          <w:rFonts w:ascii="Arial" w:hAnsi="Arial"/>
          <w:sz w:val="24"/>
        </w:rPr>
      </w:pPr>
      <w:r>
        <w:rPr>
          <w:rFonts w:ascii="Arial" w:hAnsi="Arial"/>
          <w:sz w:val="24"/>
        </w:rPr>
        <w:t>The change in burden is a PROGRAM CHANGE due to a Coast Guard rulemaking [USCG-2005-21869].  The rulemaking will—</w:t>
      </w:r>
    </w:p>
    <w:p w:rsidR="00C16A29" w:rsidRDefault="00C16A29" w:rsidP="00C16A29">
      <w:pPr>
        <w:numPr>
          <w:ilvl w:val="0"/>
          <w:numId w:val="47"/>
        </w:numPr>
        <w:rPr>
          <w:rFonts w:ascii="Arial" w:hAnsi="Arial"/>
          <w:sz w:val="24"/>
        </w:rPr>
      </w:pPr>
      <w:r>
        <w:rPr>
          <w:rFonts w:ascii="Arial" w:hAnsi="Arial"/>
          <w:sz w:val="24"/>
        </w:rPr>
        <w:t>Expand the NOA requirements to more vessels</w:t>
      </w:r>
      <w:r w:rsidR="00C817E3">
        <w:rPr>
          <w:rFonts w:ascii="Arial" w:hAnsi="Arial"/>
          <w:sz w:val="24"/>
        </w:rPr>
        <w:t>.</w:t>
      </w:r>
    </w:p>
    <w:p w:rsidR="00C16A29" w:rsidRDefault="00C16A29" w:rsidP="00C16A29">
      <w:pPr>
        <w:numPr>
          <w:ilvl w:val="0"/>
          <w:numId w:val="47"/>
        </w:numPr>
        <w:rPr>
          <w:rFonts w:ascii="Arial" w:hAnsi="Arial"/>
          <w:sz w:val="24"/>
        </w:rPr>
      </w:pPr>
      <w:r>
        <w:rPr>
          <w:rFonts w:ascii="Arial" w:hAnsi="Arial"/>
          <w:sz w:val="24"/>
        </w:rPr>
        <w:t>Require a NOD</w:t>
      </w:r>
      <w:r w:rsidR="00C817E3">
        <w:rPr>
          <w:rFonts w:ascii="Arial" w:hAnsi="Arial"/>
          <w:sz w:val="24"/>
        </w:rPr>
        <w:t>.</w:t>
      </w:r>
    </w:p>
    <w:p w:rsidR="00C16A29" w:rsidRDefault="00C16A29" w:rsidP="00C16A29">
      <w:pPr>
        <w:numPr>
          <w:ilvl w:val="0"/>
          <w:numId w:val="47"/>
        </w:numPr>
        <w:rPr>
          <w:rFonts w:ascii="Arial" w:hAnsi="Arial"/>
          <w:sz w:val="24"/>
        </w:rPr>
      </w:pPr>
      <w:r>
        <w:rPr>
          <w:rFonts w:ascii="Arial" w:hAnsi="Arial"/>
          <w:sz w:val="24"/>
        </w:rPr>
        <w:t>Require electronic submission of the NOAs &amp; NODs.</w:t>
      </w:r>
    </w:p>
    <w:p w:rsidR="00C16A29" w:rsidRDefault="00C16A29">
      <w:pPr>
        <w:rPr>
          <w:rFonts w:ascii="Arial" w:hAnsi="Arial"/>
          <w:sz w:val="24"/>
        </w:rPr>
      </w:pPr>
    </w:p>
    <w:p w:rsidR="00C4260C" w:rsidRDefault="00C817E3" w:rsidP="00C4260C">
      <w:pPr>
        <w:rPr>
          <w:rFonts w:ascii="Arial" w:hAnsi="Arial"/>
          <w:sz w:val="24"/>
        </w:rPr>
      </w:pPr>
      <w:r>
        <w:rPr>
          <w:rFonts w:ascii="Arial" w:hAnsi="Arial"/>
          <w:sz w:val="24"/>
        </w:rPr>
        <w:t>Additionally</w:t>
      </w:r>
      <w:r w:rsidR="00C4260C">
        <w:rPr>
          <w:rFonts w:ascii="Arial" w:hAnsi="Arial"/>
          <w:sz w:val="24"/>
        </w:rPr>
        <w:t>, the change in burden is a PROGRAM CHANGE due to a Coast Guard rulemaking [USCG-2008-1088].  The rulemaking will—</w:t>
      </w:r>
    </w:p>
    <w:p w:rsidR="00C4260C" w:rsidRDefault="00C4260C" w:rsidP="00C4260C">
      <w:pPr>
        <w:numPr>
          <w:ilvl w:val="0"/>
          <w:numId w:val="47"/>
        </w:numPr>
        <w:rPr>
          <w:rFonts w:ascii="Arial" w:hAnsi="Arial"/>
          <w:sz w:val="24"/>
        </w:rPr>
      </w:pPr>
      <w:r>
        <w:rPr>
          <w:rFonts w:ascii="Arial" w:hAnsi="Arial" w:cs="Arial"/>
          <w:sz w:val="24"/>
        </w:rPr>
        <w:t>Expand the NOA requirement to vessels that engage in OCS activities</w:t>
      </w:r>
      <w:r w:rsidR="00C817E3">
        <w:rPr>
          <w:rFonts w:ascii="Arial" w:hAnsi="Arial" w:cs="Arial"/>
          <w:sz w:val="24"/>
        </w:rPr>
        <w:t>.</w:t>
      </w:r>
    </w:p>
    <w:p w:rsidR="00C4260C" w:rsidRDefault="00C4260C">
      <w:pPr>
        <w:rPr>
          <w:rFonts w:ascii="Arial" w:hAnsi="Arial"/>
          <w:sz w:val="24"/>
        </w:rPr>
      </w:pPr>
    </w:p>
    <w:p w:rsidR="00C817E3" w:rsidRDefault="009605C3">
      <w:pPr>
        <w:rPr>
          <w:rFonts w:ascii="Arial" w:hAnsi="Arial"/>
          <w:sz w:val="24"/>
        </w:rPr>
      </w:pPr>
      <w:r>
        <w:rPr>
          <w:rFonts w:ascii="Arial" w:hAnsi="Arial"/>
          <w:sz w:val="24"/>
        </w:rPr>
        <w:t>Additionally, t</w:t>
      </w:r>
      <w:r w:rsidR="00C817E3">
        <w:rPr>
          <w:rFonts w:ascii="Arial" w:hAnsi="Arial"/>
          <w:sz w:val="24"/>
        </w:rPr>
        <w:t xml:space="preserve">he Coast Guard estimates that there will be no change in burden due to rulemaking [USCG-2008-1070].  </w:t>
      </w:r>
      <w:r w:rsidR="005F67B0" w:rsidRPr="005F67B0">
        <w:rPr>
          <w:rFonts w:ascii="Arial" w:hAnsi="Arial"/>
          <w:sz w:val="24"/>
        </w:rPr>
        <w:t>For this collection, we propose to add one data element, the VRP control number, to the currently required 40 data elements for the notice of arrival.  The VRP control number is a ‘‘static’’ data element issued once every 5 years or longer, while some of the 40 other data elements change with each voyage (such as last port of call, cargo, or crew list).  Therefore, we believe the 300-minute burden currently approved for this collection more than adequately covers the post rulemaking 41 data elements and the burden of response should remain unchanged.</w:t>
      </w:r>
    </w:p>
    <w:p w:rsidR="005F67B0" w:rsidRDefault="005F67B0">
      <w:pPr>
        <w:rPr>
          <w:rFonts w:ascii="Arial" w:hAnsi="Arial"/>
          <w:sz w:val="24"/>
        </w:rPr>
      </w:pPr>
    </w:p>
    <w:p w:rsidR="00C47071" w:rsidRDefault="00C47071" w:rsidP="00C47071">
      <w:pPr>
        <w:rPr>
          <w:rFonts w:ascii="Arial" w:hAnsi="Arial"/>
          <w:sz w:val="24"/>
        </w:rPr>
      </w:pPr>
      <w:r>
        <w:rPr>
          <w:rFonts w:ascii="Arial" w:hAnsi="Arial"/>
          <w:sz w:val="24"/>
        </w:rPr>
        <w:t>Additionally, the change in burden is a PROGRAM CHANGE due to a Coast Guard rulemaking [USCG-2004-19963].  The rulemaking will—</w:t>
      </w:r>
    </w:p>
    <w:p w:rsidR="00C47071" w:rsidRDefault="00C47071" w:rsidP="00C47071">
      <w:pPr>
        <w:numPr>
          <w:ilvl w:val="0"/>
          <w:numId w:val="47"/>
        </w:numPr>
        <w:rPr>
          <w:rFonts w:ascii="Arial" w:hAnsi="Arial"/>
          <w:sz w:val="24"/>
        </w:rPr>
      </w:pPr>
      <w:r>
        <w:rPr>
          <w:rFonts w:ascii="Arial" w:hAnsi="Arial" w:cs="Arial"/>
          <w:sz w:val="24"/>
        </w:rPr>
        <w:lastRenderedPageBreak/>
        <w:t>Reduce the number of NOA submitted due to a change the definition for CDC residue.</w:t>
      </w:r>
    </w:p>
    <w:p w:rsidR="00C47071" w:rsidRDefault="00C47071" w:rsidP="00C47071">
      <w:pPr>
        <w:rPr>
          <w:rFonts w:ascii="Arial" w:hAnsi="Arial"/>
          <w:sz w:val="24"/>
        </w:rPr>
      </w:pPr>
      <w:r>
        <w:rPr>
          <w:rFonts w:ascii="Arial" w:hAnsi="Arial" w:cs="Arial"/>
          <w:sz w:val="24"/>
        </w:rPr>
        <w:t xml:space="preserve">The change is necessary to reduce the burden on shippers of certain CDC cargoes.  </w:t>
      </w:r>
    </w:p>
    <w:p w:rsidR="00C47071" w:rsidRDefault="00C47071">
      <w:pPr>
        <w:rPr>
          <w:rFonts w:ascii="Arial" w:hAnsi="Arial"/>
          <w:sz w:val="24"/>
        </w:rPr>
      </w:pPr>
    </w:p>
    <w:p w:rsidR="00731F14" w:rsidRDefault="00731F14">
      <w:pPr>
        <w:rPr>
          <w:rFonts w:ascii="Arial" w:hAnsi="Arial"/>
          <w:b/>
          <w:sz w:val="24"/>
          <w:u w:val="single"/>
        </w:rPr>
      </w:pPr>
      <w:r>
        <w:rPr>
          <w:rFonts w:ascii="Arial" w:hAnsi="Arial"/>
          <w:b/>
          <w:sz w:val="24"/>
        </w:rPr>
        <w:t xml:space="preserve">16.  </w:t>
      </w:r>
      <w:r>
        <w:rPr>
          <w:rFonts w:ascii="Arial" w:hAnsi="Arial"/>
          <w:b/>
          <w:sz w:val="24"/>
          <w:u w:val="single"/>
        </w:rPr>
        <w:t>Plans for tabulation, statistical analysis, and publication</w:t>
      </w:r>
      <w:r>
        <w:rPr>
          <w:rFonts w:ascii="Arial" w:hAnsi="Arial"/>
          <w:b/>
          <w:sz w:val="24"/>
        </w:rPr>
        <w:t>.</w:t>
      </w:r>
    </w:p>
    <w:p w:rsidR="00D6717A" w:rsidRDefault="00D6717A">
      <w:pPr>
        <w:rPr>
          <w:rFonts w:ascii="Arial" w:hAnsi="Arial"/>
          <w:sz w:val="24"/>
        </w:rPr>
      </w:pPr>
    </w:p>
    <w:p w:rsidR="00731F14" w:rsidRDefault="004E6B27">
      <w:pPr>
        <w:rPr>
          <w:rFonts w:ascii="Arial" w:hAnsi="Arial" w:cs="Arial"/>
          <w:sz w:val="24"/>
          <w:szCs w:val="24"/>
        </w:rPr>
      </w:pPr>
      <w:r w:rsidRPr="004E6B27">
        <w:rPr>
          <w:rFonts w:ascii="Arial" w:hAnsi="Arial" w:cs="Arial"/>
          <w:sz w:val="24"/>
          <w:szCs w:val="24"/>
        </w:rPr>
        <w:t>This information collection will not be published for statistical purposes</w:t>
      </w:r>
      <w:r w:rsidR="00731F14" w:rsidRPr="004E6B27">
        <w:rPr>
          <w:rFonts w:ascii="Arial" w:hAnsi="Arial" w:cs="Arial"/>
          <w:sz w:val="24"/>
          <w:szCs w:val="24"/>
        </w:rPr>
        <w:t>.</w:t>
      </w:r>
    </w:p>
    <w:p w:rsidR="00731F14" w:rsidRDefault="00731F14">
      <w:pPr>
        <w:rPr>
          <w:rFonts w:ascii="Arial" w:hAnsi="Arial"/>
          <w:sz w:val="24"/>
        </w:rPr>
      </w:pPr>
    </w:p>
    <w:p w:rsidR="00731F14" w:rsidRDefault="00731F14">
      <w:pPr>
        <w:rPr>
          <w:rFonts w:ascii="Arial" w:hAnsi="Arial"/>
          <w:b/>
          <w:sz w:val="24"/>
        </w:rPr>
      </w:pPr>
      <w:r>
        <w:rPr>
          <w:rFonts w:ascii="Arial" w:hAnsi="Arial"/>
          <w:b/>
          <w:sz w:val="24"/>
        </w:rPr>
        <w:t xml:space="preserve">17.  </w:t>
      </w:r>
      <w:r>
        <w:rPr>
          <w:rFonts w:ascii="Arial" w:hAnsi="Arial"/>
          <w:b/>
          <w:sz w:val="24"/>
          <w:u w:val="single"/>
        </w:rPr>
        <w:t>Approval for not explaining the expiration date for OMB approval</w:t>
      </w:r>
      <w:r>
        <w:rPr>
          <w:rFonts w:ascii="Arial" w:hAnsi="Arial"/>
          <w:b/>
          <w:sz w:val="24"/>
        </w:rPr>
        <w:t>.</w:t>
      </w:r>
    </w:p>
    <w:p w:rsidR="004E6B27" w:rsidRDefault="004E6B27">
      <w:pPr>
        <w:rPr>
          <w:rFonts w:ascii="Arial" w:hAnsi="Arial"/>
          <w:b/>
          <w:sz w:val="24"/>
          <w:u w:val="single"/>
        </w:rPr>
      </w:pPr>
    </w:p>
    <w:p w:rsidR="00731F14" w:rsidRPr="004E6B27" w:rsidRDefault="00D71CF8">
      <w:pPr>
        <w:rPr>
          <w:rFonts w:ascii="Arial" w:hAnsi="Arial" w:cs="Arial"/>
          <w:sz w:val="24"/>
          <w:szCs w:val="24"/>
        </w:rPr>
      </w:pPr>
      <w:r>
        <w:rPr>
          <w:rFonts w:ascii="Arial" w:hAnsi="Arial" w:cs="Arial"/>
          <w:sz w:val="24"/>
          <w:szCs w:val="24"/>
        </w:rPr>
        <w:t>The Coast Guard</w:t>
      </w:r>
      <w:r w:rsidRPr="004E6B27">
        <w:rPr>
          <w:rFonts w:ascii="Arial" w:hAnsi="Arial" w:cs="Arial"/>
          <w:sz w:val="24"/>
          <w:szCs w:val="24"/>
        </w:rPr>
        <w:t xml:space="preserve"> </w:t>
      </w:r>
      <w:r w:rsidR="004E6B27" w:rsidRPr="004E6B27">
        <w:rPr>
          <w:rFonts w:ascii="Arial" w:hAnsi="Arial" w:cs="Arial"/>
          <w:sz w:val="24"/>
          <w:szCs w:val="24"/>
        </w:rPr>
        <w:t>will display the expiration date for OMB approval of this information collection</w:t>
      </w:r>
      <w:r w:rsidR="00D6717A" w:rsidRPr="004E6B27">
        <w:rPr>
          <w:rFonts w:ascii="Arial" w:hAnsi="Arial" w:cs="Arial"/>
          <w:sz w:val="24"/>
          <w:szCs w:val="24"/>
        </w:rPr>
        <w:t>.</w:t>
      </w:r>
    </w:p>
    <w:p w:rsidR="00C46C8B" w:rsidRPr="00C46C8B" w:rsidRDefault="00C46C8B">
      <w:pPr>
        <w:rPr>
          <w:rFonts w:ascii="Arial" w:hAnsi="Arial"/>
          <w:sz w:val="24"/>
        </w:rPr>
      </w:pPr>
    </w:p>
    <w:p w:rsidR="00731F14" w:rsidRDefault="00731F14">
      <w:pPr>
        <w:rPr>
          <w:rFonts w:ascii="Arial" w:hAnsi="Arial"/>
          <w:b/>
          <w:sz w:val="24"/>
        </w:rPr>
      </w:pPr>
      <w:r>
        <w:rPr>
          <w:rFonts w:ascii="Arial" w:hAnsi="Arial"/>
          <w:b/>
          <w:sz w:val="24"/>
        </w:rPr>
        <w:t xml:space="preserve">18.  </w:t>
      </w:r>
      <w:r>
        <w:rPr>
          <w:rFonts w:ascii="Arial" w:hAnsi="Arial"/>
          <w:b/>
          <w:sz w:val="24"/>
          <w:u w:val="single"/>
        </w:rPr>
        <w:t>Exception to the certification statement</w:t>
      </w:r>
      <w:r>
        <w:rPr>
          <w:rFonts w:ascii="Arial" w:hAnsi="Arial"/>
          <w:b/>
          <w:sz w:val="24"/>
        </w:rPr>
        <w:t>.</w:t>
      </w:r>
    </w:p>
    <w:p w:rsidR="004E6B27" w:rsidRDefault="004E6B27">
      <w:pPr>
        <w:rPr>
          <w:rFonts w:ascii="Arial" w:hAnsi="Arial"/>
          <w:b/>
          <w:sz w:val="24"/>
          <w:u w:val="single"/>
        </w:rPr>
      </w:pPr>
    </w:p>
    <w:p w:rsidR="00731F14" w:rsidRPr="004E6B27" w:rsidRDefault="00D71CF8">
      <w:pPr>
        <w:rPr>
          <w:rFonts w:ascii="Arial" w:hAnsi="Arial" w:cs="Arial"/>
          <w:sz w:val="24"/>
          <w:szCs w:val="24"/>
        </w:rPr>
      </w:pPr>
      <w:r>
        <w:rPr>
          <w:rFonts w:ascii="Arial" w:hAnsi="Arial" w:cs="Arial"/>
          <w:sz w:val="24"/>
          <w:szCs w:val="24"/>
        </w:rPr>
        <w:t>The Coast Guard</w:t>
      </w:r>
      <w:r w:rsidRPr="004E6B27">
        <w:rPr>
          <w:rFonts w:ascii="Arial" w:hAnsi="Arial" w:cs="Arial"/>
          <w:sz w:val="24"/>
          <w:szCs w:val="24"/>
        </w:rPr>
        <w:t xml:space="preserve"> </w:t>
      </w:r>
      <w:r w:rsidR="004E6B27" w:rsidRPr="004E6B27">
        <w:rPr>
          <w:rFonts w:ascii="Arial" w:hAnsi="Arial" w:cs="Arial"/>
          <w:sz w:val="24"/>
          <w:szCs w:val="24"/>
        </w:rPr>
        <w:t>does not request an exception to the certification of this information collection</w:t>
      </w:r>
      <w:r w:rsidR="00C46C8B" w:rsidRPr="004E6B27">
        <w:rPr>
          <w:rFonts w:ascii="Arial" w:hAnsi="Arial" w:cs="Arial"/>
          <w:sz w:val="24"/>
          <w:szCs w:val="24"/>
        </w:rPr>
        <w:t>.</w:t>
      </w:r>
      <w:r w:rsidR="00731F14" w:rsidRPr="004E6B27">
        <w:rPr>
          <w:rFonts w:ascii="Arial" w:hAnsi="Arial" w:cs="Arial"/>
          <w:sz w:val="24"/>
          <w:szCs w:val="24"/>
        </w:rPr>
        <w:t xml:space="preserve">  </w:t>
      </w:r>
    </w:p>
    <w:p w:rsidR="004E6B27" w:rsidRDefault="004E6B27">
      <w:pPr>
        <w:rPr>
          <w:rFonts w:ascii="Arial" w:hAnsi="Arial"/>
          <w:sz w:val="24"/>
        </w:rPr>
      </w:pPr>
    </w:p>
    <w:p w:rsidR="00731F14" w:rsidRDefault="00731F14">
      <w:pPr>
        <w:rPr>
          <w:rFonts w:ascii="Arial" w:hAnsi="Arial"/>
          <w:sz w:val="24"/>
        </w:rPr>
      </w:pPr>
    </w:p>
    <w:p w:rsidR="00731F14" w:rsidRDefault="00731F14">
      <w:pPr>
        <w:rPr>
          <w:rFonts w:ascii="Arial" w:hAnsi="Arial"/>
          <w:b/>
          <w:sz w:val="24"/>
        </w:rPr>
      </w:pPr>
      <w:r>
        <w:rPr>
          <w:rFonts w:ascii="Arial" w:hAnsi="Arial"/>
          <w:b/>
          <w:sz w:val="24"/>
        </w:rPr>
        <w:t xml:space="preserve">B.  </w:t>
      </w:r>
      <w:r>
        <w:rPr>
          <w:rFonts w:ascii="Arial" w:hAnsi="Arial"/>
          <w:b/>
          <w:sz w:val="24"/>
          <w:u w:val="single"/>
        </w:rPr>
        <w:t>Collection of Information Employing Statistical Methods</w:t>
      </w:r>
      <w:r>
        <w:rPr>
          <w:rFonts w:ascii="Arial" w:hAnsi="Arial"/>
          <w:b/>
          <w:sz w:val="24"/>
        </w:rPr>
        <w:t>.</w:t>
      </w:r>
    </w:p>
    <w:p w:rsidR="004E6B27" w:rsidRDefault="004E6B27">
      <w:pPr>
        <w:rPr>
          <w:rFonts w:ascii="Arial" w:hAnsi="Arial"/>
          <w:b/>
          <w:sz w:val="24"/>
        </w:rPr>
      </w:pPr>
    </w:p>
    <w:p w:rsidR="00731F14" w:rsidRPr="009B35C4" w:rsidRDefault="009B35C4">
      <w:pPr>
        <w:rPr>
          <w:rFonts w:ascii="Arial" w:hAnsi="Arial"/>
          <w:sz w:val="24"/>
        </w:rPr>
      </w:pPr>
      <w:r w:rsidRPr="009B35C4">
        <w:rPr>
          <w:rFonts w:ascii="Arial" w:hAnsi="Arial"/>
          <w:sz w:val="24"/>
        </w:rPr>
        <w:t>This information collection does not employ statistical methods.</w:t>
      </w:r>
    </w:p>
    <w:sectPr w:rsidR="00731F14" w:rsidRPr="009B35C4">
      <w:headerReference w:type="default" r:id="rId10"/>
      <w:footerReference w:type="default" r:id="rId11"/>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D8F" w:rsidRDefault="00B83D8F">
      <w:r>
        <w:separator/>
      </w:r>
    </w:p>
  </w:endnote>
  <w:endnote w:type="continuationSeparator" w:id="0">
    <w:p w:rsidR="00B83D8F" w:rsidRDefault="00B83D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Garamond">
    <w:altName w:val="Bell MT"/>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F6B" w:rsidRDefault="00A81F6B">
    <w:pPr>
      <w:pStyle w:val="Footer"/>
      <w:jc w:val="center"/>
      <w:rPr>
        <w:rFonts w:ascii="Arial" w:hAnsi="Arial"/>
      </w:rPr>
    </w:pP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D437D2">
      <w:rPr>
        <w:rStyle w:val="PageNumber"/>
        <w:rFonts w:ascii="Arial" w:hAnsi="Arial"/>
        <w:noProof/>
      </w:rPr>
      <w:t>5</w:t>
    </w:r>
    <w:r>
      <w:rPr>
        <w:rStyle w:val="PageNumber"/>
        <w:rFonts w:ascii="Arial" w:hAnsi="Arial"/>
      </w:rPr>
      <w:fldChar w:fldCharType="end"/>
    </w:r>
    <w:r>
      <w:rPr>
        <w:rStyle w:val="PageNumber"/>
        <w:rFonts w:ascii="Arial" w:hAnsi="Arial"/>
      </w:rPr>
      <w:t xml:space="preserve"> of </w:t>
    </w:r>
    <w:r>
      <w:rPr>
        <w:rStyle w:val="PageNumber"/>
        <w:rFonts w:ascii="Arial" w:hAnsi="Arial"/>
      </w:rPr>
      <w:fldChar w:fldCharType="begin"/>
    </w:r>
    <w:r>
      <w:rPr>
        <w:rStyle w:val="PageNumber"/>
        <w:rFonts w:ascii="Arial" w:hAnsi="Arial"/>
      </w:rPr>
      <w:instrText xml:space="preserve"> NUMPAGES </w:instrText>
    </w:r>
    <w:r>
      <w:rPr>
        <w:rStyle w:val="PageNumber"/>
        <w:rFonts w:ascii="Arial" w:hAnsi="Arial"/>
      </w:rPr>
      <w:fldChar w:fldCharType="separate"/>
    </w:r>
    <w:r w:rsidR="00D437D2">
      <w:rPr>
        <w:rStyle w:val="PageNumber"/>
        <w:rFonts w:ascii="Arial" w:hAnsi="Arial"/>
        <w:noProof/>
      </w:rPr>
      <w:t>9</w:t>
    </w:r>
    <w:r>
      <w:rPr>
        <w:rStyle w:val="PageNumber"/>
        <w:rFonts w:ascii="Arial" w:hAnsi="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D8F" w:rsidRDefault="00B83D8F">
      <w:r>
        <w:separator/>
      </w:r>
    </w:p>
  </w:footnote>
  <w:footnote w:type="continuationSeparator" w:id="0">
    <w:p w:rsidR="00B83D8F" w:rsidRDefault="00B83D8F">
      <w:r>
        <w:continuationSeparator/>
      </w:r>
    </w:p>
  </w:footnote>
  <w:footnote w:id="1">
    <w:p w:rsidR="00A81F6B" w:rsidRPr="00D6717A" w:rsidRDefault="00A81F6B">
      <w:pPr>
        <w:pStyle w:val="FootnoteText"/>
        <w:rPr>
          <w:rFonts w:ascii="Arial" w:hAnsi="Arial" w:cs="Arial"/>
        </w:rPr>
      </w:pPr>
      <w:r w:rsidRPr="00D6717A">
        <w:rPr>
          <w:rStyle w:val="FootnoteReference"/>
          <w:rFonts w:ascii="Arial" w:hAnsi="Arial" w:cs="Arial"/>
        </w:rPr>
        <w:footnoteRef/>
      </w:r>
      <w:r w:rsidRPr="00D6717A">
        <w:rPr>
          <w:rFonts w:ascii="Arial" w:hAnsi="Arial" w:cs="Arial"/>
        </w:rPr>
        <w:t xml:space="preserve">  Located at </w:t>
      </w:r>
      <w:hyperlink r:id="rId1" w:history="1">
        <w:r w:rsidRPr="0099187F">
          <w:rPr>
            <w:rStyle w:val="Hyperlink"/>
            <w:rFonts w:ascii="Arial" w:hAnsi="Arial" w:cs="Arial"/>
          </w:rPr>
          <w:t>http://www.gpoaccess.gov/uscode/browse.html</w:t>
        </w:r>
      </w:hyperlink>
      <w:r>
        <w:rPr>
          <w:rFonts w:ascii="Arial" w:hAnsi="Arial" w:cs="Arial"/>
        </w:rPr>
        <w:t xml:space="preserve"> , select Title 33, then Chapter 25.</w:t>
      </w:r>
      <w:r w:rsidRPr="00D6717A">
        <w:rPr>
          <w:rFonts w:ascii="Arial" w:hAnsi="Arial" w:cs="Arial"/>
        </w:rPr>
        <w:t xml:space="preserve">  </w:t>
      </w:r>
    </w:p>
  </w:footnote>
  <w:footnote w:id="2">
    <w:p w:rsidR="00A81F6B" w:rsidRPr="00D6717A" w:rsidRDefault="00A81F6B">
      <w:pPr>
        <w:pStyle w:val="FootnoteText"/>
        <w:rPr>
          <w:rFonts w:ascii="Arial" w:hAnsi="Arial" w:cs="Arial"/>
        </w:rPr>
      </w:pPr>
      <w:r w:rsidRPr="00D6717A">
        <w:rPr>
          <w:rStyle w:val="FootnoteReference"/>
          <w:rFonts w:ascii="Arial" w:hAnsi="Arial" w:cs="Arial"/>
        </w:rPr>
        <w:footnoteRef/>
      </w:r>
      <w:r w:rsidRPr="00D6717A">
        <w:rPr>
          <w:rFonts w:ascii="Arial" w:hAnsi="Arial" w:cs="Arial"/>
        </w:rPr>
        <w:t xml:space="preserve">  Located at </w:t>
      </w:r>
      <w:hyperlink r:id="rId2" w:history="1">
        <w:r w:rsidRPr="0099187F">
          <w:rPr>
            <w:rStyle w:val="Hyperlink"/>
            <w:rFonts w:ascii="Arial" w:hAnsi="Arial" w:cs="Arial"/>
          </w:rPr>
          <w:t>http://frwebgate.acc</w:t>
        </w:r>
        <w:r w:rsidRPr="0099187F">
          <w:rPr>
            <w:rStyle w:val="Hyperlink"/>
            <w:rFonts w:ascii="Arial" w:hAnsi="Arial" w:cs="Arial"/>
          </w:rPr>
          <w:t>e</w:t>
        </w:r>
        <w:r w:rsidRPr="0099187F">
          <w:rPr>
            <w:rStyle w:val="Hyperlink"/>
            <w:rFonts w:ascii="Arial" w:hAnsi="Arial" w:cs="Arial"/>
          </w:rPr>
          <w:t>ss.gpo.gov/cgi-bin/usc.cgi?ACTION=RETRIEVE&amp;FILE=$$xa$$busc33.wais&amp;start=2204937&amp;SIZE=16146&amp;TYPE=TEXT</w:t>
        </w:r>
      </w:hyperlink>
      <w:r>
        <w:rPr>
          <w:rFonts w:ascii="Arial" w:hAnsi="Arial" w:cs="Arial"/>
        </w:rPr>
        <w:t xml:space="preserve"> </w:t>
      </w:r>
      <w:r w:rsidRPr="00D6717A">
        <w:rPr>
          <w:rFonts w:ascii="Arial" w:hAnsi="Arial" w:cs="Arial"/>
        </w:rPr>
        <w:t xml:space="preserve"> </w:t>
      </w:r>
    </w:p>
  </w:footnote>
  <w:footnote w:id="3">
    <w:p w:rsidR="00A81F6B" w:rsidRPr="00D6717A" w:rsidRDefault="00A81F6B">
      <w:pPr>
        <w:pStyle w:val="FootnoteText"/>
        <w:rPr>
          <w:rFonts w:ascii="Arial" w:hAnsi="Arial" w:cs="Arial"/>
        </w:rPr>
      </w:pPr>
      <w:r w:rsidRPr="00D6717A">
        <w:rPr>
          <w:rStyle w:val="FootnoteReference"/>
          <w:rFonts w:ascii="Arial" w:hAnsi="Arial" w:cs="Arial"/>
        </w:rPr>
        <w:footnoteRef/>
      </w:r>
      <w:r w:rsidRPr="00D6717A">
        <w:rPr>
          <w:rFonts w:ascii="Arial" w:hAnsi="Arial" w:cs="Arial"/>
        </w:rPr>
        <w:t xml:space="preserve">  Located at </w:t>
      </w:r>
      <w:hyperlink r:id="rId3" w:history="1">
        <w:r w:rsidRPr="0099187F">
          <w:rPr>
            <w:rStyle w:val="Hyperlink"/>
            <w:rFonts w:ascii="Arial" w:hAnsi="Arial" w:cs="Arial"/>
          </w:rPr>
          <w:t>http://www.access.gpo.gov/nara/cfr/waisidx_08/33cfr160_08.html</w:t>
        </w:r>
      </w:hyperlink>
      <w:r>
        <w:rPr>
          <w:rFonts w:ascii="Arial" w:hAnsi="Arial" w:cs="Arial"/>
        </w:rPr>
        <w:t xml:space="preserve"> </w:t>
      </w:r>
      <w:r w:rsidRPr="00D6717A">
        <w:rPr>
          <w:rFonts w:ascii="Arial" w:hAnsi="Arial" w:cs="Arial"/>
        </w:rPr>
        <w:t xml:space="preserve"> </w:t>
      </w:r>
    </w:p>
  </w:footnote>
  <w:footnote w:id="4">
    <w:p w:rsidR="00A81F6B" w:rsidRDefault="00A81F6B">
      <w:pPr>
        <w:pStyle w:val="FootnoteText"/>
      </w:pPr>
      <w:r w:rsidRPr="00D6717A">
        <w:rPr>
          <w:rStyle w:val="FootnoteReference"/>
          <w:rFonts w:ascii="Arial" w:hAnsi="Arial" w:cs="Arial"/>
        </w:rPr>
        <w:footnoteRef/>
      </w:r>
      <w:r w:rsidRPr="00D6717A">
        <w:rPr>
          <w:rFonts w:ascii="Arial" w:hAnsi="Arial" w:cs="Arial"/>
        </w:rPr>
        <w:t xml:space="preserve">  Not available at </w:t>
      </w:r>
      <w:hyperlink r:id="rId4" w:history="1">
        <w:r w:rsidRPr="00D6717A">
          <w:rPr>
            <w:rStyle w:val="Hyperlink"/>
            <w:rFonts w:ascii="Arial" w:hAnsi="Arial" w:cs="Arial"/>
          </w:rPr>
          <w:t>http://thomas.loc.gov/cp110/cp110query.html</w:t>
        </w:r>
      </w:hyperlink>
      <w:r>
        <w:t xml:space="preserve">  </w:t>
      </w:r>
    </w:p>
  </w:footnote>
  <w:footnote w:id="5">
    <w:p w:rsidR="00A81F6B" w:rsidRPr="00271220" w:rsidRDefault="00A81F6B">
      <w:pPr>
        <w:pStyle w:val="FootnoteText"/>
        <w:rPr>
          <w:rFonts w:ascii="Arial" w:hAnsi="Arial" w:cs="Arial"/>
        </w:rPr>
      </w:pPr>
      <w:r w:rsidRPr="00271220">
        <w:rPr>
          <w:rStyle w:val="FootnoteReference"/>
        </w:rPr>
        <w:footnoteRef/>
      </w:r>
      <w:r w:rsidRPr="00271220">
        <w:t xml:space="preserve">  </w:t>
      </w:r>
      <w:r w:rsidRPr="00271220">
        <w:rPr>
          <w:rFonts w:ascii="Arial" w:hAnsi="Arial" w:cs="Arial"/>
        </w:rPr>
        <w:t xml:space="preserve">MISLE/SANS means the Coast Guard’s Marine Information for Safety and Law Enforcement/Ship Arrival Notification System database.  </w:t>
      </w:r>
    </w:p>
  </w:footnote>
  <w:footnote w:id="6">
    <w:p w:rsidR="00A81F6B" w:rsidRPr="00271220" w:rsidRDefault="00A81F6B">
      <w:pPr>
        <w:pStyle w:val="FootnoteText"/>
        <w:rPr>
          <w:rFonts w:ascii="Arial" w:hAnsi="Arial" w:cs="Arial"/>
        </w:rPr>
      </w:pPr>
      <w:r w:rsidRPr="00271220">
        <w:rPr>
          <w:rStyle w:val="FootnoteReference"/>
        </w:rPr>
        <w:footnoteRef/>
      </w:r>
      <w:r w:rsidRPr="00271220">
        <w:t xml:space="preserve">  </w:t>
      </w:r>
      <w:r w:rsidRPr="00271220">
        <w:rPr>
          <w:rFonts w:ascii="Arial" w:hAnsi="Arial" w:cs="Arial"/>
        </w:rPr>
        <w:t xml:space="preserve">Figures in Table are rounded.  </w:t>
      </w:r>
    </w:p>
  </w:footnote>
  <w:footnote w:id="7">
    <w:p w:rsidR="00A81F6B" w:rsidRPr="00271220" w:rsidRDefault="00A81F6B">
      <w:pPr>
        <w:pStyle w:val="FootnoteText"/>
        <w:rPr>
          <w:rFonts w:ascii="Arial" w:hAnsi="Arial" w:cs="Arial"/>
        </w:rPr>
      </w:pPr>
      <w:r w:rsidRPr="00271220">
        <w:rPr>
          <w:rStyle w:val="FootnoteReference"/>
          <w:rFonts w:ascii="Arial" w:hAnsi="Arial" w:cs="Arial"/>
        </w:rPr>
        <w:footnoteRef/>
      </w:r>
      <w:r w:rsidRPr="00271220">
        <w:rPr>
          <w:rFonts w:ascii="Arial" w:hAnsi="Arial" w:cs="Arial"/>
        </w:rPr>
        <w:t xml:space="preserve">  Aligned with hourly cost burden rate in rulemaking documents.  </w:t>
      </w:r>
    </w:p>
  </w:footnote>
  <w:footnote w:id="8">
    <w:p w:rsidR="00A81F6B" w:rsidRPr="00CA2702" w:rsidRDefault="00A81F6B">
      <w:pPr>
        <w:pStyle w:val="FootnoteText"/>
        <w:rPr>
          <w:rFonts w:ascii="Arial" w:hAnsi="Arial" w:cs="Arial"/>
        </w:rPr>
      </w:pPr>
      <w:r w:rsidRPr="00271220">
        <w:rPr>
          <w:rStyle w:val="FootnoteReference"/>
          <w:rFonts w:ascii="Arial" w:hAnsi="Arial" w:cs="Arial"/>
        </w:rPr>
        <w:footnoteRef/>
      </w:r>
      <w:r w:rsidRPr="00271220">
        <w:rPr>
          <w:rFonts w:ascii="Arial" w:hAnsi="Arial" w:cs="Arial"/>
        </w:rPr>
        <w:t xml:space="preserve">  The number of vessels carrying CDC is a subset of the overall vessel population.</w:t>
      </w:r>
      <w:r w:rsidR="00271220">
        <w:rPr>
          <w:rFonts w:ascii="Arial" w:hAnsi="Arial" w:cs="Arial"/>
        </w:rPr>
        <w:t xml:space="preserve">  2,200 of the 2,800 are a subset of the overall population, the remaining 600 is an increase in the population based on 2009 data.</w:t>
      </w:r>
      <w:r w:rsidRPr="00CA2702">
        <w:rPr>
          <w:rFonts w:ascii="Arial" w:hAnsi="Arial" w:cs="Arial"/>
        </w:rPr>
        <w:t xml:space="preserve">  </w:t>
      </w:r>
    </w:p>
  </w:footnote>
  <w:footnote w:id="9">
    <w:p w:rsidR="00A81F6B" w:rsidRPr="00F10E78" w:rsidRDefault="00A81F6B">
      <w:pPr>
        <w:pStyle w:val="FootnoteText"/>
        <w:rPr>
          <w:rFonts w:ascii="Arial" w:hAnsi="Arial" w:cs="Arial"/>
        </w:rPr>
      </w:pPr>
      <w:r w:rsidRPr="00F10E78">
        <w:rPr>
          <w:rStyle w:val="FootnoteReference"/>
          <w:rFonts w:ascii="Arial" w:hAnsi="Arial" w:cs="Arial"/>
        </w:rPr>
        <w:footnoteRef/>
      </w:r>
      <w:r w:rsidRPr="00F10E78">
        <w:rPr>
          <w:rFonts w:ascii="Arial" w:hAnsi="Arial" w:cs="Arial"/>
        </w:rPr>
        <w:t xml:space="preserve">  Assuming that a person with an equivalent hourly rate as an O-3 for out of government, then the rate is $84.00 according to Enclosure (2) to COMDTINST 7310.1L.</w:t>
      </w:r>
    </w:p>
  </w:footnote>
  <w:footnote w:id="10">
    <w:p w:rsidR="00A81F6B" w:rsidRDefault="00A81F6B">
      <w:pPr>
        <w:pStyle w:val="FootnoteText"/>
        <w:rPr>
          <w:rFonts w:ascii="Arial" w:hAnsi="Arial"/>
        </w:rPr>
      </w:pPr>
      <w:r>
        <w:rPr>
          <w:rStyle w:val="FootnoteReference"/>
          <w:rFonts w:ascii="Arial" w:hAnsi="Arial"/>
        </w:rPr>
        <w:footnoteRef/>
      </w:r>
      <w:r>
        <w:rPr>
          <w:rFonts w:ascii="Arial" w:hAnsi="Arial"/>
        </w:rPr>
        <w:t xml:space="preserve">  Assuming that a person with an equivalent hourly rate as an O-1 for out of government, then the rate is $54.00 according to Enclosure (2) to COMDTINST 7310.1L.</w:t>
      </w:r>
    </w:p>
  </w:footnote>
  <w:footnote w:id="11">
    <w:p w:rsidR="00A81F6B" w:rsidRDefault="00A81F6B">
      <w:pPr>
        <w:pStyle w:val="FootnoteText"/>
        <w:rPr>
          <w:rFonts w:ascii="Arial" w:hAnsi="Arial"/>
        </w:rPr>
      </w:pPr>
      <w:r>
        <w:rPr>
          <w:rStyle w:val="FootnoteReference"/>
          <w:rFonts w:ascii="Arial" w:hAnsi="Arial"/>
        </w:rPr>
        <w:footnoteRef/>
      </w:r>
      <w:r>
        <w:rPr>
          <w:rFonts w:ascii="Arial" w:hAnsi="Arial"/>
        </w:rPr>
        <w:t xml:space="preserve">  Assuming that the individual is an O-3 (in government), then the rate is $67.00 according to Enclosure (2) to COMDTINST 7310.1L.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F6B" w:rsidRDefault="00A81F6B">
    <w:pPr>
      <w:pStyle w:val="Header"/>
    </w:pPr>
    <w:r>
      <w:rPr>
        <w:rFonts w:ascii="Arial" w:hAnsi="Arial"/>
      </w:rPr>
      <w:t>1625-0100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67AC8"/>
    <w:multiLevelType w:val="hybridMultilevel"/>
    <w:tmpl w:val="5A221D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4F272A1"/>
    <w:multiLevelType w:val="singleLevel"/>
    <w:tmpl w:val="04090017"/>
    <w:lvl w:ilvl="0">
      <w:start w:val="1"/>
      <w:numFmt w:val="lowerLetter"/>
      <w:lvlText w:val="%1)"/>
      <w:lvlJc w:val="left"/>
      <w:pPr>
        <w:tabs>
          <w:tab w:val="num" w:pos="360"/>
        </w:tabs>
        <w:ind w:left="360" w:hanging="360"/>
      </w:pPr>
      <w:rPr>
        <w:rFonts w:hint="default"/>
      </w:rPr>
    </w:lvl>
  </w:abstractNum>
  <w:abstractNum w:abstractNumId="2">
    <w:nsid w:val="0BE45BB7"/>
    <w:multiLevelType w:val="hybridMultilevel"/>
    <w:tmpl w:val="7564F21C"/>
    <w:lvl w:ilvl="0" w:tplc="7A1C24E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304D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D57789A"/>
    <w:multiLevelType w:val="singleLevel"/>
    <w:tmpl w:val="B33804A6"/>
    <w:lvl w:ilvl="0">
      <w:start w:val="1"/>
      <w:numFmt w:val="lowerLetter"/>
      <w:lvlText w:val="%1)"/>
      <w:lvlJc w:val="left"/>
      <w:pPr>
        <w:tabs>
          <w:tab w:val="num" w:pos="360"/>
        </w:tabs>
        <w:ind w:left="360" w:hanging="360"/>
      </w:pPr>
      <w:rPr>
        <w:b/>
        <w:i w:val="0"/>
      </w:rPr>
    </w:lvl>
  </w:abstractNum>
  <w:abstractNum w:abstractNumId="5">
    <w:nsid w:val="15866116"/>
    <w:multiLevelType w:val="singleLevel"/>
    <w:tmpl w:val="8B723C10"/>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6">
    <w:nsid w:val="159647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66E3A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B61177C"/>
    <w:multiLevelType w:val="singleLevel"/>
    <w:tmpl w:val="2E18C226"/>
    <w:lvl w:ilvl="0">
      <w:start w:val="1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nsid w:val="1D562EF9"/>
    <w:multiLevelType w:val="hybridMultilevel"/>
    <w:tmpl w:val="8F5E9DFA"/>
    <w:lvl w:ilvl="0" w:tplc="4FF4C78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FCC051D"/>
    <w:multiLevelType w:val="hybridMultilevel"/>
    <w:tmpl w:val="A100FCF6"/>
    <w:lvl w:ilvl="0" w:tplc="D3ECA59E">
      <w:start w:val="1"/>
      <w:numFmt w:val="bullet"/>
      <w:lvlText w:val=""/>
      <w:lvlJc w:val="left"/>
      <w:pPr>
        <w:tabs>
          <w:tab w:val="num" w:pos="720"/>
        </w:tabs>
        <w:ind w:left="720"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2194A96"/>
    <w:multiLevelType w:val="hybridMultilevel"/>
    <w:tmpl w:val="1E7CE9F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224006D"/>
    <w:multiLevelType w:val="singleLevel"/>
    <w:tmpl w:val="05F614CC"/>
    <w:lvl w:ilvl="0">
      <w:start w:val="1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nsid w:val="24505B71"/>
    <w:multiLevelType w:val="singleLevel"/>
    <w:tmpl w:val="80E8AEC8"/>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4">
    <w:nsid w:val="247A1BEC"/>
    <w:multiLevelType w:val="singleLevel"/>
    <w:tmpl w:val="04090017"/>
    <w:lvl w:ilvl="0">
      <w:start w:val="2"/>
      <w:numFmt w:val="lowerLetter"/>
      <w:lvlText w:val="%1)"/>
      <w:lvlJc w:val="left"/>
      <w:pPr>
        <w:tabs>
          <w:tab w:val="num" w:pos="360"/>
        </w:tabs>
        <w:ind w:left="360" w:hanging="360"/>
      </w:pPr>
      <w:rPr>
        <w:rFonts w:hint="default"/>
      </w:rPr>
    </w:lvl>
  </w:abstractNum>
  <w:abstractNum w:abstractNumId="15">
    <w:nsid w:val="26647C4A"/>
    <w:multiLevelType w:val="hybridMultilevel"/>
    <w:tmpl w:val="E1AAFB9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B603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B85383D"/>
    <w:multiLevelType w:val="hybridMultilevel"/>
    <w:tmpl w:val="502E5B7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B9D6613"/>
    <w:multiLevelType w:val="singleLevel"/>
    <w:tmpl w:val="7212AD8A"/>
    <w:lvl w:ilvl="0">
      <w:start w:val="3"/>
      <w:numFmt w:val="lowerLetter"/>
      <w:lvlText w:val="%1)"/>
      <w:lvlJc w:val="left"/>
      <w:pPr>
        <w:tabs>
          <w:tab w:val="num" w:pos="360"/>
        </w:tabs>
        <w:ind w:left="360" w:hanging="360"/>
      </w:pPr>
      <w:rPr>
        <w:rFonts w:hint="default"/>
        <w:b/>
      </w:rPr>
    </w:lvl>
  </w:abstractNum>
  <w:abstractNum w:abstractNumId="19">
    <w:nsid w:val="300034ED"/>
    <w:multiLevelType w:val="hybridMultilevel"/>
    <w:tmpl w:val="37F28E0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14C7B4B"/>
    <w:multiLevelType w:val="singleLevel"/>
    <w:tmpl w:val="672ECF50"/>
    <w:lvl w:ilvl="0">
      <w:start w:val="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1">
    <w:nsid w:val="35BA62E8"/>
    <w:multiLevelType w:val="singleLevel"/>
    <w:tmpl w:val="7212AD8A"/>
    <w:lvl w:ilvl="0">
      <w:start w:val="1"/>
      <w:numFmt w:val="lowerLetter"/>
      <w:lvlText w:val="%1)"/>
      <w:lvlJc w:val="left"/>
      <w:pPr>
        <w:tabs>
          <w:tab w:val="num" w:pos="360"/>
        </w:tabs>
        <w:ind w:left="360" w:hanging="360"/>
      </w:pPr>
      <w:rPr>
        <w:rFonts w:hint="default"/>
        <w:b/>
      </w:rPr>
    </w:lvl>
  </w:abstractNum>
  <w:abstractNum w:abstractNumId="22">
    <w:nsid w:val="36F34E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3813660F"/>
    <w:multiLevelType w:val="hybridMultilevel"/>
    <w:tmpl w:val="402C23F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A371A9E"/>
    <w:multiLevelType w:val="singleLevel"/>
    <w:tmpl w:val="B31493C0"/>
    <w:lvl w:ilvl="0">
      <w:start w:val="9"/>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5">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1E8167C"/>
    <w:multiLevelType w:val="singleLevel"/>
    <w:tmpl w:val="875C4262"/>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7">
    <w:nsid w:val="421A3284"/>
    <w:multiLevelType w:val="hybridMultilevel"/>
    <w:tmpl w:val="7CA8B3C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43319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A2251C2"/>
    <w:multiLevelType w:val="singleLevel"/>
    <w:tmpl w:val="6FC4304C"/>
    <w:lvl w:ilvl="0">
      <w:start w:val="1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0">
    <w:nsid w:val="4CAF0BF7"/>
    <w:multiLevelType w:val="singleLevel"/>
    <w:tmpl w:val="B33804A6"/>
    <w:lvl w:ilvl="0">
      <w:start w:val="1"/>
      <w:numFmt w:val="lowerLetter"/>
      <w:lvlText w:val="%1)"/>
      <w:lvlJc w:val="left"/>
      <w:pPr>
        <w:tabs>
          <w:tab w:val="num" w:pos="360"/>
        </w:tabs>
        <w:ind w:left="360" w:hanging="360"/>
      </w:pPr>
      <w:rPr>
        <w:b/>
        <w:i w:val="0"/>
      </w:rPr>
    </w:lvl>
  </w:abstractNum>
  <w:abstractNum w:abstractNumId="31">
    <w:nsid w:val="4F330D00"/>
    <w:multiLevelType w:val="singleLevel"/>
    <w:tmpl w:val="B4F0D988"/>
    <w:lvl w:ilvl="0">
      <w:start w:val="1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2">
    <w:nsid w:val="51C12EE6"/>
    <w:multiLevelType w:val="singleLevel"/>
    <w:tmpl w:val="E3E8D606"/>
    <w:lvl w:ilvl="0">
      <w:start w:val="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3">
    <w:nsid w:val="58EC2CEF"/>
    <w:multiLevelType w:val="hybridMultilevel"/>
    <w:tmpl w:val="117295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9136C27"/>
    <w:multiLevelType w:val="singleLevel"/>
    <w:tmpl w:val="5B6EEA7A"/>
    <w:lvl w:ilvl="0">
      <w:start w:val="1"/>
      <w:numFmt w:val="decimal"/>
      <w:lvlText w:val="%1. "/>
      <w:lvlJc w:val="left"/>
      <w:pPr>
        <w:tabs>
          <w:tab w:val="num" w:pos="360"/>
        </w:tabs>
        <w:ind w:left="360" w:hanging="360"/>
      </w:pPr>
      <w:rPr>
        <w:rFonts w:ascii="Arial" w:hAnsi="Arial" w:hint="default"/>
        <w:b/>
        <w:i w:val="0"/>
        <w:sz w:val="24"/>
        <w:u w:val="none"/>
      </w:rPr>
    </w:lvl>
  </w:abstractNum>
  <w:abstractNum w:abstractNumId="35">
    <w:nsid w:val="5AAC4376"/>
    <w:multiLevelType w:val="singleLevel"/>
    <w:tmpl w:val="922890AC"/>
    <w:lvl w:ilvl="0">
      <w:start w:val="10"/>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6">
    <w:nsid w:val="5E9E28AE"/>
    <w:multiLevelType w:val="singleLevel"/>
    <w:tmpl w:val="B240CE32"/>
    <w:lvl w:ilvl="0">
      <w:start w:val="1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7">
    <w:nsid w:val="5F255826"/>
    <w:multiLevelType w:val="singleLevel"/>
    <w:tmpl w:val="092C5C8A"/>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8">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66911D0C"/>
    <w:multiLevelType w:val="hybridMultilevel"/>
    <w:tmpl w:val="06D2E630"/>
    <w:lvl w:ilvl="0" w:tplc="4FF4C7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7656AFB"/>
    <w:multiLevelType w:val="singleLevel"/>
    <w:tmpl w:val="FE7EC202"/>
    <w:lvl w:ilvl="0">
      <w:start w:val="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2">
    <w:nsid w:val="690654FB"/>
    <w:multiLevelType w:val="hybridMultilevel"/>
    <w:tmpl w:val="55F89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03333A6"/>
    <w:multiLevelType w:val="singleLevel"/>
    <w:tmpl w:val="047EB36E"/>
    <w:lvl w:ilvl="0">
      <w:start w:val="1"/>
      <w:numFmt w:val="upperLetter"/>
      <w:lvlText w:val="%1. "/>
      <w:lvlJc w:val="left"/>
      <w:pPr>
        <w:tabs>
          <w:tab w:val="num" w:pos="360"/>
        </w:tabs>
        <w:ind w:left="360" w:hanging="360"/>
      </w:pPr>
      <w:rPr>
        <w:rFonts w:ascii="Arial" w:hAnsi="Arial" w:hint="default"/>
        <w:b/>
        <w:i w:val="0"/>
        <w:sz w:val="24"/>
        <w:u w:val="none"/>
      </w:rPr>
    </w:lvl>
  </w:abstractNum>
  <w:abstractNum w:abstractNumId="44">
    <w:nsid w:val="75F755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77A96E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nsid w:val="7F941306"/>
    <w:multiLevelType w:val="hybridMultilevel"/>
    <w:tmpl w:val="098490E4"/>
    <w:lvl w:ilvl="0" w:tplc="4FF4C78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nsid w:val="7FEB2A7D"/>
    <w:multiLevelType w:val="singleLevel"/>
    <w:tmpl w:val="568CA6EA"/>
    <w:lvl w:ilvl="0">
      <w:start w:val="1"/>
      <w:numFmt w:val="decimal"/>
      <w:lvlText w:val="%1. "/>
      <w:lvlJc w:val="left"/>
      <w:pPr>
        <w:tabs>
          <w:tab w:val="num" w:pos="360"/>
        </w:tabs>
        <w:ind w:left="360" w:hanging="360"/>
      </w:pPr>
      <w:rPr>
        <w:rFonts w:ascii="Times New Roman" w:hAnsi="Times New Roman" w:hint="default"/>
        <w:b/>
        <w:i w:val="0"/>
        <w:sz w:val="24"/>
        <w:u w:val="none"/>
      </w:rPr>
    </w:lvl>
  </w:abstractNum>
  <w:num w:numId="1">
    <w:abstractNumId w:val="43"/>
  </w:num>
  <w:num w:numId="2">
    <w:abstractNumId w:val="34"/>
  </w:num>
  <w:num w:numId="3">
    <w:abstractNumId w:val="26"/>
  </w:num>
  <w:num w:numId="4">
    <w:abstractNumId w:val="5"/>
  </w:num>
  <w:num w:numId="5">
    <w:abstractNumId w:val="32"/>
  </w:num>
  <w:num w:numId="6">
    <w:abstractNumId w:val="13"/>
  </w:num>
  <w:num w:numId="7">
    <w:abstractNumId w:val="41"/>
  </w:num>
  <w:num w:numId="8">
    <w:abstractNumId w:val="20"/>
  </w:num>
  <w:num w:numId="9">
    <w:abstractNumId w:val="37"/>
  </w:num>
  <w:num w:numId="10">
    <w:abstractNumId w:val="24"/>
  </w:num>
  <w:num w:numId="11">
    <w:abstractNumId w:val="35"/>
  </w:num>
  <w:num w:numId="12">
    <w:abstractNumId w:val="29"/>
  </w:num>
  <w:num w:numId="13">
    <w:abstractNumId w:val="12"/>
  </w:num>
  <w:num w:numId="14">
    <w:abstractNumId w:val="8"/>
  </w:num>
  <w:num w:numId="15">
    <w:abstractNumId w:val="31"/>
  </w:num>
  <w:num w:numId="16">
    <w:abstractNumId w:val="36"/>
  </w:num>
  <w:num w:numId="17">
    <w:abstractNumId w:val="25"/>
  </w:num>
  <w:num w:numId="18">
    <w:abstractNumId w:val="38"/>
  </w:num>
  <w:num w:numId="19">
    <w:abstractNumId w:val="39"/>
  </w:num>
  <w:num w:numId="20">
    <w:abstractNumId w:val="1"/>
  </w:num>
  <w:num w:numId="21">
    <w:abstractNumId w:val="18"/>
  </w:num>
  <w:num w:numId="22">
    <w:abstractNumId w:val="6"/>
  </w:num>
  <w:num w:numId="23">
    <w:abstractNumId w:val="14"/>
  </w:num>
  <w:num w:numId="24">
    <w:abstractNumId w:val="44"/>
  </w:num>
  <w:num w:numId="25">
    <w:abstractNumId w:val="7"/>
  </w:num>
  <w:num w:numId="26">
    <w:abstractNumId w:val="21"/>
  </w:num>
  <w:num w:numId="27">
    <w:abstractNumId w:val="22"/>
  </w:num>
  <w:num w:numId="28">
    <w:abstractNumId w:val="30"/>
  </w:num>
  <w:num w:numId="29">
    <w:abstractNumId w:val="34"/>
  </w:num>
  <w:num w:numId="30">
    <w:abstractNumId w:val="4"/>
  </w:num>
  <w:num w:numId="31">
    <w:abstractNumId w:val="3"/>
  </w:num>
  <w:num w:numId="32">
    <w:abstractNumId w:val="16"/>
  </w:num>
  <w:num w:numId="33">
    <w:abstractNumId w:val="28"/>
  </w:num>
  <w:num w:numId="34">
    <w:abstractNumId w:val="45"/>
  </w:num>
  <w:num w:numId="35">
    <w:abstractNumId w:val="11"/>
  </w:num>
  <w:num w:numId="36">
    <w:abstractNumId w:val="15"/>
  </w:num>
  <w:num w:numId="37">
    <w:abstractNumId w:val="27"/>
  </w:num>
  <w:num w:numId="38">
    <w:abstractNumId w:val="19"/>
  </w:num>
  <w:num w:numId="39">
    <w:abstractNumId w:val="23"/>
  </w:num>
  <w:num w:numId="40">
    <w:abstractNumId w:val="17"/>
  </w:num>
  <w:num w:numId="41">
    <w:abstractNumId w:val="10"/>
  </w:num>
  <w:num w:numId="42">
    <w:abstractNumId w:val="33"/>
  </w:num>
  <w:num w:numId="43">
    <w:abstractNumId w:val="40"/>
  </w:num>
  <w:num w:numId="44">
    <w:abstractNumId w:val="9"/>
  </w:num>
  <w:num w:numId="45">
    <w:abstractNumId w:val="46"/>
  </w:num>
  <w:num w:numId="46">
    <w:abstractNumId w:val="0"/>
  </w:num>
  <w:num w:numId="47">
    <w:abstractNumId w:val="2"/>
  </w:num>
  <w:num w:numId="48">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E2A66"/>
    <w:rsid w:val="00002456"/>
    <w:rsid w:val="000169C4"/>
    <w:rsid w:val="0005346A"/>
    <w:rsid w:val="00071CAC"/>
    <w:rsid w:val="00085B9A"/>
    <w:rsid w:val="00090390"/>
    <w:rsid w:val="00094C85"/>
    <w:rsid w:val="000A3DA4"/>
    <w:rsid w:val="001001E4"/>
    <w:rsid w:val="00104DF2"/>
    <w:rsid w:val="00117CA5"/>
    <w:rsid w:val="00117E12"/>
    <w:rsid w:val="001273B4"/>
    <w:rsid w:val="001A09AF"/>
    <w:rsid w:val="001A3FC0"/>
    <w:rsid w:val="001B3312"/>
    <w:rsid w:val="001E076A"/>
    <w:rsid w:val="001E408C"/>
    <w:rsid w:val="00200FAF"/>
    <w:rsid w:val="0020482B"/>
    <w:rsid w:val="002056EA"/>
    <w:rsid w:val="00212BB1"/>
    <w:rsid w:val="0022567F"/>
    <w:rsid w:val="00271220"/>
    <w:rsid w:val="00282ED5"/>
    <w:rsid w:val="002835EC"/>
    <w:rsid w:val="002B6876"/>
    <w:rsid w:val="002D1882"/>
    <w:rsid w:val="002F6DB5"/>
    <w:rsid w:val="0030146A"/>
    <w:rsid w:val="003020DC"/>
    <w:rsid w:val="003266B5"/>
    <w:rsid w:val="003332A3"/>
    <w:rsid w:val="0035706B"/>
    <w:rsid w:val="003964F6"/>
    <w:rsid w:val="003B6E7F"/>
    <w:rsid w:val="003F54F2"/>
    <w:rsid w:val="003F72BF"/>
    <w:rsid w:val="00412F77"/>
    <w:rsid w:val="004142B4"/>
    <w:rsid w:val="00434231"/>
    <w:rsid w:val="00446F1B"/>
    <w:rsid w:val="00466167"/>
    <w:rsid w:val="004A01A1"/>
    <w:rsid w:val="004A3A18"/>
    <w:rsid w:val="004C792B"/>
    <w:rsid w:val="004D2D0D"/>
    <w:rsid w:val="004D61C8"/>
    <w:rsid w:val="004E1F26"/>
    <w:rsid w:val="004E6B27"/>
    <w:rsid w:val="00505ADE"/>
    <w:rsid w:val="00540036"/>
    <w:rsid w:val="00545B7F"/>
    <w:rsid w:val="00561314"/>
    <w:rsid w:val="00567770"/>
    <w:rsid w:val="00570E42"/>
    <w:rsid w:val="00594531"/>
    <w:rsid w:val="005F67B0"/>
    <w:rsid w:val="00645414"/>
    <w:rsid w:val="0068218B"/>
    <w:rsid w:val="00687358"/>
    <w:rsid w:val="006875E3"/>
    <w:rsid w:val="006A4016"/>
    <w:rsid w:val="006B12E9"/>
    <w:rsid w:val="006B23C6"/>
    <w:rsid w:val="006C2D45"/>
    <w:rsid w:val="006E3FBB"/>
    <w:rsid w:val="00704167"/>
    <w:rsid w:val="00731F14"/>
    <w:rsid w:val="0075035A"/>
    <w:rsid w:val="007917B5"/>
    <w:rsid w:val="0079393F"/>
    <w:rsid w:val="00795A25"/>
    <w:rsid w:val="007A6165"/>
    <w:rsid w:val="007B1105"/>
    <w:rsid w:val="007C7E0E"/>
    <w:rsid w:val="007D0D2E"/>
    <w:rsid w:val="007D6316"/>
    <w:rsid w:val="00805347"/>
    <w:rsid w:val="008100D0"/>
    <w:rsid w:val="008176C9"/>
    <w:rsid w:val="00821B48"/>
    <w:rsid w:val="00856560"/>
    <w:rsid w:val="00865C0E"/>
    <w:rsid w:val="00870C31"/>
    <w:rsid w:val="008908B9"/>
    <w:rsid w:val="008A0F5E"/>
    <w:rsid w:val="008B5CE1"/>
    <w:rsid w:val="008D7F2C"/>
    <w:rsid w:val="008E2A66"/>
    <w:rsid w:val="00931FD5"/>
    <w:rsid w:val="00934AA0"/>
    <w:rsid w:val="00937CAB"/>
    <w:rsid w:val="009600E6"/>
    <w:rsid w:val="009605C3"/>
    <w:rsid w:val="00962C74"/>
    <w:rsid w:val="00980BA4"/>
    <w:rsid w:val="00994247"/>
    <w:rsid w:val="009B200C"/>
    <w:rsid w:val="009B35C4"/>
    <w:rsid w:val="009C192F"/>
    <w:rsid w:val="009D2138"/>
    <w:rsid w:val="009D618C"/>
    <w:rsid w:val="009D75A4"/>
    <w:rsid w:val="009E3BAC"/>
    <w:rsid w:val="00A233D9"/>
    <w:rsid w:val="00A40575"/>
    <w:rsid w:val="00A46764"/>
    <w:rsid w:val="00A7177D"/>
    <w:rsid w:val="00A81F6B"/>
    <w:rsid w:val="00A91759"/>
    <w:rsid w:val="00A971B1"/>
    <w:rsid w:val="00AB45FF"/>
    <w:rsid w:val="00AC15A4"/>
    <w:rsid w:val="00B14322"/>
    <w:rsid w:val="00B83D8F"/>
    <w:rsid w:val="00B96D27"/>
    <w:rsid w:val="00C16A29"/>
    <w:rsid w:val="00C24E61"/>
    <w:rsid w:val="00C4260C"/>
    <w:rsid w:val="00C46C8B"/>
    <w:rsid w:val="00C47071"/>
    <w:rsid w:val="00C76B4F"/>
    <w:rsid w:val="00C817E3"/>
    <w:rsid w:val="00C85F0F"/>
    <w:rsid w:val="00CA2702"/>
    <w:rsid w:val="00CA4BDD"/>
    <w:rsid w:val="00CB4033"/>
    <w:rsid w:val="00CD79E3"/>
    <w:rsid w:val="00D17053"/>
    <w:rsid w:val="00D22744"/>
    <w:rsid w:val="00D437D2"/>
    <w:rsid w:val="00D44707"/>
    <w:rsid w:val="00D53A25"/>
    <w:rsid w:val="00D6717A"/>
    <w:rsid w:val="00D71CF8"/>
    <w:rsid w:val="00D76FAA"/>
    <w:rsid w:val="00D9003F"/>
    <w:rsid w:val="00DB7EDC"/>
    <w:rsid w:val="00DC0311"/>
    <w:rsid w:val="00DC2D86"/>
    <w:rsid w:val="00E1297B"/>
    <w:rsid w:val="00E27093"/>
    <w:rsid w:val="00E47487"/>
    <w:rsid w:val="00E64C10"/>
    <w:rsid w:val="00E940BF"/>
    <w:rsid w:val="00EA173B"/>
    <w:rsid w:val="00EE2A52"/>
    <w:rsid w:val="00F057C5"/>
    <w:rsid w:val="00F05B21"/>
    <w:rsid w:val="00F10E78"/>
    <w:rsid w:val="00F472B5"/>
    <w:rsid w:val="00F977C6"/>
    <w:rsid w:val="00FA2088"/>
    <w:rsid w:val="00FE19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sz w:val="24"/>
    </w:rPr>
  </w:style>
  <w:style w:type="paragraph" w:styleId="Heading2">
    <w:name w:val="heading 2"/>
    <w:basedOn w:val="Normal"/>
    <w:next w:val="Normal"/>
    <w:qFormat/>
    <w:pPr>
      <w:keepNext/>
      <w:jc w:val="center"/>
      <w:outlineLvl w:val="1"/>
    </w:pPr>
    <w:rPr>
      <w:rFonts w:ascii="Arial" w:hAnsi="Arial"/>
      <w:b/>
      <w:sz w:val="24"/>
    </w:rPr>
  </w:style>
  <w:style w:type="paragraph" w:styleId="Heading3">
    <w:name w:val="heading 3"/>
    <w:basedOn w:val="Normal"/>
    <w:next w:val="Normal"/>
    <w:qFormat/>
    <w:pPr>
      <w:keepNext/>
      <w:outlineLvl w:val="2"/>
    </w:pPr>
    <w:rPr>
      <w:rFonts w:ascii="Arial" w:hAnsi="Arial"/>
      <w:b/>
      <w:sz w:val="24"/>
    </w:rPr>
  </w:style>
  <w:style w:type="paragraph" w:styleId="Heading4">
    <w:name w:val="heading 4"/>
    <w:basedOn w:val="Normal"/>
    <w:next w:val="Normal"/>
    <w:qFormat/>
    <w:pPr>
      <w:keepNext/>
      <w:ind w:right="240"/>
      <w:outlineLvl w:val="3"/>
    </w:pPr>
    <w:rPr>
      <w:rFonts w:ascii="Arial" w:hAnsi="Arial"/>
      <w:snapToGrid w:val="0"/>
      <w:color w:val="000000"/>
      <w:sz w:val="24"/>
    </w:rPr>
  </w:style>
  <w:style w:type="paragraph" w:styleId="Heading5">
    <w:name w:val="heading 5"/>
    <w:basedOn w:val="Normal"/>
    <w:next w:val="Normal"/>
    <w:qFormat/>
    <w:pPr>
      <w:keepNext/>
      <w:ind w:right="240"/>
      <w:jc w:val="center"/>
      <w:outlineLvl w:val="4"/>
    </w:pPr>
    <w:rPr>
      <w:rFonts w:ascii="Arial" w:hAnsi="Arial"/>
      <w:b/>
      <w:bCs/>
      <w:snapToGrid w:val="0"/>
      <w:color w:val="000000"/>
      <w:sz w:val="24"/>
    </w:rPr>
  </w:style>
  <w:style w:type="paragraph" w:styleId="Heading6">
    <w:name w:val="heading 6"/>
    <w:basedOn w:val="Normal"/>
    <w:next w:val="Normal"/>
    <w:qFormat/>
    <w:pPr>
      <w:keepNext/>
      <w:ind w:right="240" w:firstLine="348"/>
      <w:outlineLvl w:val="5"/>
    </w:pPr>
    <w:rPr>
      <w:rFonts w:ascii="Arial" w:hAnsi="Arial"/>
      <w:snapToGrid w:val="0"/>
      <w:color w:val="000000"/>
      <w:sz w:val="24"/>
    </w:rPr>
  </w:style>
  <w:style w:type="paragraph" w:styleId="Heading7">
    <w:name w:val="heading 7"/>
    <w:basedOn w:val="Normal"/>
    <w:next w:val="Normal"/>
    <w:qFormat/>
    <w:pPr>
      <w:keepNext/>
      <w:jc w:val="center"/>
      <w:outlineLvl w:val="6"/>
    </w:pPr>
    <w:rPr>
      <w:rFonts w:ascii="Arial" w:hAnsi="Arial"/>
      <w:b/>
      <w:snapToGrid w:val="0"/>
      <w:color w:val="000000"/>
      <w:sz w:val="24"/>
    </w:rPr>
  </w:style>
  <w:style w:type="paragraph" w:styleId="Heading8">
    <w:name w:val="heading 8"/>
    <w:basedOn w:val="Normal"/>
    <w:next w:val="Normal"/>
    <w:qFormat/>
    <w:pPr>
      <w:keepNext/>
      <w:pBdr>
        <w:top w:val="single" w:sz="12" w:space="1" w:color="auto"/>
      </w:pBdr>
      <w:outlineLvl w:val="7"/>
    </w:pPr>
    <w:rPr>
      <w:rFonts w:ascii="Arial" w:hAnsi="Arial"/>
      <w:b/>
      <w:bCs/>
      <w:sz w:val="24"/>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rFonts w:ascii="Courier New" w:hAnsi="Courier New"/>
      <w:sz w:val="24"/>
      <w:u w:val="single"/>
    </w:rPr>
  </w:style>
  <w:style w:type="paragraph" w:styleId="BodyText">
    <w:name w:val="Body Text"/>
    <w:basedOn w:val="Normal"/>
    <w:rPr>
      <w:rFonts w:ascii="Arial" w:hAnsi="Arial"/>
      <w:sz w:val="24"/>
    </w:rPr>
  </w:style>
  <w:style w:type="paragraph" w:customStyle="1" w:styleId="TxBrp6">
    <w:name w:val="TxBr_p6"/>
    <w:basedOn w:val="Normal"/>
    <w:pPr>
      <w:widowControl w:val="0"/>
      <w:tabs>
        <w:tab w:val="left" w:pos="204"/>
      </w:tabs>
      <w:spacing w:line="289" w:lineRule="atLeast"/>
      <w:jc w:val="both"/>
    </w:pPr>
    <w:rPr>
      <w:snapToGrid w:val="0"/>
      <w:sz w:val="24"/>
    </w:rPr>
  </w:style>
  <w:style w:type="paragraph" w:styleId="BodyTextIndent2">
    <w:name w:val="Body Text Indent 2"/>
    <w:basedOn w:val="Normal"/>
    <w:pPr>
      <w:ind w:left="360"/>
    </w:pPr>
    <w:rPr>
      <w:rFonts w:ascii="Arial" w:hAnsi="Arial"/>
      <w:sz w:val="24"/>
    </w:rPr>
  </w:style>
  <w:style w:type="paragraph" w:customStyle="1" w:styleId="TxBrp4">
    <w:name w:val="TxBr_p4"/>
    <w:basedOn w:val="Normal"/>
    <w:pPr>
      <w:widowControl w:val="0"/>
      <w:tabs>
        <w:tab w:val="left" w:pos="583"/>
      </w:tabs>
      <w:spacing w:line="289" w:lineRule="atLeast"/>
    </w:pPr>
    <w:rPr>
      <w:snapToGrid w:val="0"/>
      <w:sz w:val="24"/>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1980" w:hanging="540"/>
    </w:pPr>
    <w:rPr>
      <w:rFonts w:ascii="Courier New" w:hAnsi="Courier New"/>
      <w:sz w:val="24"/>
    </w:rPr>
  </w:style>
  <w:style w:type="paragraph" w:styleId="Title">
    <w:name w:val="Title"/>
    <w:basedOn w:val="Normal"/>
    <w:qFormat/>
    <w:pPr>
      <w:jc w:val="center"/>
    </w:pPr>
    <w:rPr>
      <w:rFonts w:ascii="Arial" w:hAnsi="Arial"/>
      <w:b/>
      <w:sz w:val="28"/>
    </w:rPr>
  </w:style>
  <w:style w:type="paragraph" w:customStyle="1" w:styleId="TableText">
    <w:name w:val="Table Text"/>
    <w:basedOn w:val="Normal"/>
    <w:pPr>
      <w:keepNext/>
      <w:spacing w:before="20" w:after="20"/>
    </w:pPr>
    <w:rPr>
      <w:rFonts w:ascii="AGaramond" w:hAnsi="AGaramond"/>
      <w:sz w:val="22"/>
    </w:rPr>
  </w:style>
  <w:style w:type="paragraph" w:styleId="NormalWeb">
    <w:name w:val="Normal (Web)"/>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BalloonText">
    <w:name w:val="Balloon Text"/>
    <w:basedOn w:val="Normal"/>
    <w:semiHidden/>
    <w:rsid w:val="00DB7EDC"/>
    <w:rPr>
      <w:rFonts w:ascii="Tahoma" w:hAnsi="Tahoma" w:cs="Tahoma"/>
      <w:sz w:val="16"/>
      <w:szCs w:val="16"/>
    </w:rPr>
  </w:style>
  <w:style w:type="character" w:styleId="CommentReference">
    <w:name w:val="annotation reference"/>
    <w:basedOn w:val="DefaultParagraphFont"/>
    <w:semiHidden/>
    <w:rsid w:val="00E64C10"/>
    <w:rPr>
      <w:sz w:val="16"/>
      <w:szCs w:val="16"/>
    </w:rPr>
  </w:style>
  <w:style w:type="paragraph" w:styleId="CommentText">
    <w:name w:val="annotation text"/>
    <w:basedOn w:val="Normal"/>
    <w:semiHidden/>
    <w:rsid w:val="00E64C10"/>
  </w:style>
  <w:style w:type="paragraph" w:styleId="CommentSubject">
    <w:name w:val="annotation subject"/>
    <w:basedOn w:val="CommentText"/>
    <w:next w:val="CommentText"/>
    <w:semiHidden/>
    <w:rsid w:val="00E64C10"/>
    <w:rPr>
      <w:b/>
      <w:bCs/>
    </w:rPr>
  </w:style>
  <w:style w:type="character" w:styleId="Hyperlink">
    <w:name w:val="Hyperlink"/>
    <w:basedOn w:val="DefaultParagraphFont"/>
    <w:rsid w:val="00D9003F"/>
    <w:rPr>
      <w:color w:val="0000FF"/>
      <w:u w:val="single"/>
    </w:rPr>
  </w:style>
  <w:style w:type="character" w:styleId="FollowedHyperlink">
    <w:name w:val="FollowedHyperlink"/>
    <w:basedOn w:val="DefaultParagraphFont"/>
    <w:rsid w:val="00F472B5"/>
    <w:rPr>
      <w:color w:val="606420"/>
      <w:u w:val="single"/>
    </w:rPr>
  </w:style>
  <w:style w:type="table" w:styleId="TableGrid">
    <w:name w:val="Table Grid"/>
    <w:basedOn w:val="TableNormal"/>
    <w:rsid w:val="009600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vmc.uscg.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vmc.uscg.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access.gpo.gov/nara/cfr/waisidx_08/33cfr160_08.html" TargetMode="External"/><Relationship Id="rId2" Type="http://schemas.openxmlformats.org/officeDocument/2006/relationships/hyperlink" Target="http://frwebgate.access.gpo.gov/cgi-bin/usc.cgi?ACTION=RETRIEVE&amp;FILE=$$xa$$busc33.wais&amp;start=2204937&amp;SIZE=16146&amp;TYPE=TEXT" TargetMode="External"/><Relationship Id="rId1" Type="http://schemas.openxmlformats.org/officeDocument/2006/relationships/hyperlink" Target="http://www.gpoaccess.gov/uscode/browse.html" TargetMode="External"/><Relationship Id="rId4" Type="http://schemas.openxmlformats.org/officeDocument/2006/relationships/hyperlink" Target="http://thomas.loc.gov/cp110/cp110que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95C98-8E18-4629-A7D9-FFDB55CD3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2735</Words>
  <Characters>15593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Information Collection Requirement</vt:lpstr>
    </vt:vector>
  </TitlesOfParts>
  <Company>United States Coast Guard</Company>
  <LinksUpToDate>false</LinksUpToDate>
  <CharactersWithSpaces>18292</CharactersWithSpaces>
  <SharedDoc>false</SharedDoc>
  <HLinks>
    <vt:vector size="36" baseType="variant">
      <vt:variant>
        <vt:i4>196626</vt:i4>
      </vt:variant>
      <vt:variant>
        <vt:i4>3</vt:i4>
      </vt:variant>
      <vt:variant>
        <vt:i4>0</vt:i4>
      </vt:variant>
      <vt:variant>
        <vt:i4>5</vt:i4>
      </vt:variant>
      <vt:variant>
        <vt:lpwstr>http://www.nvmc.uscg.gov/</vt:lpwstr>
      </vt:variant>
      <vt:variant>
        <vt:lpwstr/>
      </vt:variant>
      <vt:variant>
        <vt:i4>196626</vt:i4>
      </vt:variant>
      <vt:variant>
        <vt:i4>0</vt:i4>
      </vt:variant>
      <vt:variant>
        <vt:i4>0</vt:i4>
      </vt:variant>
      <vt:variant>
        <vt:i4>5</vt:i4>
      </vt:variant>
      <vt:variant>
        <vt:lpwstr>http://www.nvmc.uscg.gov/</vt:lpwstr>
      </vt:variant>
      <vt:variant>
        <vt:lpwstr/>
      </vt:variant>
      <vt:variant>
        <vt:i4>3735612</vt:i4>
      </vt:variant>
      <vt:variant>
        <vt:i4>9</vt:i4>
      </vt:variant>
      <vt:variant>
        <vt:i4>0</vt:i4>
      </vt:variant>
      <vt:variant>
        <vt:i4>5</vt:i4>
      </vt:variant>
      <vt:variant>
        <vt:lpwstr>http://thomas.loc.gov/cp110/cp110query.html</vt:lpwstr>
      </vt:variant>
      <vt:variant>
        <vt:lpwstr/>
      </vt:variant>
      <vt:variant>
        <vt:i4>3735585</vt:i4>
      </vt:variant>
      <vt:variant>
        <vt:i4>6</vt:i4>
      </vt:variant>
      <vt:variant>
        <vt:i4>0</vt:i4>
      </vt:variant>
      <vt:variant>
        <vt:i4>5</vt:i4>
      </vt:variant>
      <vt:variant>
        <vt:lpwstr>http://www.access.gpo.gov/nara/cfr/waisidx_08/33cfr160_08.html</vt:lpwstr>
      </vt:variant>
      <vt:variant>
        <vt:lpwstr/>
      </vt:variant>
      <vt:variant>
        <vt:i4>5177344</vt:i4>
      </vt:variant>
      <vt:variant>
        <vt:i4>3</vt:i4>
      </vt:variant>
      <vt:variant>
        <vt:i4>0</vt:i4>
      </vt:variant>
      <vt:variant>
        <vt:i4>5</vt:i4>
      </vt:variant>
      <vt:variant>
        <vt:lpwstr>http://frwebgate.access.gpo.gov/cgi-bin/usc.cgi?ACTION=RETRIEVE&amp;FILE=$$xa$$busc33.wais&amp;start=2204937&amp;SIZE=16146&amp;TYPE=TEXT</vt:lpwstr>
      </vt:variant>
      <vt:variant>
        <vt:lpwstr/>
      </vt:variant>
      <vt:variant>
        <vt:i4>8323170</vt:i4>
      </vt:variant>
      <vt:variant>
        <vt:i4>0</vt:i4>
      </vt:variant>
      <vt:variant>
        <vt:i4>0</vt:i4>
      </vt:variant>
      <vt:variant>
        <vt:i4>5</vt:i4>
      </vt:variant>
      <vt:variant>
        <vt:lpwstr>http://www.gpoaccess.gov/uscode/browse.html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Requirement</dc:title>
  <dc:subject/>
  <dc:creator>Carrie Stillson</dc:creator>
  <cp:keywords/>
  <cp:lastModifiedBy>sarabdeep.kaur</cp:lastModifiedBy>
  <cp:revision>3</cp:revision>
  <cp:lastPrinted>2009-10-08T19:20:00Z</cp:lastPrinted>
  <dcterms:created xsi:type="dcterms:W3CDTF">2010-01-29T19:05:00Z</dcterms:created>
  <dcterms:modified xsi:type="dcterms:W3CDTF">2010-01-29T19:06:00Z</dcterms:modified>
</cp:coreProperties>
</file>