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0" w:type="dxa"/>
        <w:tblLook w:val="0000"/>
      </w:tblPr>
      <w:tblGrid>
        <w:gridCol w:w="2364"/>
        <w:gridCol w:w="7266"/>
      </w:tblGrid>
      <w:tr w:rsidR="00F86771">
        <w:trPr>
          <w:trHeight w:val="1400"/>
        </w:trPr>
        <w:tc>
          <w:tcPr>
            <w:tcW w:w="2364" w:type="dxa"/>
          </w:tcPr>
          <w:p w:rsidR="00F86771" w:rsidRDefault="00E34E9D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  <w:r>
              <w:rPr>
                <w:rFonts w:ascii="Univers" w:hAnsi="Univers"/>
                <w:b/>
                <w:bCs/>
                <w:noProof/>
                <w:sz w:val="29"/>
                <w:szCs w:val="29"/>
              </w:rPr>
              <w:drawing>
                <wp:inline distT="0" distB="0" distL="0" distR="0">
                  <wp:extent cx="857250" cy="847725"/>
                  <wp:effectExtent l="19050" t="0" r="0" b="0"/>
                  <wp:docPr id="1" name="Picture 1" descr="Doe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e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6" w:type="dxa"/>
          </w:tcPr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F86771" w:rsidRDefault="00F86771">
            <w:pPr>
              <w:tabs>
                <w:tab w:val="center" w:pos="5616"/>
                <w:tab w:val="left" w:pos="5976"/>
                <w:tab w:val="left" w:pos="6696"/>
                <w:tab w:val="left" w:pos="7416"/>
                <w:tab w:val="left" w:pos="8136"/>
                <w:tab w:val="left" w:pos="8856"/>
                <w:tab w:val="left" w:pos="9576"/>
                <w:tab w:val="left" w:pos="10296"/>
              </w:tabs>
              <w:spacing w:line="191" w:lineRule="auto"/>
              <w:ind w:left="936" w:right="936"/>
              <w:jc w:val="center"/>
              <w:rPr>
                <w:rFonts w:ascii="Univers" w:hAnsi="Univers"/>
                <w:sz w:val="29"/>
                <w:szCs w:val="29"/>
              </w:rPr>
            </w:pPr>
            <w:r>
              <w:rPr>
                <w:rFonts w:ascii="Univers" w:hAnsi="Univers"/>
                <w:b/>
                <w:bCs/>
                <w:sz w:val="29"/>
                <w:szCs w:val="29"/>
              </w:rPr>
              <w:t>Department of Energy</w:t>
            </w:r>
          </w:p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Univers" w:hAnsi="Univers"/>
                    <w:sz w:val="19"/>
                    <w:szCs w:val="19"/>
                  </w:rPr>
                  <w:t>Washington</w:t>
                </w:r>
              </w:smartTag>
              <w:r>
                <w:rPr>
                  <w:rFonts w:ascii="Univers" w:hAnsi="Univers"/>
                  <w:sz w:val="19"/>
                  <w:szCs w:val="19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Univers" w:hAnsi="Univers"/>
                    <w:sz w:val="19"/>
                    <w:szCs w:val="19"/>
                  </w:rPr>
                  <w:t>DC</w:t>
                </w:r>
              </w:smartTag>
              <w:r>
                <w:rPr>
                  <w:rFonts w:ascii="Univers" w:hAnsi="Univers"/>
                  <w:sz w:val="19"/>
                  <w:szCs w:val="19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Univers" w:hAnsi="Univers"/>
                    <w:sz w:val="19"/>
                    <w:szCs w:val="19"/>
                  </w:rPr>
                  <w:t>20585</w:t>
                </w:r>
              </w:smartTag>
            </w:smartTag>
          </w:p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</w:p>
          <w:p w:rsidR="00F86771" w:rsidRDefault="007046AB" w:rsidP="00712734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August </w:t>
            </w:r>
            <w:r w:rsidR="00712734">
              <w:rPr>
                <w:szCs w:val="20"/>
              </w:rPr>
              <w:t>5</w:t>
            </w:r>
            <w:r w:rsidR="00E34E9D">
              <w:rPr>
                <w:szCs w:val="20"/>
              </w:rPr>
              <w:t>, 2011</w:t>
            </w:r>
          </w:p>
        </w:tc>
      </w:tr>
    </w:tbl>
    <w:p w:rsidR="00F86771" w:rsidRDefault="00F86771"/>
    <w:p w:rsidR="00D072DD" w:rsidRDefault="00033F7A" w:rsidP="00D072DD">
      <w:r>
        <w:t>Chad Whiteman</w:t>
      </w:r>
    </w:p>
    <w:p w:rsidR="00D072DD" w:rsidRDefault="00D072DD" w:rsidP="00D072DD">
      <w:r>
        <w:t>Department of Energy Desk Officer</w:t>
      </w:r>
    </w:p>
    <w:p w:rsidR="00D072DD" w:rsidRDefault="00D072DD" w:rsidP="00D072DD">
      <w:r>
        <w:t>Office of Information and Regulatory Affairs</w:t>
      </w:r>
    </w:p>
    <w:p w:rsidR="00D072DD" w:rsidRDefault="00D072DD" w:rsidP="00D072DD">
      <w:r>
        <w:t>Office of Management and Budget</w:t>
      </w:r>
    </w:p>
    <w:p w:rsidR="00D072DD" w:rsidRDefault="00D072DD" w:rsidP="00D072DD"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20503</w:t>
          </w:r>
        </w:smartTag>
      </w:smartTag>
    </w:p>
    <w:p w:rsidR="00F86771" w:rsidRDefault="00F86771">
      <w:pPr>
        <w:pStyle w:val="Default"/>
        <w:rPr>
          <w:sz w:val="22"/>
          <w:szCs w:val="22"/>
        </w:rPr>
      </w:pPr>
    </w:p>
    <w:p w:rsidR="00F86771" w:rsidRDefault="00F86771"/>
    <w:p w:rsidR="00561FEB" w:rsidRDefault="00F86771">
      <w:r>
        <w:t>SUBJECT: Use of Generic Clearance for Energy Information Administration (EIA-</w:t>
      </w:r>
      <w:proofErr w:type="gramStart"/>
      <w:r>
        <w:t>882T(</w:t>
      </w:r>
      <w:proofErr w:type="gramEnd"/>
      <w:r w:rsidR="00463EAE">
        <w:t>5</w:t>
      </w:r>
      <w:r w:rsidR="000F2F9D">
        <w:t>4</w:t>
      </w:r>
      <w:r>
        <w:t xml:space="preserve">), </w:t>
      </w:r>
      <w:r w:rsidR="000B6BC1">
        <w:t>(approved under OMB number</w:t>
      </w:r>
      <w:r>
        <w:t xml:space="preserve">1905-0186) </w:t>
      </w:r>
      <w:r w:rsidR="00561FEB">
        <w:t xml:space="preserve">for </w:t>
      </w:r>
      <w:r w:rsidR="00E34E9D">
        <w:t>semi-structured telephone interviews</w:t>
      </w:r>
      <w:r w:rsidR="00561FEB">
        <w:t xml:space="preserve"> for Form</w:t>
      </w:r>
      <w:r w:rsidR="00E34E9D">
        <w:t>s</w:t>
      </w:r>
      <w:r w:rsidR="006717A8" w:rsidRPr="006717A8">
        <w:t xml:space="preserve"> </w:t>
      </w:r>
      <w:r w:rsidR="00E34E9D">
        <w:t>EIA-782C, “Monthly Report of Prime Supplier Sales of Petroleum Products</w:t>
      </w:r>
      <w:r w:rsidR="00585C8B">
        <w:t xml:space="preserve"> Sold for Local Consumption</w:t>
      </w:r>
      <w:r w:rsidR="00E34E9D">
        <w:t xml:space="preserve">” and </w:t>
      </w:r>
      <w:r w:rsidR="006717A8">
        <w:t>EIA-815, “Monthly</w:t>
      </w:r>
      <w:r w:rsidR="006717A8">
        <w:rPr>
          <w:b/>
        </w:rPr>
        <w:t xml:space="preserve"> </w:t>
      </w:r>
      <w:r w:rsidR="006717A8" w:rsidRPr="00FF16EC">
        <w:t>Bulk</w:t>
      </w:r>
      <w:r w:rsidR="006717A8">
        <w:t xml:space="preserve"> Terminal and Blenders Report</w:t>
      </w:r>
      <w:r w:rsidR="00561FEB">
        <w:t>"</w:t>
      </w:r>
      <w:r w:rsidR="00463EAE">
        <w:t>).</w:t>
      </w:r>
    </w:p>
    <w:p w:rsidR="00F86771" w:rsidRDefault="00F86771">
      <w:pPr>
        <w:autoSpaceDE w:val="0"/>
        <w:autoSpaceDN w:val="0"/>
        <w:adjustRightInd w:val="0"/>
      </w:pPr>
    </w:p>
    <w:p w:rsidR="00F86771" w:rsidRDefault="00F86771">
      <w:pPr>
        <w:autoSpaceDE w:val="0"/>
        <w:autoSpaceDN w:val="0"/>
        <w:adjustRightInd w:val="0"/>
      </w:pPr>
      <w:r>
        <w:t>Dear M</w:t>
      </w:r>
      <w:r w:rsidR="00E50A29">
        <w:t>r. Whiteman</w:t>
      </w:r>
      <w:r>
        <w:t>:</w:t>
      </w:r>
    </w:p>
    <w:p w:rsidR="00F86771" w:rsidRDefault="00F86771">
      <w:pPr>
        <w:autoSpaceDE w:val="0"/>
        <w:autoSpaceDN w:val="0"/>
        <w:adjustRightInd w:val="0"/>
      </w:pPr>
    </w:p>
    <w:p w:rsidR="00585C8B" w:rsidRDefault="00585C8B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Form EIA-782C is used to collect data on the sales of selected petroleum products by prime suppliers delivered into States for local consumption. </w:t>
      </w:r>
      <w:r w:rsidR="007240BA">
        <w:rPr>
          <w:iCs/>
        </w:rPr>
        <w:t>Respondents are refiners, gas plant operators, importers, and large inter-State resellers and retailers.</w:t>
      </w:r>
      <w:r>
        <w:rPr>
          <w:iCs/>
        </w:rPr>
        <w:t xml:space="preserve"> The data are used by the Department of Energy to analyze and report on petroleum product demand.  In addition, the data are used by State and Federal agencies, </w:t>
      </w:r>
      <w:r w:rsidR="00BC0196">
        <w:rPr>
          <w:iCs/>
        </w:rPr>
        <w:t>C</w:t>
      </w:r>
      <w:r>
        <w:rPr>
          <w:iCs/>
        </w:rPr>
        <w:t>ongress, industry analysts, trade publications, academia, and the public to analyze, model and forecast petroleum product consumption by State.</w:t>
      </w:r>
    </w:p>
    <w:p w:rsidR="00585C8B" w:rsidRDefault="00585C8B">
      <w:pPr>
        <w:autoSpaceDE w:val="0"/>
        <w:autoSpaceDN w:val="0"/>
        <w:adjustRightInd w:val="0"/>
        <w:rPr>
          <w:iCs/>
        </w:rPr>
      </w:pPr>
    </w:p>
    <w:p w:rsidR="00561FEB" w:rsidRPr="00203131" w:rsidRDefault="00203131">
      <w:pPr>
        <w:autoSpaceDE w:val="0"/>
        <w:autoSpaceDN w:val="0"/>
        <w:adjustRightInd w:val="0"/>
      </w:pPr>
      <w:r w:rsidRPr="00203131">
        <w:rPr>
          <w:iCs/>
        </w:rPr>
        <w:t xml:space="preserve">Form EIA-815 </w:t>
      </w:r>
      <w:r w:rsidR="006101C0">
        <w:rPr>
          <w:iCs/>
        </w:rPr>
        <w:t>collects data on the balance between the supply and the disposition of refined products that are collected from bulk terminal</w:t>
      </w:r>
      <w:r w:rsidR="00BC4782">
        <w:rPr>
          <w:iCs/>
        </w:rPr>
        <w:t>s</w:t>
      </w:r>
      <w:r w:rsidR="009F34C6">
        <w:rPr>
          <w:iCs/>
        </w:rPr>
        <w:t xml:space="preserve"> and blenders</w:t>
      </w:r>
      <w:r w:rsidR="006101C0">
        <w:rPr>
          <w:iCs/>
        </w:rPr>
        <w:t xml:space="preserve">. </w:t>
      </w:r>
      <w:r w:rsidR="00BC0196">
        <w:rPr>
          <w:iCs/>
        </w:rPr>
        <w:t xml:space="preserve"> </w:t>
      </w:r>
      <w:r w:rsidR="006101C0">
        <w:rPr>
          <w:iCs/>
        </w:rPr>
        <w:t>It also collects information on storage capacity for several major product groupings.</w:t>
      </w:r>
      <w:r w:rsidR="00BC0196">
        <w:rPr>
          <w:iCs/>
        </w:rPr>
        <w:t xml:space="preserve"> </w:t>
      </w:r>
      <w:r w:rsidR="006101C0">
        <w:rPr>
          <w:iCs/>
        </w:rPr>
        <w:t xml:space="preserve"> </w:t>
      </w:r>
      <w:r w:rsidRPr="00203131">
        <w:rPr>
          <w:iCs/>
        </w:rPr>
        <w:t xml:space="preserve">Respondents are operators of all operating and idle </w:t>
      </w:r>
      <w:r w:rsidR="00BC4782">
        <w:rPr>
          <w:iCs/>
        </w:rPr>
        <w:t>bulk terminals</w:t>
      </w:r>
      <w:r w:rsidRPr="00203131">
        <w:rPr>
          <w:iCs/>
        </w:rPr>
        <w:t xml:space="preserve"> </w:t>
      </w:r>
      <w:r w:rsidR="009D378B">
        <w:rPr>
          <w:iCs/>
        </w:rPr>
        <w:t xml:space="preserve">and blenders </w:t>
      </w:r>
      <w:r w:rsidRPr="00203131">
        <w:rPr>
          <w:iCs/>
        </w:rPr>
        <w:t>located in the 50 States, the District of Columbia, Puerto Rico, the Virgin Islands, Guam, and other U.S. possessions.</w:t>
      </w:r>
    </w:p>
    <w:p w:rsidR="00203131" w:rsidRDefault="00203131">
      <w:pPr>
        <w:autoSpaceDE w:val="0"/>
        <w:autoSpaceDN w:val="0"/>
        <w:adjustRightInd w:val="0"/>
      </w:pPr>
    </w:p>
    <w:p w:rsidR="00C21D24" w:rsidRDefault="006A0A5C" w:rsidP="006717A8">
      <w:pPr>
        <w:rPr>
          <w:bCs/>
        </w:rPr>
      </w:pPr>
      <w:proofErr w:type="gramStart"/>
      <w:r w:rsidRPr="006A0A5C">
        <w:rPr>
          <w:b/>
        </w:rPr>
        <w:t>Background</w:t>
      </w:r>
      <w:r w:rsidR="00BC0196">
        <w:rPr>
          <w:b/>
        </w:rPr>
        <w:t xml:space="preserve"> </w:t>
      </w:r>
      <w:r w:rsidR="00000DE6">
        <w:t xml:space="preserve"> </w:t>
      </w:r>
      <w:r w:rsidR="001B52E5">
        <w:rPr>
          <w:bCs/>
        </w:rPr>
        <w:t>In</w:t>
      </w:r>
      <w:proofErr w:type="gramEnd"/>
      <w:r w:rsidR="001B52E5">
        <w:rPr>
          <w:bCs/>
        </w:rPr>
        <w:t xml:space="preserve"> preparation for the 2013 Petroleum Marketing and Petroleum Supply OMB clearance packages, EIA survey methodologists conducted internal semi-structured interviews to re</w:t>
      </w:r>
      <w:r w:rsidR="00BC0196">
        <w:rPr>
          <w:bCs/>
        </w:rPr>
        <w:t>-</w:t>
      </w:r>
      <w:r w:rsidR="001B52E5">
        <w:rPr>
          <w:bCs/>
        </w:rPr>
        <w:t>assess potential measurement error</w:t>
      </w:r>
      <w:r w:rsidR="007B7B34">
        <w:rPr>
          <w:bCs/>
        </w:rPr>
        <w:t xml:space="preserve"> on the petroleum forms</w:t>
      </w:r>
      <w:r w:rsidR="001B52E5">
        <w:rPr>
          <w:bCs/>
        </w:rPr>
        <w:t xml:space="preserve">. </w:t>
      </w:r>
      <w:r w:rsidR="00BC0196">
        <w:rPr>
          <w:bCs/>
        </w:rPr>
        <w:t xml:space="preserve"> </w:t>
      </w:r>
      <w:r w:rsidR="007B7B34">
        <w:rPr>
          <w:bCs/>
        </w:rPr>
        <w:t xml:space="preserve">EIA survey methodologists identified constructs in </w:t>
      </w:r>
      <w:r w:rsidR="00C75C20">
        <w:rPr>
          <w:bCs/>
        </w:rPr>
        <w:t xml:space="preserve">both </w:t>
      </w:r>
      <w:r w:rsidR="007B7B34">
        <w:rPr>
          <w:bCs/>
        </w:rPr>
        <w:t xml:space="preserve">the EIA-782C and EIA-815 that need clarification with respondents.  Specifically, these constructs are: </w:t>
      </w:r>
    </w:p>
    <w:p w:rsidR="00C21D24" w:rsidRDefault="00C21D24" w:rsidP="006717A8">
      <w:pPr>
        <w:rPr>
          <w:bCs/>
        </w:rPr>
      </w:pPr>
    </w:p>
    <w:p w:rsidR="007B7B34" w:rsidRDefault="007B7B34" w:rsidP="007B7B34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Fungibility</w:t>
      </w:r>
    </w:p>
    <w:p w:rsidR="007B7B34" w:rsidRDefault="007B7B34" w:rsidP="007B7B34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Blends</w:t>
      </w:r>
    </w:p>
    <w:p w:rsidR="007B7B34" w:rsidRDefault="007B7B34" w:rsidP="007B7B34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Reformulated and Conventional Gasoline</w:t>
      </w:r>
    </w:p>
    <w:p w:rsidR="007B7B34" w:rsidRDefault="00C75C20" w:rsidP="007B7B34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EIA-782C </w:t>
      </w:r>
      <w:r w:rsidR="007B7B34">
        <w:rPr>
          <w:bCs/>
        </w:rPr>
        <w:t>Exclusionary list</w:t>
      </w:r>
    </w:p>
    <w:p w:rsidR="00C75C20" w:rsidRDefault="00C75C20" w:rsidP="007B7B34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lastRenderedPageBreak/>
        <w:t>Product Codes</w:t>
      </w:r>
    </w:p>
    <w:p w:rsidR="00C75C20" w:rsidRDefault="00C75C20" w:rsidP="007B7B34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Stocks in Transit</w:t>
      </w:r>
    </w:p>
    <w:p w:rsidR="00C75C20" w:rsidRPr="007B7B34" w:rsidRDefault="00C75C20" w:rsidP="007B7B34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Storage Capacity</w:t>
      </w:r>
    </w:p>
    <w:p w:rsidR="00C21D24" w:rsidRDefault="00C21D24" w:rsidP="00C21D24">
      <w:pPr>
        <w:rPr>
          <w:bCs/>
        </w:rPr>
      </w:pPr>
    </w:p>
    <w:p w:rsidR="003830D1" w:rsidRPr="00F626B3" w:rsidRDefault="00D4728C" w:rsidP="00E34E9D">
      <w:pPr>
        <w:rPr>
          <w:bCs/>
        </w:rPr>
      </w:pPr>
      <w:r w:rsidRPr="003830D1">
        <w:rPr>
          <w:b/>
        </w:rPr>
        <w:t xml:space="preserve">Proposed </w:t>
      </w:r>
      <w:r w:rsidR="00BC0196">
        <w:rPr>
          <w:b/>
        </w:rPr>
        <w:t>p</w:t>
      </w:r>
      <w:r w:rsidR="00000DE6">
        <w:rPr>
          <w:b/>
        </w:rPr>
        <w:t>re-survey design visits</w:t>
      </w:r>
      <w:r w:rsidRPr="003830D1">
        <w:t xml:space="preserve">:  </w:t>
      </w:r>
      <w:r w:rsidR="00D65EAF">
        <w:rPr>
          <w:bCs/>
        </w:rPr>
        <w:t xml:space="preserve">EIA </w:t>
      </w:r>
      <w:r w:rsidR="00F626B3">
        <w:rPr>
          <w:bCs/>
        </w:rPr>
        <w:t xml:space="preserve">plans to conduct up to 25 semi-structured telephone interviews </w:t>
      </w:r>
      <w:r w:rsidR="00D65EAF" w:rsidRPr="00C1042D">
        <w:rPr>
          <w:bCs/>
        </w:rPr>
        <w:t xml:space="preserve">with Form </w:t>
      </w:r>
      <w:r w:rsidR="00E34E9D">
        <w:rPr>
          <w:bCs/>
        </w:rPr>
        <w:t xml:space="preserve">EIA-782C and </w:t>
      </w:r>
      <w:r w:rsidR="00D65EAF" w:rsidRPr="00C1042D">
        <w:rPr>
          <w:bCs/>
        </w:rPr>
        <w:t>EIA-815 respondents.</w:t>
      </w:r>
      <w:r w:rsidR="00D65EAF">
        <w:rPr>
          <w:bCs/>
        </w:rPr>
        <w:t xml:space="preserve">  </w:t>
      </w:r>
      <w:r w:rsidR="00F626B3">
        <w:rPr>
          <w:bCs/>
        </w:rPr>
        <w:t>W</w:t>
      </w:r>
      <w:r w:rsidR="001C7C99">
        <w:t xml:space="preserve">e plan </w:t>
      </w:r>
      <w:r w:rsidR="00F626B3">
        <w:t xml:space="preserve">to conduct </w:t>
      </w:r>
      <w:r w:rsidR="001C7C99">
        <w:t xml:space="preserve">the </w:t>
      </w:r>
      <w:r w:rsidR="00F626B3">
        <w:t xml:space="preserve">interviews </w:t>
      </w:r>
      <w:r w:rsidR="00E34E9D">
        <w:t>in late August</w:t>
      </w:r>
      <w:r w:rsidR="00A0025B">
        <w:t xml:space="preserve"> or </w:t>
      </w:r>
      <w:r w:rsidR="009D378B">
        <w:t>in</w:t>
      </w:r>
      <w:r w:rsidR="00A0025B">
        <w:t xml:space="preserve"> September</w:t>
      </w:r>
      <w:r w:rsidR="009D378B">
        <w:t xml:space="preserve"> of</w:t>
      </w:r>
      <w:r w:rsidR="00E34E9D">
        <w:t xml:space="preserve"> 2011.</w:t>
      </w:r>
    </w:p>
    <w:p w:rsidR="00C21D24" w:rsidRDefault="00D65EAF" w:rsidP="00C21D24">
      <w:pPr>
        <w:shd w:val="clear" w:color="auto" w:fill="FFFFFF"/>
      </w:pPr>
      <w:r w:rsidDel="00D65EAF">
        <w:t xml:space="preserve"> </w:t>
      </w:r>
    </w:p>
    <w:p w:rsidR="00C21D24" w:rsidRPr="003830D1" w:rsidRDefault="00C21D24" w:rsidP="00D65EAF">
      <w:pPr>
        <w:shd w:val="clear" w:color="auto" w:fill="FFFFFF"/>
      </w:pPr>
      <w:r>
        <w:t xml:space="preserve">EIA may use the information collected from these </w:t>
      </w:r>
      <w:r w:rsidR="00E34E9D">
        <w:t xml:space="preserve">semi-structured telephone interviews </w:t>
      </w:r>
      <w:r>
        <w:t xml:space="preserve">to revise </w:t>
      </w:r>
      <w:r w:rsidR="00E34E9D">
        <w:t>Forms EIA-782C and</w:t>
      </w:r>
      <w:r w:rsidR="00C75C20">
        <w:t xml:space="preserve"> </w:t>
      </w:r>
      <w:r w:rsidR="00E34E9D">
        <w:t>EIA-</w:t>
      </w:r>
      <w:r>
        <w:t>815</w:t>
      </w:r>
      <w:r w:rsidR="00E34E9D">
        <w:t xml:space="preserve">.  Specifically, the information collected may be used to update the instructions </w:t>
      </w:r>
      <w:r w:rsidR="00C75C20">
        <w:t>in order to retrieve</w:t>
      </w:r>
      <w:r w:rsidR="00E34E9D">
        <w:t xml:space="preserve"> more accurate </w:t>
      </w:r>
      <w:r w:rsidR="00C75C20">
        <w:t xml:space="preserve">and uniform </w:t>
      </w:r>
      <w:r w:rsidR="00E34E9D">
        <w:t>reporting of the data</w:t>
      </w:r>
      <w:r w:rsidR="00C75C20">
        <w:t xml:space="preserve"> from respondents</w:t>
      </w:r>
      <w:r w:rsidR="00E34E9D">
        <w:t xml:space="preserve">. </w:t>
      </w:r>
      <w:r>
        <w:t xml:space="preserve"> </w:t>
      </w:r>
    </w:p>
    <w:p w:rsidR="00D4728C" w:rsidRPr="003830D1" w:rsidRDefault="00D4728C" w:rsidP="00BD4D82"/>
    <w:p w:rsidR="00BD4D82" w:rsidRDefault="00C21D24" w:rsidP="00BD4D82">
      <w:r w:rsidRPr="00C21D24">
        <w:rPr>
          <w:b/>
        </w:rPr>
        <w:t>Burden</w:t>
      </w:r>
      <w:r>
        <w:t xml:space="preserve">: </w:t>
      </w:r>
      <w:r w:rsidR="00BC0196">
        <w:t xml:space="preserve"> </w:t>
      </w:r>
      <w:r w:rsidR="00D4728C">
        <w:t>E</w:t>
      </w:r>
      <w:r w:rsidR="00444FD1">
        <w:t xml:space="preserve">ach </w:t>
      </w:r>
      <w:r w:rsidR="004A6CC7">
        <w:t xml:space="preserve">semi-structured telephone </w:t>
      </w:r>
      <w:r w:rsidR="00767062">
        <w:t xml:space="preserve">interview </w:t>
      </w:r>
      <w:r w:rsidR="00D917ED">
        <w:t>will be</w:t>
      </w:r>
      <w:r w:rsidR="00444FD1">
        <w:t xml:space="preserve"> about </w:t>
      </w:r>
      <w:r w:rsidR="00BC0196">
        <w:t>o</w:t>
      </w:r>
      <w:r w:rsidR="00444FD1">
        <w:t>n</w:t>
      </w:r>
      <w:r w:rsidR="00BC0196">
        <w:t>e</w:t>
      </w:r>
      <w:r w:rsidR="00444FD1">
        <w:t xml:space="preserve"> </w:t>
      </w:r>
      <w:r w:rsidR="00D4728C">
        <w:t>hour.</w:t>
      </w:r>
      <w:r w:rsidR="00444FD1">
        <w:t xml:space="preserve"> </w:t>
      </w:r>
      <w:r w:rsidR="00614F5C">
        <w:t xml:space="preserve">Total overall burden will be </w:t>
      </w:r>
      <w:r w:rsidR="004A6CC7">
        <w:t>25</w:t>
      </w:r>
      <w:r w:rsidR="008B74A3">
        <w:t xml:space="preserve"> </w:t>
      </w:r>
      <w:r w:rsidR="00614F5C">
        <w:t>hours.</w:t>
      </w:r>
      <w:r w:rsidR="00696D08">
        <w:t xml:space="preserve">  </w:t>
      </w:r>
    </w:p>
    <w:p w:rsidR="00F86771" w:rsidRDefault="00F86771">
      <w:pPr>
        <w:autoSpaceDE w:val="0"/>
        <w:autoSpaceDN w:val="0"/>
        <w:adjustRightInd w:val="0"/>
      </w:pPr>
    </w:p>
    <w:p w:rsidR="00F86771" w:rsidRDefault="004F7387" w:rsidP="00EC5FF9">
      <w:pPr>
        <w:autoSpaceDE w:val="0"/>
        <w:autoSpaceDN w:val="0"/>
        <w:adjustRightInd w:val="0"/>
      </w:pPr>
      <w:r>
        <w:t xml:space="preserve">EIA </w:t>
      </w:r>
      <w:r w:rsidR="00F86771">
        <w:t xml:space="preserve">will provide OMB with the results of these tests </w:t>
      </w:r>
      <w:r w:rsidR="00BB4A7C">
        <w:t>in the annual summary of generic clearances.</w:t>
      </w:r>
      <w:r w:rsidR="00BB4A7C">
        <w:rPr>
          <w:sz w:val="20"/>
          <w:szCs w:val="20"/>
        </w:rPr>
        <w:t xml:space="preserve"> </w:t>
      </w:r>
      <w:r w:rsidR="00BC0196">
        <w:rPr>
          <w:sz w:val="20"/>
          <w:szCs w:val="20"/>
        </w:rPr>
        <w:t xml:space="preserve"> </w:t>
      </w:r>
      <w:r w:rsidR="00EC5FF9">
        <w:t xml:space="preserve">Two </w:t>
      </w:r>
      <w:r w:rsidR="00A23F11">
        <w:t>document</w:t>
      </w:r>
      <w:r w:rsidR="00783126">
        <w:t>s</w:t>
      </w:r>
      <w:r w:rsidR="00A23F11">
        <w:t xml:space="preserve"> </w:t>
      </w:r>
      <w:r w:rsidR="004A6CC7">
        <w:t xml:space="preserve">are </w:t>
      </w:r>
      <w:r w:rsidR="00A23F11">
        <w:t>included with this information collection request</w:t>
      </w:r>
      <w:r w:rsidR="004B5141">
        <w:t xml:space="preserve">. They </w:t>
      </w:r>
      <w:r w:rsidR="00444FD1">
        <w:t xml:space="preserve">are </w:t>
      </w:r>
      <w:r w:rsidR="00CA3359">
        <w:t xml:space="preserve">the draft </w:t>
      </w:r>
      <w:r w:rsidR="004B5141">
        <w:t>protocol</w:t>
      </w:r>
      <w:r w:rsidR="004A6CC7">
        <w:t>s for the EIA-782C and EIA-815 which will be used during the semi-structured telephone interviews.</w:t>
      </w:r>
    </w:p>
    <w:p w:rsidR="00F86771" w:rsidRDefault="00F86771">
      <w:pPr>
        <w:autoSpaceDE w:val="0"/>
        <w:autoSpaceDN w:val="0"/>
        <w:adjustRightInd w:val="0"/>
        <w:rPr>
          <w:sz w:val="20"/>
          <w:szCs w:val="20"/>
        </w:rPr>
      </w:pPr>
    </w:p>
    <w:p w:rsidR="00F86771" w:rsidRDefault="0075681D">
      <w:pPr>
        <w:tabs>
          <w:tab w:val="left" w:pos="6852"/>
        </w:tabs>
      </w:pPr>
      <w:r>
        <w:t>F</w:t>
      </w:r>
      <w:r w:rsidR="00F86771">
        <w:t xml:space="preserve">or questions on the </w:t>
      </w:r>
      <w:r w:rsidR="004A6CC7">
        <w:t>semi-structured telephone interviews</w:t>
      </w:r>
      <w:r w:rsidR="00F86771">
        <w:t xml:space="preserve">, contact </w:t>
      </w:r>
      <w:r w:rsidR="00CA3359">
        <w:t>Richard Reeves</w:t>
      </w:r>
      <w:r w:rsidR="00F86771">
        <w:t xml:space="preserve"> (202) 586-</w:t>
      </w:r>
      <w:r w:rsidR="00A23F11">
        <w:t>5</w:t>
      </w:r>
      <w:r w:rsidR="00696D08">
        <w:t>856</w:t>
      </w:r>
      <w:r w:rsidR="00F86771">
        <w:t>.</w:t>
      </w:r>
    </w:p>
    <w:p w:rsidR="00F86771" w:rsidRDefault="00F86771">
      <w:pPr>
        <w:tabs>
          <w:tab w:val="left" w:pos="6852"/>
        </w:tabs>
      </w:pPr>
    </w:p>
    <w:p w:rsidR="000A632E" w:rsidRDefault="000A632E">
      <w:pPr>
        <w:ind w:left="3600" w:firstLine="720"/>
      </w:pPr>
    </w:p>
    <w:p w:rsidR="00F86771" w:rsidRDefault="00F86771">
      <w:pPr>
        <w:ind w:left="3600" w:firstLine="720"/>
      </w:pPr>
      <w:r>
        <w:t>Sincerely,</w:t>
      </w:r>
    </w:p>
    <w:p w:rsidR="00F86771" w:rsidRDefault="00F86771"/>
    <w:p w:rsidR="00F86771" w:rsidRDefault="00F86771"/>
    <w:p w:rsidR="00F86771" w:rsidRDefault="00F86771"/>
    <w:p w:rsidR="00F86771" w:rsidRDefault="00BB4A7C">
      <w:pPr>
        <w:ind w:left="3600" w:firstLine="720"/>
      </w:pPr>
      <w:r>
        <w:t>Stephanie Brown</w:t>
      </w:r>
    </w:p>
    <w:p w:rsidR="00F86771" w:rsidRDefault="00F86771">
      <w:pPr>
        <w:ind w:left="4320"/>
      </w:pPr>
      <w:r>
        <w:t>Director</w:t>
      </w:r>
    </w:p>
    <w:p w:rsidR="00000000" w:rsidRDefault="00BC0196">
      <w:pPr>
        <w:ind w:left="4320" w:right="-1530"/>
      </w:pPr>
      <w:r>
        <w:t>Office of Survey Development</w:t>
      </w:r>
    </w:p>
    <w:p w:rsidR="00000000" w:rsidRDefault="00BC0196">
      <w:pPr>
        <w:ind w:left="4320" w:right="-90"/>
      </w:pPr>
      <w:r>
        <w:t xml:space="preserve">  and Statistical Integration</w:t>
      </w:r>
    </w:p>
    <w:p w:rsidR="00F86771" w:rsidRDefault="005961DE">
      <w:pPr>
        <w:ind w:left="3600" w:firstLine="720"/>
        <w:rPr>
          <w:lang w:val="fr-FR"/>
        </w:rPr>
      </w:pPr>
      <w:r>
        <w:t xml:space="preserve">U.S. </w:t>
      </w:r>
      <w:r w:rsidR="00F86771">
        <w:t>Energy</w:t>
      </w:r>
      <w:r w:rsidR="00F86771">
        <w:rPr>
          <w:lang w:val="fr-FR"/>
        </w:rPr>
        <w:t xml:space="preserve"> Information Administration</w:t>
      </w:r>
    </w:p>
    <w:p w:rsidR="00F86771" w:rsidRDefault="00F86771">
      <w:pPr>
        <w:rPr>
          <w:lang w:val="fr-FR"/>
        </w:rPr>
      </w:pPr>
    </w:p>
    <w:sectPr w:rsidR="00F86771" w:rsidSect="00BB4A7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AD2" w:rsidRDefault="00DF5AD2">
      <w:r>
        <w:separator/>
      </w:r>
    </w:p>
  </w:endnote>
  <w:endnote w:type="continuationSeparator" w:id="0">
    <w:p w:rsidR="00DF5AD2" w:rsidRDefault="00DF5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75E" w:rsidRDefault="0077772F" w:rsidP="00B776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67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675E" w:rsidRDefault="007E67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75E" w:rsidRDefault="0077772F" w:rsidP="00B776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67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1558">
      <w:rPr>
        <w:rStyle w:val="PageNumber"/>
        <w:noProof/>
      </w:rPr>
      <w:t>1</w:t>
    </w:r>
    <w:r>
      <w:rPr>
        <w:rStyle w:val="PageNumber"/>
      </w:rPr>
      <w:fldChar w:fldCharType="end"/>
    </w:r>
  </w:p>
  <w:p w:rsidR="007E675E" w:rsidRDefault="007E675E">
    <w:pPr>
      <w:pStyle w:val="Footer"/>
      <w:tabs>
        <w:tab w:val="clear" w:pos="8640"/>
        <w:tab w:val="right" w:pos="9360"/>
      </w:tabs>
      <w:jc w:val="right"/>
      <w:rPr>
        <w:rStyle w:val="PageNumber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AD2" w:rsidRDefault="00DF5AD2">
      <w:r>
        <w:separator/>
      </w:r>
    </w:p>
  </w:footnote>
  <w:footnote w:type="continuationSeparator" w:id="0">
    <w:p w:rsidR="00DF5AD2" w:rsidRDefault="00DF5A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288A"/>
    <w:multiLevelType w:val="multilevel"/>
    <w:tmpl w:val="87D4569A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9B27AFA"/>
    <w:multiLevelType w:val="hybridMultilevel"/>
    <w:tmpl w:val="18E45296"/>
    <w:lvl w:ilvl="0" w:tplc="DC96148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D87C32">
      <w:start w:val="16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AA224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AF01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E4B7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888A5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0BA8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6FE0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ACC26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876702"/>
    <w:multiLevelType w:val="hybridMultilevel"/>
    <w:tmpl w:val="26086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C4CC2"/>
    <w:multiLevelType w:val="hybridMultilevel"/>
    <w:tmpl w:val="E9EA611A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325507"/>
    <w:multiLevelType w:val="hybridMultilevel"/>
    <w:tmpl w:val="93A4904C"/>
    <w:lvl w:ilvl="0" w:tplc="18DCFAE8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>
    <w:nsid w:val="366165B6"/>
    <w:multiLevelType w:val="hybridMultilevel"/>
    <w:tmpl w:val="87D4569A"/>
    <w:lvl w:ilvl="0" w:tplc="18DCFAE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70D261E"/>
    <w:multiLevelType w:val="hybridMultilevel"/>
    <w:tmpl w:val="09BE08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66F47F6"/>
    <w:multiLevelType w:val="hybridMultilevel"/>
    <w:tmpl w:val="CF2079FE"/>
    <w:lvl w:ilvl="0" w:tplc="785CE9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04331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6607B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2208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7A836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E4C9D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4E3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E10F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A8F0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F86000"/>
    <w:multiLevelType w:val="hybridMultilevel"/>
    <w:tmpl w:val="3946AD98"/>
    <w:lvl w:ilvl="0" w:tplc="18DCFAE8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F81260"/>
    <w:multiLevelType w:val="hybridMultilevel"/>
    <w:tmpl w:val="29EEE0CE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88473D"/>
    <w:multiLevelType w:val="hybridMultilevel"/>
    <w:tmpl w:val="6F84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7A1DDB"/>
    <w:multiLevelType w:val="hybridMultilevel"/>
    <w:tmpl w:val="02F0EE32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441DBC"/>
    <w:multiLevelType w:val="hybridMultilevel"/>
    <w:tmpl w:val="E93AFA50"/>
    <w:lvl w:ilvl="0" w:tplc="77D23C0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AC4D6">
      <w:start w:val="16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5ABD5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2EEE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4048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69D8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C5D2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6ED2C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669F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12"/>
  </w:num>
  <w:num w:numId="7">
    <w:abstractNumId w:val="3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revisionView w:markup="0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1E5"/>
    <w:rsid w:val="000008FD"/>
    <w:rsid w:val="00000DE6"/>
    <w:rsid w:val="00033F7A"/>
    <w:rsid w:val="00036FA4"/>
    <w:rsid w:val="00091619"/>
    <w:rsid w:val="000A632E"/>
    <w:rsid w:val="000B6BC1"/>
    <w:rsid w:val="000C5304"/>
    <w:rsid w:val="000F2F9D"/>
    <w:rsid w:val="000F6326"/>
    <w:rsid w:val="00107982"/>
    <w:rsid w:val="00107F2B"/>
    <w:rsid w:val="001154EC"/>
    <w:rsid w:val="00133BC3"/>
    <w:rsid w:val="00146313"/>
    <w:rsid w:val="001664BA"/>
    <w:rsid w:val="00173A14"/>
    <w:rsid w:val="00195284"/>
    <w:rsid w:val="001B52E5"/>
    <w:rsid w:val="001C7C99"/>
    <w:rsid w:val="001F666E"/>
    <w:rsid w:val="001F678E"/>
    <w:rsid w:val="00203131"/>
    <w:rsid w:val="00204CDD"/>
    <w:rsid w:val="0020630A"/>
    <w:rsid w:val="00237B91"/>
    <w:rsid w:val="0025075A"/>
    <w:rsid w:val="00286215"/>
    <w:rsid w:val="00292A51"/>
    <w:rsid w:val="002F31FB"/>
    <w:rsid w:val="00302E48"/>
    <w:rsid w:val="0034114D"/>
    <w:rsid w:val="003830D1"/>
    <w:rsid w:val="003C1E55"/>
    <w:rsid w:val="003E03ED"/>
    <w:rsid w:val="003E5904"/>
    <w:rsid w:val="00444FD1"/>
    <w:rsid w:val="00463EAE"/>
    <w:rsid w:val="004975B4"/>
    <w:rsid w:val="004A6CC7"/>
    <w:rsid w:val="004B5141"/>
    <w:rsid w:val="004B7FEB"/>
    <w:rsid w:val="004D2683"/>
    <w:rsid w:val="004F7387"/>
    <w:rsid w:val="00561FEB"/>
    <w:rsid w:val="00575F5F"/>
    <w:rsid w:val="00585C8B"/>
    <w:rsid w:val="005961DE"/>
    <w:rsid w:val="005E137F"/>
    <w:rsid w:val="005E1773"/>
    <w:rsid w:val="005F2B34"/>
    <w:rsid w:val="005F2D79"/>
    <w:rsid w:val="005F3984"/>
    <w:rsid w:val="006101C0"/>
    <w:rsid w:val="00614F5C"/>
    <w:rsid w:val="00615DB4"/>
    <w:rsid w:val="0067013F"/>
    <w:rsid w:val="006717A8"/>
    <w:rsid w:val="00692E54"/>
    <w:rsid w:val="00696D08"/>
    <w:rsid w:val="006A0A5C"/>
    <w:rsid w:val="006B0B0C"/>
    <w:rsid w:val="006B4D63"/>
    <w:rsid w:val="006C5984"/>
    <w:rsid w:val="006D286A"/>
    <w:rsid w:val="006D51B8"/>
    <w:rsid w:val="006D77B9"/>
    <w:rsid w:val="007046AB"/>
    <w:rsid w:val="00711C73"/>
    <w:rsid w:val="00712734"/>
    <w:rsid w:val="00714EBD"/>
    <w:rsid w:val="007155FF"/>
    <w:rsid w:val="00716CD4"/>
    <w:rsid w:val="007240BA"/>
    <w:rsid w:val="0075681D"/>
    <w:rsid w:val="007622EE"/>
    <w:rsid w:val="00765DC1"/>
    <w:rsid w:val="00767062"/>
    <w:rsid w:val="0077772F"/>
    <w:rsid w:val="00783126"/>
    <w:rsid w:val="007A1707"/>
    <w:rsid w:val="007A7835"/>
    <w:rsid w:val="007B4FC4"/>
    <w:rsid w:val="007B7B34"/>
    <w:rsid w:val="007E10F0"/>
    <w:rsid w:val="007E675E"/>
    <w:rsid w:val="007F6DE7"/>
    <w:rsid w:val="0082042E"/>
    <w:rsid w:val="00855EB5"/>
    <w:rsid w:val="008B74A3"/>
    <w:rsid w:val="008C67D3"/>
    <w:rsid w:val="008D61E5"/>
    <w:rsid w:val="00916BBE"/>
    <w:rsid w:val="009245B9"/>
    <w:rsid w:val="00927AA4"/>
    <w:rsid w:val="00930DFC"/>
    <w:rsid w:val="00957DCB"/>
    <w:rsid w:val="00965333"/>
    <w:rsid w:val="0097077F"/>
    <w:rsid w:val="009C175E"/>
    <w:rsid w:val="009D1558"/>
    <w:rsid w:val="009D378B"/>
    <w:rsid w:val="009D4470"/>
    <w:rsid w:val="009E720F"/>
    <w:rsid w:val="009F34C6"/>
    <w:rsid w:val="00A0025B"/>
    <w:rsid w:val="00A1748F"/>
    <w:rsid w:val="00A23F11"/>
    <w:rsid w:val="00A27A4E"/>
    <w:rsid w:val="00A8010C"/>
    <w:rsid w:val="00A83836"/>
    <w:rsid w:val="00AA2097"/>
    <w:rsid w:val="00AD2A43"/>
    <w:rsid w:val="00AE56AF"/>
    <w:rsid w:val="00AF3942"/>
    <w:rsid w:val="00AF4F98"/>
    <w:rsid w:val="00B00B02"/>
    <w:rsid w:val="00B01A1A"/>
    <w:rsid w:val="00B058EC"/>
    <w:rsid w:val="00B13BF0"/>
    <w:rsid w:val="00B45CDD"/>
    <w:rsid w:val="00B51FBE"/>
    <w:rsid w:val="00B776B4"/>
    <w:rsid w:val="00BA2028"/>
    <w:rsid w:val="00BB4A7C"/>
    <w:rsid w:val="00BC0196"/>
    <w:rsid w:val="00BC4782"/>
    <w:rsid w:val="00BC4DBF"/>
    <w:rsid w:val="00BD4D82"/>
    <w:rsid w:val="00BF5CF5"/>
    <w:rsid w:val="00C127CA"/>
    <w:rsid w:val="00C21D24"/>
    <w:rsid w:val="00C24BF2"/>
    <w:rsid w:val="00C477E6"/>
    <w:rsid w:val="00C75C20"/>
    <w:rsid w:val="00CA3359"/>
    <w:rsid w:val="00CD119C"/>
    <w:rsid w:val="00CD7919"/>
    <w:rsid w:val="00D029F2"/>
    <w:rsid w:val="00D072DD"/>
    <w:rsid w:val="00D306C6"/>
    <w:rsid w:val="00D32C26"/>
    <w:rsid w:val="00D470E9"/>
    <w:rsid w:val="00D4728C"/>
    <w:rsid w:val="00D5254E"/>
    <w:rsid w:val="00D5496B"/>
    <w:rsid w:val="00D56381"/>
    <w:rsid w:val="00D61357"/>
    <w:rsid w:val="00D65EAF"/>
    <w:rsid w:val="00D8089E"/>
    <w:rsid w:val="00D82B19"/>
    <w:rsid w:val="00D862C5"/>
    <w:rsid w:val="00D917ED"/>
    <w:rsid w:val="00DB64C2"/>
    <w:rsid w:val="00DD3CA0"/>
    <w:rsid w:val="00DE569E"/>
    <w:rsid w:val="00DF5AD2"/>
    <w:rsid w:val="00E01736"/>
    <w:rsid w:val="00E04CFB"/>
    <w:rsid w:val="00E05AB9"/>
    <w:rsid w:val="00E2092B"/>
    <w:rsid w:val="00E31FD1"/>
    <w:rsid w:val="00E3312E"/>
    <w:rsid w:val="00E34E9D"/>
    <w:rsid w:val="00E36EFB"/>
    <w:rsid w:val="00E50A29"/>
    <w:rsid w:val="00E7377B"/>
    <w:rsid w:val="00E80059"/>
    <w:rsid w:val="00EC5FF9"/>
    <w:rsid w:val="00EE0C1E"/>
    <w:rsid w:val="00EE7CC0"/>
    <w:rsid w:val="00EF4E52"/>
    <w:rsid w:val="00EF63E0"/>
    <w:rsid w:val="00F00049"/>
    <w:rsid w:val="00F33CB3"/>
    <w:rsid w:val="00F405AE"/>
    <w:rsid w:val="00F626B3"/>
    <w:rsid w:val="00F634AD"/>
    <w:rsid w:val="00F734E7"/>
    <w:rsid w:val="00F8360E"/>
    <w:rsid w:val="00F86771"/>
    <w:rsid w:val="00F9345B"/>
    <w:rsid w:val="00FC2101"/>
    <w:rsid w:val="00FE76E6"/>
    <w:rsid w:val="00FF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4BA"/>
    <w:rPr>
      <w:sz w:val="24"/>
      <w:szCs w:val="24"/>
    </w:rPr>
  </w:style>
  <w:style w:type="paragraph" w:styleId="Heading1">
    <w:name w:val="heading 1"/>
    <w:basedOn w:val="Normal"/>
    <w:next w:val="Normal"/>
    <w:qFormat/>
    <w:rsid w:val="001664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664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664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664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64B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rsid w:val="001664B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customStyle="1" w:styleId="APAHeading1">
    <w:name w:val="APA Heading 1"/>
    <w:basedOn w:val="Heading1"/>
    <w:next w:val="Normal"/>
    <w:rsid w:val="001664BA"/>
    <w:pPr>
      <w:spacing w:before="0" w:after="0" w:line="480" w:lineRule="auto"/>
      <w:jc w:val="center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customStyle="1" w:styleId="APAHeading2">
    <w:name w:val="APA Heading 2"/>
    <w:basedOn w:val="Heading2"/>
    <w:next w:val="Normal"/>
    <w:rsid w:val="001664BA"/>
    <w:pPr>
      <w:spacing w:before="0" w:after="0" w:line="480" w:lineRule="auto"/>
      <w:ind w:left="720"/>
      <w:jc w:val="center"/>
    </w:pPr>
    <w:rPr>
      <w:rFonts w:ascii="Times New Roman" w:eastAsia="Times" w:hAnsi="Times New Roman" w:cs="Times New Roman"/>
      <w:bCs w:val="0"/>
      <w:i w:val="0"/>
      <w:iCs w:val="0"/>
      <w:sz w:val="24"/>
      <w:szCs w:val="20"/>
      <w:u w:val="single"/>
    </w:rPr>
  </w:style>
  <w:style w:type="paragraph" w:customStyle="1" w:styleId="APAHeading3">
    <w:name w:val="APA Heading 3"/>
    <w:basedOn w:val="Heading3"/>
    <w:next w:val="Normal"/>
    <w:rsid w:val="001664BA"/>
    <w:pPr>
      <w:spacing w:before="0" w:after="0" w:line="480" w:lineRule="auto"/>
    </w:pPr>
    <w:rPr>
      <w:rFonts w:ascii="Times New Roman" w:eastAsia="Times" w:hAnsi="Times New Roman" w:cs="Times New Roman"/>
      <w:sz w:val="24"/>
      <w:szCs w:val="20"/>
      <w:u w:val="single"/>
    </w:rPr>
  </w:style>
  <w:style w:type="paragraph" w:customStyle="1" w:styleId="APAHeading4">
    <w:name w:val="APA Heading 4"/>
    <w:basedOn w:val="Heading4"/>
    <w:next w:val="Normal"/>
    <w:rsid w:val="001664BA"/>
    <w:pPr>
      <w:spacing w:before="0" w:after="0" w:line="480" w:lineRule="auto"/>
      <w:ind w:left="720"/>
    </w:pPr>
    <w:rPr>
      <w:rFonts w:eastAsia="Times"/>
      <w:sz w:val="24"/>
      <w:u w:val="single"/>
    </w:rPr>
  </w:style>
  <w:style w:type="character" w:styleId="PageNumber">
    <w:name w:val="page number"/>
    <w:basedOn w:val="DefaultParagraphFont"/>
    <w:rsid w:val="001664BA"/>
  </w:style>
  <w:style w:type="paragraph" w:styleId="BalloonText">
    <w:name w:val="Balloon Text"/>
    <w:basedOn w:val="Normal"/>
    <w:semiHidden/>
    <w:rsid w:val="0016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64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664BA"/>
    <w:rPr>
      <w:color w:val="0000FF"/>
      <w:u w:val="single"/>
    </w:rPr>
  </w:style>
  <w:style w:type="character" w:styleId="Strong">
    <w:name w:val="Strong"/>
    <w:basedOn w:val="DefaultParagraphFont"/>
    <w:qFormat/>
    <w:rsid w:val="00BD4D82"/>
    <w:rPr>
      <w:b/>
      <w:bCs/>
    </w:rPr>
  </w:style>
  <w:style w:type="character" w:styleId="CommentReference">
    <w:name w:val="annotation reference"/>
    <w:basedOn w:val="DefaultParagraphFont"/>
    <w:semiHidden/>
    <w:rsid w:val="005F39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F398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3984"/>
    <w:rPr>
      <w:b/>
      <w:bCs/>
    </w:rPr>
  </w:style>
  <w:style w:type="paragraph" w:styleId="FootnoteText">
    <w:name w:val="footnote text"/>
    <w:basedOn w:val="Normal"/>
    <w:semiHidden/>
    <w:rsid w:val="003E03E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E03ED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locked/>
    <w:rsid w:val="006717A8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B7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463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Dear:</vt:lpstr>
    </vt:vector>
  </TitlesOfParts>
  <Company> The Media Network, Inc.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Dear:</dc:title>
  <dc:subject/>
  <dc:creator>Dick Lui</dc:creator>
  <cp:keywords/>
  <dc:description/>
  <cp:lastModifiedBy>ALETHEA K. JENNINGS</cp:lastModifiedBy>
  <cp:revision>13</cp:revision>
  <cp:lastPrinted>2011-08-11T12:57:00Z</cp:lastPrinted>
  <dcterms:created xsi:type="dcterms:W3CDTF">2011-08-05T21:57:00Z</dcterms:created>
  <dcterms:modified xsi:type="dcterms:W3CDTF">2011-08-11T14:51:00Z</dcterms:modified>
</cp:coreProperties>
</file>