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92C" w:rsidRDefault="00DB092C" w:rsidP="003856C9">
      <w:pPr>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jc w:val="center"/>
      </w:pPr>
      <w:r w:rsidRPr="006A3A19">
        <w:rPr>
          <w:b/>
        </w:rPr>
        <w:t>Health Resources and Services Administration</w:t>
      </w:r>
    </w:p>
    <w:p w:rsidR="00DB092C" w:rsidRPr="00373320" w:rsidRDefault="00DB092C" w:rsidP="005053C1">
      <w:pPr>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spacing w:after="240"/>
        <w:ind w:right="173"/>
        <w:jc w:val="center"/>
        <w:rPr>
          <w:b/>
        </w:rPr>
      </w:pPr>
      <w:r w:rsidRPr="00373320">
        <w:rPr>
          <w:b/>
        </w:rPr>
        <w:fldChar w:fldCharType="begin"/>
      </w:r>
      <w:r w:rsidRPr="00373320">
        <w:rPr>
          <w:b/>
        </w:rPr>
        <w:instrText xml:space="preserve"> SEQ CHAPTER \h \r 1</w:instrText>
      </w:r>
      <w:r w:rsidRPr="00373320">
        <w:rPr>
          <w:b/>
        </w:rPr>
        <w:fldChar w:fldCharType="end"/>
      </w:r>
      <w:r>
        <w:rPr>
          <w:b/>
          <w:szCs w:val="24"/>
        </w:rPr>
        <w:t>NHSC Brand and Materials Feedback</w:t>
      </w:r>
    </w:p>
    <w:p w:rsidR="00DB092C" w:rsidRDefault="00DB092C" w:rsidP="003856C9">
      <w:pPr>
        <w:tabs>
          <w:tab w:val="left" w:pos="0"/>
          <w:tab w:val="left" w:pos="2070"/>
          <w:tab w:val="left" w:pos="2160"/>
          <w:tab w:val="left" w:pos="2790"/>
        </w:tabs>
        <w:rPr>
          <w:b/>
        </w:rPr>
      </w:pPr>
      <w:r w:rsidRPr="00373320">
        <w:rPr>
          <w:b/>
        </w:rPr>
        <w:tab/>
      </w:r>
      <w:r w:rsidRPr="00373320">
        <w:rPr>
          <w:b/>
        </w:rPr>
        <w:tab/>
      </w:r>
    </w:p>
    <w:p w:rsidR="00DB092C" w:rsidRPr="005053C1" w:rsidRDefault="00DB092C" w:rsidP="005053C1">
      <w:pPr>
        <w:tabs>
          <w:tab w:val="left" w:pos="3033"/>
        </w:tabs>
        <w:spacing w:after="120"/>
        <w:jc w:val="center"/>
        <w:rPr>
          <w:b/>
          <w:sz w:val="26"/>
          <w:szCs w:val="26"/>
          <w:u w:val="single"/>
        </w:rPr>
      </w:pPr>
      <w:r w:rsidRPr="005053C1">
        <w:rPr>
          <w:u w:val="single"/>
        </w:rPr>
        <w:t>SUPPORTING STATEMENT</w:t>
      </w:r>
      <w:r w:rsidRPr="005053C1">
        <w:rPr>
          <w:u w:val="single"/>
        </w:rPr>
        <w:br/>
      </w:r>
    </w:p>
    <w:p w:rsidR="00DB092C" w:rsidRPr="00640590" w:rsidRDefault="00DB092C" w:rsidP="00305CE9">
      <w:pPr>
        <w:pStyle w:val="Heading2"/>
        <w:tabs>
          <w:tab w:val="left" w:pos="3033"/>
        </w:tabs>
        <w:spacing w:before="0" w:after="240"/>
        <w:rPr>
          <w:b w:val="0"/>
          <w:color w:val="auto"/>
          <w:sz w:val="24"/>
          <w:szCs w:val="24"/>
        </w:rPr>
      </w:pPr>
      <w:r w:rsidRPr="00640590">
        <w:rPr>
          <w:b w:val="0"/>
          <w:color w:val="auto"/>
          <w:sz w:val="24"/>
          <w:szCs w:val="24"/>
        </w:rPr>
        <w:t>The Health Resources and Services Administration (HRSA) currently has approval under the generic clearance, OMB No. 0915-0212, to conduct customer satisfaction focus groups and surveys to identify strengths and weaknesses in current HRSA materials or service provisions and to make improvements that are practical and feasible</w:t>
      </w:r>
      <w:r w:rsidRPr="00640590">
        <w:rPr>
          <w:color w:val="auto"/>
          <w:sz w:val="24"/>
          <w:szCs w:val="24"/>
        </w:rPr>
        <w:t>. </w:t>
      </w:r>
      <w:r w:rsidRPr="00640590">
        <w:rPr>
          <w:b w:val="0"/>
          <w:bCs w:val="0"/>
          <w:color w:val="auto"/>
          <w:sz w:val="24"/>
        </w:rPr>
        <w:t xml:space="preserve"> </w:t>
      </w:r>
      <w:r w:rsidRPr="00640590">
        <w:rPr>
          <w:b w:val="0"/>
          <w:color w:val="auto"/>
          <w:sz w:val="24"/>
          <w:szCs w:val="24"/>
        </w:rPr>
        <w:t xml:space="preserve">HRSA is requesting approval to conduct 6 focus groups and a brief online survey to get audience feedback on newly developed brand elements, key messages, and draft materials developed to promote HRSA’s National Health Service Corps (NHSC) program. </w:t>
      </w:r>
    </w:p>
    <w:p w:rsidR="00DB092C" w:rsidRPr="00640590" w:rsidRDefault="00DB092C" w:rsidP="009D515E">
      <w:pPr>
        <w:rPr>
          <w:szCs w:val="24"/>
        </w:rPr>
      </w:pPr>
      <w:r w:rsidRPr="00640590">
        <w:rPr>
          <w:rStyle w:val="A4"/>
          <w:rFonts w:cs="Whitney Book"/>
          <w:color w:val="auto"/>
          <w:sz w:val="24"/>
          <w:szCs w:val="24"/>
        </w:rPr>
        <w:t>The NHSC is a network of more than 10,000 primary health care professionals and sites that serve the most medically underserved regions of the country. To support their service commitments, the NHSC provides clinicians with financial support in the form of loan repayment and scholarships.</w:t>
      </w:r>
      <w:r w:rsidRPr="00640590">
        <w:rPr>
          <w:szCs w:val="24"/>
        </w:rPr>
        <w:t xml:space="preserve"> </w:t>
      </w:r>
    </w:p>
    <w:p w:rsidR="00DB092C" w:rsidRPr="002657E9" w:rsidRDefault="00DB092C" w:rsidP="002657E9">
      <w:pPr>
        <w:pStyle w:val="Heading2"/>
        <w:tabs>
          <w:tab w:val="left" w:pos="3033"/>
        </w:tabs>
        <w:spacing w:after="120"/>
        <w:rPr>
          <w:color w:val="auto"/>
          <w:sz w:val="24"/>
          <w:szCs w:val="24"/>
        </w:rPr>
      </w:pPr>
      <w:r w:rsidRPr="00640590">
        <w:rPr>
          <w:color w:val="auto"/>
          <w:sz w:val="24"/>
          <w:szCs w:val="24"/>
        </w:rPr>
        <w:br/>
        <w:t>Purpose and Use of Information</w:t>
      </w:r>
      <w:r w:rsidRPr="00640590">
        <w:rPr>
          <w:color w:val="auto"/>
          <w:sz w:val="24"/>
          <w:szCs w:val="24"/>
        </w:rPr>
        <w:br/>
      </w:r>
      <w:r w:rsidRPr="00640590">
        <w:rPr>
          <w:b w:val="0"/>
          <w:color w:val="auto"/>
          <w:sz w:val="24"/>
          <w:szCs w:val="24"/>
        </w:rPr>
        <w:t>The activities proposed in this submission to OMB will help HRSA fulfill the requirements of the American Recovery and Reinvestment Act (Recovery Act) of 2009</w:t>
      </w:r>
      <w:r>
        <w:rPr>
          <w:b w:val="0"/>
          <w:color w:val="auto"/>
          <w:sz w:val="24"/>
          <w:szCs w:val="24"/>
        </w:rPr>
        <w:t xml:space="preserve"> (Public Law 111-5, Section 93.400 and 9.401)</w:t>
      </w:r>
      <w:r w:rsidRPr="00640590">
        <w:rPr>
          <w:b w:val="0"/>
          <w:color w:val="auto"/>
          <w:sz w:val="24"/>
          <w:szCs w:val="24"/>
        </w:rPr>
        <w:t xml:space="preserve">, which provides additional funding for the U.S. Department of Health and Human Services (DHHS), Health Resources and Services Administration’s National Health Service Corps program. </w:t>
      </w:r>
      <w:r>
        <w:rPr>
          <w:b w:val="0"/>
          <w:color w:val="auto"/>
          <w:sz w:val="24"/>
          <w:szCs w:val="24"/>
        </w:rPr>
        <w:t>In order to increase NHSC membership, as t</w:t>
      </w:r>
      <w:r w:rsidRPr="00640590">
        <w:rPr>
          <w:b w:val="0"/>
          <w:color w:val="auto"/>
          <w:sz w:val="24"/>
          <w:szCs w:val="24"/>
        </w:rPr>
        <w:t>he Recovery Act of 2009 specifies</w:t>
      </w:r>
      <w:r>
        <w:rPr>
          <w:b w:val="0"/>
          <w:color w:val="auto"/>
          <w:sz w:val="24"/>
          <w:szCs w:val="24"/>
        </w:rPr>
        <w:t xml:space="preserve">, </w:t>
      </w:r>
      <w:r w:rsidRPr="00640590">
        <w:rPr>
          <w:b w:val="0"/>
          <w:color w:val="auto"/>
          <w:sz w:val="24"/>
          <w:szCs w:val="24"/>
        </w:rPr>
        <w:t xml:space="preserve">HRSA </w:t>
      </w:r>
      <w:r>
        <w:rPr>
          <w:b w:val="0"/>
          <w:color w:val="auto"/>
          <w:sz w:val="24"/>
          <w:szCs w:val="24"/>
        </w:rPr>
        <w:t xml:space="preserve">is in the process of </w:t>
      </w:r>
      <w:r w:rsidRPr="00640590">
        <w:rPr>
          <w:b w:val="0"/>
          <w:color w:val="auto"/>
          <w:sz w:val="24"/>
          <w:szCs w:val="24"/>
        </w:rPr>
        <w:t>execut</w:t>
      </w:r>
      <w:r>
        <w:rPr>
          <w:b w:val="0"/>
          <w:color w:val="auto"/>
          <w:sz w:val="24"/>
          <w:szCs w:val="24"/>
        </w:rPr>
        <w:t>ing</w:t>
      </w:r>
      <w:r w:rsidRPr="00640590">
        <w:rPr>
          <w:b w:val="0"/>
          <w:color w:val="auto"/>
          <w:sz w:val="24"/>
          <w:szCs w:val="24"/>
        </w:rPr>
        <w:t xml:space="preserve"> a campaign to brand, market, and promote the NHSC. </w:t>
      </w:r>
      <w:r w:rsidRPr="00640590">
        <w:rPr>
          <w:b w:val="0"/>
          <w:color w:val="auto"/>
          <w:sz w:val="24"/>
          <w:szCs w:val="24"/>
        </w:rPr>
        <w:br/>
      </w:r>
      <w:r w:rsidRPr="00640590">
        <w:rPr>
          <w:b w:val="0"/>
          <w:color w:val="auto"/>
          <w:sz w:val="24"/>
          <w:szCs w:val="24"/>
        </w:rPr>
        <w:br/>
        <w:t xml:space="preserve">The proposed </w:t>
      </w:r>
      <w:r>
        <w:rPr>
          <w:b w:val="0"/>
          <w:color w:val="auto"/>
          <w:sz w:val="24"/>
          <w:szCs w:val="24"/>
        </w:rPr>
        <w:t xml:space="preserve">project to gain feedback of NHSC </w:t>
      </w:r>
      <w:r w:rsidRPr="00640590">
        <w:rPr>
          <w:b w:val="0"/>
          <w:color w:val="auto"/>
          <w:sz w:val="24"/>
          <w:szCs w:val="24"/>
        </w:rPr>
        <w:t xml:space="preserve">brand </w:t>
      </w:r>
      <w:r>
        <w:rPr>
          <w:b w:val="0"/>
          <w:color w:val="auto"/>
          <w:sz w:val="24"/>
          <w:szCs w:val="24"/>
        </w:rPr>
        <w:t>elements and materials</w:t>
      </w:r>
      <w:r w:rsidRPr="00640590">
        <w:rPr>
          <w:b w:val="0"/>
          <w:color w:val="auto"/>
          <w:sz w:val="24"/>
          <w:szCs w:val="24"/>
        </w:rPr>
        <w:t xml:space="preserve"> is the only activity that will inform efforts to rebrand and effectively market NHSC in order to meet recruitment and other programmatic goals. This </w:t>
      </w:r>
      <w:r>
        <w:rPr>
          <w:b w:val="0"/>
          <w:color w:val="auto"/>
          <w:sz w:val="24"/>
          <w:szCs w:val="24"/>
        </w:rPr>
        <w:t>activity</w:t>
      </w:r>
      <w:r w:rsidRPr="00640590">
        <w:rPr>
          <w:b w:val="0"/>
          <w:color w:val="auto"/>
          <w:sz w:val="24"/>
          <w:szCs w:val="24"/>
        </w:rPr>
        <w:t xml:space="preserve"> is unique to this project and the inform</w:t>
      </w:r>
      <w:r>
        <w:rPr>
          <w:b w:val="0"/>
          <w:color w:val="auto"/>
          <w:sz w:val="24"/>
          <w:szCs w:val="24"/>
        </w:rPr>
        <w:t>ation cannot be found elsewhere</w:t>
      </w:r>
      <w:r w:rsidRPr="00640590">
        <w:rPr>
          <w:b w:val="0"/>
          <w:color w:val="auto"/>
          <w:sz w:val="24"/>
          <w:szCs w:val="24"/>
        </w:rPr>
        <w:t>.</w:t>
      </w:r>
      <w:r w:rsidRPr="00640590">
        <w:rPr>
          <w:b w:val="0"/>
          <w:color w:val="auto"/>
          <w:sz w:val="24"/>
          <w:szCs w:val="24"/>
        </w:rPr>
        <w:br/>
      </w:r>
      <w:r w:rsidRPr="00640590">
        <w:rPr>
          <w:b w:val="0"/>
          <w:color w:val="auto"/>
          <w:sz w:val="24"/>
          <w:szCs w:val="24"/>
        </w:rPr>
        <w:br/>
        <w:t xml:space="preserve">The proposed </w:t>
      </w:r>
      <w:r>
        <w:rPr>
          <w:b w:val="0"/>
          <w:color w:val="auto"/>
          <w:sz w:val="24"/>
          <w:szCs w:val="24"/>
        </w:rPr>
        <w:t xml:space="preserve">focus groups and survey </w:t>
      </w:r>
      <w:r w:rsidRPr="00640590">
        <w:rPr>
          <w:b w:val="0"/>
          <w:color w:val="auto"/>
          <w:sz w:val="24"/>
          <w:szCs w:val="24"/>
        </w:rPr>
        <w:t xml:space="preserve">activities were developed as a collaborative effort of HRSA and </w:t>
      </w:r>
      <w:r>
        <w:rPr>
          <w:b w:val="0"/>
          <w:color w:val="auto"/>
          <w:sz w:val="24"/>
          <w:szCs w:val="24"/>
        </w:rPr>
        <w:t>its contractor, Academy for Educational Development (</w:t>
      </w:r>
      <w:r w:rsidRPr="00640590">
        <w:rPr>
          <w:b w:val="0"/>
          <w:color w:val="auto"/>
          <w:sz w:val="24"/>
          <w:szCs w:val="24"/>
        </w:rPr>
        <w:t>AED</w:t>
      </w:r>
      <w:r>
        <w:rPr>
          <w:b w:val="0"/>
          <w:color w:val="auto"/>
          <w:sz w:val="24"/>
          <w:szCs w:val="24"/>
        </w:rPr>
        <w:t>)</w:t>
      </w:r>
      <w:r w:rsidRPr="00640590">
        <w:rPr>
          <w:b w:val="0"/>
          <w:color w:val="auto"/>
          <w:sz w:val="24"/>
          <w:szCs w:val="24"/>
        </w:rPr>
        <w:t>, without the involvement of others external to the agency. The information will be used for internal program improvement purposes only, and the results will not be published or shared externally.</w:t>
      </w:r>
      <w:r w:rsidRPr="00640590">
        <w:rPr>
          <w:b w:val="0"/>
          <w:color w:val="auto"/>
          <w:sz w:val="24"/>
          <w:szCs w:val="24"/>
        </w:rPr>
        <w:br/>
      </w:r>
      <w:r w:rsidRPr="00640590">
        <w:rPr>
          <w:b w:val="0"/>
          <w:color w:val="auto"/>
          <w:sz w:val="24"/>
          <w:szCs w:val="24"/>
        </w:rPr>
        <w:br/>
      </w:r>
      <w:r w:rsidRPr="00640590">
        <w:rPr>
          <w:color w:val="auto"/>
          <w:sz w:val="24"/>
          <w:szCs w:val="24"/>
        </w:rPr>
        <w:t>Materials to be Reviewed</w:t>
      </w:r>
      <w:r w:rsidRPr="00640590">
        <w:rPr>
          <w:b w:val="0"/>
          <w:color w:val="auto"/>
          <w:sz w:val="24"/>
          <w:szCs w:val="24"/>
        </w:rPr>
        <w:br/>
        <w:t>The focus groups with potential NHSC members and the online survey of secondary audiences will focus on getting feedback on the following components of the NHSC marketing campaign being developed by AED:</w:t>
      </w:r>
    </w:p>
    <w:p w:rsidR="00DB092C" w:rsidRDefault="00DB092C" w:rsidP="00542BFF">
      <w:pPr>
        <w:numPr>
          <w:ilvl w:val="0"/>
          <w:numId w:val="14"/>
        </w:numPr>
        <w:contextualSpacing/>
        <w:rPr>
          <w:szCs w:val="24"/>
        </w:rPr>
      </w:pPr>
      <w:r w:rsidRPr="003D03D9">
        <w:rPr>
          <w:szCs w:val="24"/>
        </w:rPr>
        <w:t xml:space="preserve">NHSC brand elements (draft mission statement, three logos, and three taglines); </w:t>
      </w:r>
    </w:p>
    <w:p w:rsidR="00DB092C" w:rsidRPr="00F32ADB" w:rsidRDefault="00DB092C" w:rsidP="00307384">
      <w:pPr>
        <w:numPr>
          <w:ilvl w:val="0"/>
          <w:numId w:val="14"/>
        </w:numPr>
        <w:contextualSpacing/>
        <w:rPr>
          <w:szCs w:val="24"/>
        </w:rPr>
      </w:pPr>
      <w:r w:rsidRPr="00F32ADB">
        <w:rPr>
          <w:szCs w:val="24"/>
        </w:rPr>
        <w:t>NHSC key messages (loan offer and program benefits) and program terminology (</w:t>
      </w:r>
      <w:r>
        <w:rPr>
          <w:szCs w:val="24"/>
        </w:rPr>
        <w:t xml:space="preserve">e.g., </w:t>
      </w:r>
      <w:r w:rsidRPr="00F32ADB">
        <w:rPr>
          <w:szCs w:val="24"/>
        </w:rPr>
        <w:t>“Ambassadors</w:t>
      </w:r>
      <w:r>
        <w:rPr>
          <w:szCs w:val="24"/>
        </w:rPr>
        <w:t>,</w:t>
      </w:r>
      <w:r w:rsidRPr="00F32ADB">
        <w:rPr>
          <w:szCs w:val="24"/>
        </w:rPr>
        <w:t>”</w:t>
      </w:r>
      <w:r>
        <w:rPr>
          <w:szCs w:val="24"/>
        </w:rPr>
        <w:t xml:space="preserve"> “service commitment” vs. “obligation,” NHSC awardee” vs. “member”</w:t>
      </w:r>
      <w:r w:rsidRPr="00F32ADB">
        <w:rPr>
          <w:szCs w:val="24"/>
        </w:rPr>
        <w:t>);</w:t>
      </w:r>
    </w:p>
    <w:p w:rsidR="00DB092C" w:rsidRPr="00307384" w:rsidRDefault="00DB092C" w:rsidP="00307384">
      <w:pPr>
        <w:numPr>
          <w:ilvl w:val="0"/>
          <w:numId w:val="14"/>
        </w:numPr>
        <w:contextualSpacing/>
        <w:rPr>
          <w:szCs w:val="24"/>
        </w:rPr>
      </w:pPr>
      <w:r w:rsidRPr="00307384">
        <w:rPr>
          <w:szCs w:val="24"/>
        </w:rPr>
        <w:t xml:space="preserve">NHSC communications materials and concepts (e.g., </w:t>
      </w:r>
      <w:r>
        <w:rPr>
          <w:szCs w:val="24"/>
        </w:rPr>
        <w:t xml:space="preserve">toolkit formats </w:t>
      </w:r>
      <w:r w:rsidRPr="00307384">
        <w:rPr>
          <w:szCs w:val="24"/>
        </w:rPr>
        <w:t>and Web pages).</w:t>
      </w:r>
    </w:p>
    <w:p w:rsidR="00DB092C" w:rsidRPr="001B47BD" w:rsidRDefault="00DB092C" w:rsidP="001B47BD">
      <w:pPr>
        <w:spacing w:after="120"/>
        <w:rPr>
          <w:szCs w:val="24"/>
        </w:rPr>
      </w:pPr>
      <w:r w:rsidRPr="001B47BD">
        <w:rPr>
          <w:szCs w:val="24"/>
        </w:rPr>
        <w:t xml:space="preserve">The feedback gathered will be used by HRSA and AED to inform and revise the materials. </w:t>
      </w:r>
    </w:p>
    <w:p w:rsidR="00DB092C" w:rsidRDefault="00DB092C" w:rsidP="00D9558F">
      <w:pPr>
        <w:spacing w:after="120"/>
        <w:rPr>
          <w:szCs w:val="24"/>
        </w:rPr>
      </w:pPr>
      <w:r>
        <w:rPr>
          <w:b/>
        </w:rPr>
        <w:br/>
      </w:r>
      <w:r w:rsidRPr="003759BD">
        <w:rPr>
          <w:b/>
        </w:rPr>
        <w:t xml:space="preserve">Methodology </w:t>
      </w:r>
      <w:r>
        <w:rPr>
          <w:b/>
        </w:rPr>
        <w:br/>
      </w:r>
      <w:r w:rsidRPr="003759BD">
        <w:rPr>
          <w:szCs w:val="24"/>
        </w:rPr>
        <w:t>T</w:t>
      </w:r>
      <w:r>
        <w:rPr>
          <w:szCs w:val="24"/>
        </w:rPr>
        <w:t xml:space="preserve">he proposed review of </w:t>
      </w:r>
      <w:r w:rsidRPr="003759BD">
        <w:rPr>
          <w:szCs w:val="24"/>
        </w:rPr>
        <w:t>N</w:t>
      </w:r>
      <w:r>
        <w:rPr>
          <w:szCs w:val="24"/>
        </w:rPr>
        <w:t>HSC brand elements and materials will gather information from</w:t>
      </w:r>
      <w:r w:rsidRPr="003759BD">
        <w:rPr>
          <w:szCs w:val="24"/>
        </w:rPr>
        <w:t xml:space="preserve"> the primary target audiences of potential NHSC program members—soon-to-be, and current, primary health care providers in physician, nurse practitioner, physician assistant, dental and social worker disciplines—while </w:t>
      </w:r>
      <w:r>
        <w:rPr>
          <w:szCs w:val="24"/>
        </w:rPr>
        <w:t xml:space="preserve">also </w:t>
      </w:r>
      <w:r w:rsidRPr="003759BD">
        <w:rPr>
          <w:szCs w:val="24"/>
        </w:rPr>
        <w:t>collecting feedback from the</w:t>
      </w:r>
      <w:r>
        <w:rPr>
          <w:szCs w:val="24"/>
        </w:rPr>
        <w:t xml:space="preserve"> following secondary audiences: </w:t>
      </w:r>
      <w:r w:rsidRPr="003759BD">
        <w:rPr>
          <w:szCs w:val="24"/>
        </w:rPr>
        <w:t>partners, Ambassadors, alumni, current members, and sites.</w:t>
      </w:r>
      <w:r>
        <w:rPr>
          <w:szCs w:val="24"/>
        </w:rPr>
        <w:t xml:space="preserve"> Both the focus groups and online survey are designed to collect audience feedback on NHSC brand elements and marketing materials. No questions of a sensitive nature will be posed to focus group and survey participants, and no personal information will be collected. </w:t>
      </w:r>
      <w:r>
        <w:rPr>
          <w:szCs w:val="24"/>
        </w:rPr>
        <w:br/>
      </w:r>
      <w:r>
        <w:rPr>
          <w:szCs w:val="24"/>
        </w:rPr>
        <w:br/>
      </w:r>
      <w:r w:rsidRPr="00856F47">
        <w:rPr>
          <w:szCs w:val="24"/>
        </w:rPr>
        <w:t xml:space="preserve">In collaboration with HRSA, AED staff will develop the </w:t>
      </w:r>
      <w:r>
        <w:rPr>
          <w:szCs w:val="24"/>
        </w:rPr>
        <w:t>focus group moderator’s guide and online survey</w:t>
      </w:r>
      <w:r w:rsidRPr="00856F47">
        <w:rPr>
          <w:szCs w:val="24"/>
        </w:rPr>
        <w:t xml:space="preserve">, recruit respondents, conduct the focus groups, </w:t>
      </w:r>
      <w:r>
        <w:rPr>
          <w:szCs w:val="24"/>
        </w:rPr>
        <w:t>review</w:t>
      </w:r>
      <w:r w:rsidRPr="00856F47">
        <w:rPr>
          <w:szCs w:val="24"/>
        </w:rPr>
        <w:t xml:space="preserve"> the collected</w:t>
      </w:r>
      <w:r>
        <w:rPr>
          <w:szCs w:val="24"/>
        </w:rPr>
        <w:t xml:space="preserve"> feedback</w:t>
      </w:r>
      <w:r w:rsidRPr="00856F47">
        <w:rPr>
          <w:szCs w:val="24"/>
        </w:rPr>
        <w:t>, and summarize key findings and present them in a report to be submitted to HRSA.</w:t>
      </w:r>
      <w:r>
        <w:rPr>
          <w:szCs w:val="24"/>
        </w:rPr>
        <w:t xml:space="preserve"> All materials are attached to this submission for OMB review and approval. We will begin conducting the focus groups and online survey after receiving approval from both OMB and AED’s IRB. </w:t>
      </w:r>
      <w:r>
        <w:rPr>
          <w:szCs w:val="24"/>
        </w:rPr>
        <w:br/>
      </w:r>
      <w:r>
        <w:rPr>
          <w:szCs w:val="24"/>
        </w:rPr>
        <w:br/>
      </w:r>
      <w:r w:rsidRPr="009F2453">
        <w:rPr>
          <w:szCs w:val="24"/>
          <w:u w:val="single"/>
        </w:rPr>
        <w:t>Focus Groups with Potential NHSC Members</w:t>
      </w:r>
      <w:r>
        <w:rPr>
          <w:szCs w:val="24"/>
          <w:u w:val="single"/>
        </w:rPr>
        <w:br/>
      </w:r>
      <w:r>
        <w:rPr>
          <w:szCs w:val="24"/>
          <w:u w:val="single"/>
        </w:rPr>
        <w:br/>
      </w:r>
      <w:r w:rsidRPr="00856F47">
        <w:rPr>
          <w:szCs w:val="24"/>
        </w:rPr>
        <w:t xml:space="preserve">HRSA proposes conducting </w:t>
      </w:r>
      <w:r>
        <w:rPr>
          <w:szCs w:val="24"/>
        </w:rPr>
        <w:t xml:space="preserve">6 </w:t>
      </w:r>
      <w:r w:rsidRPr="00856F47">
        <w:rPr>
          <w:szCs w:val="24"/>
        </w:rPr>
        <w:t xml:space="preserve">focus group discussions with potential clinician members, the </w:t>
      </w:r>
      <w:r>
        <w:rPr>
          <w:szCs w:val="24"/>
        </w:rPr>
        <w:t>primary target audience that</w:t>
      </w:r>
      <w:r w:rsidRPr="00856F47">
        <w:rPr>
          <w:szCs w:val="24"/>
        </w:rPr>
        <w:t xml:space="preserve"> the </w:t>
      </w:r>
      <w:r>
        <w:rPr>
          <w:szCs w:val="24"/>
        </w:rPr>
        <w:t>HRSA</w:t>
      </w:r>
      <w:r w:rsidRPr="00856F47">
        <w:rPr>
          <w:szCs w:val="24"/>
        </w:rPr>
        <w:t xml:space="preserve"> aims to recruit </w:t>
      </w:r>
      <w:r>
        <w:rPr>
          <w:szCs w:val="24"/>
        </w:rPr>
        <w:t xml:space="preserve">into </w:t>
      </w:r>
      <w:r w:rsidRPr="00856F47">
        <w:rPr>
          <w:szCs w:val="24"/>
        </w:rPr>
        <w:t>the NHSC</w:t>
      </w:r>
      <w:r>
        <w:rPr>
          <w:szCs w:val="24"/>
        </w:rPr>
        <w:t xml:space="preserve">, in order to gather their feedback on branding elements and marketing materials. </w:t>
      </w:r>
      <w:r w:rsidRPr="00B0475E">
        <w:rPr>
          <w:szCs w:val="24"/>
        </w:rPr>
        <w:t xml:space="preserve">Each focus group </w:t>
      </w:r>
      <w:r>
        <w:rPr>
          <w:szCs w:val="24"/>
        </w:rPr>
        <w:t xml:space="preserve">discussion </w:t>
      </w:r>
      <w:r w:rsidRPr="00B0475E">
        <w:rPr>
          <w:szCs w:val="24"/>
        </w:rPr>
        <w:t xml:space="preserve">will last no longer than one hour and </w:t>
      </w:r>
      <w:r>
        <w:rPr>
          <w:szCs w:val="24"/>
        </w:rPr>
        <w:t xml:space="preserve">30 </w:t>
      </w:r>
      <w:r w:rsidRPr="00B0475E">
        <w:rPr>
          <w:szCs w:val="24"/>
        </w:rPr>
        <w:t xml:space="preserve">minutes. </w:t>
      </w:r>
      <w:r>
        <w:rPr>
          <w:szCs w:val="24"/>
        </w:rPr>
        <w:t>The</w:t>
      </w:r>
      <w:r w:rsidRPr="00E6125F">
        <w:rPr>
          <w:szCs w:val="24"/>
        </w:rPr>
        <w:t xml:space="preserve"> focus groups</w:t>
      </w:r>
      <w:r>
        <w:rPr>
          <w:szCs w:val="24"/>
        </w:rPr>
        <w:t xml:space="preserve"> will be held </w:t>
      </w:r>
      <w:r w:rsidRPr="00E6125F">
        <w:rPr>
          <w:szCs w:val="24"/>
        </w:rPr>
        <w:t xml:space="preserve">at </w:t>
      </w:r>
      <w:r>
        <w:rPr>
          <w:szCs w:val="24"/>
        </w:rPr>
        <w:t>a</w:t>
      </w:r>
      <w:r w:rsidRPr="00E6125F">
        <w:rPr>
          <w:szCs w:val="24"/>
        </w:rPr>
        <w:t xml:space="preserve"> </w:t>
      </w:r>
      <w:r>
        <w:rPr>
          <w:szCs w:val="24"/>
        </w:rPr>
        <w:t xml:space="preserve">facility in each market, or in another suitable meeting space, </w:t>
      </w:r>
      <w:r w:rsidRPr="00B0475E">
        <w:rPr>
          <w:szCs w:val="24"/>
        </w:rPr>
        <w:t xml:space="preserve">at a convenient time of day for students and working people. </w:t>
      </w:r>
    </w:p>
    <w:p w:rsidR="00DB092C" w:rsidRDefault="00DB092C" w:rsidP="00D9558F">
      <w:pPr>
        <w:spacing w:after="120"/>
        <w:rPr>
          <w:szCs w:val="24"/>
        </w:rPr>
      </w:pPr>
      <w:r>
        <w:rPr>
          <w:szCs w:val="24"/>
        </w:rPr>
        <w:t>The in-person focus groups</w:t>
      </w:r>
      <w:r w:rsidRPr="00856F47">
        <w:rPr>
          <w:szCs w:val="24"/>
        </w:rPr>
        <w:t xml:space="preserve"> </w:t>
      </w:r>
      <w:r>
        <w:rPr>
          <w:szCs w:val="24"/>
        </w:rPr>
        <w:t>will</w:t>
      </w:r>
      <w:r w:rsidRPr="00856F47">
        <w:rPr>
          <w:szCs w:val="24"/>
        </w:rPr>
        <w:t xml:space="preserve"> be convened in three locations</w:t>
      </w:r>
      <w:r>
        <w:rPr>
          <w:szCs w:val="24"/>
        </w:rPr>
        <w:t xml:space="preserve"> in different regions of the country (2 focus groups per location)</w:t>
      </w:r>
      <w:r w:rsidRPr="00856F47">
        <w:rPr>
          <w:szCs w:val="24"/>
        </w:rPr>
        <w:t xml:space="preserve">: </w:t>
      </w:r>
      <w:r>
        <w:rPr>
          <w:szCs w:val="24"/>
        </w:rPr>
        <w:t xml:space="preserve">the </w:t>
      </w:r>
      <w:r w:rsidRPr="00856F47">
        <w:rPr>
          <w:szCs w:val="24"/>
        </w:rPr>
        <w:t>Washington, DC area</w:t>
      </w:r>
      <w:r>
        <w:rPr>
          <w:szCs w:val="24"/>
        </w:rPr>
        <w:t xml:space="preserve">; </w:t>
      </w:r>
      <w:r w:rsidRPr="00856F47">
        <w:rPr>
          <w:szCs w:val="24"/>
        </w:rPr>
        <w:t>a rural location where there is a shortage of healthcare providers</w:t>
      </w:r>
      <w:r>
        <w:rPr>
          <w:szCs w:val="24"/>
        </w:rPr>
        <w:t xml:space="preserve">; and </w:t>
      </w:r>
      <w:r w:rsidRPr="00856F47">
        <w:rPr>
          <w:szCs w:val="24"/>
        </w:rPr>
        <w:t xml:space="preserve">a non-rural location within or near a </w:t>
      </w:r>
      <w:r>
        <w:rPr>
          <w:szCs w:val="24"/>
        </w:rPr>
        <w:t xml:space="preserve">medically underserved </w:t>
      </w:r>
      <w:r w:rsidRPr="00856F47">
        <w:rPr>
          <w:szCs w:val="24"/>
        </w:rPr>
        <w:t>geographic area</w:t>
      </w:r>
      <w:r>
        <w:rPr>
          <w:szCs w:val="24"/>
        </w:rPr>
        <w:t xml:space="preserve">, to get diverse perspectives and since NHSC has both urban and rural sites that it serves and for which the program recruits new members. </w:t>
      </w:r>
      <w:r w:rsidRPr="00F22A33">
        <w:rPr>
          <w:szCs w:val="24"/>
        </w:rPr>
        <w:t xml:space="preserve">Holding the focus groups in </w:t>
      </w:r>
      <w:smartTag w:uri="urn:schemas-microsoft-com:office:smarttags" w:element="place">
        <w:smartTag w:uri="urn:schemas-microsoft-com:office:smarttags" w:element="City">
          <w:r w:rsidRPr="00F22A33">
            <w:rPr>
              <w:szCs w:val="24"/>
            </w:rPr>
            <w:t>Washington</w:t>
          </w:r>
        </w:smartTag>
        <w:r w:rsidRPr="00F22A33">
          <w:rPr>
            <w:szCs w:val="24"/>
          </w:rPr>
          <w:t xml:space="preserve">, </w:t>
        </w:r>
        <w:smartTag w:uri="urn:schemas-microsoft-com:office:smarttags" w:element="State">
          <w:r w:rsidRPr="00F22A33">
            <w:rPr>
              <w:szCs w:val="24"/>
            </w:rPr>
            <w:t>DC</w:t>
          </w:r>
        </w:smartTag>
      </w:smartTag>
      <w:r w:rsidRPr="00F22A33">
        <w:rPr>
          <w:szCs w:val="24"/>
        </w:rPr>
        <w:t xml:space="preserve"> will allow HRSA/NHSC staff to conveniently observe the discussions</w:t>
      </w:r>
      <w:r>
        <w:rPr>
          <w:szCs w:val="24"/>
        </w:rPr>
        <w:t>.</w:t>
      </w:r>
      <w:r w:rsidRPr="00F22A33">
        <w:rPr>
          <w:szCs w:val="24"/>
        </w:rPr>
        <w:t xml:space="preserve"> </w:t>
      </w:r>
      <w:r>
        <w:rPr>
          <w:szCs w:val="24"/>
        </w:rPr>
        <w:t>T</w:t>
      </w:r>
      <w:r w:rsidRPr="00F22A33">
        <w:rPr>
          <w:szCs w:val="24"/>
        </w:rPr>
        <w:t xml:space="preserve">he latter two locations will be selected based on the healthcare provider shortage in the region </w:t>
      </w:r>
      <w:r>
        <w:rPr>
          <w:szCs w:val="24"/>
        </w:rPr>
        <w:t xml:space="preserve">(because NHSC places members in these areas) </w:t>
      </w:r>
      <w:r w:rsidRPr="00F22A33">
        <w:rPr>
          <w:szCs w:val="24"/>
        </w:rPr>
        <w:t>and the presence of schools and programs training future healthcare providers</w:t>
      </w:r>
      <w:r>
        <w:rPr>
          <w:szCs w:val="24"/>
        </w:rPr>
        <w:t xml:space="preserve"> (to facilitate the recruitment of students)</w:t>
      </w:r>
      <w:r w:rsidRPr="00F22A33">
        <w:rPr>
          <w:szCs w:val="24"/>
        </w:rPr>
        <w:t>.</w:t>
      </w:r>
    </w:p>
    <w:p w:rsidR="00DB092C" w:rsidRPr="00640590" w:rsidRDefault="00DB092C" w:rsidP="00D9558F">
      <w:pPr>
        <w:spacing w:after="120"/>
        <w:rPr>
          <w:b/>
        </w:rPr>
      </w:pPr>
      <w:r w:rsidRPr="00F87F9A">
        <w:rPr>
          <w:szCs w:val="24"/>
        </w:rPr>
        <w:t>All focus groups will be composed of individuals considered to be potential NHSC members exclusively, which includes healthcare providers in training</w:t>
      </w:r>
      <w:r>
        <w:rPr>
          <w:szCs w:val="24"/>
        </w:rPr>
        <w:t xml:space="preserve"> and incurring educational debt</w:t>
      </w:r>
      <w:r w:rsidRPr="00F87F9A">
        <w:rPr>
          <w:szCs w:val="24"/>
        </w:rPr>
        <w:t>, as well as early</w:t>
      </w:r>
      <w:r>
        <w:rPr>
          <w:szCs w:val="24"/>
        </w:rPr>
        <w:t>/</w:t>
      </w:r>
      <w:r w:rsidRPr="00F87F9A">
        <w:rPr>
          <w:szCs w:val="24"/>
        </w:rPr>
        <w:t xml:space="preserve">mid-career providers with post graduate student loans to pay off. </w:t>
      </w:r>
      <w:r w:rsidRPr="00840FBC">
        <w:rPr>
          <w:szCs w:val="24"/>
        </w:rPr>
        <w:t>The focus groups will include a mix of five types of providers identified by NHSC as high-priority: 1) primary care physicians, 2) dentists, 3) nurse practitioners, 4) physician’s assistants, and 5) social workers. An effort will be made to recruit a diverse mix of men and women, racial and ethnic groups, and age segments for the focus groups.</w:t>
      </w:r>
      <w:r>
        <w:rPr>
          <w:szCs w:val="24"/>
        </w:rPr>
        <w:t xml:space="preserve">  </w:t>
      </w:r>
      <w:r w:rsidRPr="002505A3">
        <w:rPr>
          <w:szCs w:val="24"/>
        </w:rPr>
        <w:t xml:space="preserve">This activity is </w:t>
      </w:r>
      <w:r w:rsidRPr="002505A3">
        <w:rPr>
          <w:szCs w:val="24"/>
          <w:u w:val="single"/>
        </w:rPr>
        <w:t>not</w:t>
      </w:r>
      <w:r w:rsidRPr="002505A3">
        <w:rPr>
          <w:szCs w:val="24"/>
        </w:rPr>
        <w:t xml:space="preserve"> designed nor intended to be </w:t>
      </w:r>
      <w:r>
        <w:rPr>
          <w:szCs w:val="24"/>
        </w:rPr>
        <w:t xml:space="preserve">a representative sample or </w:t>
      </w:r>
      <w:r w:rsidRPr="002505A3">
        <w:rPr>
          <w:szCs w:val="24"/>
        </w:rPr>
        <w:t xml:space="preserve">to </w:t>
      </w:r>
      <w:r>
        <w:rPr>
          <w:szCs w:val="24"/>
        </w:rPr>
        <w:t>lead to</w:t>
      </w:r>
      <w:r w:rsidRPr="002505A3">
        <w:rPr>
          <w:szCs w:val="24"/>
        </w:rPr>
        <w:t xml:space="preserve"> any generalizations about a population</w:t>
      </w:r>
      <w:r>
        <w:rPr>
          <w:szCs w:val="24"/>
        </w:rPr>
        <w:t>.</w:t>
      </w:r>
      <w:r w:rsidRPr="00840FBC">
        <w:rPr>
          <w:szCs w:val="24"/>
        </w:rPr>
        <w:t xml:space="preserve"> </w:t>
      </w:r>
    </w:p>
    <w:p w:rsidR="00DB092C" w:rsidRPr="00840FBC" w:rsidRDefault="00DB092C" w:rsidP="001B47BD">
      <w:pPr>
        <w:spacing w:after="120"/>
        <w:rPr>
          <w:szCs w:val="24"/>
        </w:rPr>
      </w:pPr>
      <w:r>
        <w:rPr>
          <w:szCs w:val="24"/>
        </w:rPr>
        <w:t>F</w:t>
      </w:r>
      <w:r w:rsidRPr="00840FBC">
        <w:rPr>
          <w:szCs w:val="24"/>
        </w:rPr>
        <w:t>ocus groups will be segmented based on their career/life stage:</w:t>
      </w:r>
    </w:p>
    <w:p w:rsidR="00DB092C" w:rsidRDefault="00DB092C" w:rsidP="00B40E62">
      <w:pPr>
        <w:numPr>
          <w:ilvl w:val="0"/>
          <w:numId w:val="27"/>
        </w:numPr>
        <w:spacing w:after="120"/>
        <w:rPr>
          <w:szCs w:val="24"/>
        </w:rPr>
      </w:pPr>
      <w:r w:rsidRPr="009D515E">
        <w:rPr>
          <w:i/>
          <w:szCs w:val="24"/>
        </w:rPr>
        <w:t xml:space="preserve">Students </w:t>
      </w:r>
      <w:r w:rsidRPr="009D515E">
        <w:rPr>
          <w:szCs w:val="24"/>
        </w:rPr>
        <w:t>– Students enrolled in training programs to become healthcare providers (3 focus groups, n=27)</w:t>
      </w:r>
    </w:p>
    <w:p w:rsidR="00DB092C" w:rsidRPr="009D515E" w:rsidRDefault="00DB092C" w:rsidP="009D515E">
      <w:pPr>
        <w:numPr>
          <w:ilvl w:val="0"/>
          <w:numId w:val="27"/>
        </w:numPr>
        <w:rPr>
          <w:szCs w:val="24"/>
        </w:rPr>
      </w:pPr>
      <w:r w:rsidRPr="009D515E">
        <w:rPr>
          <w:i/>
          <w:szCs w:val="24"/>
        </w:rPr>
        <w:t>Early and Mid-Career Healthcare Providers</w:t>
      </w:r>
      <w:r w:rsidRPr="009D515E">
        <w:rPr>
          <w:szCs w:val="24"/>
        </w:rPr>
        <w:t xml:space="preserve"> – Mix of mid/early-career providers who have been practicing clinicians for 12 or fewer years (3 focus groups, n=27).</w:t>
      </w:r>
    </w:p>
    <w:p w:rsidR="00DB092C" w:rsidRPr="009B7DD8" w:rsidRDefault="00DB092C" w:rsidP="009B7DD8">
      <w:pPr>
        <w:spacing w:after="120"/>
        <w:rPr>
          <w:szCs w:val="24"/>
          <w:highlight w:val="yellow"/>
        </w:rPr>
      </w:pPr>
      <w:r>
        <w:rPr>
          <w:szCs w:val="24"/>
        </w:rPr>
        <w:br/>
      </w:r>
      <w:r w:rsidRPr="007C60AF">
        <w:rPr>
          <w:szCs w:val="24"/>
        </w:rPr>
        <w:t xml:space="preserve">AED will </w:t>
      </w:r>
      <w:r>
        <w:rPr>
          <w:szCs w:val="24"/>
        </w:rPr>
        <w:t>contract</w:t>
      </w:r>
      <w:r w:rsidRPr="00CA71BA">
        <w:rPr>
          <w:szCs w:val="24"/>
        </w:rPr>
        <w:t xml:space="preserve"> a professional recruitment agency to identify, invite, and schedule focus group participants. The agency will contact potential participants from their databases of students and health care providers and will use </w:t>
      </w:r>
      <w:r>
        <w:rPr>
          <w:szCs w:val="24"/>
        </w:rPr>
        <w:t>a</w:t>
      </w:r>
      <w:r w:rsidRPr="00CA71BA">
        <w:rPr>
          <w:szCs w:val="24"/>
        </w:rPr>
        <w:t xml:space="preserve"> screening instrument to select participants and</w:t>
      </w:r>
      <w:r w:rsidRPr="007C60AF">
        <w:rPr>
          <w:szCs w:val="24"/>
        </w:rPr>
        <w:t xml:space="preserve"> recruit them for the focus groups</w:t>
      </w:r>
      <w:r>
        <w:rPr>
          <w:szCs w:val="24"/>
        </w:rPr>
        <w:t xml:space="preserve"> (Attachment A: Focus Group Recruitment Screener)</w:t>
      </w:r>
      <w:r w:rsidRPr="007C60AF">
        <w:rPr>
          <w:szCs w:val="24"/>
        </w:rPr>
        <w:t xml:space="preserve">. </w:t>
      </w:r>
      <w:r>
        <w:rPr>
          <w:szCs w:val="24"/>
        </w:rPr>
        <w:t>N</w:t>
      </w:r>
      <w:r w:rsidRPr="007C60AF">
        <w:rPr>
          <w:szCs w:val="24"/>
        </w:rPr>
        <w:t xml:space="preserve">HSC partners, such as student and professional associations, </w:t>
      </w:r>
      <w:r>
        <w:rPr>
          <w:szCs w:val="24"/>
        </w:rPr>
        <w:t>may be asked to help with recruitment by s</w:t>
      </w:r>
      <w:r w:rsidRPr="007C60AF">
        <w:rPr>
          <w:szCs w:val="24"/>
        </w:rPr>
        <w:t>end</w:t>
      </w:r>
      <w:r>
        <w:rPr>
          <w:szCs w:val="24"/>
        </w:rPr>
        <w:t>ing</w:t>
      </w:r>
      <w:r w:rsidRPr="007C60AF">
        <w:rPr>
          <w:szCs w:val="24"/>
        </w:rPr>
        <w:t xml:space="preserve"> an announcement about the </w:t>
      </w:r>
      <w:r>
        <w:rPr>
          <w:szCs w:val="24"/>
        </w:rPr>
        <w:t xml:space="preserve">focus groups to their members. The screening process will take no longer than 10 minutes per respondent. </w:t>
      </w:r>
      <w:r w:rsidRPr="003E4BCA">
        <w:rPr>
          <w:szCs w:val="24"/>
        </w:rPr>
        <w:t>Nine participants will be recruited for each group discussion to ensure that at least 7 or 8 to show up and participate in the group.</w:t>
      </w:r>
      <w:r>
        <w:rPr>
          <w:szCs w:val="24"/>
        </w:rPr>
        <w:br/>
      </w:r>
      <w:r>
        <w:rPr>
          <w:szCs w:val="24"/>
        </w:rPr>
        <w:br/>
      </w:r>
      <w:r w:rsidRPr="00B0475E">
        <w:rPr>
          <w:szCs w:val="24"/>
        </w:rPr>
        <w:t xml:space="preserve">The </w:t>
      </w:r>
      <w:r>
        <w:rPr>
          <w:szCs w:val="24"/>
        </w:rPr>
        <w:t xml:space="preserve">group </w:t>
      </w:r>
      <w:r w:rsidRPr="00B0475E">
        <w:rPr>
          <w:szCs w:val="24"/>
        </w:rPr>
        <w:t>discussions will be conducted in-person by an experienced AED moderator. A moderator’s guide will be used to ensure that the di</w:t>
      </w:r>
      <w:r>
        <w:rPr>
          <w:szCs w:val="24"/>
        </w:rPr>
        <w:t xml:space="preserve">scussion groups stay focused </w:t>
      </w:r>
      <w:r w:rsidRPr="00B0475E">
        <w:rPr>
          <w:szCs w:val="24"/>
        </w:rPr>
        <w:t xml:space="preserve">and gather the </w:t>
      </w:r>
      <w:r>
        <w:rPr>
          <w:szCs w:val="24"/>
        </w:rPr>
        <w:t>feedback</w:t>
      </w:r>
      <w:r w:rsidRPr="00B0475E">
        <w:rPr>
          <w:szCs w:val="24"/>
        </w:rPr>
        <w:t xml:space="preserve"> needed to </w:t>
      </w:r>
      <w:r>
        <w:rPr>
          <w:szCs w:val="24"/>
        </w:rPr>
        <w:t>make the necessary revisions to the brand and marketing materials (See Attachment B: Focus Group Moderator’s Guide)</w:t>
      </w:r>
      <w:r w:rsidRPr="00B0475E">
        <w:rPr>
          <w:szCs w:val="24"/>
        </w:rPr>
        <w:t>. The moderator’s guide will be organized around the following main topic areas:</w:t>
      </w:r>
    </w:p>
    <w:p w:rsidR="00DB092C" w:rsidRPr="00B0475E" w:rsidRDefault="00DB092C" w:rsidP="00B40E62">
      <w:pPr>
        <w:pStyle w:val="ListParagraph"/>
        <w:numPr>
          <w:ilvl w:val="0"/>
          <w:numId w:val="28"/>
        </w:numPr>
        <w:spacing w:after="120" w:line="240" w:lineRule="auto"/>
        <w:rPr>
          <w:rFonts w:ascii="Times New Roman" w:hAnsi="Times New Roman"/>
          <w:sz w:val="24"/>
          <w:szCs w:val="24"/>
        </w:rPr>
      </w:pPr>
      <w:r w:rsidRPr="00B0475E">
        <w:rPr>
          <w:rFonts w:ascii="Times New Roman" w:hAnsi="Times New Roman"/>
          <w:sz w:val="24"/>
          <w:szCs w:val="24"/>
        </w:rPr>
        <w:t>Perceptions of NHSC</w:t>
      </w:r>
    </w:p>
    <w:p w:rsidR="00DB092C" w:rsidRPr="00B0475E" w:rsidRDefault="00DB092C" w:rsidP="00B40E62">
      <w:pPr>
        <w:pStyle w:val="ListParagraph"/>
        <w:numPr>
          <w:ilvl w:val="0"/>
          <w:numId w:val="28"/>
        </w:numPr>
        <w:spacing w:after="120" w:line="240" w:lineRule="auto"/>
        <w:rPr>
          <w:rFonts w:ascii="Times New Roman" w:hAnsi="Times New Roman"/>
          <w:sz w:val="24"/>
          <w:szCs w:val="24"/>
        </w:rPr>
      </w:pPr>
      <w:r>
        <w:rPr>
          <w:rFonts w:ascii="Times New Roman" w:hAnsi="Times New Roman"/>
          <w:sz w:val="24"/>
          <w:szCs w:val="24"/>
        </w:rPr>
        <w:t xml:space="preserve">Feedback on </w:t>
      </w:r>
      <w:r w:rsidRPr="00B0475E">
        <w:rPr>
          <w:rFonts w:ascii="Times New Roman" w:hAnsi="Times New Roman"/>
          <w:sz w:val="24"/>
          <w:szCs w:val="24"/>
        </w:rPr>
        <w:t xml:space="preserve">brand elements </w:t>
      </w:r>
    </w:p>
    <w:p w:rsidR="00DB092C" w:rsidRPr="00B0475E" w:rsidRDefault="00DB092C" w:rsidP="00B40E62">
      <w:pPr>
        <w:pStyle w:val="ListParagraph"/>
        <w:numPr>
          <w:ilvl w:val="0"/>
          <w:numId w:val="28"/>
        </w:numPr>
        <w:spacing w:after="120" w:line="240" w:lineRule="auto"/>
        <w:rPr>
          <w:rFonts w:ascii="Times New Roman" w:hAnsi="Times New Roman"/>
          <w:sz w:val="24"/>
          <w:szCs w:val="24"/>
        </w:rPr>
      </w:pPr>
      <w:r w:rsidRPr="00B0475E">
        <w:rPr>
          <w:rFonts w:ascii="Times New Roman" w:hAnsi="Times New Roman"/>
          <w:sz w:val="24"/>
          <w:szCs w:val="24"/>
        </w:rPr>
        <w:t>Feedback on key messag</w:t>
      </w:r>
      <w:r>
        <w:rPr>
          <w:rFonts w:ascii="Times New Roman" w:hAnsi="Times New Roman"/>
          <w:sz w:val="24"/>
          <w:szCs w:val="24"/>
        </w:rPr>
        <w:t>es</w:t>
      </w:r>
      <w:r w:rsidRPr="00B0475E">
        <w:rPr>
          <w:rFonts w:ascii="Times New Roman" w:hAnsi="Times New Roman"/>
          <w:sz w:val="24"/>
          <w:szCs w:val="24"/>
        </w:rPr>
        <w:t xml:space="preserve"> and terminology</w:t>
      </w:r>
    </w:p>
    <w:p w:rsidR="00DB092C" w:rsidRPr="00B0475E" w:rsidRDefault="00DB092C" w:rsidP="00B40E62">
      <w:pPr>
        <w:pStyle w:val="ListParagraph"/>
        <w:numPr>
          <w:ilvl w:val="0"/>
          <w:numId w:val="28"/>
        </w:numPr>
        <w:spacing w:after="120" w:line="240" w:lineRule="auto"/>
        <w:rPr>
          <w:rFonts w:ascii="Times New Roman" w:hAnsi="Times New Roman"/>
          <w:sz w:val="24"/>
          <w:szCs w:val="24"/>
        </w:rPr>
      </w:pPr>
      <w:r>
        <w:rPr>
          <w:rFonts w:ascii="Times New Roman" w:hAnsi="Times New Roman"/>
          <w:sz w:val="24"/>
          <w:szCs w:val="24"/>
        </w:rPr>
        <w:t xml:space="preserve">Feedback on </w:t>
      </w:r>
      <w:r w:rsidRPr="00B0475E">
        <w:rPr>
          <w:rFonts w:ascii="Times New Roman" w:hAnsi="Times New Roman"/>
          <w:sz w:val="24"/>
          <w:szCs w:val="24"/>
        </w:rPr>
        <w:t xml:space="preserve">materials </w:t>
      </w:r>
    </w:p>
    <w:p w:rsidR="00DB092C" w:rsidRDefault="00DB092C" w:rsidP="009D515E">
      <w:pPr>
        <w:pStyle w:val="ListParagraph"/>
        <w:numPr>
          <w:ilvl w:val="0"/>
          <w:numId w:val="28"/>
        </w:numPr>
        <w:spacing w:after="0" w:line="240" w:lineRule="auto"/>
        <w:rPr>
          <w:rFonts w:ascii="Times New Roman" w:hAnsi="Times New Roman"/>
          <w:sz w:val="24"/>
          <w:szCs w:val="24"/>
        </w:rPr>
      </w:pPr>
      <w:r w:rsidRPr="00B0475E">
        <w:rPr>
          <w:rFonts w:ascii="Times New Roman" w:hAnsi="Times New Roman"/>
          <w:sz w:val="24"/>
          <w:szCs w:val="24"/>
        </w:rPr>
        <w:t>Preferred information sources, needs, and preferences.</w:t>
      </w:r>
    </w:p>
    <w:p w:rsidR="00DB092C" w:rsidRDefault="00DB092C" w:rsidP="003D1723">
      <w:pPr>
        <w:spacing w:after="120"/>
        <w:rPr>
          <w:szCs w:val="24"/>
        </w:rPr>
      </w:pPr>
      <w:r>
        <w:rPr>
          <w:szCs w:val="24"/>
        </w:rPr>
        <w:br/>
      </w:r>
      <w:r w:rsidRPr="00B0475E">
        <w:rPr>
          <w:szCs w:val="24"/>
        </w:rPr>
        <w:t>Participation will be strictly voluntary and based on info</w:t>
      </w:r>
      <w:r>
        <w:rPr>
          <w:szCs w:val="24"/>
        </w:rPr>
        <w:t xml:space="preserve">rmed consent. </w:t>
      </w:r>
      <w:r w:rsidRPr="00B0475E">
        <w:rPr>
          <w:szCs w:val="24"/>
        </w:rPr>
        <w:t xml:space="preserve">Prior to participating in the group discussion, respondents will be asked to read a brief project description and sign a consent form (Attachment </w:t>
      </w:r>
      <w:r>
        <w:rPr>
          <w:szCs w:val="24"/>
        </w:rPr>
        <w:t>C</w:t>
      </w:r>
      <w:r w:rsidRPr="00B0475E">
        <w:rPr>
          <w:szCs w:val="24"/>
        </w:rPr>
        <w:t>: Focus Group</w:t>
      </w:r>
      <w:r>
        <w:rPr>
          <w:szCs w:val="24"/>
        </w:rPr>
        <w:t xml:space="preserve"> Consent Form). The focus groups </w:t>
      </w:r>
      <w:r w:rsidRPr="00B0475E">
        <w:rPr>
          <w:szCs w:val="24"/>
        </w:rPr>
        <w:t xml:space="preserve">will be audio-taped for the purposes of report writing only. Names and any other personal identifying information will be kept </w:t>
      </w:r>
      <w:r>
        <w:rPr>
          <w:szCs w:val="24"/>
        </w:rPr>
        <w:t>secure</w:t>
      </w:r>
      <w:r w:rsidRPr="00B0475E">
        <w:rPr>
          <w:szCs w:val="24"/>
        </w:rPr>
        <w:t xml:space="preserve">, and will not appear on notes, audiotapes, or in the summary report. The findings from the focus group discussions will be presented in aggregate and will not compare differences between audience segments or locations. </w:t>
      </w:r>
      <w:r>
        <w:rPr>
          <w:szCs w:val="24"/>
        </w:rPr>
        <w:br/>
      </w:r>
      <w:r>
        <w:rPr>
          <w:szCs w:val="24"/>
        </w:rPr>
        <w:br/>
        <w:t xml:space="preserve">Focus group participants that participate in a </w:t>
      </w:r>
      <w:r w:rsidRPr="0003171D">
        <w:rPr>
          <w:szCs w:val="24"/>
        </w:rPr>
        <w:t xml:space="preserve">discussion will receive financial compensation for their time, transportation costs, and contributions. </w:t>
      </w:r>
      <w:r w:rsidRPr="0003171D">
        <w:t xml:space="preserve">Most of the facilities AED has worked with in the past recommend incentive amounts between $65 and $75 for general population focus group participants, but acknowledged that rural participants may have higher transportation costs. Therefore, </w:t>
      </w:r>
      <w:r w:rsidRPr="0003171D">
        <w:rPr>
          <w:szCs w:val="24"/>
        </w:rPr>
        <w:t xml:space="preserve">AED will provide a $75 incentive to students to encourage their participation in the scheduled focus groups. </w:t>
      </w:r>
      <w:r w:rsidRPr="0003171D">
        <w:t xml:space="preserve">For </w:t>
      </w:r>
      <w:r w:rsidRPr="0003171D">
        <w:rPr>
          <w:szCs w:val="24"/>
        </w:rPr>
        <w:t>health care providers</w:t>
      </w:r>
      <w:r>
        <w:rPr>
          <w:szCs w:val="24"/>
        </w:rPr>
        <w:t>,</w:t>
      </w:r>
      <w:r w:rsidRPr="0003171D">
        <w:rPr>
          <w:szCs w:val="24"/>
        </w:rPr>
        <w:t xml:space="preserve"> a higher incentive amount of $200 will be provided, because recruitment firms (e.g., Schlesinger Associates, Chasen Re</w:t>
      </w:r>
      <w:r>
        <w:rPr>
          <w:szCs w:val="24"/>
        </w:rPr>
        <w:t xml:space="preserve">search, and </w:t>
      </w:r>
      <w:r w:rsidRPr="0003171D">
        <w:rPr>
          <w:szCs w:val="24"/>
        </w:rPr>
        <w:t>RCHorowitz &amp; Company, Inc.</w:t>
      </w:r>
      <w:r>
        <w:rPr>
          <w:szCs w:val="24"/>
        </w:rPr>
        <w:t>)</w:t>
      </w:r>
      <w:r w:rsidRPr="0003171D">
        <w:rPr>
          <w:szCs w:val="24"/>
        </w:rPr>
        <w:t xml:space="preserve"> report that this is the minimum incentive necessary to secure participation from these busy, well-paid professionals. Also,</w:t>
      </w:r>
      <w:r>
        <w:rPr>
          <w:szCs w:val="24"/>
        </w:rPr>
        <w:t xml:space="preserve"> in </w:t>
      </w:r>
      <w:r w:rsidRPr="007A5709">
        <w:rPr>
          <w:i/>
          <w:szCs w:val="24"/>
        </w:rPr>
        <w:t>Focus Groups: A Practical Guide for Applied Research</w:t>
      </w:r>
      <w:r>
        <w:rPr>
          <w:i/>
          <w:szCs w:val="24"/>
        </w:rPr>
        <w:t>,</w:t>
      </w:r>
      <w:r>
        <w:rPr>
          <w:szCs w:val="24"/>
        </w:rPr>
        <w:t xml:space="preserve"> Krueger and Casey (2000) explain that physicians and similar professionals “may require amounts in the $100 to $200+ range” to recruit them to participate in focus groups.</w:t>
      </w:r>
      <w:r>
        <w:rPr>
          <w:rStyle w:val="FootnoteReference"/>
          <w:szCs w:val="24"/>
        </w:rPr>
        <w:footnoteReference w:id="1"/>
      </w:r>
      <w:r>
        <w:rPr>
          <w:szCs w:val="24"/>
        </w:rPr>
        <w:t xml:space="preserve"> </w:t>
      </w:r>
    </w:p>
    <w:p w:rsidR="00DB092C" w:rsidRPr="003D1723" w:rsidRDefault="00DB092C" w:rsidP="003D1723">
      <w:pPr>
        <w:spacing w:after="120"/>
        <w:rPr>
          <w:szCs w:val="24"/>
        </w:rPr>
      </w:pPr>
      <w:r>
        <w:t xml:space="preserve">The information gathered in the focus group discussions will be reviewed based on notes taken by AED observers during the groups. Findings and recommendations for revisions to the NHSC branding and marketing materials </w:t>
      </w:r>
      <w:r w:rsidRPr="000C5520">
        <w:t>will be presented in a</w:t>
      </w:r>
      <w:r>
        <w:t xml:space="preserve"> </w:t>
      </w:r>
      <w:r w:rsidRPr="000C5520">
        <w:t xml:space="preserve">report to </w:t>
      </w:r>
      <w:r>
        <w:t>HRSA, which will not be shared externally.</w:t>
      </w:r>
      <w:r>
        <w:br/>
      </w:r>
    </w:p>
    <w:p w:rsidR="00DB092C" w:rsidRPr="00D9558F" w:rsidRDefault="00DB092C" w:rsidP="007C31D5">
      <w:pPr>
        <w:spacing w:after="120"/>
        <w:rPr>
          <w:szCs w:val="24"/>
          <w:u w:val="single"/>
        </w:rPr>
      </w:pPr>
      <w:r w:rsidRPr="007C31D5">
        <w:rPr>
          <w:szCs w:val="24"/>
          <w:u w:val="single"/>
        </w:rPr>
        <w:t>Online Survey of Secondary Audiences</w:t>
      </w:r>
      <w:r>
        <w:rPr>
          <w:szCs w:val="24"/>
          <w:u w:val="single"/>
        </w:rPr>
        <w:br/>
      </w:r>
      <w:r>
        <w:rPr>
          <w:szCs w:val="24"/>
          <w:u w:val="single"/>
        </w:rPr>
        <w:br/>
      </w:r>
      <w:r w:rsidRPr="00147FED">
        <w:rPr>
          <w:szCs w:val="24"/>
        </w:rPr>
        <w:t xml:space="preserve">In order to simultaneously gather feedback from </w:t>
      </w:r>
      <w:r>
        <w:rPr>
          <w:szCs w:val="24"/>
        </w:rPr>
        <w:t xml:space="preserve">multiple </w:t>
      </w:r>
      <w:r w:rsidRPr="00147FED">
        <w:rPr>
          <w:szCs w:val="24"/>
        </w:rPr>
        <w:t>secondary audiences</w:t>
      </w:r>
      <w:r>
        <w:rPr>
          <w:szCs w:val="24"/>
        </w:rPr>
        <w:t xml:space="preserve"> that NHSC communicates with, on the same NHSC brand elements and marketing materials</w:t>
      </w:r>
      <w:r w:rsidRPr="00147FED">
        <w:rPr>
          <w:szCs w:val="24"/>
        </w:rPr>
        <w:t xml:space="preserve"> </w:t>
      </w:r>
      <w:r>
        <w:rPr>
          <w:szCs w:val="24"/>
        </w:rPr>
        <w:t xml:space="preserve">shared in the focus groups, </w:t>
      </w:r>
      <w:r w:rsidRPr="00147FED">
        <w:rPr>
          <w:szCs w:val="24"/>
        </w:rPr>
        <w:t xml:space="preserve">HRSA proposes conducting </w:t>
      </w:r>
      <w:r>
        <w:rPr>
          <w:szCs w:val="24"/>
        </w:rPr>
        <w:t>a brief online survey with:</w:t>
      </w:r>
      <w:r w:rsidRPr="00147FED">
        <w:rPr>
          <w:szCs w:val="24"/>
        </w:rPr>
        <w:t xml:space="preserve"> </w:t>
      </w:r>
      <w:r>
        <w:rPr>
          <w:szCs w:val="24"/>
        </w:rPr>
        <w:t xml:space="preserve">NHSC </w:t>
      </w:r>
      <w:r w:rsidRPr="00147FED">
        <w:rPr>
          <w:szCs w:val="24"/>
        </w:rPr>
        <w:t>partners, Ambassadors, alumni, current members</w:t>
      </w:r>
      <w:r>
        <w:rPr>
          <w:szCs w:val="24"/>
        </w:rPr>
        <w:t>,</w:t>
      </w:r>
      <w:r w:rsidRPr="00147FED">
        <w:rPr>
          <w:szCs w:val="24"/>
        </w:rPr>
        <w:t xml:space="preserve"> and sites</w:t>
      </w:r>
      <w:r>
        <w:rPr>
          <w:szCs w:val="24"/>
        </w:rPr>
        <w:t>.</w:t>
      </w:r>
      <w:r w:rsidRPr="00147FED">
        <w:rPr>
          <w:szCs w:val="24"/>
        </w:rPr>
        <w:t xml:space="preserve"> </w:t>
      </w:r>
      <w:r>
        <w:rPr>
          <w:szCs w:val="24"/>
        </w:rPr>
        <w:t>These groups play an important role in promoting and/or implementing the NHSC program, and gathering feedback from these audiences will enable HRSA</w:t>
      </w:r>
      <w:r w:rsidRPr="00610AF2">
        <w:rPr>
          <w:szCs w:val="24"/>
        </w:rPr>
        <w:t xml:space="preserve"> to produce communications </w:t>
      </w:r>
      <w:r>
        <w:rPr>
          <w:szCs w:val="24"/>
        </w:rPr>
        <w:t xml:space="preserve">and materials </w:t>
      </w:r>
      <w:r w:rsidRPr="00610AF2">
        <w:rPr>
          <w:szCs w:val="24"/>
        </w:rPr>
        <w:t xml:space="preserve">that better meet their needs. </w:t>
      </w:r>
      <w:r>
        <w:rPr>
          <w:szCs w:val="24"/>
        </w:rPr>
        <w:t>Brief descriptions of each of the secondary audiences are included below:</w:t>
      </w:r>
    </w:p>
    <w:p w:rsidR="00DB092C" w:rsidRDefault="00DB092C" w:rsidP="007A5709">
      <w:pPr>
        <w:pStyle w:val="ListParagraph"/>
        <w:numPr>
          <w:ilvl w:val="0"/>
          <w:numId w:val="26"/>
        </w:numPr>
        <w:spacing w:after="240" w:line="240" w:lineRule="auto"/>
        <w:contextualSpacing w:val="0"/>
        <w:rPr>
          <w:rFonts w:ascii="Times New Roman" w:hAnsi="Times New Roman"/>
          <w:sz w:val="24"/>
          <w:szCs w:val="24"/>
        </w:rPr>
      </w:pPr>
      <w:r w:rsidRPr="007A5709">
        <w:rPr>
          <w:rFonts w:ascii="Times New Roman" w:hAnsi="Times New Roman"/>
          <w:i/>
          <w:sz w:val="24"/>
          <w:szCs w:val="24"/>
        </w:rPr>
        <w:t>NHSC Partners</w:t>
      </w:r>
      <w:r w:rsidRPr="007A5709">
        <w:rPr>
          <w:rFonts w:ascii="Times New Roman" w:hAnsi="Times New Roman"/>
          <w:sz w:val="24"/>
          <w:szCs w:val="24"/>
        </w:rPr>
        <w:t xml:space="preserve"> – This audience includes Primary Care Offices, Primary Care Associations, Area Health Education Centers, HRSA Office of Regional Operations, professional associations, universities/colleges, and others that are involved in or promote the NHSC program for HRSA.</w:t>
      </w:r>
    </w:p>
    <w:p w:rsidR="00DB092C" w:rsidRDefault="00DB092C" w:rsidP="007A5709">
      <w:pPr>
        <w:pStyle w:val="ListParagraph"/>
        <w:numPr>
          <w:ilvl w:val="0"/>
          <w:numId w:val="26"/>
        </w:numPr>
        <w:spacing w:after="240" w:line="240" w:lineRule="auto"/>
        <w:contextualSpacing w:val="0"/>
        <w:rPr>
          <w:rFonts w:ascii="Times New Roman" w:hAnsi="Times New Roman"/>
          <w:sz w:val="24"/>
          <w:szCs w:val="24"/>
        </w:rPr>
      </w:pPr>
      <w:r w:rsidRPr="007A5709">
        <w:rPr>
          <w:rFonts w:ascii="Times New Roman" w:hAnsi="Times New Roman"/>
          <w:i/>
          <w:sz w:val="24"/>
          <w:szCs w:val="24"/>
        </w:rPr>
        <w:t>Ambassadors</w:t>
      </w:r>
      <w:r w:rsidRPr="007A5709">
        <w:rPr>
          <w:rFonts w:ascii="Times New Roman" w:hAnsi="Times New Roman"/>
          <w:sz w:val="24"/>
          <w:szCs w:val="24"/>
        </w:rPr>
        <w:t xml:space="preserve"> – A group of alumni, friends, and partners who have specifically registered with the NHSC as an “Ambassador.”  In this role, NHSC Ambassadors volunteer to mentor, educate, and recruit, and train others about the NHSC.</w:t>
      </w:r>
    </w:p>
    <w:p w:rsidR="00DB092C" w:rsidRDefault="00DB092C" w:rsidP="007A5709">
      <w:pPr>
        <w:pStyle w:val="ListParagraph"/>
        <w:numPr>
          <w:ilvl w:val="0"/>
          <w:numId w:val="26"/>
        </w:numPr>
        <w:spacing w:after="240" w:line="240" w:lineRule="auto"/>
        <w:contextualSpacing w:val="0"/>
        <w:rPr>
          <w:rFonts w:ascii="Times New Roman" w:hAnsi="Times New Roman"/>
          <w:sz w:val="24"/>
          <w:szCs w:val="24"/>
        </w:rPr>
      </w:pPr>
      <w:r w:rsidRPr="007A5709">
        <w:rPr>
          <w:rFonts w:ascii="Times New Roman" w:hAnsi="Times New Roman"/>
          <w:i/>
          <w:sz w:val="24"/>
          <w:szCs w:val="24"/>
        </w:rPr>
        <w:t xml:space="preserve">Alumni </w:t>
      </w:r>
      <w:r w:rsidRPr="007A5709">
        <w:rPr>
          <w:rFonts w:ascii="Times New Roman" w:hAnsi="Times New Roman"/>
          <w:sz w:val="24"/>
          <w:szCs w:val="24"/>
        </w:rPr>
        <w:t xml:space="preserve">– People who were at one time practicing clinicians enrolled in the NHSC program, and received scholarships or loan repayment. </w:t>
      </w:r>
    </w:p>
    <w:p w:rsidR="00DB092C" w:rsidRDefault="00DB092C" w:rsidP="007A5709">
      <w:pPr>
        <w:pStyle w:val="ListParagraph"/>
        <w:numPr>
          <w:ilvl w:val="0"/>
          <w:numId w:val="26"/>
        </w:numPr>
        <w:spacing w:after="240" w:line="240" w:lineRule="auto"/>
        <w:contextualSpacing w:val="0"/>
        <w:rPr>
          <w:rFonts w:ascii="Times New Roman" w:hAnsi="Times New Roman"/>
          <w:sz w:val="24"/>
          <w:szCs w:val="24"/>
        </w:rPr>
      </w:pPr>
      <w:r w:rsidRPr="007C31D5">
        <w:rPr>
          <w:rFonts w:ascii="Times New Roman" w:hAnsi="Times New Roman"/>
          <w:i/>
          <w:sz w:val="24"/>
          <w:szCs w:val="24"/>
        </w:rPr>
        <w:t>Current Members</w:t>
      </w:r>
      <w:r w:rsidRPr="005954A5">
        <w:rPr>
          <w:rFonts w:ascii="Times New Roman" w:hAnsi="Times New Roman"/>
          <w:sz w:val="24"/>
          <w:szCs w:val="24"/>
        </w:rPr>
        <w:t xml:space="preserve"> – </w:t>
      </w:r>
      <w:r>
        <w:rPr>
          <w:rFonts w:ascii="Times New Roman" w:hAnsi="Times New Roman"/>
          <w:sz w:val="24"/>
          <w:szCs w:val="24"/>
        </w:rPr>
        <w:t xml:space="preserve">Current participants in the </w:t>
      </w:r>
      <w:r w:rsidRPr="005954A5">
        <w:rPr>
          <w:rFonts w:ascii="Times New Roman" w:hAnsi="Times New Roman"/>
          <w:sz w:val="24"/>
          <w:szCs w:val="24"/>
        </w:rPr>
        <w:t>N</w:t>
      </w:r>
      <w:r>
        <w:rPr>
          <w:rFonts w:ascii="Times New Roman" w:hAnsi="Times New Roman"/>
          <w:sz w:val="24"/>
          <w:szCs w:val="24"/>
        </w:rPr>
        <w:t>HSC program.</w:t>
      </w:r>
    </w:p>
    <w:p w:rsidR="00DB092C" w:rsidRPr="005954A5" w:rsidRDefault="00DB092C" w:rsidP="007A5709">
      <w:pPr>
        <w:pStyle w:val="ListParagraph"/>
        <w:numPr>
          <w:ilvl w:val="0"/>
          <w:numId w:val="26"/>
        </w:numPr>
        <w:spacing w:after="0" w:line="240" w:lineRule="auto"/>
        <w:rPr>
          <w:rFonts w:ascii="Times New Roman" w:hAnsi="Times New Roman"/>
          <w:sz w:val="24"/>
          <w:szCs w:val="24"/>
        </w:rPr>
      </w:pPr>
      <w:r w:rsidRPr="007C31D5">
        <w:rPr>
          <w:rFonts w:ascii="Times New Roman" w:hAnsi="Times New Roman"/>
          <w:i/>
          <w:sz w:val="24"/>
          <w:szCs w:val="24"/>
        </w:rPr>
        <w:t xml:space="preserve">Sites </w:t>
      </w:r>
      <w:r w:rsidRPr="005954A5">
        <w:rPr>
          <w:rFonts w:ascii="Times New Roman" w:hAnsi="Times New Roman"/>
          <w:sz w:val="24"/>
          <w:szCs w:val="24"/>
        </w:rPr>
        <w:t>– The health care sites that employ NHSC clinicians after becoming approved to be an NHSC site through HRSA.</w:t>
      </w:r>
    </w:p>
    <w:p w:rsidR="00DB092C" w:rsidRDefault="00DB092C" w:rsidP="009F0E75">
      <w:pPr>
        <w:rPr>
          <w:szCs w:val="24"/>
        </w:rPr>
      </w:pPr>
    </w:p>
    <w:p w:rsidR="00DB092C" w:rsidRPr="009474FD" w:rsidRDefault="00DB092C" w:rsidP="009F0E75">
      <w:pPr>
        <w:rPr>
          <w:szCs w:val="24"/>
          <w:highlight w:val="green"/>
        </w:rPr>
      </w:pPr>
      <w:r w:rsidRPr="009474FD">
        <w:rPr>
          <w:szCs w:val="24"/>
        </w:rPr>
        <w:t xml:space="preserve">HRSA proposes conducting an online survey that will be </w:t>
      </w:r>
      <w:r>
        <w:rPr>
          <w:szCs w:val="24"/>
        </w:rPr>
        <w:t xml:space="preserve">given to </w:t>
      </w:r>
      <w:r w:rsidRPr="009474FD">
        <w:rPr>
          <w:szCs w:val="24"/>
        </w:rPr>
        <w:t xml:space="preserve">partners, Ambassadors, alumni, current members, and sites.  </w:t>
      </w:r>
      <w:r w:rsidRPr="009474FD">
        <w:t>Participants</w:t>
      </w:r>
      <w:r w:rsidRPr="00814CBD">
        <w:t xml:space="preserve"> will be asked to answer a brief, self-administered, </w:t>
      </w:r>
      <w:r>
        <w:t>web-based survey of 15 questions. The survey will take approximately 15 minutes to complete. The questions are related to the following topics:</w:t>
      </w:r>
      <w:r>
        <w:br/>
      </w:r>
    </w:p>
    <w:p w:rsidR="00DB092C" w:rsidRDefault="00DB092C" w:rsidP="00B40E62">
      <w:pPr>
        <w:pStyle w:val="ListParagraph"/>
        <w:numPr>
          <w:ilvl w:val="0"/>
          <w:numId w:val="29"/>
        </w:numPr>
        <w:spacing w:after="120" w:line="240" w:lineRule="auto"/>
        <w:ind w:hanging="765"/>
        <w:rPr>
          <w:rFonts w:ascii="Times New Roman" w:hAnsi="Times New Roman"/>
          <w:sz w:val="24"/>
          <w:szCs w:val="24"/>
        </w:rPr>
      </w:pPr>
      <w:r>
        <w:rPr>
          <w:rFonts w:ascii="Times New Roman" w:hAnsi="Times New Roman"/>
          <w:sz w:val="24"/>
          <w:szCs w:val="24"/>
        </w:rPr>
        <w:t>Background/demographics (current affiliation with NHSC, basic demographics)</w:t>
      </w:r>
    </w:p>
    <w:p w:rsidR="00DB092C" w:rsidRPr="00B0475E" w:rsidRDefault="00DB092C" w:rsidP="00B40E62">
      <w:pPr>
        <w:pStyle w:val="ListParagraph"/>
        <w:numPr>
          <w:ilvl w:val="0"/>
          <w:numId w:val="29"/>
        </w:numPr>
        <w:spacing w:after="120" w:line="240" w:lineRule="auto"/>
        <w:ind w:hanging="765"/>
        <w:rPr>
          <w:rFonts w:ascii="Times New Roman" w:hAnsi="Times New Roman"/>
          <w:sz w:val="24"/>
          <w:szCs w:val="24"/>
        </w:rPr>
      </w:pPr>
      <w:r>
        <w:rPr>
          <w:rFonts w:ascii="Times New Roman" w:hAnsi="Times New Roman"/>
          <w:sz w:val="24"/>
          <w:szCs w:val="24"/>
        </w:rPr>
        <w:t>Feedback on</w:t>
      </w:r>
      <w:r w:rsidRPr="00B0475E">
        <w:rPr>
          <w:rFonts w:ascii="Times New Roman" w:hAnsi="Times New Roman"/>
          <w:sz w:val="24"/>
          <w:szCs w:val="24"/>
        </w:rPr>
        <w:t xml:space="preserve"> brand elements </w:t>
      </w:r>
      <w:r>
        <w:rPr>
          <w:rFonts w:ascii="Times New Roman" w:hAnsi="Times New Roman"/>
          <w:sz w:val="24"/>
          <w:szCs w:val="24"/>
        </w:rPr>
        <w:t>(mission statement, logos, taglines)</w:t>
      </w:r>
    </w:p>
    <w:p w:rsidR="00DB092C" w:rsidRPr="00B0475E" w:rsidRDefault="00DB092C" w:rsidP="00B40E62">
      <w:pPr>
        <w:pStyle w:val="ListParagraph"/>
        <w:numPr>
          <w:ilvl w:val="0"/>
          <w:numId w:val="29"/>
        </w:numPr>
        <w:spacing w:after="120" w:line="240" w:lineRule="auto"/>
        <w:ind w:hanging="765"/>
        <w:rPr>
          <w:rFonts w:ascii="Times New Roman" w:hAnsi="Times New Roman"/>
          <w:sz w:val="24"/>
          <w:szCs w:val="24"/>
        </w:rPr>
      </w:pPr>
      <w:r w:rsidRPr="00B0475E">
        <w:rPr>
          <w:rFonts w:ascii="Times New Roman" w:hAnsi="Times New Roman"/>
          <w:sz w:val="24"/>
          <w:szCs w:val="24"/>
        </w:rPr>
        <w:t>Feedback on key messag</w:t>
      </w:r>
      <w:r>
        <w:rPr>
          <w:rFonts w:ascii="Times New Roman" w:hAnsi="Times New Roman"/>
          <w:sz w:val="24"/>
          <w:szCs w:val="24"/>
        </w:rPr>
        <w:t>es</w:t>
      </w:r>
      <w:r w:rsidRPr="00B0475E">
        <w:rPr>
          <w:rFonts w:ascii="Times New Roman" w:hAnsi="Times New Roman"/>
          <w:sz w:val="24"/>
          <w:szCs w:val="24"/>
        </w:rPr>
        <w:t xml:space="preserve"> and terminology</w:t>
      </w:r>
      <w:r>
        <w:rPr>
          <w:rFonts w:ascii="Times New Roman" w:hAnsi="Times New Roman"/>
          <w:sz w:val="24"/>
          <w:szCs w:val="24"/>
        </w:rPr>
        <w:t xml:space="preserve"> (loan repayment offer and “Ambassador”)</w:t>
      </w:r>
    </w:p>
    <w:p w:rsidR="00DB092C" w:rsidRPr="00B0475E" w:rsidRDefault="00DB092C" w:rsidP="00B40E62">
      <w:pPr>
        <w:pStyle w:val="ListParagraph"/>
        <w:numPr>
          <w:ilvl w:val="0"/>
          <w:numId w:val="29"/>
        </w:numPr>
        <w:spacing w:after="120" w:line="240" w:lineRule="auto"/>
        <w:ind w:hanging="765"/>
        <w:rPr>
          <w:rFonts w:ascii="Times New Roman" w:hAnsi="Times New Roman"/>
          <w:sz w:val="24"/>
          <w:szCs w:val="24"/>
        </w:rPr>
      </w:pPr>
      <w:r>
        <w:rPr>
          <w:rFonts w:ascii="Times New Roman" w:hAnsi="Times New Roman"/>
          <w:sz w:val="24"/>
          <w:szCs w:val="24"/>
        </w:rPr>
        <w:t xml:space="preserve">Feedback on </w:t>
      </w:r>
      <w:r w:rsidRPr="00B0475E">
        <w:rPr>
          <w:rFonts w:ascii="Times New Roman" w:hAnsi="Times New Roman"/>
          <w:sz w:val="24"/>
          <w:szCs w:val="24"/>
        </w:rPr>
        <w:t xml:space="preserve">materials </w:t>
      </w:r>
      <w:r>
        <w:rPr>
          <w:rFonts w:ascii="Times New Roman" w:hAnsi="Times New Roman"/>
          <w:sz w:val="24"/>
          <w:szCs w:val="24"/>
        </w:rPr>
        <w:t>(toolkit content/formats and site decals)</w:t>
      </w:r>
    </w:p>
    <w:p w:rsidR="00DB092C" w:rsidRDefault="00DB092C" w:rsidP="00B40E62">
      <w:pPr>
        <w:pStyle w:val="ListParagraph"/>
        <w:numPr>
          <w:ilvl w:val="0"/>
          <w:numId w:val="29"/>
        </w:numPr>
        <w:spacing w:after="120" w:line="240" w:lineRule="auto"/>
        <w:ind w:hanging="765"/>
        <w:rPr>
          <w:rFonts w:ascii="Times New Roman" w:hAnsi="Times New Roman"/>
          <w:sz w:val="24"/>
          <w:szCs w:val="24"/>
        </w:rPr>
      </w:pPr>
      <w:r w:rsidRPr="00B0475E">
        <w:rPr>
          <w:rFonts w:ascii="Times New Roman" w:hAnsi="Times New Roman"/>
          <w:sz w:val="24"/>
          <w:szCs w:val="24"/>
        </w:rPr>
        <w:t>Preferred information sources.</w:t>
      </w:r>
    </w:p>
    <w:p w:rsidR="00DB092C" w:rsidRPr="00FC73D3" w:rsidRDefault="00DB092C" w:rsidP="002657E9">
      <w:pPr>
        <w:spacing w:after="120"/>
      </w:pPr>
      <w:r>
        <w:rPr>
          <w:szCs w:val="24"/>
        </w:rPr>
        <w:t>The same</w:t>
      </w:r>
      <w:r w:rsidRPr="00F20822">
        <w:rPr>
          <w:szCs w:val="24"/>
        </w:rPr>
        <w:t xml:space="preserve"> survey will be </w:t>
      </w:r>
      <w:r>
        <w:rPr>
          <w:szCs w:val="24"/>
        </w:rPr>
        <w:t xml:space="preserve">given </w:t>
      </w:r>
      <w:r w:rsidRPr="00F20822">
        <w:rPr>
          <w:szCs w:val="24"/>
        </w:rPr>
        <w:t xml:space="preserve">to all respondents (See Attachment </w:t>
      </w:r>
      <w:r>
        <w:rPr>
          <w:szCs w:val="24"/>
        </w:rPr>
        <w:t>D</w:t>
      </w:r>
      <w:r w:rsidRPr="00F20822">
        <w:rPr>
          <w:szCs w:val="24"/>
        </w:rPr>
        <w:t>: Online Survey). The survey invitation will be sent to 400 potential respondents via email</w:t>
      </w:r>
      <w:r>
        <w:rPr>
          <w:szCs w:val="24"/>
        </w:rPr>
        <w:t xml:space="preserve"> to Partners and </w:t>
      </w:r>
      <w:r w:rsidRPr="0004498F">
        <w:rPr>
          <w:szCs w:val="24"/>
        </w:rPr>
        <w:t>Ambassadors (n=50), Alumni (n=100), Site Directors (n=150), and Current Members (n=100). The survey will be sent to 400 respondents who have been randomly selected from lists provided by HRSA, with the names and email addresses of members of each of these audiences.</w:t>
      </w:r>
      <w:r w:rsidRPr="00F20822">
        <w:rPr>
          <w:szCs w:val="24"/>
        </w:rPr>
        <w:t xml:space="preserve"> </w:t>
      </w:r>
      <w:r>
        <w:rPr>
          <w:szCs w:val="24"/>
        </w:rPr>
        <w:br/>
      </w:r>
      <w:r>
        <w:rPr>
          <w:szCs w:val="24"/>
        </w:rPr>
        <w:br/>
      </w:r>
      <w:r w:rsidRPr="00F20822">
        <w:rPr>
          <w:szCs w:val="24"/>
        </w:rPr>
        <w:t xml:space="preserve">AED will administer the survey and send the email with the survey invitation and link to the distribution list. In addition, NHSC partner organizations </w:t>
      </w:r>
      <w:r>
        <w:rPr>
          <w:szCs w:val="24"/>
        </w:rPr>
        <w:t>will be asked to</w:t>
      </w:r>
      <w:r w:rsidRPr="00F20822">
        <w:rPr>
          <w:szCs w:val="24"/>
        </w:rPr>
        <w:t xml:space="preserve"> help </w:t>
      </w:r>
      <w:r>
        <w:rPr>
          <w:szCs w:val="24"/>
        </w:rPr>
        <w:t xml:space="preserve">distribute the survey link to </w:t>
      </w:r>
      <w:r w:rsidRPr="00F20822">
        <w:rPr>
          <w:szCs w:val="24"/>
        </w:rPr>
        <w:t xml:space="preserve">their </w:t>
      </w:r>
      <w:r>
        <w:rPr>
          <w:szCs w:val="24"/>
        </w:rPr>
        <w:t>members</w:t>
      </w:r>
      <w:r w:rsidRPr="00F20822">
        <w:rPr>
          <w:szCs w:val="24"/>
        </w:rPr>
        <w:t xml:space="preserve">. The survey will be fielded for a total of 3 to 4 weeks. </w:t>
      </w:r>
      <w:r w:rsidRPr="00F20822">
        <w:t xml:space="preserve">Up to two additional reminders will be e-mailed to invite potential participants to respond to the survey and thanking them if they have already completed a survey. </w:t>
      </w:r>
      <w:r w:rsidRPr="00F20822">
        <w:rPr>
          <w:szCs w:val="24"/>
        </w:rPr>
        <w:t>The anticipated response ra</w:t>
      </w:r>
      <w:r>
        <w:rPr>
          <w:szCs w:val="24"/>
        </w:rPr>
        <w:t>te to this online survey is 60%</w:t>
      </w:r>
      <w:r w:rsidRPr="00F20822">
        <w:rPr>
          <w:szCs w:val="24"/>
        </w:rPr>
        <w:t xml:space="preserve"> which, if attained, will result in completed surveys from over 240 respondents.</w:t>
      </w:r>
      <w:r>
        <w:br/>
      </w:r>
      <w:r>
        <w:br/>
        <w:t xml:space="preserve">Participation will be strictly voluntary and individual respondents will not be identified. The survey </w:t>
      </w:r>
      <w:r w:rsidRPr="00DE01C4">
        <w:t>will present a single question at a time. It will allow respondents to advance through the survey only by answering or skipping each question. Progress indicators will be visible throughout the survey.</w:t>
      </w:r>
      <w:r>
        <w:t xml:space="preserve"> Responses will have no personally identifiable information; no names or e-mail </w:t>
      </w:r>
      <w:r w:rsidRPr="0021599E">
        <w:t xml:space="preserve">addresses will </w:t>
      </w:r>
      <w:r>
        <w:t xml:space="preserve">be </w:t>
      </w:r>
      <w:r w:rsidRPr="0021599E">
        <w:t>linked to the responses</w:t>
      </w:r>
      <w:r>
        <w:t>,</w:t>
      </w:r>
      <w:r w:rsidRPr="0021599E">
        <w:t xml:space="preserve"> nor will any responses to items have any effect on the participants’ eligibility for, or receipt of, services. All</w:t>
      </w:r>
      <w:r>
        <w:t xml:space="preserve"> </w:t>
      </w:r>
      <w:r w:rsidRPr="0021599E">
        <w:t xml:space="preserve">information provided by respondents </w:t>
      </w:r>
      <w:r>
        <w:t xml:space="preserve">will be collected by the contractor, </w:t>
      </w:r>
      <w:r w:rsidRPr="0021599E">
        <w:t>AED</w:t>
      </w:r>
      <w:r>
        <w:t>, and</w:t>
      </w:r>
      <w:r w:rsidRPr="0021599E">
        <w:t xml:space="preserve"> will be maintained in a </w:t>
      </w:r>
      <w:r>
        <w:t xml:space="preserve">secure </w:t>
      </w:r>
      <w:r w:rsidRPr="0021599E">
        <w:t>manner</w:t>
      </w:r>
      <w:r>
        <w:t>.</w:t>
      </w:r>
      <w:r w:rsidRPr="0021599E">
        <w:t xml:space="preserve"> </w:t>
      </w:r>
      <w:r>
        <w:br/>
      </w:r>
      <w:r>
        <w:br/>
      </w:r>
      <w:r w:rsidRPr="0013095E">
        <w:rPr>
          <w:szCs w:val="24"/>
        </w:rPr>
        <w:t>AED will use Qualtrics</w:t>
      </w:r>
      <w:r>
        <w:rPr>
          <w:szCs w:val="24"/>
        </w:rPr>
        <w:t>™</w:t>
      </w:r>
      <w:r w:rsidRPr="0013095E">
        <w:rPr>
          <w:szCs w:val="24"/>
        </w:rPr>
        <w:t xml:space="preserve"> survey software to administer the online survey. This technology </w:t>
      </w:r>
      <w:r>
        <w:rPr>
          <w:szCs w:val="24"/>
        </w:rPr>
        <w:t xml:space="preserve">is easy to use and allows for embedding logos and visual materials </w:t>
      </w:r>
      <w:r w:rsidRPr="0013095E">
        <w:rPr>
          <w:szCs w:val="24"/>
        </w:rPr>
        <w:t xml:space="preserve">elements </w:t>
      </w:r>
      <w:r>
        <w:rPr>
          <w:szCs w:val="24"/>
        </w:rPr>
        <w:t>directly into the survey for respondents to review and comment</w:t>
      </w:r>
      <w:r w:rsidRPr="0013095E">
        <w:rPr>
          <w:szCs w:val="24"/>
        </w:rPr>
        <w:t xml:space="preserve">. </w:t>
      </w:r>
      <w:r>
        <w:rPr>
          <w:szCs w:val="24"/>
        </w:rPr>
        <w:t>AED will review the survey results and provide a summary report to HRSA for the purpose of refining the NHSC brand and marketing materials.  The results will not be shared externally.</w:t>
      </w:r>
      <w:r>
        <w:br/>
      </w:r>
      <w:r>
        <w:br/>
      </w:r>
      <w:r w:rsidRPr="005E73A3">
        <w:rPr>
          <w:b/>
        </w:rPr>
        <w:t xml:space="preserve">Planned </w:t>
      </w:r>
      <w:r>
        <w:rPr>
          <w:b/>
        </w:rPr>
        <w:t>Frequency of Information Collection</w:t>
      </w:r>
      <w:r>
        <w:br/>
        <w:t xml:space="preserve">The project plans to conduct the focus groups and the online survey one time only. The same individuals will not be asked to participate in future activities for this particular NHSC effort. </w:t>
      </w:r>
      <w:r>
        <w:br/>
      </w:r>
      <w:r>
        <w:br/>
      </w:r>
      <w:r w:rsidRPr="0064053D">
        <w:rPr>
          <w:b/>
        </w:rPr>
        <w:t>Participant Burden</w:t>
      </w:r>
      <w:r w:rsidRPr="0064053D">
        <w:rPr>
          <w:b/>
          <w:color w:val="632423"/>
        </w:rPr>
        <w:t xml:space="preserve"> </w:t>
      </w:r>
      <w:r>
        <w:rPr>
          <w:i/>
        </w:rPr>
        <w:br/>
      </w:r>
      <w:r w:rsidRPr="0064053D">
        <w:t xml:space="preserve">There will be </w:t>
      </w:r>
      <w:r w:rsidRPr="000429B1">
        <w:t xml:space="preserve">a maximum of 54 focus group respondents </w:t>
      </w:r>
      <w:r>
        <w:t xml:space="preserve">– </w:t>
      </w:r>
      <w:r w:rsidRPr="000429B1">
        <w:t xml:space="preserve">6 groups with 9 </w:t>
      </w:r>
      <w:r>
        <w:t>(</w:t>
      </w:r>
      <w:r w:rsidRPr="000429B1">
        <w:t>or fewer</w:t>
      </w:r>
      <w:r>
        <w:t>) respondents/group</w:t>
      </w:r>
      <w:r w:rsidRPr="000429B1">
        <w:t xml:space="preserve">. </w:t>
      </w:r>
      <w:r w:rsidRPr="0064053D">
        <w:t xml:space="preserve">An average total participation time of </w:t>
      </w:r>
      <w:r>
        <w:t>1.5</w:t>
      </w:r>
      <w:r w:rsidRPr="0064053D">
        <w:t xml:space="preserve"> hours for each participant includes 10 minutes responding to the screener questionnaire, </w:t>
      </w:r>
      <w:r>
        <w:t>5</w:t>
      </w:r>
      <w:r w:rsidRPr="0064053D">
        <w:t xml:space="preserve"> minutes for having the respondents read and sign consent forms, complete name tags and </w:t>
      </w:r>
      <w:r>
        <w:t>75</w:t>
      </w:r>
      <w:r w:rsidRPr="0064053D">
        <w:t xml:space="preserve"> minutes to participate in the focus group. This culminates in a maximum total annual hour burden of </w:t>
      </w:r>
      <w:r>
        <w:t>81</w:t>
      </w:r>
      <w:r w:rsidRPr="0064053D">
        <w:t xml:space="preserve"> hours</w:t>
      </w:r>
      <w:r>
        <w:t xml:space="preserve"> for the focus group activity. </w:t>
      </w:r>
      <w:r>
        <w:br/>
      </w:r>
      <w:r>
        <w:br/>
        <w:t>The anticipated number of responses to the online survey is 240 and the survey will take an average of 15 minutes to complete. Therefore, the annual hour burden for the online survey is 60. Overall, estimated total annual hour burden for the proposed study is 141 hours (See Table 1. Estimated Participant Burden below)</w:t>
      </w:r>
      <w:r w:rsidRPr="0064053D">
        <w:t>.</w:t>
      </w:r>
      <w:r>
        <w:t xml:space="preserve"> </w:t>
      </w:r>
    </w:p>
    <w:p w:rsidR="00DB092C" w:rsidRDefault="00DB092C" w:rsidP="007A5709">
      <w:pPr>
        <w:tabs>
          <w:tab w:val="left" w:pos="0"/>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after="120"/>
        <w:ind w:right="173"/>
        <w:rPr>
          <w:b/>
        </w:rPr>
      </w:pPr>
      <w:r>
        <w:rPr>
          <w:b/>
        </w:rPr>
        <w:br/>
      </w:r>
    </w:p>
    <w:p w:rsidR="00DB092C" w:rsidRPr="002A750B" w:rsidRDefault="00DB092C" w:rsidP="007A5709">
      <w:pPr>
        <w:tabs>
          <w:tab w:val="left" w:pos="0"/>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after="120"/>
        <w:ind w:right="173"/>
        <w:rPr>
          <w:b/>
        </w:rPr>
      </w:pPr>
      <w:r>
        <w:rPr>
          <w:b/>
        </w:rPr>
        <w:br w:type="page"/>
      </w:r>
      <w:r w:rsidRPr="002A750B">
        <w:rPr>
          <w:b/>
        </w:rPr>
        <w:t xml:space="preserve">Table </w:t>
      </w:r>
      <w:r>
        <w:rPr>
          <w:b/>
        </w:rPr>
        <w:t>1</w:t>
      </w:r>
      <w:r w:rsidRPr="002A750B">
        <w:rPr>
          <w:b/>
        </w:rPr>
        <w:t>. Estimated Participant Burden</w:t>
      </w:r>
    </w:p>
    <w:tbl>
      <w:tblPr>
        <w:tblW w:w="8553" w:type="dxa"/>
        <w:jc w:val="center"/>
        <w:tblInd w:w="607" w:type="dxa"/>
        <w:tblLayout w:type="fixed"/>
        <w:tblCellMar>
          <w:left w:w="0" w:type="dxa"/>
          <w:right w:w="0" w:type="dxa"/>
        </w:tblCellMar>
        <w:tblLook w:val="0000"/>
      </w:tblPr>
      <w:tblGrid>
        <w:gridCol w:w="806"/>
        <w:gridCol w:w="1440"/>
        <w:gridCol w:w="1264"/>
        <w:gridCol w:w="1477"/>
        <w:gridCol w:w="1080"/>
        <w:gridCol w:w="1226"/>
        <w:gridCol w:w="1260"/>
      </w:tblGrid>
      <w:tr w:rsidR="00DB092C" w:rsidRPr="00191F2C" w:rsidTr="007A5709">
        <w:trPr>
          <w:cantSplit/>
          <w:trHeight w:val="421"/>
          <w:jc w:val="center"/>
        </w:trPr>
        <w:tc>
          <w:tcPr>
            <w:tcW w:w="8553" w:type="dxa"/>
            <w:gridSpan w:val="7"/>
            <w:tcBorders>
              <w:top w:val="single" w:sz="8" w:space="0" w:color="auto"/>
              <w:left w:val="single" w:sz="8" w:space="0" w:color="auto"/>
              <w:bottom w:val="single" w:sz="12" w:space="0" w:color="auto"/>
              <w:right w:val="single" w:sz="8" w:space="0" w:color="auto"/>
            </w:tcBorders>
            <w:shd w:val="clear" w:color="auto" w:fill="FFFF99"/>
            <w:vAlign w:val="center"/>
          </w:tcPr>
          <w:p w:rsidR="00DB092C" w:rsidRPr="002F742B" w:rsidRDefault="00DB092C" w:rsidP="00586AC0">
            <w:pPr>
              <w:tabs>
                <w:tab w:val="left" w:pos="126"/>
                <w:tab w:val="left" w:pos="10080"/>
              </w:tabs>
              <w:ind w:left="126" w:right="173"/>
              <w:jc w:val="center"/>
              <w:rPr>
                <w:b/>
                <w:sz w:val="20"/>
              </w:rPr>
            </w:pPr>
            <w:r w:rsidRPr="002F742B">
              <w:rPr>
                <w:b/>
                <w:sz w:val="20"/>
              </w:rPr>
              <w:t>Estimated Burden</w:t>
            </w:r>
          </w:p>
        </w:tc>
      </w:tr>
      <w:tr w:rsidR="00DB092C" w:rsidRPr="00191F2C" w:rsidTr="002F742B">
        <w:trPr>
          <w:cantSplit/>
          <w:trHeight w:val="610"/>
          <w:jc w:val="center"/>
        </w:trPr>
        <w:tc>
          <w:tcPr>
            <w:tcW w:w="806" w:type="dxa"/>
            <w:tcBorders>
              <w:top w:val="single" w:sz="12" w:space="0" w:color="auto"/>
              <w:left w:val="single" w:sz="8" w:space="0" w:color="auto"/>
              <w:bottom w:val="single" w:sz="8" w:space="0" w:color="auto"/>
              <w:right w:val="single" w:sz="8" w:space="0" w:color="auto"/>
            </w:tcBorders>
            <w:shd w:val="clear" w:color="auto" w:fill="FFFF99"/>
            <w:vAlign w:val="center"/>
          </w:tcPr>
          <w:p w:rsidR="00DB092C" w:rsidRPr="00307120" w:rsidRDefault="00DB092C" w:rsidP="00586AC0">
            <w:pPr>
              <w:tabs>
                <w:tab w:val="left" w:pos="126"/>
                <w:tab w:val="left" w:pos="10080"/>
              </w:tabs>
              <w:ind w:left="126" w:right="173"/>
              <w:jc w:val="center"/>
              <w:rPr>
                <w:sz w:val="16"/>
                <w:szCs w:val="16"/>
              </w:rPr>
            </w:pPr>
          </w:p>
        </w:tc>
        <w:tc>
          <w:tcPr>
            <w:tcW w:w="1440" w:type="dxa"/>
            <w:tcBorders>
              <w:top w:val="single" w:sz="12" w:space="0" w:color="auto"/>
              <w:left w:val="nil"/>
              <w:bottom w:val="single" w:sz="8" w:space="0" w:color="auto"/>
              <w:right w:val="single" w:sz="8" w:space="0" w:color="auto"/>
            </w:tcBorders>
            <w:shd w:val="clear" w:color="auto" w:fill="FFFF99"/>
            <w:tcMar>
              <w:top w:w="0" w:type="dxa"/>
              <w:left w:w="108" w:type="dxa"/>
              <w:bottom w:w="0" w:type="dxa"/>
              <w:right w:w="108" w:type="dxa"/>
            </w:tcMar>
            <w:vAlign w:val="center"/>
          </w:tcPr>
          <w:p w:rsidR="00DB092C" w:rsidRPr="00580C07" w:rsidRDefault="00DB092C" w:rsidP="00CE15C2">
            <w:pPr>
              <w:tabs>
                <w:tab w:val="left" w:pos="126"/>
                <w:tab w:val="left" w:pos="1170"/>
                <w:tab w:val="left" w:pos="10080"/>
              </w:tabs>
              <w:ind w:left="126" w:right="96"/>
              <w:jc w:val="center"/>
              <w:rPr>
                <w:b/>
                <w:sz w:val="16"/>
                <w:szCs w:val="16"/>
              </w:rPr>
            </w:pPr>
            <w:r w:rsidRPr="00580C07">
              <w:rPr>
                <w:b/>
                <w:sz w:val="16"/>
                <w:szCs w:val="16"/>
              </w:rPr>
              <w:t>Number of Respondents</w:t>
            </w:r>
          </w:p>
        </w:tc>
        <w:tc>
          <w:tcPr>
            <w:tcW w:w="1264" w:type="dxa"/>
            <w:tcBorders>
              <w:top w:val="single" w:sz="12" w:space="0" w:color="auto"/>
              <w:left w:val="nil"/>
              <w:bottom w:val="single" w:sz="8" w:space="0" w:color="auto"/>
              <w:right w:val="single" w:sz="8" w:space="0" w:color="auto"/>
            </w:tcBorders>
            <w:shd w:val="clear" w:color="auto" w:fill="FFFF99"/>
            <w:tcMar>
              <w:top w:w="0" w:type="dxa"/>
              <w:left w:w="108" w:type="dxa"/>
              <w:bottom w:w="0" w:type="dxa"/>
              <w:right w:w="108" w:type="dxa"/>
            </w:tcMar>
            <w:vAlign w:val="center"/>
          </w:tcPr>
          <w:p w:rsidR="00DB092C" w:rsidRPr="00580C07" w:rsidRDefault="00DB092C" w:rsidP="00CE15C2">
            <w:pPr>
              <w:tabs>
                <w:tab w:val="left" w:pos="126"/>
                <w:tab w:val="left" w:pos="10080"/>
              </w:tabs>
              <w:ind w:left="126" w:right="88" w:hanging="126"/>
              <w:jc w:val="center"/>
              <w:rPr>
                <w:b/>
                <w:sz w:val="16"/>
                <w:szCs w:val="16"/>
              </w:rPr>
            </w:pPr>
            <w:r w:rsidRPr="00580C07">
              <w:rPr>
                <w:b/>
                <w:sz w:val="16"/>
                <w:szCs w:val="16"/>
              </w:rPr>
              <w:t>Frequency of Response</w:t>
            </w:r>
          </w:p>
        </w:tc>
        <w:tc>
          <w:tcPr>
            <w:tcW w:w="1477" w:type="dxa"/>
            <w:tcBorders>
              <w:top w:val="single" w:sz="12" w:space="0" w:color="auto"/>
              <w:left w:val="nil"/>
              <w:bottom w:val="single" w:sz="8" w:space="0" w:color="auto"/>
              <w:right w:val="single" w:sz="8" w:space="0" w:color="auto"/>
            </w:tcBorders>
            <w:shd w:val="clear" w:color="auto" w:fill="FFFF99"/>
            <w:tcMar>
              <w:top w:w="0" w:type="dxa"/>
              <w:left w:w="108" w:type="dxa"/>
              <w:bottom w:w="0" w:type="dxa"/>
              <w:right w:w="108" w:type="dxa"/>
            </w:tcMar>
            <w:vAlign w:val="center"/>
          </w:tcPr>
          <w:p w:rsidR="00DB092C" w:rsidRPr="00580C07" w:rsidRDefault="00DB092C" w:rsidP="00136F78">
            <w:pPr>
              <w:tabs>
                <w:tab w:val="left" w:pos="126"/>
                <w:tab w:val="left" w:pos="10080"/>
              </w:tabs>
              <w:ind w:left="126" w:right="173"/>
              <w:jc w:val="center"/>
              <w:rPr>
                <w:b/>
                <w:sz w:val="16"/>
                <w:szCs w:val="16"/>
              </w:rPr>
            </w:pPr>
            <w:r w:rsidRPr="00580C07">
              <w:rPr>
                <w:b/>
                <w:sz w:val="16"/>
                <w:szCs w:val="16"/>
              </w:rPr>
              <w:t>Average Response Time (Hours)</w:t>
            </w:r>
          </w:p>
        </w:tc>
        <w:tc>
          <w:tcPr>
            <w:tcW w:w="1080" w:type="dxa"/>
            <w:tcBorders>
              <w:top w:val="single" w:sz="12" w:space="0" w:color="auto"/>
              <w:left w:val="nil"/>
              <w:bottom w:val="single" w:sz="8" w:space="0" w:color="auto"/>
              <w:right w:val="single" w:sz="8" w:space="0" w:color="auto"/>
            </w:tcBorders>
            <w:shd w:val="clear" w:color="auto" w:fill="FFFF99"/>
            <w:tcMar>
              <w:top w:w="0" w:type="dxa"/>
              <w:left w:w="108" w:type="dxa"/>
              <w:bottom w:w="0" w:type="dxa"/>
              <w:right w:w="108" w:type="dxa"/>
            </w:tcMar>
            <w:vAlign w:val="center"/>
          </w:tcPr>
          <w:p w:rsidR="00DB092C" w:rsidRPr="00580C07" w:rsidRDefault="00DB092C" w:rsidP="00CE15C2">
            <w:pPr>
              <w:tabs>
                <w:tab w:val="left" w:pos="126"/>
                <w:tab w:val="left" w:pos="10080"/>
              </w:tabs>
              <w:ind w:left="126" w:right="173"/>
              <w:jc w:val="center"/>
              <w:rPr>
                <w:b/>
                <w:sz w:val="16"/>
                <w:szCs w:val="16"/>
              </w:rPr>
            </w:pPr>
            <w:r w:rsidRPr="00580C07">
              <w:rPr>
                <w:b/>
                <w:sz w:val="16"/>
                <w:szCs w:val="16"/>
              </w:rPr>
              <w:t>Annual Hour Burden</w:t>
            </w:r>
          </w:p>
        </w:tc>
        <w:tc>
          <w:tcPr>
            <w:tcW w:w="1226" w:type="dxa"/>
            <w:tcBorders>
              <w:top w:val="single" w:sz="12" w:space="0" w:color="auto"/>
              <w:left w:val="nil"/>
              <w:bottom w:val="single" w:sz="8" w:space="0" w:color="auto"/>
              <w:right w:val="single" w:sz="8" w:space="0" w:color="auto"/>
            </w:tcBorders>
            <w:shd w:val="clear" w:color="auto" w:fill="FFFF99"/>
            <w:vAlign w:val="center"/>
          </w:tcPr>
          <w:p w:rsidR="00DB092C" w:rsidRPr="00580C07" w:rsidRDefault="00DB092C" w:rsidP="00CE15C2">
            <w:pPr>
              <w:jc w:val="center"/>
              <w:rPr>
                <w:b/>
                <w:sz w:val="16"/>
                <w:szCs w:val="16"/>
              </w:rPr>
            </w:pPr>
            <w:r w:rsidRPr="00580C07">
              <w:rPr>
                <w:b/>
                <w:sz w:val="16"/>
                <w:szCs w:val="16"/>
              </w:rPr>
              <w:t>Average Hourly Wage Rate</w:t>
            </w:r>
          </w:p>
        </w:tc>
        <w:tc>
          <w:tcPr>
            <w:tcW w:w="1260" w:type="dxa"/>
            <w:tcBorders>
              <w:top w:val="single" w:sz="12" w:space="0" w:color="auto"/>
              <w:left w:val="nil"/>
              <w:bottom w:val="single" w:sz="8" w:space="0" w:color="auto"/>
              <w:right w:val="single" w:sz="8" w:space="0" w:color="auto"/>
            </w:tcBorders>
            <w:shd w:val="clear" w:color="auto" w:fill="FFFF99"/>
            <w:vAlign w:val="center"/>
          </w:tcPr>
          <w:p w:rsidR="00DB092C" w:rsidRPr="00580C07" w:rsidRDefault="00DB092C" w:rsidP="00CE15C2">
            <w:pPr>
              <w:jc w:val="center"/>
              <w:rPr>
                <w:b/>
                <w:sz w:val="16"/>
                <w:szCs w:val="16"/>
              </w:rPr>
            </w:pPr>
            <w:r w:rsidRPr="00580C07">
              <w:rPr>
                <w:b/>
                <w:sz w:val="16"/>
                <w:szCs w:val="16"/>
              </w:rPr>
              <w:t>Annual Respondent Cost</w:t>
            </w:r>
          </w:p>
        </w:tc>
      </w:tr>
      <w:tr w:rsidR="00DB092C" w:rsidRPr="00191F2C" w:rsidTr="002F742B">
        <w:trPr>
          <w:cantSplit/>
          <w:jc w:val="center"/>
        </w:trPr>
        <w:tc>
          <w:tcPr>
            <w:tcW w:w="806" w:type="dxa"/>
            <w:tcBorders>
              <w:top w:val="single" w:sz="8" w:space="0" w:color="auto"/>
              <w:left w:val="single" w:sz="8" w:space="0" w:color="auto"/>
              <w:bottom w:val="single" w:sz="8" w:space="0" w:color="auto"/>
              <w:right w:val="single" w:sz="8" w:space="0" w:color="auto"/>
            </w:tcBorders>
          </w:tcPr>
          <w:p w:rsidR="00DB092C" w:rsidRPr="002F742B" w:rsidRDefault="00DB092C" w:rsidP="00B9684B">
            <w:pPr>
              <w:tabs>
                <w:tab w:val="left" w:pos="126"/>
                <w:tab w:val="left" w:pos="10080"/>
              </w:tabs>
              <w:ind w:left="126" w:right="54"/>
              <w:rPr>
                <w:b/>
                <w:sz w:val="16"/>
                <w:szCs w:val="16"/>
              </w:rPr>
            </w:pPr>
            <w:r w:rsidRPr="002F742B">
              <w:rPr>
                <w:b/>
                <w:sz w:val="16"/>
                <w:szCs w:val="16"/>
              </w:rPr>
              <w:t>Focus Groups</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092C" w:rsidRPr="00A9581D" w:rsidRDefault="00DB092C" w:rsidP="00136F78">
            <w:pPr>
              <w:tabs>
                <w:tab w:val="left" w:pos="126"/>
                <w:tab w:val="left" w:pos="10080"/>
              </w:tabs>
              <w:ind w:left="126" w:right="173"/>
              <w:jc w:val="center"/>
              <w:rPr>
                <w:b/>
                <w:sz w:val="16"/>
                <w:szCs w:val="16"/>
              </w:rPr>
            </w:pPr>
            <w:r>
              <w:rPr>
                <w:b/>
                <w:sz w:val="16"/>
                <w:szCs w:val="16"/>
              </w:rPr>
              <w:t>54</w:t>
            </w:r>
          </w:p>
        </w:tc>
        <w:tc>
          <w:tcPr>
            <w:tcW w:w="12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092C" w:rsidRPr="00A9581D" w:rsidRDefault="00DB092C" w:rsidP="00CE15C2">
            <w:pPr>
              <w:tabs>
                <w:tab w:val="left" w:pos="126"/>
                <w:tab w:val="left" w:pos="10080"/>
              </w:tabs>
              <w:ind w:left="126" w:right="173"/>
              <w:jc w:val="center"/>
              <w:rPr>
                <w:b/>
                <w:sz w:val="16"/>
                <w:szCs w:val="16"/>
              </w:rPr>
            </w:pPr>
            <w:r>
              <w:rPr>
                <w:b/>
                <w:sz w:val="16"/>
                <w:szCs w:val="16"/>
              </w:rPr>
              <w:t>1</w:t>
            </w:r>
          </w:p>
        </w:tc>
        <w:tc>
          <w:tcPr>
            <w:tcW w:w="14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092C" w:rsidRPr="00A9581D" w:rsidRDefault="00DB092C" w:rsidP="005053C1">
            <w:pPr>
              <w:tabs>
                <w:tab w:val="left" w:pos="126"/>
                <w:tab w:val="left" w:pos="10080"/>
              </w:tabs>
              <w:ind w:left="126" w:right="173"/>
              <w:jc w:val="center"/>
              <w:rPr>
                <w:b/>
                <w:sz w:val="16"/>
                <w:szCs w:val="16"/>
              </w:rPr>
            </w:pPr>
            <w:r>
              <w:rPr>
                <w:b/>
                <w:sz w:val="16"/>
                <w:szCs w:val="16"/>
              </w:rPr>
              <w:t>1.5</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092C" w:rsidRPr="00A9581D" w:rsidRDefault="00DB092C" w:rsidP="002B3050">
            <w:pPr>
              <w:tabs>
                <w:tab w:val="left" w:pos="126"/>
                <w:tab w:val="left" w:pos="10080"/>
              </w:tabs>
              <w:ind w:left="126" w:right="173"/>
              <w:jc w:val="center"/>
              <w:rPr>
                <w:b/>
                <w:sz w:val="16"/>
                <w:szCs w:val="16"/>
              </w:rPr>
            </w:pPr>
            <w:r>
              <w:rPr>
                <w:b/>
                <w:sz w:val="16"/>
                <w:szCs w:val="16"/>
              </w:rPr>
              <w:t>81.00</w:t>
            </w:r>
          </w:p>
        </w:tc>
        <w:tc>
          <w:tcPr>
            <w:tcW w:w="1226" w:type="dxa"/>
            <w:tcBorders>
              <w:top w:val="single" w:sz="8" w:space="0" w:color="auto"/>
              <w:left w:val="nil"/>
              <w:bottom w:val="single" w:sz="8" w:space="0" w:color="auto"/>
              <w:right w:val="single" w:sz="8" w:space="0" w:color="auto"/>
            </w:tcBorders>
            <w:vAlign w:val="center"/>
          </w:tcPr>
          <w:p w:rsidR="00DB092C" w:rsidRPr="00A9581D" w:rsidRDefault="00DB092C" w:rsidP="00CE15C2">
            <w:pPr>
              <w:tabs>
                <w:tab w:val="left" w:pos="126"/>
                <w:tab w:val="left" w:pos="10080"/>
              </w:tabs>
              <w:ind w:left="126" w:right="173"/>
              <w:jc w:val="center"/>
              <w:rPr>
                <w:b/>
                <w:sz w:val="16"/>
                <w:szCs w:val="16"/>
              </w:rPr>
            </w:pPr>
            <w:r>
              <w:rPr>
                <w:b/>
                <w:sz w:val="16"/>
                <w:szCs w:val="16"/>
              </w:rPr>
              <w:t>41.68</w:t>
            </w:r>
          </w:p>
        </w:tc>
        <w:tc>
          <w:tcPr>
            <w:tcW w:w="1260" w:type="dxa"/>
            <w:tcBorders>
              <w:top w:val="single" w:sz="8" w:space="0" w:color="auto"/>
              <w:left w:val="nil"/>
              <w:bottom w:val="single" w:sz="8" w:space="0" w:color="auto"/>
              <w:right w:val="single" w:sz="8" w:space="0" w:color="auto"/>
            </w:tcBorders>
            <w:vAlign w:val="center"/>
          </w:tcPr>
          <w:p w:rsidR="00DB092C" w:rsidRPr="00A9581D" w:rsidRDefault="00DB092C" w:rsidP="00CE15C2">
            <w:pPr>
              <w:tabs>
                <w:tab w:val="left" w:pos="126"/>
                <w:tab w:val="left" w:pos="10080"/>
              </w:tabs>
              <w:ind w:left="126" w:right="173"/>
              <w:jc w:val="center"/>
              <w:rPr>
                <w:b/>
                <w:sz w:val="16"/>
                <w:szCs w:val="16"/>
              </w:rPr>
            </w:pPr>
            <w:r>
              <w:rPr>
                <w:b/>
                <w:sz w:val="16"/>
                <w:szCs w:val="16"/>
              </w:rPr>
              <w:t>$3,376.08</w:t>
            </w:r>
          </w:p>
        </w:tc>
      </w:tr>
      <w:tr w:rsidR="00DB092C" w:rsidRPr="00191F2C" w:rsidTr="002F742B">
        <w:trPr>
          <w:cantSplit/>
          <w:jc w:val="center"/>
        </w:trPr>
        <w:tc>
          <w:tcPr>
            <w:tcW w:w="806" w:type="dxa"/>
            <w:tcBorders>
              <w:top w:val="single" w:sz="8" w:space="0" w:color="auto"/>
              <w:left w:val="single" w:sz="8" w:space="0" w:color="auto"/>
              <w:bottom w:val="single" w:sz="8" w:space="0" w:color="auto"/>
              <w:right w:val="single" w:sz="8" w:space="0" w:color="auto"/>
            </w:tcBorders>
          </w:tcPr>
          <w:p w:rsidR="00DB092C" w:rsidRPr="002F742B" w:rsidRDefault="00DB092C" w:rsidP="00B9684B">
            <w:pPr>
              <w:tabs>
                <w:tab w:val="left" w:pos="126"/>
                <w:tab w:val="left" w:pos="10080"/>
              </w:tabs>
              <w:ind w:left="126" w:right="173"/>
              <w:rPr>
                <w:b/>
                <w:sz w:val="16"/>
                <w:szCs w:val="16"/>
              </w:rPr>
            </w:pPr>
            <w:r w:rsidRPr="002F742B">
              <w:rPr>
                <w:b/>
                <w:sz w:val="16"/>
                <w:szCs w:val="16"/>
              </w:rPr>
              <w:t>Online Survey</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092C" w:rsidRPr="00A9581D" w:rsidRDefault="00DB092C" w:rsidP="00EB178C">
            <w:pPr>
              <w:tabs>
                <w:tab w:val="left" w:pos="126"/>
                <w:tab w:val="left" w:pos="10080"/>
              </w:tabs>
              <w:ind w:left="126" w:right="173"/>
              <w:jc w:val="center"/>
              <w:rPr>
                <w:b/>
                <w:sz w:val="16"/>
                <w:szCs w:val="16"/>
              </w:rPr>
            </w:pPr>
            <w:r>
              <w:rPr>
                <w:b/>
                <w:sz w:val="16"/>
                <w:szCs w:val="16"/>
              </w:rPr>
              <w:t>240</w:t>
            </w:r>
          </w:p>
        </w:tc>
        <w:tc>
          <w:tcPr>
            <w:tcW w:w="12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092C" w:rsidRPr="00A9581D" w:rsidRDefault="00DB092C" w:rsidP="00EB178C">
            <w:pPr>
              <w:tabs>
                <w:tab w:val="left" w:pos="126"/>
                <w:tab w:val="left" w:pos="10080"/>
              </w:tabs>
              <w:ind w:left="126" w:right="173"/>
              <w:jc w:val="center"/>
              <w:rPr>
                <w:b/>
                <w:sz w:val="16"/>
                <w:szCs w:val="16"/>
              </w:rPr>
            </w:pPr>
            <w:r>
              <w:rPr>
                <w:b/>
                <w:sz w:val="16"/>
                <w:szCs w:val="16"/>
              </w:rPr>
              <w:t>1</w:t>
            </w:r>
          </w:p>
        </w:tc>
        <w:tc>
          <w:tcPr>
            <w:tcW w:w="14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092C" w:rsidRPr="00A9581D" w:rsidRDefault="00DB092C" w:rsidP="00EB178C">
            <w:pPr>
              <w:tabs>
                <w:tab w:val="left" w:pos="126"/>
                <w:tab w:val="left" w:pos="10080"/>
              </w:tabs>
              <w:ind w:left="126" w:right="173"/>
              <w:jc w:val="center"/>
              <w:rPr>
                <w:b/>
                <w:sz w:val="16"/>
                <w:szCs w:val="16"/>
              </w:rPr>
            </w:pPr>
            <w:r>
              <w:rPr>
                <w:b/>
                <w:sz w:val="16"/>
                <w:szCs w:val="16"/>
              </w:rPr>
              <w:t>0.25</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092C" w:rsidRPr="00A9581D" w:rsidRDefault="00DB092C" w:rsidP="00EB178C">
            <w:pPr>
              <w:tabs>
                <w:tab w:val="left" w:pos="126"/>
                <w:tab w:val="left" w:pos="10080"/>
              </w:tabs>
              <w:ind w:left="126" w:right="173"/>
              <w:jc w:val="center"/>
              <w:rPr>
                <w:b/>
                <w:sz w:val="16"/>
                <w:szCs w:val="16"/>
              </w:rPr>
            </w:pPr>
            <w:r>
              <w:rPr>
                <w:b/>
                <w:sz w:val="16"/>
                <w:szCs w:val="16"/>
              </w:rPr>
              <w:t>60.00</w:t>
            </w:r>
          </w:p>
        </w:tc>
        <w:tc>
          <w:tcPr>
            <w:tcW w:w="1226" w:type="dxa"/>
            <w:tcBorders>
              <w:top w:val="single" w:sz="8" w:space="0" w:color="auto"/>
              <w:left w:val="nil"/>
              <w:bottom w:val="single" w:sz="8" w:space="0" w:color="auto"/>
              <w:right w:val="single" w:sz="8" w:space="0" w:color="auto"/>
            </w:tcBorders>
            <w:vAlign w:val="center"/>
          </w:tcPr>
          <w:p w:rsidR="00DB092C" w:rsidRPr="00A9581D" w:rsidRDefault="00DB092C" w:rsidP="00EB178C">
            <w:pPr>
              <w:tabs>
                <w:tab w:val="left" w:pos="126"/>
                <w:tab w:val="left" w:pos="10080"/>
              </w:tabs>
              <w:ind w:left="126" w:right="173"/>
              <w:jc w:val="center"/>
              <w:rPr>
                <w:b/>
                <w:sz w:val="16"/>
                <w:szCs w:val="16"/>
              </w:rPr>
            </w:pPr>
            <w:r>
              <w:rPr>
                <w:b/>
                <w:sz w:val="16"/>
                <w:szCs w:val="16"/>
              </w:rPr>
              <w:t>46.26</w:t>
            </w:r>
          </w:p>
        </w:tc>
        <w:tc>
          <w:tcPr>
            <w:tcW w:w="1260" w:type="dxa"/>
            <w:tcBorders>
              <w:top w:val="single" w:sz="8" w:space="0" w:color="auto"/>
              <w:left w:val="nil"/>
              <w:bottom w:val="single" w:sz="8" w:space="0" w:color="auto"/>
              <w:right w:val="single" w:sz="8" w:space="0" w:color="auto"/>
            </w:tcBorders>
            <w:vAlign w:val="center"/>
          </w:tcPr>
          <w:p w:rsidR="00DB092C" w:rsidRPr="00A9581D" w:rsidRDefault="00DB092C" w:rsidP="004E501C">
            <w:pPr>
              <w:tabs>
                <w:tab w:val="left" w:pos="126"/>
                <w:tab w:val="left" w:pos="10080"/>
              </w:tabs>
              <w:ind w:left="126" w:right="173"/>
              <w:jc w:val="center"/>
              <w:rPr>
                <w:b/>
                <w:sz w:val="16"/>
                <w:szCs w:val="16"/>
              </w:rPr>
            </w:pPr>
            <w:r>
              <w:rPr>
                <w:b/>
                <w:sz w:val="16"/>
                <w:szCs w:val="16"/>
              </w:rPr>
              <w:t>$2,775.50</w:t>
            </w:r>
          </w:p>
        </w:tc>
      </w:tr>
      <w:tr w:rsidR="00DB092C" w:rsidRPr="00191F2C" w:rsidTr="00C91E50">
        <w:trPr>
          <w:cantSplit/>
          <w:trHeight w:val="252"/>
          <w:jc w:val="center"/>
        </w:trPr>
        <w:tc>
          <w:tcPr>
            <w:tcW w:w="806" w:type="dxa"/>
            <w:tcBorders>
              <w:top w:val="single" w:sz="8" w:space="0" w:color="auto"/>
              <w:left w:val="single" w:sz="8" w:space="0" w:color="auto"/>
              <w:bottom w:val="single" w:sz="12" w:space="0" w:color="auto"/>
              <w:right w:val="single" w:sz="8" w:space="0" w:color="auto"/>
            </w:tcBorders>
            <w:shd w:val="clear" w:color="auto" w:fill="D9D9D9"/>
            <w:vAlign w:val="center"/>
          </w:tcPr>
          <w:p w:rsidR="00DB092C" w:rsidRPr="002F742B" w:rsidRDefault="00DB092C" w:rsidP="00586AC0">
            <w:pPr>
              <w:tabs>
                <w:tab w:val="left" w:pos="126"/>
                <w:tab w:val="left" w:pos="10080"/>
              </w:tabs>
              <w:ind w:left="126" w:right="173"/>
              <w:jc w:val="center"/>
              <w:rPr>
                <w:b/>
                <w:sz w:val="16"/>
                <w:szCs w:val="16"/>
              </w:rPr>
            </w:pPr>
            <w:r w:rsidRPr="002F742B">
              <w:rPr>
                <w:b/>
                <w:sz w:val="16"/>
                <w:szCs w:val="16"/>
              </w:rPr>
              <w:t>Total</w:t>
            </w:r>
          </w:p>
        </w:tc>
        <w:tc>
          <w:tcPr>
            <w:tcW w:w="1440"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tcPr>
          <w:p w:rsidR="00DB092C" w:rsidRPr="00A9581D" w:rsidRDefault="00DB092C" w:rsidP="00127CF7">
            <w:pPr>
              <w:tabs>
                <w:tab w:val="left" w:pos="126"/>
                <w:tab w:val="left" w:pos="10080"/>
              </w:tabs>
              <w:ind w:left="126" w:right="173"/>
              <w:jc w:val="center"/>
              <w:rPr>
                <w:b/>
                <w:sz w:val="16"/>
                <w:szCs w:val="16"/>
              </w:rPr>
            </w:pPr>
            <w:r>
              <w:rPr>
                <w:b/>
                <w:sz w:val="16"/>
                <w:szCs w:val="16"/>
              </w:rPr>
              <w:t>294</w:t>
            </w:r>
          </w:p>
        </w:tc>
        <w:tc>
          <w:tcPr>
            <w:tcW w:w="1264"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tcPr>
          <w:p w:rsidR="00DB092C" w:rsidRPr="00A9581D" w:rsidRDefault="00DB092C" w:rsidP="00127CF7">
            <w:pPr>
              <w:tabs>
                <w:tab w:val="left" w:pos="126"/>
                <w:tab w:val="left" w:pos="10080"/>
              </w:tabs>
              <w:ind w:left="126" w:right="173"/>
              <w:jc w:val="center"/>
              <w:rPr>
                <w:b/>
                <w:sz w:val="16"/>
                <w:szCs w:val="16"/>
              </w:rPr>
            </w:pPr>
            <w:r>
              <w:rPr>
                <w:b/>
                <w:sz w:val="16"/>
                <w:szCs w:val="16"/>
              </w:rPr>
              <w:t>1</w:t>
            </w:r>
          </w:p>
        </w:tc>
        <w:tc>
          <w:tcPr>
            <w:tcW w:w="1477"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tcPr>
          <w:p w:rsidR="00DB092C" w:rsidRPr="00A9581D" w:rsidRDefault="00DB092C" w:rsidP="00127CF7">
            <w:pPr>
              <w:tabs>
                <w:tab w:val="left" w:pos="126"/>
                <w:tab w:val="left" w:pos="10080"/>
              </w:tabs>
              <w:ind w:left="126" w:right="173"/>
              <w:jc w:val="center"/>
              <w:rPr>
                <w:b/>
                <w:sz w:val="16"/>
                <w:szCs w:val="16"/>
              </w:rPr>
            </w:pPr>
            <w:r>
              <w:rPr>
                <w:b/>
                <w:sz w:val="16"/>
                <w:szCs w:val="16"/>
              </w:rPr>
              <w:t>-</w:t>
            </w:r>
          </w:p>
        </w:tc>
        <w:tc>
          <w:tcPr>
            <w:tcW w:w="1080"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tcPr>
          <w:p w:rsidR="00DB092C" w:rsidRPr="00A9581D" w:rsidRDefault="00DB092C" w:rsidP="00127CF7">
            <w:pPr>
              <w:tabs>
                <w:tab w:val="left" w:pos="126"/>
                <w:tab w:val="left" w:pos="10080"/>
              </w:tabs>
              <w:ind w:left="126" w:right="173"/>
              <w:jc w:val="center"/>
              <w:rPr>
                <w:b/>
                <w:sz w:val="16"/>
                <w:szCs w:val="16"/>
              </w:rPr>
            </w:pPr>
            <w:r>
              <w:rPr>
                <w:b/>
                <w:sz w:val="16"/>
                <w:szCs w:val="16"/>
              </w:rPr>
              <w:t>141.00</w:t>
            </w:r>
          </w:p>
        </w:tc>
        <w:tc>
          <w:tcPr>
            <w:tcW w:w="1226" w:type="dxa"/>
            <w:tcBorders>
              <w:top w:val="single" w:sz="8" w:space="0" w:color="auto"/>
              <w:left w:val="nil"/>
              <w:bottom w:val="single" w:sz="12" w:space="0" w:color="auto"/>
              <w:right w:val="single" w:sz="8" w:space="0" w:color="auto"/>
            </w:tcBorders>
            <w:shd w:val="clear" w:color="auto" w:fill="D9D9D9"/>
            <w:vAlign w:val="center"/>
          </w:tcPr>
          <w:p w:rsidR="00DB092C" w:rsidRPr="001D0BE5" w:rsidRDefault="00DB092C" w:rsidP="00127CF7">
            <w:pPr>
              <w:tabs>
                <w:tab w:val="left" w:pos="126"/>
                <w:tab w:val="left" w:pos="10080"/>
              </w:tabs>
              <w:ind w:left="126" w:right="173"/>
              <w:jc w:val="center"/>
              <w:rPr>
                <w:b/>
                <w:sz w:val="16"/>
                <w:szCs w:val="16"/>
              </w:rPr>
            </w:pPr>
            <w:r w:rsidRPr="001D0BE5">
              <w:rPr>
                <w:b/>
                <w:sz w:val="16"/>
                <w:szCs w:val="16"/>
              </w:rPr>
              <w:t>-</w:t>
            </w:r>
          </w:p>
        </w:tc>
        <w:tc>
          <w:tcPr>
            <w:tcW w:w="1260" w:type="dxa"/>
            <w:tcBorders>
              <w:top w:val="single" w:sz="8" w:space="0" w:color="auto"/>
              <w:left w:val="nil"/>
              <w:bottom w:val="single" w:sz="12" w:space="0" w:color="auto"/>
              <w:right w:val="single" w:sz="8" w:space="0" w:color="auto"/>
            </w:tcBorders>
            <w:shd w:val="clear" w:color="auto" w:fill="D9D9D9"/>
            <w:vAlign w:val="bottom"/>
          </w:tcPr>
          <w:p w:rsidR="00DB092C" w:rsidRPr="000429B1" w:rsidRDefault="00DB092C" w:rsidP="005053C1">
            <w:pPr>
              <w:tabs>
                <w:tab w:val="left" w:pos="126"/>
                <w:tab w:val="left" w:pos="10080"/>
              </w:tabs>
              <w:ind w:right="173"/>
              <w:jc w:val="center"/>
              <w:rPr>
                <w:b/>
                <w:sz w:val="16"/>
                <w:szCs w:val="16"/>
              </w:rPr>
            </w:pPr>
            <w:r w:rsidRPr="00B9684B">
              <w:rPr>
                <w:b/>
                <w:sz w:val="16"/>
                <w:szCs w:val="16"/>
              </w:rPr>
              <w:t>$</w:t>
            </w:r>
            <w:r>
              <w:rPr>
                <w:b/>
                <w:sz w:val="16"/>
                <w:szCs w:val="16"/>
              </w:rPr>
              <w:t>6,151.58</w:t>
            </w:r>
          </w:p>
        </w:tc>
      </w:tr>
    </w:tbl>
    <w:p w:rsidR="00DB092C" w:rsidRDefault="00DB092C" w:rsidP="009D515E">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before="360" w:after="240"/>
        <w:ind w:right="173"/>
      </w:pPr>
      <w:r>
        <w:rPr>
          <w:b/>
        </w:rPr>
        <w:t>Change in Burden</w:t>
      </w:r>
      <w:r>
        <w:br/>
        <w:t xml:space="preserve">This is a new activity with a total burden of 141 hours. The current approval under the generic OMB </w:t>
      </w:r>
      <w:r w:rsidRPr="009D515E">
        <w:t>number 0915-0212 is</w:t>
      </w:r>
      <w:r>
        <w:t xml:space="preserve"> 5,075 annual hours, of which only 740 hours are in use with currently approved customer satisfaction surveys and focus groups. The inclusion of 141 for the proposed activity will bring the total hours in use to 881, which is within the total hours approved for customer satisfaction surveys and focus groups. </w:t>
      </w:r>
    </w:p>
    <w:p w:rsidR="00DB092C" w:rsidRPr="00640590" w:rsidRDefault="00DB092C" w:rsidP="002657E9">
      <w:pPr>
        <w:spacing w:after="120"/>
        <w:rPr>
          <w:b/>
          <w:highlight w:val="green"/>
        </w:rPr>
      </w:pPr>
      <w:r w:rsidRPr="009D515E">
        <w:rPr>
          <w:b/>
        </w:rPr>
        <w:t>Estimates of Annualized Cost to the Government</w:t>
      </w:r>
      <w:r w:rsidRPr="009D515E">
        <w:rPr>
          <w:b/>
        </w:rPr>
        <w:br/>
      </w:r>
      <w:r w:rsidRPr="009D515E">
        <w:t>The annualized cost to the government for this activity is approximately $40,000</w:t>
      </w:r>
      <w:r>
        <w:t>,</w:t>
      </w:r>
      <w:r w:rsidRPr="009D515E">
        <w:t xml:space="preserve"> which includes the cost for the contract with AED to execute the project.</w:t>
      </w:r>
      <w:r>
        <w:t xml:space="preserve"> </w:t>
      </w:r>
      <w:r>
        <w:rPr>
          <w:b/>
        </w:rPr>
        <w:br/>
      </w:r>
      <w:r>
        <w:rPr>
          <w:b/>
        </w:rPr>
        <w:br/>
        <w:t>Timing of Data Collection</w:t>
      </w:r>
      <w:r>
        <w:br/>
      </w:r>
      <w:r w:rsidRPr="003759BD">
        <w:rPr>
          <w:szCs w:val="24"/>
        </w:rPr>
        <w:t xml:space="preserve">The </w:t>
      </w:r>
      <w:r>
        <w:rPr>
          <w:szCs w:val="24"/>
        </w:rPr>
        <w:t>data collection</w:t>
      </w:r>
      <w:r w:rsidRPr="003759BD">
        <w:rPr>
          <w:szCs w:val="24"/>
        </w:rPr>
        <w:t xml:space="preserve"> activities will begin after approval is received from both OMB and the AED IRB</w:t>
      </w:r>
      <w:r>
        <w:rPr>
          <w:szCs w:val="24"/>
        </w:rPr>
        <w:t>,</w:t>
      </w:r>
      <w:r w:rsidRPr="000C204F">
        <w:rPr>
          <w:szCs w:val="24"/>
        </w:rPr>
        <w:t xml:space="preserve"> </w:t>
      </w:r>
      <w:r>
        <w:rPr>
          <w:szCs w:val="24"/>
        </w:rPr>
        <w:t>and will be completed within a period of six months</w:t>
      </w:r>
      <w:r w:rsidRPr="003759BD">
        <w:rPr>
          <w:szCs w:val="24"/>
        </w:rPr>
        <w:t xml:space="preserve">. </w:t>
      </w:r>
      <w:r>
        <w:rPr>
          <w:szCs w:val="24"/>
        </w:rPr>
        <w:t>To stay on track for the roll-out of the NHSC campaign scheduled for F</w:t>
      </w:r>
      <w:r w:rsidRPr="00246E96">
        <w:rPr>
          <w:szCs w:val="24"/>
        </w:rPr>
        <w:t>all 2010,</w:t>
      </w:r>
      <w:r>
        <w:rPr>
          <w:szCs w:val="24"/>
        </w:rPr>
        <w:t xml:space="preserve"> HRSA plans to conduct data collection for this study during July and August 2010. </w:t>
      </w:r>
      <w:r w:rsidRPr="006A53AF">
        <w:rPr>
          <w:szCs w:val="24"/>
        </w:rPr>
        <w:t xml:space="preserve">The expiration date </w:t>
      </w:r>
      <w:r>
        <w:rPr>
          <w:szCs w:val="24"/>
        </w:rPr>
        <w:t xml:space="preserve">for the generic clearance </w:t>
      </w:r>
      <w:r w:rsidRPr="006A53AF">
        <w:rPr>
          <w:szCs w:val="24"/>
        </w:rPr>
        <w:t xml:space="preserve">and </w:t>
      </w:r>
      <w:r>
        <w:rPr>
          <w:szCs w:val="24"/>
        </w:rPr>
        <w:t>the OMB No. for this activity</w:t>
      </w:r>
      <w:r w:rsidRPr="006A53AF">
        <w:rPr>
          <w:szCs w:val="24"/>
        </w:rPr>
        <w:t xml:space="preserve"> will be displayed.</w:t>
      </w:r>
      <w:r>
        <w:rPr>
          <w:szCs w:val="24"/>
        </w:rPr>
        <w:br/>
      </w:r>
      <w:r>
        <w:rPr>
          <w:szCs w:val="24"/>
        </w:rPr>
        <w:br/>
      </w:r>
      <w:r w:rsidRPr="00191F2C">
        <w:rPr>
          <w:b/>
        </w:rPr>
        <w:t>Attachments</w:t>
      </w:r>
      <w:r w:rsidRPr="00191F2C">
        <w:rPr>
          <w:b/>
        </w:rPr>
        <w:tab/>
      </w:r>
      <w:r>
        <w:rPr>
          <w:szCs w:val="24"/>
        </w:rPr>
        <w:br/>
      </w:r>
      <w:r>
        <w:t>Please note the following attachments are included as part of this submission to OMB to conduct focus groups and an online survey</w:t>
      </w:r>
      <w:r w:rsidRPr="00191F2C">
        <w:t xml:space="preserve"> </w:t>
      </w:r>
      <w:r w:rsidRPr="00191F2C">
        <w:rPr>
          <w:szCs w:val="24"/>
        </w:rPr>
        <w:t xml:space="preserve">under </w:t>
      </w:r>
      <w:r>
        <w:rPr>
          <w:szCs w:val="24"/>
        </w:rPr>
        <w:t>HRSA’s</w:t>
      </w:r>
      <w:r w:rsidRPr="00191F2C">
        <w:rPr>
          <w:szCs w:val="24"/>
        </w:rPr>
        <w:t xml:space="preserve"> generic clearance, </w:t>
      </w:r>
      <w:r>
        <w:rPr>
          <w:szCs w:val="24"/>
        </w:rPr>
        <w:t xml:space="preserve">OMB No. 0915-0212: </w:t>
      </w:r>
    </w:p>
    <w:p w:rsidR="00DB092C" w:rsidRDefault="00DB092C" w:rsidP="0030112E">
      <w:pPr>
        <w:tabs>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pPr>
      <w:r>
        <w:tab/>
      </w:r>
      <w:r>
        <w:tab/>
      </w:r>
      <w:r>
        <w:tab/>
      </w:r>
      <w:r w:rsidRPr="00382D1D">
        <w:tab/>
      </w:r>
      <w:r>
        <w:t>A</w:t>
      </w:r>
      <w:r w:rsidRPr="00382D1D">
        <w:t xml:space="preserve">) </w:t>
      </w:r>
      <w:r>
        <w:t>Focus Group Recruitment S</w:t>
      </w:r>
      <w:r w:rsidRPr="00382D1D">
        <w:t>creener</w:t>
      </w:r>
    </w:p>
    <w:p w:rsidR="00DB092C" w:rsidRDefault="00DB092C" w:rsidP="00FC133A">
      <w:pPr>
        <w:tabs>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360"/>
      </w:pPr>
      <w:r>
        <w:tab/>
      </w:r>
      <w:r>
        <w:tab/>
      </w:r>
      <w:r>
        <w:tab/>
        <w:t>B</w:t>
      </w:r>
      <w:r w:rsidRPr="00382D1D">
        <w:t xml:space="preserve">) </w:t>
      </w:r>
      <w:r>
        <w:t xml:space="preserve">Focus Group </w:t>
      </w:r>
      <w:r w:rsidRPr="00382D1D">
        <w:t xml:space="preserve">Moderator’s </w:t>
      </w:r>
      <w:r>
        <w:t>G</w:t>
      </w:r>
      <w:r w:rsidRPr="00382D1D">
        <w:t>uide</w:t>
      </w:r>
      <w:r>
        <w:tab/>
      </w:r>
      <w:r>
        <w:tab/>
      </w:r>
      <w:r>
        <w:tab/>
      </w:r>
    </w:p>
    <w:p w:rsidR="00DB092C" w:rsidRDefault="00DB092C" w:rsidP="007F1204">
      <w:pPr>
        <w:tabs>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360"/>
      </w:pPr>
      <w:r>
        <w:tab/>
      </w:r>
      <w:r>
        <w:tab/>
      </w:r>
      <w:r>
        <w:tab/>
        <w:t>C) Focus Group Consent Form</w:t>
      </w:r>
    </w:p>
    <w:p w:rsidR="00DB092C" w:rsidRDefault="00DB092C" w:rsidP="005053C1">
      <w:pPr>
        <w:tabs>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360"/>
      </w:pPr>
      <w:r>
        <w:tab/>
      </w:r>
      <w:r>
        <w:tab/>
      </w:r>
      <w:r>
        <w:tab/>
        <w:t xml:space="preserve">D) Online Survey </w:t>
      </w:r>
    </w:p>
    <w:p w:rsidR="00DB092C" w:rsidRDefault="00DB092C" w:rsidP="005053C1">
      <w:pPr>
        <w:tabs>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360"/>
      </w:pPr>
      <w:r>
        <w:tab/>
      </w:r>
      <w:r>
        <w:tab/>
      </w:r>
      <w:r>
        <w:tab/>
      </w:r>
      <w:r w:rsidRPr="0004498F">
        <w:t>E) Items to be Tested</w:t>
      </w:r>
    </w:p>
    <w:p w:rsidR="00DB092C" w:rsidRDefault="00DB092C" w:rsidP="009D515E">
      <w:pPr>
        <w:jc w:val="both"/>
        <w:rPr>
          <w:b/>
        </w:rPr>
      </w:pPr>
    </w:p>
    <w:p w:rsidR="00DB092C" w:rsidRDefault="00DB092C" w:rsidP="00D672D1">
      <w:pPr>
        <w:spacing w:after="120"/>
        <w:jc w:val="both"/>
      </w:pPr>
      <w:r>
        <w:rPr>
          <w:b/>
        </w:rPr>
        <w:t>Name, Title, and Organizational Affiliation of Project Officer</w:t>
      </w:r>
    </w:p>
    <w:p w:rsidR="00DB092C" w:rsidRPr="00E022A4" w:rsidRDefault="00DB092C" w:rsidP="00191F2C">
      <w:pPr>
        <w:jc w:val="both"/>
      </w:pPr>
      <w:r>
        <w:tab/>
        <w:t xml:space="preserve">Lori Roche </w:t>
      </w:r>
    </w:p>
    <w:p w:rsidR="00DB092C" w:rsidRPr="006A3A19" w:rsidRDefault="00DB092C" w:rsidP="00191F2C">
      <w:pPr>
        <w:jc w:val="both"/>
      </w:pPr>
      <w:r>
        <w:tab/>
      </w:r>
      <w:r w:rsidRPr="006A3A19">
        <w:t>Program Director</w:t>
      </w:r>
    </w:p>
    <w:p w:rsidR="00DB092C" w:rsidRPr="006A3A19" w:rsidRDefault="00DB092C" w:rsidP="00191F2C">
      <w:pPr>
        <w:ind w:firstLine="720"/>
        <w:jc w:val="both"/>
      </w:pPr>
      <w:r w:rsidRPr="006A3A19">
        <w:t>Division of Site and Clinician Recruitment</w:t>
      </w:r>
    </w:p>
    <w:p w:rsidR="00DB092C" w:rsidRPr="006A3A19" w:rsidRDefault="00DB092C" w:rsidP="00191F2C">
      <w:pPr>
        <w:ind w:firstLine="720"/>
        <w:jc w:val="both"/>
      </w:pPr>
      <w:r w:rsidRPr="006A3A19">
        <w:t>Health Resources and Services Administration</w:t>
      </w:r>
    </w:p>
    <w:p w:rsidR="00DB092C" w:rsidRPr="006A3A19" w:rsidRDefault="00DB092C" w:rsidP="00191F2C">
      <w:pPr>
        <w:ind w:firstLine="720"/>
        <w:jc w:val="both"/>
      </w:pPr>
      <w:r w:rsidRPr="006A3A19">
        <w:t>5600 Fishers Lane, 8A-55</w:t>
      </w:r>
    </w:p>
    <w:p w:rsidR="00DB092C" w:rsidRPr="006A3A19" w:rsidRDefault="00DB092C" w:rsidP="00191F2C">
      <w:pPr>
        <w:ind w:firstLine="720"/>
        <w:jc w:val="both"/>
      </w:pPr>
      <w:r w:rsidRPr="006A3A19">
        <w:t>Rockville, Maryland 20857</w:t>
      </w:r>
    </w:p>
    <w:p w:rsidR="00DB092C" w:rsidRDefault="00DB092C" w:rsidP="00191F2C">
      <w:pPr>
        <w:ind w:firstLine="720"/>
        <w:jc w:val="both"/>
      </w:pPr>
      <w:r w:rsidRPr="006A3A19">
        <w:t>(301) 443-0652</w:t>
      </w:r>
    </w:p>
    <w:p w:rsidR="00DB092C" w:rsidRDefault="00DB092C" w:rsidP="00191F2C">
      <w:pPr>
        <w:ind w:firstLine="720"/>
        <w:jc w:val="both"/>
      </w:pPr>
      <w:hyperlink r:id="rId7" w:history="1">
        <w:r w:rsidRPr="00EC4E54">
          <w:rPr>
            <w:rStyle w:val="Hyperlink"/>
          </w:rPr>
          <w:t>lroche@hrsa.gov</w:t>
        </w:r>
      </w:hyperlink>
    </w:p>
    <w:sectPr w:rsidR="00DB092C" w:rsidSect="0004498F">
      <w:footerReference w:type="default" r:id="rId8"/>
      <w:pgSz w:w="12240" w:h="15840"/>
      <w:pgMar w:top="1296" w:right="1440" w:bottom="1152" w:left="1440" w:header="720" w:footer="4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92C" w:rsidRDefault="00DB092C" w:rsidP="00E7292C">
      <w:r>
        <w:separator/>
      </w:r>
    </w:p>
  </w:endnote>
  <w:endnote w:type="continuationSeparator" w:id="0">
    <w:p w:rsidR="00DB092C" w:rsidRDefault="00DB092C" w:rsidP="00E72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MCFLH+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Whitney Book">
    <w:altName w:val="Whitney Book"/>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92C" w:rsidRPr="006A3A19" w:rsidRDefault="00DB092C" w:rsidP="006A3A19">
    <w:pPr>
      <w:pStyle w:val="Footer"/>
      <w:pBdr>
        <w:bottom w:val="single" w:sz="6" w:space="1" w:color="auto"/>
      </w:pBdr>
      <w:rPr>
        <w:rStyle w:val="PageNumber"/>
        <w:rFonts w:ascii="Arial" w:hAnsi="Arial" w:cs="Arial"/>
        <w:i/>
        <w:sz w:val="20"/>
      </w:rPr>
    </w:pPr>
    <w:smartTag w:uri="urn:schemas-microsoft-com:office:smarttags" w:element="stockticker">
      <w:r w:rsidRPr="00D92F19">
        <w:rPr>
          <w:rFonts w:ascii="Arial" w:hAnsi="Arial" w:cs="Arial"/>
          <w:bCs/>
          <w:i/>
          <w:sz w:val="20"/>
        </w:rPr>
        <w:t>AED</w:t>
      </w:r>
    </w:smartTag>
    <w:r>
      <w:rPr>
        <w:rFonts w:ascii="Arial" w:hAnsi="Arial" w:cs="Arial"/>
        <w:bCs/>
        <w:i/>
        <w:sz w:val="20"/>
      </w:rPr>
      <w:t xml:space="preserve"> 6/24/10</w:t>
    </w:r>
    <w:r>
      <w:rPr>
        <w:rFonts w:ascii="Arial" w:hAnsi="Arial" w:cs="Arial"/>
        <w:bCs/>
        <w:i/>
        <w:sz w:val="20"/>
      </w:rPr>
      <w:tab/>
    </w:r>
    <w:r>
      <w:rPr>
        <w:rFonts w:ascii="Arial" w:hAnsi="Arial" w:cs="Arial"/>
        <w:bCs/>
        <w:i/>
        <w:sz w:val="20"/>
      </w:rPr>
      <w:tab/>
    </w:r>
    <w:r w:rsidRPr="00255E93">
      <w:rPr>
        <w:rStyle w:val="PageNumber"/>
        <w:rFonts w:ascii="Arial" w:hAnsi="Arial" w:cs="Arial"/>
        <w:i/>
        <w:sz w:val="20"/>
      </w:rPr>
      <w:fldChar w:fldCharType="begin"/>
    </w:r>
    <w:r w:rsidRPr="00255E93">
      <w:rPr>
        <w:rStyle w:val="PageNumber"/>
        <w:rFonts w:ascii="Arial" w:hAnsi="Arial" w:cs="Arial"/>
        <w:i/>
        <w:sz w:val="20"/>
      </w:rPr>
      <w:instrText xml:space="preserve">PAGE  </w:instrText>
    </w:r>
    <w:r w:rsidRPr="00255E93">
      <w:rPr>
        <w:rStyle w:val="PageNumber"/>
        <w:rFonts w:ascii="Arial" w:hAnsi="Arial" w:cs="Arial"/>
        <w:i/>
        <w:sz w:val="20"/>
      </w:rPr>
      <w:fldChar w:fldCharType="separate"/>
    </w:r>
    <w:r>
      <w:rPr>
        <w:rStyle w:val="PageNumber"/>
        <w:rFonts w:ascii="Arial" w:hAnsi="Arial" w:cs="Arial"/>
        <w:i/>
        <w:noProof/>
        <w:sz w:val="20"/>
      </w:rPr>
      <w:t>6</w:t>
    </w:r>
    <w:r w:rsidRPr="00255E93">
      <w:rPr>
        <w:rStyle w:val="PageNumber"/>
        <w:rFonts w:ascii="Arial" w:hAnsi="Arial" w:cs="Arial"/>
        <w:i/>
        <w:sz w:val="20"/>
      </w:rPr>
      <w:fldChar w:fldCharType="end"/>
    </w:r>
  </w:p>
  <w:p w:rsidR="00DB092C" w:rsidRPr="006A3A19" w:rsidRDefault="00DB092C" w:rsidP="006A3A19">
    <w:pPr>
      <w:pStyle w:val="Footer"/>
      <w:rPr>
        <w:rFonts w:ascii="Arial" w:hAnsi="Arial" w:cs="Arial"/>
        <w:bCs/>
        <w:i/>
        <w:sz w:val="20"/>
      </w:rPr>
    </w:pPr>
    <w:r w:rsidRPr="006A3A19">
      <w:rPr>
        <w:rFonts w:ascii="Arial" w:hAnsi="Arial" w:cs="Arial"/>
        <w:bCs/>
        <w:i/>
        <w:sz w:val="20"/>
      </w:rPr>
      <w:tab/>
    </w:r>
  </w:p>
  <w:p w:rsidR="00DB092C" w:rsidRDefault="00DB09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92C" w:rsidRDefault="00DB092C" w:rsidP="00E7292C">
      <w:r>
        <w:separator/>
      </w:r>
    </w:p>
  </w:footnote>
  <w:footnote w:type="continuationSeparator" w:id="0">
    <w:p w:rsidR="00DB092C" w:rsidRDefault="00DB092C" w:rsidP="00E7292C">
      <w:r>
        <w:continuationSeparator/>
      </w:r>
    </w:p>
  </w:footnote>
  <w:footnote w:id="1">
    <w:p w:rsidR="00DB092C" w:rsidRDefault="00DB092C">
      <w:pPr>
        <w:pStyle w:val="FootnoteText"/>
      </w:pPr>
      <w:r>
        <w:rPr>
          <w:rStyle w:val="FootnoteReference"/>
        </w:rPr>
        <w:footnoteRef/>
      </w:r>
      <w:r>
        <w:t xml:space="preserve"> Krueger RA and Casey MA. (2000). </w:t>
      </w:r>
      <w:r w:rsidRPr="00252007">
        <w:rPr>
          <w:i/>
        </w:rPr>
        <w:t>Focus Groups: A Practical Guide for Applied Research</w:t>
      </w:r>
      <w:r>
        <w:t xml:space="preserve"> (3</w:t>
      </w:r>
      <w:r w:rsidRPr="00252007">
        <w:rPr>
          <w:vertAlign w:val="superscript"/>
        </w:rPr>
        <w:t>rd</w:t>
      </w:r>
      <w:r>
        <w:t xml:space="preserve"> Edition). Thousand Oaks, CA: Sage Publications, Inc.</w:t>
      </w:r>
    </w:p>
    <w:p w:rsidR="00DB092C" w:rsidRDefault="00DB092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abstractNum w:abstractNumId="1">
    <w:nsid w:val="02D25AD4"/>
    <w:multiLevelType w:val="hybridMultilevel"/>
    <w:tmpl w:val="0ABE91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8167D6"/>
    <w:multiLevelType w:val="hybridMultilevel"/>
    <w:tmpl w:val="7412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F052C"/>
    <w:multiLevelType w:val="hybridMultilevel"/>
    <w:tmpl w:val="5548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E20088"/>
    <w:multiLevelType w:val="hybridMultilevel"/>
    <w:tmpl w:val="23283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35E92"/>
    <w:multiLevelType w:val="hybridMultilevel"/>
    <w:tmpl w:val="9650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557E1"/>
    <w:multiLevelType w:val="hybridMultilevel"/>
    <w:tmpl w:val="196A74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CD1264F"/>
    <w:multiLevelType w:val="hybridMultilevel"/>
    <w:tmpl w:val="E0A231C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20092B0F"/>
    <w:multiLevelType w:val="hybridMultilevel"/>
    <w:tmpl w:val="37949C5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0743376"/>
    <w:multiLevelType w:val="hybridMultilevel"/>
    <w:tmpl w:val="024C5E96"/>
    <w:lvl w:ilvl="0" w:tplc="3F2CDE5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3BA4B17"/>
    <w:multiLevelType w:val="hybridMultilevel"/>
    <w:tmpl w:val="A2CC192A"/>
    <w:lvl w:ilvl="0" w:tplc="8F50512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27DB307F"/>
    <w:multiLevelType w:val="hybridMultilevel"/>
    <w:tmpl w:val="768EC4A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28697F92"/>
    <w:multiLevelType w:val="hybridMultilevel"/>
    <w:tmpl w:val="B35A28D8"/>
    <w:lvl w:ilvl="0" w:tplc="D0B8D88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8F44671"/>
    <w:multiLevelType w:val="hybridMultilevel"/>
    <w:tmpl w:val="646E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640ABA"/>
    <w:multiLevelType w:val="hybridMultilevel"/>
    <w:tmpl w:val="5EC4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930980"/>
    <w:multiLevelType w:val="hybridMultilevel"/>
    <w:tmpl w:val="372028DE"/>
    <w:lvl w:ilvl="0" w:tplc="1DDE1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6F3184"/>
    <w:multiLevelType w:val="hybridMultilevel"/>
    <w:tmpl w:val="92A68B7A"/>
    <w:lvl w:ilvl="0" w:tplc="04090011">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3EBB4821"/>
    <w:multiLevelType w:val="hybridMultilevel"/>
    <w:tmpl w:val="D2F6A50E"/>
    <w:lvl w:ilvl="0" w:tplc="A9665C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A42534"/>
    <w:multiLevelType w:val="hybridMultilevel"/>
    <w:tmpl w:val="E1B697EA"/>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41E82D49"/>
    <w:multiLevelType w:val="hybridMultilevel"/>
    <w:tmpl w:val="02967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EB3EB7"/>
    <w:multiLevelType w:val="hybridMultilevel"/>
    <w:tmpl w:val="C21896A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9EC6DFF"/>
    <w:multiLevelType w:val="hybridMultilevel"/>
    <w:tmpl w:val="792E64F6"/>
    <w:lvl w:ilvl="0" w:tplc="95F20A76">
      <w:start w:val="3"/>
      <w:numFmt w:val="upperLetter"/>
      <w:lvlText w:val="%1."/>
      <w:lvlJc w:val="left"/>
      <w:pPr>
        <w:tabs>
          <w:tab w:val="num" w:pos="1080"/>
        </w:tabs>
        <w:ind w:left="1080" w:hanging="720"/>
      </w:pPr>
      <w:rPr>
        <w:rFonts w:cs="Times New Roman" w:hint="default"/>
      </w:rPr>
    </w:lvl>
    <w:lvl w:ilvl="1" w:tplc="9A90FCE2">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65D4B63"/>
    <w:multiLevelType w:val="hybridMultilevel"/>
    <w:tmpl w:val="BA2EEE5C"/>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4">
    <w:nsid w:val="6AB56D9C"/>
    <w:multiLevelType w:val="hybridMultilevel"/>
    <w:tmpl w:val="7B84FE12"/>
    <w:lvl w:ilvl="0" w:tplc="2F5C5A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6F5A13FC"/>
    <w:multiLevelType w:val="hybridMultilevel"/>
    <w:tmpl w:val="8D6CE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1D378C"/>
    <w:multiLevelType w:val="hybridMultilevel"/>
    <w:tmpl w:val="5C72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9D3954"/>
    <w:multiLevelType w:val="hybridMultilevel"/>
    <w:tmpl w:val="2020BB5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B3D34A6"/>
    <w:multiLevelType w:val="hybridMultilevel"/>
    <w:tmpl w:val="120213DE"/>
    <w:lvl w:ilvl="0" w:tplc="1DDE1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0"/>
  </w:num>
  <w:num w:numId="4">
    <w:abstractNumId w:val="22"/>
  </w:num>
  <w:num w:numId="5">
    <w:abstractNumId w:val="20"/>
  </w:num>
  <w:num w:numId="6">
    <w:abstractNumId w:val="21"/>
  </w:num>
  <w:num w:numId="7">
    <w:abstractNumId w:val="27"/>
  </w:num>
  <w:num w:numId="8">
    <w:abstractNumId w:val="6"/>
  </w:num>
  <w:num w:numId="9">
    <w:abstractNumId w:val="16"/>
  </w:num>
  <w:num w:numId="10">
    <w:abstractNumId w:val="25"/>
  </w:num>
  <w:num w:numId="11">
    <w:abstractNumId w:val="19"/>
  </w:num>
  <w:num w:numId="12">
    <w:abstractNumId w:val="5"/>
  </w:num>
  <w:num w:numId="13">
    <w:abstractNumId w:val="7"/>
  </w:num>
  <w:num w:numId="14">
    <w:abstractNumId w:val="13"/>
  </w:num>
  <w:num w:numId="15">
    <w:abstractNumId w:val="3"/>
  </w:num>
  <w:num w:numId="16">
    <w:abstractNumId w:val="15"/>
  </w:num>
  <w:num w:numId="17">
    <w:abstractNumId w:val="28"/>
  </w:num>
  <w:num w:numId="18">
    <w:abstractNumId w:val="14"/>
  </w:num>
  <w:num w:numId="19">
    <w:abstractNumId w:val="8"/>
  </w:num>
  <w:num w:numId="20">
    <w:abstractNumId w:val="12"/>
  </w:num>
  <w:num w:numId="21">
    <w:abstractNumId w:val="9"/>
  </w:num>
  <w:num w:numId="22">
    <w:abstractNumId w:val="24"/>
  </w:num>
  <w:num w:numId="23">
    <w:abstractNumId w:val="18"/>
  </w:num>
  <w:num w:numId="24">
    <w:abstractNumId w:val="26"/>
  </w:num>
  <w:num w:numId="25">
    <w:abstractNumId w:val="1"/>
  </w:num>
  <w:num w:numId="26">
    <w:abstractNumId w:val="4"/>
  </w:num>
  <w:num w:numId="27">
    <w:abstractNumId w:val="2"/>
  </w:num>
  <w:num w:numId="28">
    <w:abstractNumId w:val="11"/>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0E6"/>
    <w:rsid w:val="00000281"/>
    <w:rsid w:val="000025D5"/>
    <w:rsid w:val="00006E55"/>
    <w:rsid w:val="00007D55"/>
    <w:rsid w:val="0001048B"/>
    <w:rsid w:val="00011BB2"/>
    <w:rsid w:val="00016307"/>
    <w:rsid w:val="000208C2"/>
    <w:rsid w:val="00020904"/>
    <w:rsid w:val="00022CEB"/>
    <w:rsid w:val="000272CE"/>
    <w:rsid w:val="000303D3"/>
    <w:rsid w:val="0003075B"/>
    <w:rsid w:val="0003171D"/>
    <w:rsid w:val="00031B42"/>
    <w:rsid w:val="000322B0"/>
    <w:rsid w:val="00037AFB"/>
    <w:rsid w:val="000426DD"/>
    <w:rsid w:val="000429B1"/>
    <w:rsid w:val="0004498F"/>
    <w:rsid w:val="00044BAB"/>
    <w:rsid w:val="00045589"/>
    <w:rsid w:val="000523DA"/>
    <w:rsid w:val="000573A8"/>
    <w:rsid w:val="0006216B"/>
    <w:rsid w:val="00066033"/>
    <w:rsid w:val="00072388"/>
    <w:rsid w:val="0007255B"/>
    <w:rsid w:val="000756E1"/>
    <w:rsid w:val="00075B9F"/>
    <w:rsid w:val="00080D0A"/>
    <w:rsid w:val="00090E1F"/>
    <w:rsid w:val="000923C3"/>
    <w:rsid w:val="00093BC3"/>
    <w:rsid w:val="00094AC7"/>
    <w:rsid w:val="000A0DB8"/>
    <w:rsid w:val="000A1CA4"/>
    <w:rsid w:val="000A23E9"/>
    <w:rsid w:val="000A2B46"/>
    <w:rsid w:val="000A3D5C"/>
    <w:rsid w:val="000A55BC"/>
    <w:rsid w:val="000B4320"/>
    <w:rsid w:val="000B457E"/>
    <w:rsid w:val="000B69A7"/>
    <w:rsid w:val="000C204F"/>
    <w:rsid w:val="000C5520"/>
    <w:rsid w:val="000C6D37"/>
    <w:rsid w:val="000D02FE"/>
    <w:rsid w:val="000D0659"/>
    <w:rsid w:val="000D0C33"/>
    <w:rsid w:val="000D1021"/>
    <w:rsid w:val="000D295D"/>
    <w:rsid w:val="000D3461"/>
    <w:rsid w:val="000D395A"/>
    <w:rsid w:val="000D4E10"/>
    <w:rsid w:val="000D6800"/>
    <w:rsid w:val="000E0320"/>
    <w:rsid w:val="000E0C31"/>
    <w:rsid w:val="000E3AB3"/>
    <w:rsid w:val="000E61F7"/>
    <w:rsid w:val="000F0A1F"/>
    <w:rsid w:val="000F1898"/>
    <w:rsid w:val="000F4D0F"/>
    <w:rsid w:val="001006F8"/>
    <w:rsid w:val="00100918"/>
    <w:rsid w:val="00102101"/>
    <w:rsid w:val="00104694"/>
    <w:rsid w:val="00111F2D"/>
    <w:rsid w:val="00112255"/>
    <w:rsid w:val="00112EA5"/>
    <w:rsid w:val="00125423"/>
    <w:rsid w:val="00126C54"/>
    <w:rsid w:val="00127CF7"/>
    <w:rsid w:val="0013095E"/>
    <w:rsid w:val="00131113"/>
    <w:rsid w:val="00134924"/>
    <w:rsid w:val="00136A34"/>
    <w:rsid w:val="00136F78"/>
    <w:rsid w:val="00137D36"/>
    <w:rsid w:val="00137D7A"/>
    <w:rsid w:val="00143B42"/>
    <w:rsid w:val="00144B6B"/>
    <w:rsid w:val="00147FED"/>
    <w:rsid w:val="00150778"/>
    <w:rsid w:val="00152DCF"/>
    <w:rsid w:val="00160005"/>
    <w:rsid w:val="00161563"/>
    <w:rsid w:val="001645F6"/>
    <w:rsid w:val="001834B1"/>
    <w:rsid w:val="001851B1"/>
    <w:rsid w:val="00185220"/>
    <w:rsid w:val="001852D4"/>
    <w:rsid w:val="0018799A"/>
    <w:rsid w:val="00191171"/>
    <w:rsid w:val="00191672"/>
    <w:rsid w:val="00191F2C"/>
    <w:rsid w:val="00193675"/>
    <w:rsid w:val="001952F7"/>
    <w:rsid w:val="00196315"/>
    <w:rsid w:val="001974BA"/>
    <w:rsid w:val="00197E17"/>
    <w:rsid w:val="00197FAE"/>
    <w:rsid w:val="001A19A3"/>
    <w:rsid w:val="001A5847"/>
    <w:rsid w:val="001B1DAF"/>
    <w:rsid w:val="001B47BD"/>
    <w:rsid w:val="001B4EE7"/>
    <w:rsid w:val="001C23D2"/>
    <w:rsid w:val="001C2D82"/>
    <w:rsid w:val="001C6237"/>
    <w:rsid w:val="001C6C72"/>
    <w:rsid w:val="001C70B9"/>
    <w:rsid w:val="001C7AAD"/>
    <w:rsid w:val="001D0BE5"/>
    <w:rsid w:val="001D11AE"/>
    <w:rsid w:val="001D3177"/>
    <w:rsid w:val="001D3585"/>
    <w:rsid w:val="001D56CE"/>
    <w:rsid w:val="001E0683"/>
    <w:rsid w:val="001E4C85"/>
    <w:rsid w:val="001E4DD8"/>
    <w:rsid w:val="001E6E23"/>
    <w:rsid w:val="001F0B00"/>
    <w:rsid w:val="001F2D21"/>
    <w:rsid w:val="001F3A8A"/>
    <w:rsid w:val="001F42C5"/>
    <w:rsid w:val="001F504C"/>
    <w:rsid w:val="001F6309"/>
    <w:rsid w:val="00205F9B"/>
    <w:rsid w:val="002060F9"/>
    <w:rsid w:val="0020692F"/>
    <w:rsid w:val="00207B1C"/>
    <w:rsid w:val="00214FD2"/>
    <w:rsid w:val="0021599E"/>
    <w:rsid w:val="00221C86"/>
    <w:rsid w:val="002263BA"/>
    <w:rsid w:val="002277F6"/>
    <w:rsid w:val="002304C2"/>
    <w:rsid w:val="00233C30"/>
    <w:rsid w:val="002352C7"/>
    <w:rsid w:val="002357C1"/>
    <w:rsid w:val="002431FF"/>
    <w:rsid w:val="00245942"/>
    <w:rsid w:val="0024689F"/>
    <w:rsid w:val="00246E96"/>
    <w:rsid w:val="002505A3"/>
    <w:rsid w:val="00251D16"/>
    <w:rsid w:val="00251E89"/>
    <w:rsid w:val="00252007"/>
    <w:rsid w:val="00255E93"/>
    <w:rsid w:val="00256433"/>
    <w:rsid w:val="0025796B"/>
    <w:rsid w:val="002657E9"/>
    <w:rsid w:val="00266B5A"/>
    <w:rsid w:val="002702F1"/>
    <w:rsid w:val="00272819"/>
    <w:rsid w:val="00273640"/>
    <w:rsid w:val="00277100"/>
    <w:rsid w:val="00282696"/>
    <w:rsid w:val="00297254"/>
    <w:rsid w:val="002A016B"/>
    <w:rsid w:val="002A261C"/>
    <w:rsid w:val="002A7032"/>
    <w:rsid w:val="002A750B"/>
    <w:rsid w:val="002B1D56"/>
    <w:rsid w:val="002B23E5"/>
    <w:rsid w:val="002B3050"/>
    <w:rsid w:val="002B4015"/>
    <w:rsid w:val="002B4AC8"/>
    <w:rsid w:val="002B4CAD"/>
    <w:rsid w:val="002B63DE"/>
    <w:rsid w:val="002B79E5"/>
    <w:rsid w:val="002B7DCA"/>
    <w:rsid w:val="002C3D58"/>
    <w:rsid w:val="002C681C"/>
    <w:rsid w:val="002C7967"/>
    <w:rsid w:val="002D2442"/>
    <w:rsid w:val="002D566B"/>
    <w:rsid w:val="002D5CA2"/>
    <w:rsid w:val="002D651E"/>
    <w:rsid w:val="002D7C0E"/>
    <w:rsid w:val="002E0537"/>
    <w:rsid w:val="002E18BA"/>
    <w:rsid w:val="002E25A5"/>
    <w:rsid w:val="002E2BB8"/>
    <w:rsid w:val="002E4C43"/>
    <w:rsid w:val="002E5955"/>
    <w:rsid w:val="002E63FF"/>
    <w:rsid w:val="002E71B4"/>
    <w:rsid w:val="002E753F"/>
    <w:rsid w:val="002F2D79"/>
    <w:rsid w:val="002F40D5"/>
    <w:rsid w:val="002F652F"/>
    <w:rsid w:val="002F742B"/>
    <w:rsid w:val="002F7CF9"/>
    <w:rsid w:val="0030112E"/>
    <w:rsid w:val="00305CE9"/>
    <w:rsid w:val="00306407"/>
    <w:rsid w:val="00307120"/>
    <w:rsid w:val="00307384"/>
    <w:rsid w:val="003238C1"/>
    <w:rsid w:val="00324BB7"/>
    <w:rsid w:val="00334C49"/>
    <w:rsid w:val="00336095"/>
    <w:rsid w:val="0033621F"/>
    <w:rsid w:val="0033725C"/>
    <w:rsid w:val="00340F38"/>
    <w:rsid w:val="003419D7"/>
    <w:rsid w:val="0034249A"/>
    <w:rsid w:val="003438F0"/>
    <w:rsid w:val="00343F0B"/>
    <w:rsid w:val="00344382"/>
    <w:rsid w:val="003445B1"/>
    <w:rsid w:val="00344CFB"/>
    <w:rsid w:val="00344FDA"/>
    <w:rsid w:val="003516D7"/>
    <w:rsid w:val="0035526B"/>
    <w:rsid w:val="0035709A"/>
    <w:rsid w:val="003607F5"/>
    <w:rsid w:val="00362149"/>
    <w:rsid w:val="00364565"/>
    <w:rsid w:val="00365011"/>
    <w:rsid w:val="00365DB7"/>
    <w:rsid w:val="003667D3"/>
    <w:rsid w:val="00366FF0"/>
    <w:rsid w:val="00371582"/>
    <w:rsid w:val="003717E6"/>
    <w:rsid w:val="00372564"/>
    <w:rsid w:val="00373320"/>
    <w:rsid w:val="00373D89"/>
    <w:rsid w:val="003759BD"/>
    <w:rsid w:val="00382195"/>
    <w:rsid w:val="00382D1D"/>
    <w:rsid w:val="00383005"/>
    <w:rsid w:val="00383882"/>
    <w:rsid w:val="00384E5E"/>
    <w:rsid w:val="0038560D"/>
    <w:rsid w:val="003856C9"/>
    <w:rsid w:val="0038628C"/>
    <w:rsid w:val="00386EC2"/>
    <w:rsid w:val="00387754"/>
    <w:rsid w:val="00392117"/>
    <w:rsid w:val="00393FC8"/>
    <w:rsid w:val="00394927"/>
    <w:rsid w:val="0039612E"/>
    <w:rsid w:val="003A1B7D"/>
    <w:rsid w:val="003A27FB"/>
    <w:rsid w:val="003A42A2"/>
    <w:rsid w:val="003A5878"/>
    <w:rsid w:val="003B2AD3"/>
    <w:rsid w:val="003B45A5"/>
    <w:rsid w:val="003B5D3C"/>
    <w:rsid w:val="003C030E"/>
    <w:rsid w:val="003C0529"/>
    <w:rsid w:val="003C277D"/>
    <w:rsid w:val="003C2D64"/>
    <w:rsid w:val="003C3A8E"/>
    <w:rsid w:val="003C4CF9"/>
    <w:rsid w:val="003C55D4"/>
    <w:rsid w:val="003D01E7"/>
    <w:rsid w:val="003D03D9"/>
    <w:rsid w:val="003D1723"/>
    <w:rsid w:val="003D60D9"/>
    <w:rsid w:val="003E2360"/>
    <w:rsid w:val="003E3F6E"/>
    <w:rsid w:val="003E4004"/>
    <w:rsid w:val="003E4BCA"/>
    <w:rsid w:val="003F16AA"/>
    <w:rsid w:val="003F2797"/>
    <w:rsid w:val="003F283D"/>
    <w:rsid w:val="00401F5C"/>
    <w:rsid w:val="00403C2A"/>
    <w:rsid w:val="004057AA"/>
    <w:rsid w:val="00415592"/>
    <w:rsid w:val="00422410"/>
    <w:rsid w:val="00424737"/>
    <w:rsid w:val="0042478A"/>
    <w:rsid w:val="00425C80"/>
    <w:rsid w:val="0042765A"/>
    <w:rsid w:val="00427CEC"/>
    <w:rsid w:val="00433E89"/>
    <w:rsid w:val="0043453E"/>
    <w:rsid w:val="00434AA3"/>
    <w:rsid w:val="004431E4"/>
    <w:rsid w:val="00444FE2"/>
    <w:rsid w:val="004462D3"/>
    <w:rsid w:val="00446732"/>
    <w:rsid w:val="00447490"/>
    <w:rsid w:val="00447FFB"/>
    <w:rsid w:val="00451366"/>
    <w:rsid w:val="00452A7A"/>
    <w:rsid w:val="004572D2"/>
    <w:rsid w:val="00466186"/>
    <w:rsid w:val="004726B4"/>
    <w:rsid w:val="00472B6B"/>
    <w:rsid w:val="00474EE7"/>
    <w:rsid w:val="00477778"/>
    <w:rsid w:val="00481DE2"/>
    <w:rsid w:val="00483115"/>
    <w:rsid w:val="00486A38"/>
    <w:rsid w:val="004875D9"/>
    <w:rsid w:val="00487A23"/>
    <w:rsid w:val="00487D59"/>
    <w:rsid w:val="00490022"/>
    <w:rsid w:val="00492B1F"/>
    <w:rsid w:val="00494001"/>
    <w:rsid w:val="00495342"/>
    <w:rsid w:val="00496B8D"/>
    <w:rsid w:val="00497A3D"/>
    <w:rsid w:val="004A0610"/>
    <w:rsid w:val="004A1845"/>
    <w:rsid w:val="004A285C"/>
    <w:rsid w:val="004A5535"/>
    <w:rsid w:val="004A7629"/>
    <w:rsid w:val="004B256A"/>
    <w:rsid w:val="004B7824"/>
    <w:rsid w:val="004B7A01"/>
    <w:rsid w:val="004B7EF2"/>
    <w:rsid w:val="004C6AA3"/>
    <w:rsid w:val="004D2E10"/>
    <w:rsid w:val="004D34C3"/>
    <w:rsid w:val="004D3C1F"/>
    <w:rsid w:val="004D4036"/>
    <w:rsid w:val="004D5FEC"/>
    <w:rsid w:val="004E27FC"/>
    <w:rsid w:val="004E501C"/>
    <w:rsid w:val="004F046D"/>
    <w:rsid w:val="004F445B"/>
    <w:rsid w:val="005014F3"/>
    <w:rsid w:val="00501611"/>
    <w:rsid w:val="00503195"/>
    <w:rsid w:val="005053C1"/>
    <w:rsid w:val="00513CCA"/>
    <w:rsid w:val="00514365"/>
    <w:rsid w:val="00515D80"/>
    <w:rsid w:val="005237C9"/>
    <w:rsid w:val="005316B7"/>
    <w:rsid w:val="005321C1"/>
    <w:rsid w:val="005345BB"/>
    <w:rsid w:val="00536EFD"/>
    <w:rsid w:val="00541E4E"/>
    <w:rsid w:val="00542BFF"/>
    <w:rsid w:val="005458EF"/>
    <w:rsid w:val="005478B8"/>
    <w:rsid w:val="00552093"/>
    <w:rsid w:val="005526FC"/>
    <w:rsid w:val="00554295"/>
    <w:rsid w:val="00555093"/>
    <w:rsid w:val="00561ABB"/>
    <w:rsid w:val="00561ED1"/>
    <w:rsid w:val="0056203F"/>
    <w:rsid w:val="00563F21"/>
    <w:rsid w:val="005708EC"/>
    <w:rsid w:val="0057104E"/>
    <w:rsid w:val="0057517B"/>
    <w:rsid w:val="005755FD"/>
    <w:rsid w:val="005761EF"/>
    <w:rsid w:val="0057687D"/>
    <w:rsid w:val="00577033"/>
    <w:rsid w:val="005803B2"/>
    <w:rsid w:val="00580C07"/>
    <w:rsid w:val="00581444"/>
    <w:rsid w:val="00584BCD"/>
    <w:rsid w:val="00586AC0"/>
    <w:rsid w:val="00587F10"/>
    <w:rsid w:val="00590A1A"/>
    <w:rsid w:val="00591C60"/>
    <w:rsid w:val="005932A8"/>
    <w:rsid w:val="005954A5"/>
    <w:rsid w:val="005A20D1"/>
    <w:rsid w:val="005A3011"/>
    <w:rsid w:val="005A3C53"/>
    <w:rsid w:val="005B0437"/>
    <w:rsid w:val="005B1A5B"/>
    <w:rsid w:val="005B1B1C"/>
    <w:rsid w:val="005B2317"/>
    <w:rsid w:val="005B2462"/>
    <w:rsid w:val="005B31B3"/>
    <w:rsid w:val="005B3248"/>
    <w:rsid w:val="005C0E52"/>
    <w:rsid w:val="005C1CB7"/>
    <w:rsid w:val="005C3818"/>
    <w:rsid w:val="005D0121"/>
    <w:rsid w:val="005D0B28"/>
    <w:rsid w:val="005D205E"/>
    <w:rsid w:val="005D5CA2"/>
    <w:rsid w:val="005D6954"/>
    <w:rsid w:val="005E18F8"/>
    <w:rsid w:val="005E5A62"/>
    <w:rsid w:val="005E73A3"/>
    <w:rsid w:val="005E7B7A"/>
    <w:rsid w:val="005E7C87"/>
    <w:rsid w:val="005F31FC"/>
    <w:rsid w:val="005F43F0"/>
    <w:rsid w:val="005F5985"/>
    <w:rsid w:val="005F649E"/>
    <w:rsid w:val="0060400A"/>
    <w:rsid w:val="00610AF2"/>
    <w:rsid w:val="00611DDF"/>
    <w:rsid w:val="00614B64"/>
    <w:rsid w:val="006156C7"/>
    <w:rsid w:val="006173EA"/>
    <w:rsid w:val="00623E58"/>
    <w:rsid w:val="0062629F"/>
    <w:rsid w:val="00627587"/>
    <w:rsid w:val="006348A7"/>
    <w:rsid w:val="006359C4"/>
    <w:rsid w:val="0064053D"/>
    <w:rsid w:val="00640590"/>
    <w:rsid w:val="00644CC1"/>
    <w:rsid w:val="00646443"/>
    <w:rsid w:val="00646551"/>
    <w:rsid w:val="00647C5A"/>
    <w:rsid w:val="00651EE6"/>
    <w:rsid w:val="006619CB"/>
    <w:rsid w:val="0066399F"/>
    <w:rsid w:val="00663EEA"/>
    <w:rsid w:val="00664CA4"/>
    <w:rsid w:val="00683875"/>
    <w:rsid w:val="00687B2A"/>
    <w:rsid w:val="00690D09"/>
    <w:rsid w:val="00691EE1"/>
    <w:rsid w:val="00692104"/>
    <w:rsid w:val="00692DBE"/>
    <w:rsid w:val="006A04F5"/>
    <w:rsid w:val="006A0D84"/>
    <w:rsid w:val="006A2C36"/>
    <w:rsid w:val="006A3A19"/>
    <w:rsid w:val="006A479A"/>
    <w:rsid w:val="006A499C"/>
    <w:rsid w:val="006A53AF"/>
    <w:rsid w:val="006B2757"/>
    <w:rsid w:val="006B3691"/>
    <w:rsid w:val="006B3B6D"/>
    <w:rsid w:val="006B5CB2"/>
    <w:rsid w:val="006B657D"/>
    <w:rsid w:val="006C420C"/>
    <w:rsid w:val="006C4F84"/>
    <w:rsid w:val="006C6EDE"/>
    <w:rsid w:val="006D60FC"/>
    <w:rsid w:val="006D658F"/>
    <w:rsid w:val="006E13A8"/>
    <w:rsid w:val="006E1B03"/>
    <w:rsid w:val="006E2BAA"/>
    <w:rsid w:val="006E5375"/>
    <w:rsid w:val="006E5A88"/>
    <w:rsid w:val="006F71EB"/>
    <w:rsid w:val="00701A97"/>
    <w:rsid w:val="0070506B"/>
    <w:rsid w:val="00705B0A"/>
    <w:rsid w:val="00705C15"/>
    <w:rsid w:val="00706498"/>
    <w:rsid w:val="007103F6"/>
    <w:rsid w:val="00715329"/>
    <w:rsid w:val="0071640F"/>
    <w:rsid w:val="007205AC"/>
    <w:rsid w:val="0072197B"/>
    <w:rsid w:val="0072523E"/>
    <w:rsid w:val="007306C2"/>
    <w:rsid w:val="007353B3"/>
    <w:rsid w:val="0074234F"/>
    <w:rsid w:val="0074241B"/>
    <w:rsid w:val="00742D17"/>
    <w:rsid w:val="00742ECB"/>
    <w:rsid w:val="00743868"/>
    <w:rsid w:val="00746D69"/>
    <w:rsid w:val="00752EE8"/>
    <w:rsid w:val="00755FC1"/>
    <w:rsid w:val="0076274B"/>
    <w:rsid w:val="007653B7"/>
    <w:rsid w:val="00765990"/>
    <w:rsid w:val="007665D1"/>
    <w:rsid w:val="00766602"/>
    <w:rsid w:val="00772A00"/>
    <w:rsid w:val="00784BC8"/>
    <w:rsid w:val="00786DDE"/>
    <w:rsid w:val="00793062"/>
    <w:rsid w:val="007955B8"/>
    <w:rsid w:val="007A3410"/>
    <w:rsid w:val="007A43DF"/>
    <w:rsid w:val="007A5709"/>
    <w:rsid w:val="007B18BE"/>
    <w:rsid w:val="007B36A6"/>
    <w:rsid w:val="007C09B0"/>
    <w:rsid w:val="007C21F3"/>
    <w:rsid w:val="007C25C6"/>
    <w:rsid w:val="007C31D5"/>
    <w:rsid w:val="007C329E"/>
    <w:rsid w:val="007C60AF"/>
    <w:rsid w:val="007C6324"/>
    <w:rsid w:val="007D43E3"/>
    <w:rsid w:val="007D5F74"/>
    <w:rsid w:val="007E03F3"/>
    <w:rsid w:val="007E137A"/>
    <w:rsid w:val="007E32DB"/>
    <w:rsid w:val="007E3F0D"/>
    <w:rsid w:val="007E75FF"/>
    <w:rsid w:val="007F1204"/>
    <w:rsid w:val="00805E11"/>
    <w:rsid w:val="00811BCA"/>
    <w:rsid w:val="00814CBD"/>
    <w:rsid w:val="00820C30"/>
    <w:rsid w:val="00820F27"/>
    <w:rsid w:val="00822F0B"/>
    <w:rsid w:val="00822F57"/>
    <w:rsid w:val="008269A9"/>
    <w:rsid w:val="00826FED"/>
    <w:rsid w:val="00830A95"/>
    <w:rsid w:val="00831773"/>
    <w:rsid w:val="00832ED8"/>
    <w:rsid w:val="00834EE4"/>
    <w:rsid w:val="00840FBC"/>
    <w:rsid w:val="00841521"/>
    <w:rsid w:val="00843549"/>
    <w:rsid w:val="00844CFF"/>
    <w:rsid w:val="0084541C"/>
    <w:rsid w:val="00845BD0"/>
    <w:rsid w:val="00847894"/>
    <w:rsid w:val="00850802"/>
    <w:rsid w:val="0085339B"/>
    <w:rsid w:val="00853CD9"/>
    <w:rsid w:val="00854FC2"/>
    <w:rsid w:val="00856F47"/>
    <w:rsid w:val="00860DA9"/>
    <w:rsid w:val="00864384"/>
    <w:rsid w:val="00865CCF"/>
    <w:rsid w:val="00870824"/>
    <w:rsid w:val="00873CEF"/>
    <w:rsid w:val="008807BC"/>
    <w:rsid w:val="00881658"/>
    <w:rsid w:val="00881F91"/>
    <w:rsid w:val="00882CD3"/>
    <w:rsid w:val="00891042"/>
    <w:rsid w:val="00891904"/>
    <w:rsid w:val="008978E6"/>
    <w:rsid w:val="008A1646"/>
    <w:rsid w:val="008A299A"/>
    <w:rsid w:val="008A4842"/>
    <w:rsid w:val="008A5C2A"/>
    <w:rsid w:val="008B300D"/>
    <w:rsid w:val="008B5A29"/>
    <w:rsid w:val="008B766C"/>
    <w:rsid w:val="008B7C58"/>
    <w:rsid w:val="008C1540"/>
    <w:rsid w:val="008C29B4"/>
    <w:rsid w:val="008D7FB1"/>
    <w:rsid w:val="008E2338"/>
    <w:rsid w:val="008E3218"/>
    <w:rsid w:val="008E5932"/>
    <w:rsid w:val="008E7380"/>
    <w:rsid w:val="008E7821"/>
    <w:rsid w:val="008E7D2F"/>
    <w:rsid w:val="008F0FFA"/>
    <w:rsid w:val="008F1EF5"/>
    <w:rsid w:val="008F6B7C"/>
    <w:rsid w:val="0090208B"/>
    <w:rsid w:val="00906610"/>
    <w:rsid w:val="009073DC"/>
    <w:rsid w:val="00911B5E"/>
    <w:rsid w:val="00912719"/>
    <w:rsid w:val="0091571D"/>
    <w:rsid w:val="0091583A"/>
    <w:rsid w:val="009165DF"/>
    <w:rsid w:val="0092123E"/>
    <w:rsid w:val="0092227A"/>
    <w:rsid w:val="00922CA1"/>
    <w:rsid w:val="00924E8D"/>
    <w:rsid w:val="0092513A"/>
    <w:rsid w:val="00925EC0"/>
    <w:rsid w:val="00933637"/>
    <w:rsid w:val="00934F2B"/>
    <w:rsid w:val="00937254"/>
    <w:rsid w:val="009454D5"/>
    <w:rsid w:val="0094597C"/>
    <w:rsid w:val="009474FD"/>
    <w:rsid w:val="009537B2"/>
    <w:rsid w:val="00954628"/>
    <w:rsid w:val="00955C0D"/>
    <w:rsid w:val="0095712E"/>
    <w:rsid w:val="0097419A"/>
    <w:rsid w:val="009772BD"/>
    <w:rsid w:val="009815C9"/>
    <w:rsid w:val="00984098"/>
    <w:rsid w:val="00984C00"/>
    <w:rsid w:val="00985B8E"/>
    <w:rsid w:val="0098748A"/>
    <w:rsid w:val="00991859"/>
    <w:rsid w:val="00992AFC"/>
    <w:rsid w:val="00994522"/>
    <w:rsid w:val="009950CE"/>
    <w:rsid w:val="00997056"/>
    <w:rsid w:val="009A0B7D"/>
    <w:rsid w:val="009A1377"/>
    <w:rsid w:val="009A13A4"/>
    <w:rsid w:val="009A4DD4"/>
    <w:rsid w:val="009A5ED4"/>
    <w:rsid w:val="009B316B"/>
    <w:rsid w:val="009B37C8"/>
    <w:rsid w:val="009B420A"/>
    <w:rsid w:val="009B4E7C"/>
    <w:rsid w:val="009B7910"/>
    <w:rsid w:val="009B7DD8"/>
    <w:rsid w:val="009C1522"/>
    <w:rsid w:val="009C292F"/>
    <w:rsid w:val="009C67E1"/>
    <w:rsid w:val="009D0FE2"/>
    <w:rsid w:val="009D149A"/>
    <w:rsid w:val="009D2042"/>
    <w:rsid w:val="009D431B"/>
    <w:rsid w:val="009D515E"/>
    <w:rsid w:val="009D6EB2"/>
    <w:rsid w:val="009E06A1"/>
    <w:rsid w:val="009E507F"/>
    <w:rsid w:val="009E5156"/>
    <w:rsid w:val="009F0E75"/>
    <w:rsid w:val="009F13AE"/>
    <w:rsid w:val="009F2453"/>
    <w:rsid w:val="009F2498"/>
    <w:rsid w:val="00A00CBF"/>
    <w:rsid w:val="00A0322F"/>
    <w:rsid w:val="00A0327C"/>
    <w:rsid w:val="00A060A6"/>
    <w:rsid w:val="00A076FB"/>
    <w:rsid w:val="00A10298"/>
    <w:rsid w:val="00A11C79"/>
    <w:rsid w:val="00A11D08"/>
    <w:rsid w:val="00A11F54"/>
    <w:rsid w:val="00A13E97"/>
    <w:rsid w:val="00A20493"/>
    <w:rsid w:val="00A217D3"/>
    <w:rsid w:val="00A221A6"/>
    <w:rsid w:val="00A2303D"/>
    <w:rsid w:val="00A24B3B"/>
    <w:rsid w:val="00A2535F"/>
    <w:rsid w:val="00A257B9"/>
    <w:rsid w:val="00A27ADE"/>
    <w:rsid w:val="00A30E92"/>
    <w:rsid w:val="00A364D4"/>
    <w:rsid w:val="00A37DA9"/>
    <w:rsid w:val="00A405DF"/>
    <w:rsid w:val="00A4123A"/>
    <w:rsid w:val="00A420D8"/>
    <w:rsid w:val="00A47C07"/>
    <w:rsid w:val="00A51B13"/>
    <w:rsid w:val="00A5329A"/>
    <w:rsid w:val="00A539A4"/>
    <w:rsid w:val="00A568D4"/>
    <w:rsid w:val="00A56EBF"/>
    <w:rsid w:val="00A60EE1"/>
    <w:rsid w:val="00A61A56"/>
    <w:rsid w:val="00A61EA5"/>
    <w:rsid w:val="00A62DE8"/>
    <w:rsid w:val="00A63412"/>
    <w:rsid w:val="00A65B2C"/>
    <w:rsid w:val="00A664C7"/>
    <w:rsid w:val="00A75436"/>
    <w:rsid w:val="00A80D2B"/>
    <w:rsid w:val="00A8120F"/>
    <w:rsid w:val="00A8274C"/>
    <w:rsid w:val="00A837C1"/>
    <w:rsid w:val="00A87CBA"/>
    <w:rsid w:val="00A9055D"/>
    <w:rsid w:val="00A933A5"/>
    <w:rsid w:val="00A94898"/>
    <w:rsid w:val="00A9581D"/>
    <w:rsid w:val="00A96E61"/>
    <w:rsid w:val="00A971BC"/>
    <w:rsid w:val="00A977AE"/>
    <w:rsid w:val="00AA1430"/>
    <w:rsid w:val="00AA1968"/>
    <w:rsid w:val="00AA30A5"/>
    <w:rsid w:val="00AA4D74"/>
    <w:rsid w:val="00AA6BB1"/>
    <w:rsid w:val="00AA7043"/>
    <w:rsid w:val="00AB2FE8"/>
    <w:rsid w:val="00AB3122"/>
    <w:rsid w:val="00AB3F56"/>
    <w:rsid w:val="00AB54A8"/>
    <w:rsid w:val="00AC2976"/>
    <w:rsid w:val="00AC36D9"/>
    <w:rsid w:val="00AC5C4D"/>
    <w:rsid w:val="00AD48C8"/>
    <w:rsid w:val="00AD6562"/>
    <w:rsid w:val="00AE2EC4"/>
    <w:rsid w:val="00AE492D"/>
    <w:rsid w:val="00AE49FC"/>
    <w:rsid w:val="00AE615C"/>
    <w:rsid w:val="00AE61E9"/>
    <w:rsid w:val="00AF2681"/>
    <w:rsid w:val="00AF3537"/>
    <w:rsid w:val="00AF393B"/>
    <w:rsid w:val="00AF3A7F"/>
    <w:rsid w:val="00AF3C8A"/>
    <w:rsid w:val="00AF4A8D"/>
    <w:rsid w:val="00AF709B"/>
    <w:rsid w:val="00AF7E46"/>
    <w:rsid w:val="00B011EE"/>
    <w:rsid w:val="00B03CAC"/>
    <w:rsid w:val="00B03FB9"/>
    <w:rsid w:val="00B0475E"/>
    <w:rsid w:val="00B126CE"/>
    <w:rsid w:val="00B179E5"/>
    <w:rsid w:val="00B20EC2"/>
    <w:rsid w:val="00B22A62"/>
    <w:rsid w:val="00B258C6"/>
    <w:rsid w:val="00B34036"/>
    <w:rsid w:val="00B37F1D"/>
    <w:rsid w:val="00B40A20"/>
    <w:rsid w:val="00B40E62"/>
    <w:rsid w:val="00B434B4"/>
    <w:rsid w:val="00B50CDC"/>
    <w:rsid w:val="00B51BC7"/>
    <w:rsid w:val="00B56B2F"/>
    <w:rsid w:val="00B5780E"/>
    <w:rsid w:val="00B63C7C"/>
    <w:rsid w:val="00B6482B"/>
    <w:rsid w:val="00B74556"/>
    <w:rsid w:val="00B74717"/>
    <w:rsid w:val="00B75EDF"/>
    <w:rsid w:val="00B774DF"/>
    <w:rsid w:val="00B775D5"/>
    <w:rsid w:val="00B80FDF"/>
    <w:rsid w:val="00B81E8B"/>
    <w:rsid w:val="00B84DE8"/>
    <w:rsid w:val="00B84F27"/>
    <w:rsid w:val="00B86B5A"/>
    <w:rsid w:val="00B87AC3"/>
    <w:rsid w:val="00B92D48"/>
    <w:rsid w:val="00B9476E"/>
    <w:rsid w:val="00B9684B"/>
    <w:rsid w:val="00BA13C1"/>
    <w:rsid w:val="00BA28A2"/>
    <w:rsid w:val="00BA2EC5"/>
    <w:rsid w:val="00BA40FF"/>
    <w:rsid w:val="00BA5FA0"/>
    <w:rsid w:val="00BB1848"/>
    <w:rsid w:val="00BB53FB"/>
    <w:rsid w:val="00BC02FE"/>
    <w:rsid w:val="00BC0927"/>
    <w:rsid w:val="00BC0EDB"/>
    <w:rsid w:val="00BC226D"/>
    <w:rsid w:val="00BC405D"/>
    <w:rsid w:val="00BD02AA"/>
    <w:rsid w:val="00BD33E0"/>
    <w:rsid w:val="00BD4E93"/>
    <w:rsid w:val="00BD4F7C"/>
    <w:rsid w:val="00BD5229"/>
    <w:rsid w:val="00BD53A0"/>
    <w:rsid w:val="00BD544C"/>
    <w:rsid w:val="00BD5A0B"/>
    <w:rsid w:val="00BE0954"/>
    <w:rsid w:val="00BE4F1C"/>
    <w:rsid w:val="00BF1458"/>
    <w:rsid w:val="00BF7343"/>
    <w:rsid w:val="00BF751A"/>
    <w:rsid w:val="00BF7891"/>
    <w:rsid w:val="00C00E07"/>
    <w:rsid w:val="00C061F4"/>
    <w:rsid w:val="00C068CF"/>
    <w:rsid w:val="00C07379"/>
    <w:rsid w:val="00C14AE9"/>
    <w:rsid w:val="00C17E52"/>
    <w:rsid w:val="00C20EB8"/>
    <w:rsid w:val="00C21C82"/>
    <w:rsid w:val="00C225A9"/>
    <w:rsid w:val="00C25C16"/>
    <w:rsid w:val="00C26973"/>
    <w:rsid w:val="00C303F7"/>
    <w:rsid w:val="00C30B6C"/>
    <w:rsid w:val="00C3394B"/>
    <w:rsid w:val="00C357B3"/>
    <w:rsid w:val="00C4226D"/>
    <w:rsid w:val="00C431C1"/>
    <w:rsid w:val="00C43597"/>
    <w:rsid w:val="00C479DD"/>
    <w:rsid w:val="00C50080"/>
    <w:rsid w:val="00C51140"/>
    <w:rsid w:val="00C52C6D"/>
    <w:rsid w:val="00C558BD"/>
    <w:rsid w:val="00C627DC"/>
    <w:rsid w:val="00C63450"/>
    <w:rsid w:val="00C63F8F"/>
    <w:rsid w:val="00C649C9"/>
    <w:rsid w:val="00C64D5B"/>
    <w:rsid w:val="00C8108C"/>
    <w:rsid w:val="00C8174A"/>
    <w:rsid w:val="00C82722"/>
    <w:rsid w:val="00C831D3"/>
    <w:rsid w:val="00C83907"/>
    <w:rsid w:val="00C8589D"/>
    <w:rsid w:val="00C91D8C"/>
    <w:rsid w:val="00C91E50"/>
    <w:rsid w:val="00C94878"/>
    <w:rsid w:val="00C94A1F"/>
    <w:rsid w:val="00C94F11"/>
    <w:rsid w:val="00C97961"/>
    <w:rsid w:val="00CA1F45"/>
    <w:rsid w:val="00CA6EB3"/>
    <w:rsid w:val="00CA71BA"/>
    <w:rsid w:val="00CA7B9F"/>
    <w:rsid w:val="00CB064B"/>
    <w:rsid w:val="00CB0BE2"/>
    <w:rsid w:val="00CB30E6"/>
    <w:rsid w:val="00CB61B3"/>
    <w:rsid w:val="00CC1360"/>
    <w:rsid w:val="00CD30C4"/>
    <w:rsid w:val="00CD6288"/>
    <w:rsid w:val="00CE042F"/>
    <w:rsid w:val="00CE15C2"/>
    <w:rsid w:val="00CE1894"/>
    <w:rsid w:val="00CE278C"/>
    <w:rsid w:val="00CE68C3"/>
    <w:rsid w:val="00CF0611"/>
    <w:rsid w:val="00CF1F05"/>
    <w:rsid w:val="00CF41E0"/>
    <w:rsid w:val="00CF4829"/>
    <w:rsid w:val="00CF52A1"/>
    <w:rsid w:val="00CF6ABD"/>
    <w:rsid w:val="00D0072F"/>
    <w:rsid w:val="00D0190A"/>
    <w:rsid w:val="00D03DCC"/>
    <w:rsid w:val="00D05A6D"/>
    <w:rsid w:val="00D11892"/>
    <w:rsid w:val="00D205DE"/>
    <w:rsid w:val="00D2251E"/>
    <w:rsid w:val="00D24946"/>
    <w:rsid w:val="00D259F6"/>
    <w:rsid w:val="00D27DF2"/>
    <w:rsid w:val="00D313DD"/>
    <w:rsid w:val="00D331B8"/>
    <w:rsid w:val="00D34971"/>
    <w:rsid w:val="00D37641"/>
    <w:rsid w:val="00D4029D"/>
    <w:rsid w:val="00D413A5"/>
    <w:rsid w:val="00D42231"/>
    <w:rsid w:val="00D43CB5"/>
    <w:rsid w:val="00D45A59"/>
    <w:rsid w:val="00D461B5"/>
    <w:rsid w:val="00D463ED"/>
    <w:rsid w:val="00D51498"/>
    <w:rsid w:val="00D53B10"/>
    <w:rsid w:val="00D53F28"/>
    <w:rsid w:val="00D548E2"/>
    <w:rsid w:val="00D562AF"/>
    <w:rsid w:val="00D562B0"/>
    <w:rsid w:val="00D64414"/>
    <w:rsid w:val="00D65B7F"/>
    <w:rsid w:val="00D672D1"/>
    <w:rsid w:val="00D70D3A"/>
    <w:rsid w:val="00D72991"/>
    <w:rsid w:val="00D73444"/>
    <w:rsid w:val="00D734E1"/>
    <w:rsid w:val="00D73943"/>
    <w:rsid w:val="00D7449C"/>
    <w:rsid w:val="00D75E4C"/>
    <w:rsid w:val="00D75FA1"/>
    <w:rsid w:val="00D7689A"/>
    <w:rsid w:val="00D7734B"/>
    <w:rsid w:val="00D80091"/>
    <w:rsid w:val="00D80DA0"/>
    <w:rsid w:val="00D82043"/>
    <w:rsid w:val="00D82F8D"/>
    <w:rsid w:val="00D8568C"/>
    <w:rsid w:val="00D867AF"/>
    <w:rsid w:val="00D86C10"/>
    <w:rsid w:val="00D92F19"/>
    <w:rsid w:val="00D9321C"/>
    <w:rsid w:val="00D94A39"/>
    <w:rsid w:val="00D9558F"/>
    <w:rsid w:val="00DA1410"/>
    <w:rsid w:val="00DB0036"/>
    <w:rsid w:val="00DB092C"/>
    <w:rsid w:val="00DB33CF"/>
    <w:rsid w:val="00DB3844"/>
    <w:rsid w:val="00DB4B0D"/>
    <w:rsid w:val="00DB535F"/>
    <w:rsid w:val="00DB7031"/>
    <w:rsid w:val="00DC0664"/>
    <w:rsid w:val="00DD0EF2"/>
    <w:rsid w:val="00DD1C2E"/>
    <w:rsid w:val="00DD1FFD"/>
    <w:rsid w:val="00DD5DBF"/>
    <w:rsid w:val="00DE01C4"/>
    <w:rsid w:val="00DE31AD"/>
    <w:rsid w:val="00DE3C52"/>
    <w:rsid w:val="00DE40AD"/>
    <w:rsid w:val="00DE5118"/>
    <w:rsid w:val="00DE52F5"/>
    <w:rsid w:val="00DE6817"/>
    <w:rsid w:val="00DE7724"/>
    <w:rsid w:val="00DE77D5"/>
    <w:rsid w:val="00DF1A72"/>
    <w:rsid w:val="00DF3796"/>
    <w:rsid w:val="00DF4C1D"/>
    <w:rsid w:val="00DF4F72"/>
    <w:rsid w:val="00E022A4"/>
    <w:rsid w:val="00E059E5"/>
    <w:rsid w:val="00E06786"/>
    <w:rsid w:val="00E10020"/>
    <w:rsid w:val="00E144BB"/>
    <w:rsid w:val="00E15277"/>
    <w:rsid w:val="00E25537"/>
    <w:rsid w:val="00E3103D"/>
    <w:rsid w:val="00E32EDD"/>
    <w:rsid w:val="00E36455"/>
    <w:rsid w:val="00E41D38"/>
    <w:rsid w:val="00E41FF2"/>
    <w:rsid w:val="00E426CD"/>
    <w:rsid w:val="00E42837"/>
    <w:rsid w:val="00E4310A"/>
    <w:rsid w:val="00E453F7"/>
    <w:rsid w:val="00E458D0"/>
    <w:rsid w:val="00E45BFF"/>
    <w:rsid w:val="00E52D04"/>
    <w:rsid w:val="00E54C87"/>
    <w:rsid w:val="00E550F9"/>
    <w:rsid w:val="00E55C68"/>
    <w:rsid w:val="00E57CEA"/>
    <w:rsid w:val="00E6125F"/>
    <w:rsid w:val="00E61FC6"/>
    <w:rsid w:val="00E64EF0"/>
    <w:rsid w:val="00E66DFA"/>
    <w:rsid w:val="00E71355"/>
    <w:rsid w:val="00E7292C"/>
    <w:rsid w:val="00E73073"/>
    <w:rsid w:val="00E73396"/>
    <w:rsid w:val="00E75343"/>
    <w:rsid w:val="00E7628F"/>
    <w:rsid w:val="00E818BE"/>
    <w:rsid w:val="00E84FE5"/>
    <w:rsid w:val="00E85F54"/>
    <w:rsid w:val="00E864D7"/>
    <w:rsid w:val="00E8686D"/>
    <w:rsid w:val="00E9312F"/>
    <w:rsid w:val="00E93477"/>
    <w:rsid w:val="00E9512E"/>
    <w:rsid w:val="00E95BBE"/>
    <w:rsid w:val="00E95BD7"/>
    <w:rsid w:val="00E95E4A"/>
    <w:rsid w:val="00E96072"/>
    <w:rsid w:val="00E9608B"/>
    <w:rsid w:val="00E970CF"/>
    <w:rsid w:val="00E973DD"/>
    <w:rsid w:val="00EA043F"/>
    <w:rsid w:val="00EA2CC2"/>
    <w:rsid w:val="00EA38AE"/>
    <w:rsid w:val="00EA3A8A"/>
    <w:rsid w:val="00EA4087"/>
    <w:rsid w:val="00EA53EF"/>
    <w:rsid w:val="00EB00F4"/>
    <w:rsid w:val="00EB0A0D"/>
    <w:rsid w:val="00EB178C"/>
    <w:rsid w:val="00EB24FC"/>
    <w:rsid w:val="00EB74FF"/>
    <w:rsid w:val="00EB75F5"/>
    <w:rsid w:val="00EC038D"/>
    <w:rsid w:val="00EC187A"/>
    <w:rsid w:val="00EC2AA6"/>
    <w:rsid w:val="00EC2D23"/>
    <w:rsid w:val="00EC3DAF"/>
    <w:rsid w:val="00EC4E54"/>
    <w:rsid w:val="00EC59B1"/>
    <w:rsid w:val="00EC6B76"/>
    <w:rsid w:val="00ED0354"/>
    <w:rsid w:val="00ED13E5"/>
    <w:rsid w:val="00ED2240"/>
    <w:rsid w:val="00ED3974"/>
    <w:rsid w:val="00ED5E0D"/>
    <w:rsid w:val="00EF3320"/>
    <w:rsid w:val="00EF47C9"/>
    <w:rsid w:val="00EF5C6E"/>
    <w:rsid w:val="00F0086D"/>
    <w:rsid w:val="00F01046"/>
    <w:rsid w:val="00F0601E"/>
    <w:rsid w:val="00F1272F"/>
    <w:rsid w:val="00F141CA"/>
    <w:rsid w:val="00F15913"/>
    <w:rsid w:val="00F20822"/>
    <w:rsid w:val="00F226AE"/>
    <w:rsid w:val="00F22A33"/>
    <w:rsid w:val="00F22A35"/>
    <w:rsid w:val="00F2426F"/>
    <w:rsid w:val="00F2465E"/>
    <w:rsid w:val="00F26C44"/>
    <w:rsid w:val="00F3090B"/>
    <w:rsid w:val="00F32ADB"/>
    <w:rsid w:val="00F3303E"/>
    <w:rsid w:val="00F375D7"/>
    <w:rsid w:val="00F42B3D"/>
    <w:rsid w:val="00F45032"/>
    <w:rsid w:val="00F4606E"/>
    <w:rsid w:val="00F50BFA"/>
    <w:rsid w:val="00F50D57"/>
    <w:rsid w:val="00F54660"/>
    <w:rsid w:val="00F547D6"/>
    <w:rsid w:val="00F55D73"/>
    <w:rsid w:val="00F612B5"/>
    <w:rsid w:val="00F6433D"/>
    <w:rsid w:val="00F64341"/>
    <w:rsid w:val="00F67543"/>
    <w:rsid w:val="00F71899"/>
    <w:rsid w:val="00F74520"/>
    <w:rsid w:val="00F74C7C"/>
    <w:rsid w:val="00F807BA"/>
    <w:rsid w:val="00F8318A"/>
    <w:rsid w:val="00F87F9A"/>
    <w:rsid w:val="00F92EE5"/>
    <w:rsid w:val="00F93F12"/>
    <w:rsid w:val="00F94F48"/>
    <w:rsid w:val="00FA2622"/>
    <w:rsid w:val="00FA40DA"/>
    <w:rsid w:val="00FA58C7"/>
    <w:rsid w:val="00FA5B81"/>
    <w:rsid w:val="00FA637A"/>
    <w:rsid w:val="00FB04ED"/>
    <w:rsid w:val="00FB3A37"/>
    <w:rsid w:val="00FB3FE0"/>
    <w:rsid w:val="00FB47A3"/>
    <w:rsid w:val="00FB4DE6"/>
    <w:rsid w:val="00FC0F09"/>
    <w:rsid w:val="00FC133A"/>
    <w:rsid w:val="00FC20DA"/>
    <w:rsid w:val="00FC30B8"/>
    <w:rsid w:val="00FC3445"/>
    <w:rsid w:val="00FC3774"/>
    <w:rsid w:val="00FC73D3"/>
    <w:rsid w:val="00FD1467"/>
    <w:rsid w:val="00FE0BF2"/>
    <w:rsid w:val="00FE14B6"/>
    <w:rsid w:val="00FE236E"/>
    <w:rsid w:val="00FE6EB2"/>
    <w:rsid w:val="00FE75AD"/>
    <w:rsid w:val="00FF7794"/>
    <w:rsid w:val="00FF7D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end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0E6"/>
    <w:rPr>
      <w:sz w:val="24"/>
      <w:szCs w:val="20"/>
    </w:rPr>
  </w:style>
  <w:style w:type="paragraph" w:styleId="Heading1">
    <w:name w:val="heading 1"/>
    <w:basedOn w:val="Normal"/>
    <w:next w:val="Normal"/>
    <w:link w:val="Heading1Char"/>
    <w:uiPriority w:val="99"/>
    <w:qFormat/>
    <w:rsid w:val="000A3D5C"/>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6E1B03"/>
    <w:pPr>
      <w:spacing w:before="86" w:after="51"/>
      <w:outlineLvl w:val="1"/>
    </w:pPr>
    <w:rPr>
      <w:b/>
      <w:bCs/>
      <w:color w:val="000066"/>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19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E0198"/>
    <w:rPr>
      <w:rFonts w:asciiTheme="majorHAnsi" w:eastAsiaTheme="majorEastAsia" w:hAnsiTheme="majorHAnsi" w:cstheme="majorBidi"/>
      <w:b/>
      <w:bCs/>
      <w:i/>
      <w:iCs/>
      <w:sz w:val="28"/>
      <w:szCs w:val="28"/>
    </w:rPr>
  </w:style>
  <w:style w:type="paragraph" w:customStyle="1" w:styleId="Level1">
    <w:name w:val="Level 1"/>
    <w:basedOn w:val="Normal"/>
    <w:uiPriority w:val="99"/>
    <w:rsid w:val="00CB30E6"/>
    <w:pPr>
      <w:widowControl w:val="0"/>
    </w:pPr>
  </w:style>
  <w:style w:type="character" w:styleId="Hyperlink">
    <w:name w:val="Hyperlink"/>
    <w:basedOn w:val="DefaultParagraphFont"/>
    <w:uiPriority w:val="99"/>
    <w:rsid w:val="00CB30E6"/>
    <w:rPr>
      <w:rFonts w:cs="Times New Roman"/>
      <w:color w:val="0000FF"/>
      <w:u w:val="single"/>
    </w:rPr>
  </w:style>
  <w:style w:type="paragraph" w:styleId="BodyText">
    <w:name w:val="Body Text"/>
    <w:basedOn w:val="Normal"/>
    <w:next w:val="Normal"/>
    <w:link w:val="BodyTextChar"/>
    <w:uiPriority w:val="99"/>
    <w:rsid w:val="000A3D5C"/>
    <w:pPr>
      <w:autoSpaceDE w:val="0"/>
      <w:autoSpaceDN w:val="0"/>
      <w:adjustRightInd w:val="0"/>
    </w:pPr>
    <w:rPr>
      <w:rFonts w:ascii="MMCFLH+TimesNewRoman,Bold" w:hAnsi="MMCFLH+TimesNewRoman,Bold"/>
      <w:szCs w:val="24"/>
    </w:rPr>
  </w:style>
  <w:style w:type="character" w:customStyle="1" w:styleId="BodyTextChar">
    <w:name w:val="Body Text Char"/>
    <w:basedOn w:val="DefaultParagraphFont"/>
    <w:link w:val="BodyText"/>
    <w:uiPriority w:val="99"/>
    <w:semiHidden/>
    <w:rsid w:val="00AE0198"/>
    <w:rPr>
      <w:sz w:val="24"/>
      <w:szCs w:val="20"/>
    </w:rPr>
  </w:style>
  <w:style w:type="paragraph" w:styleId="BodyText2">
    <w:name w:val="Body Text 2"/>
    <w:basedOn w:val="Normal"/>
    <w:link w:val="BodyText2Char"/>
    <w:uiPriority w:val="99"/>
    <w:rsid w:val="00C63450"/>
    <w:pPr>
      <w:spacing w:after="120" w:line="480" w:lineRule="auto"/>
    </w:pPr>
  </w:style>
  <w:style w:type="character" w:customStyle="1" w:styleId="BodyText2Char">
    <w:name w:val="Body Text 2 Char"/>
    <w:basedOn w:val="DefaultParagraphFont"/>
    <w:link w:val="BodyText2"/>
    <w:uiPriority w:val="99"/>
    <w:semiHidden/>
    <w:rsid w:val="00AE0198"/>
    <w:rPr>
      <w:sz w:val="24"/>
      <w:szCs w:val="20"/>
    </w:rPr>
  </w:style>
  <w:style w:type="table" w:styleId="TableGrid">
    <w:name w:val="Table Grid"/>
    <w:basedOn w:val="TableNormal"/>
    <w:uiPriority w:val="99"/>
    <w:rsid w:val="002736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C627DC"/>
    <w:rPr>
      <w:rFonts w:ascii="Tahoma" w:hAnsi="Tahoma" w:cs="Tahoma"/>
      <w:sz w:val="16"/>
      <w:szCs w:val="16"/>
    </w:rPr>
  </w:style>
  <w:style w:type="character" w:customStyle="1" w:styleId="BalloonTextChar">
    <w:name w:val="Balloon Text Char"/>
    <w:basedOn w:val="DefaultParagraphFont"/>
    <w:link w:val="BalloonText"/>
    <w:uiPriority w:val="99"/>
    <w:locked/>
    <w:rsid w:val="00C627DC"/>
    <w:rPr>
      <w:rFonts w:ascii="Tahoma" w:hAnsi="Tahoma" w:cs="Tahoma"/>
      <w:sz w:val="16"/>
      <w:szCs w:val="16"/>
    </w:rPr>
  </w:style>
  <w:style w:type="character" w:styleId="EndnoteReference">
    <w:name w:val="endnote reference"/>
    <w:basedOn w:val="DefaultParagraphFont"/>
    <w:uiPriority w:val="99"/>
    <w:rsid w:val="00E7292C"/>
    <w:rPr>
      <w:rFonts w:cs="Times New Roman"/>
      <w:vertAlign w:val="superscript"/>
    </w:rPr>
  </w:style>
  <w:style w:type="paragraph" w:styleId="ListParagraph">
    <w:name w:val="List Paragraph"/>
    <w:basedOn w:val="Normal"/>
    <w:uiPriority w:val="99"/>
    <w:qFormat/>
    <w:rsid w:val="00BF7891"/>
    <w:pPr>
      <w:spacing w:after="200" w:line="276" w:lineRule="auto"/>
      <w:ind w:left="720"/>
      <w:contextualSpacing/>
    </w:pPr>
    <w:rPr>
      <w:rFonts w:ascii="Calibri" w:hAnsi="Calibri"/>
      <w:sz w:val="22"/>
      <w:szCs w:val="22"/>
    </w:rPr>
  </w:style>
  <w:style w:type="character" w:customStyle="1" w:styleId="A4">
    <w:name w:val="A4"/>
    <w:uiPriority w:val="99"/>
    <w:rsid w:val="00090E1F"/>
    <w:rPr>
      <w:color w:val="000000"/>
      <w:sz w:val="26"/>
    </w:rPr>
  </w:style>
  <w:style w:type="character" w:styleId="CommentReference">
    <w:name w:val="annotation reference"/>
    <w:basedOn w:val="DefaultParagraphFont"/>
    <w:uiPriority w:val="99"/>
    <w:rsid w:val="00E71355"/>
    <w:rPr>
      <w:rFonts w:cs="Times New Roman"/>
      <w:sz w:val="16"/>
      <w:szCs w:val="16"/>
    </w:rPr>
  </w:style>
  <w:style w:type="paragraph" w:styleId="CommentText">
    <w:name w:val="annotation text"/>
    <w:basedOn w:val="Normal"/>
    <w:link w:val="CommentTextChar"/>
    <w:uiPriority w:val="99"/>
    <w:rsid w:val="00E71355"/>
    <w:pPr>
      <w:spacing w:after="200"/>
    </w:pPr>
    <w:rPr>
      <w:rFonts w:ascii="Calibri" w:hAnsi="Calibri"/>
      <w:sz w:val="20"/>
    </w:rPr>
  </w:style>
  <w:style w:type="character" w:customStyle="1" w:styleId="CommentTextChar">
    <w:name w:val="Comment Text Char"/>
    <w:basedOn w:val="DefaultParagraphFont"/>
    <w:link w:val="CommentText"/>
    <w:uiPriority w:val="99"/>
    <w:locked/>
    <w:rsid w:val="00E71355"/>
    <w:rPr>
      <w:rFonts w:ascii="Calibri" w:hAnsi="Calibri" w:cs="Times New Roman"/>
    </w:rPr>
  </w:style>
  <w:style w:type="paragraph" w:styleId="Header">
    <w:name w:val="header"/>
    <w:basedOn w:val="Normal"/>
    <w:link w:val="HeaderChar"/>
    <w:uiPriority w:val="99"/>
    <w:rsid w:val="00392117"/>
    <w:pPr>
      <w:tabs>
        <w:tab w:val="center" w:pos="4680"/>
        <w:tab w:val="right" w:pos="9360"/>
      </w:tabs>
    </w:pPr>
  </w:style>
  <w:style w:type="character" w:customStyle="1" w:styleId="HeaderChar">
    <w:name w:val="Header Char"/>
    <w:basedOn w:val="DefaultParagraphFont"/>
    <w:link w:val="Header"/>
    <w:uiPriority w:val="99"/>
    <w:locked/>
    <w:rsid w:val="00392117"/>
    <w:rPr>
      <w:rFonts w:cs="Times New Roman"/>
      <w:sz w:val="24"/>
    </w:rPr>
  </w:style>
  <w:style w:type="paragraph" w:styleId="Footer">
    <w:name w:val="footer"/>
    <w:basedOn w:val="Normal"/>
    <w:link w:val="FooterChar"/>
    <w:uiPriority w:val="99"/>
    <w:rsid w:val="00392117"/>
    <w:pPr>
      <w:tabs>
        <w:tab w:val="center" w:pos="4680"/>
        <w:tab w:val="right" w:pos="9360"/>
      </w:tabs>
    </w:pPr>
  </w:style>
  <w:style w:type="character" w:customStyle="1" w:styleId="FooterChar">
    <w:name w:val="Footer Char"/>
    <w:basedOn w:val="DefaultParagraphFont"/>
    <w:link w:val="Footer"/>
    <w:uiPriority w:val="99"/>
    <w:locked/>
    <w:rsid w:val="00392117"/>
    <w:rPr>
      <w:rFonts w:cs="Times New Roman"/>
      <w:sz w:val="24"/>
    </w:rPr>
  </w:style>
  <w:style w:type="paragraph" w:styleId="BlockText">
    <w:name w:val="Block Text"/>
    <w:basedOn w:val="Normal"/>
    <w:uiPriority w:val="99"/>
    <w:rsid w:val="004E27FC"/>
    <w:pPr>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ind w:left="663" w:right="648"/>
    </w:pPr>
    <w:rPr>
      <w:sz w:val="22"/>
      <w:szCs w:val="24"/>
    </w:rPr>
  </w:style>
  <w:style w:type="table" w:customStyle="1" w:styleId="MediumGrid3-Accent51">
    <w:name w:val="Medium Grid 3 - Accent 51"/>
    <w:uiPriority w:val="99"/>
    <w:rsid w:val="00495342"/>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paragraph" w:styleId="FootnoteText">
    <w:name w:val="footnote text"/>
    <w:basedOn w:val="Normal"/>
    <w:link w:val="FootnoteTextChar"/>
    <w:uiPriority w:val="99"/>
    <w:rsid w:val="00495342"/>
    <w:rPr>
      <w:rFonts w:ascii="Calibri" w:hAnsi="Calibri"/>
      <w:sz w:val="20"/>
    </w:rPr>
  </w:style>
  <w:style w:type="character" w:customStyle="1" w:styleId="FootnoteTextChar">
    <w:name w:val="Footnote Text Char"/>
    <w:basedOn w:val="DefaultParagraphFont"/>
    <w:link w:val="FootnoteText"/>
    <w:uiPriority w:val="99"/>
    <w:locked/>
    <w:rsid w:val="00495342"/>
    <w:rPr>
      <w:rFonts w:ascii="Calibri" w:hAnsi="Calibri" w:cs="Times New Roman"/>
    </w:rPr>
  </w:style>
  <w:style w:type="character" w:styleId="FootnoteReference">
    <w:name w:val="footnote reference"/>
    <w:basedOn w:val="DefaultParagraphFont"/>
    <w:uiPriority w:val="99"/>
    <w:rsid w:val="00495342"/>
    <w:rPr>
      <w:rFonts w:cs="Times New Roman"/>
      <w:vertAlign w:val="superscript"/>
    </w:rPr>
  </w:style>
  <w:style w:type="paragraph" w:styleId="EndnoteText">
    <w:name w:val="endnote text"/>
    <w:basedOn w:val="Normal"/>
    <w:link w:val="EndnoteTextChar"/>
    <w:uiPriority w:val="99"/>
    <w:rsid w:val="008D7FB1"/>
    <w:rPr>
      <w:sz w:val="20"/>
    </w:rPr>
  </w:style>
  <w:style w:type="character" w:customStyle="1" w:styleId="EndnoteTextChar">
    <w:name w:val="Endnote Text Char"/>
    <w:basedOn w:val="DefaultParagraphFont"/>
    <w:link w:val="EndnoteText"/>
    <w:uiPriority w:val="99"/>
    <w:locked/>
    <w:rsid w:val="008D7FB1"/>
    <w:rPr>
      <w:rFonts w:cs="Times New Roman"/>
    </w:rPr>
  </w:style>
  <w:style w:type="character" w:styleId="PageNumber">
    <w:name w:val="page number"/>
    <w:basedOn w:val="DefaultParagraphFont"/>
    <w:uiPriority w:val="99"/>
    <w:rsid w:val="006A3A19"/>
    <w:rPr>
      <w:rFonts w:cs="Times New Roman"/>
    </w:rPr>
  </w:style>
  <w:style w:type="paragraph" w:styleId="CommentSubject">
    <w:name w:val="annotation subject"/>
    <w:basedOn w:val="CommentText"/>
    <w:next w:val="CommentText"/>
    <w:link w:val="CommentSubjectChar"/>
    <w:uiPriority w:val="99"/>
    <w:rsid w:val="00840FBC"/>
    <w:pPr>
      <w:spacing w:after="0"/>
    </w:pPr>
    <w:rPr>
      <w:rFonts w:ascii="Times New Roman" w:hAnsi="Times New Roman"/>
      <w:b/>
      <w:bCs/>
    </w:rPr>
  </w:style>
  <w:style w:type="character" w:customStyle="1" w:styleId="CommentSubjectChar">
    <w:name w:val="Comment Subject Char"/>
    <w:basedOn w:val="CommentTextChar"/>
    <w:link w:val="CommentSubject"/>
    <w:uiPriority w:val="99"/>
    <w:locked/>
    <w:rsid w:val="00840FBC"/>
    <w:rPr>
      <w:b/>
      <w:bCs/>
    </w:rPr>
  </w:style>
</w:styles>
</file>

<file path=word/webSettings.xml><?xml version="1.0" encoding="utf-8"?>
<w:webSettings xmlns:r="http://schemas.openxmlformats.org/officeDocument/2006/relationships" xmlns:w="http://schemas.openxmlformats.org/wordprocessingml/2006/main">
  <w:divs>
    <w:div w:id="1618826964">
      <w:marLeft w:val="0"/>
      <w:marRight w:val="0"/>
      <w:marTop w:val="0"/>
      <w:marBottom w:val="0"/>
      <w:divBdr>
        <w:top w:val="none" w:sz="0" w:space="0" w:color="auto"/>
        <w:left w:val="none" w:sz="0" w:space="0" w:color="auto"/>
        <w:bottom w:val="none" w:sz="0" w:space="0" w:color="auto"/>
        <w:right w:val="none" w:sz="0" w:space="0" w:color="auto"/>
      </w:divBdr>
      <w:divsChild>
        <w:div w:id="1618826969">
          <w:marLeft w:val="0"/>
          <w:marRight w:val="0"/>
          <w:marTop w:val="0"/>
          <w:marBottom w:val="0"/>
          <w:divBdr>
            <w:top w:val="none" w:sz="0" w:space="0" w:color="auto"/>
            <w:left w:val="none" w:sz="0" w:space="0" w:color="auto"/>
            <w:bottom w:val="none" w:sz="0" w:space="0" w:color="auto"/>
            <w:right w:val="none" w:sz="0" w:space="0" w:color="auto"/>
          </w:divBdr>
        </w:div>
      </w:divsChild>
    </w:div>
    <w:div w:id="1618826968">
      <w:marLeft w:val="0"/>
      <w:marRight w:val="0"/>
      <w:marTop w:val="0"/>
      <w:marBottom w:val="0"/>
      <w:divBdr>
        <w:top w:val="none" w:sz="0" w:space="0" w:color="auto"/>
        <w:left w:val="none" w:sz="0" w:space="0" w:color="auto"/>
        <w:bottom w:val="none" w:sz="0" w:space="0" w:color="auto"/>
        <w:right w:val="none" w:sz="0" w:space="0" w:color="auto"/>
      </w:divBdr>
      <w:divsChild>
        <w:div w:id="1618826971">
          <w:marLeft w:val="0"/>
          <w:marRight w:val="0"/>
          <w:marTop w:val="0"/>
          <w:marBottom w:val="0"/>
          <w:divBdr>
            <w:top w:val="none" w:sz="0" w:space="0" w:color="auto"/>
            <w:left w:val="single" w:sz="4" w:space="0" w:color="B4B2B2"/>
            <w:bottom w:val="none" w:sz="0" w:space="0" w:color="auto"/>
            <w:right w:val="single" w:sz="4" w:space="0" w:color="B4B2B2"/>
          </w:divBdr>
          <w:divsChild>
            <w:div w:id="1618826961">
              <w:marLeft w:val="0"/>
              <w:marRight w:val="0"/>
              <w:marTop w:val="0"/>
              <w:marBottom w:val="0"/>
              <w:divBdr>
                <w:top w:val="none" w:sz="0" w:space="0" w:color="auto"/>
                <w:left w:val="none" w:sz="0" w:space="0" w:color="auto"/>
                <w:bottom w:val="none" w:sz="0" w:space="0" w:color="auto"/>
                <w:right w:val="none" w:sz="0" w:space="0" w:color="auto"/>
              </w:divBdr>
              <w:divsChild>
                <w:div w:id="1618826967">
                  <w:marLeft w:val="0"/>
                  <w:marRight w:val="0"/>
                  <w:marTop w:val="0"/>
                  <w:marBottom w:val="0"/>
                  <w:divBdr>
                    <w:top w:val="none" w:sz="0" w:space="0" w:color="auto"/>
                    <w:left w:val="none" w:sz="0" w:space="0" w:color="auto"/>
                    <w:bottom w:val="none" w:sz="0" w:space="0" w:color="auto"/>
                    <w:right w:val="none" w:sz="0" w:space="0" w:color="auto"/>
                  </w:divBdr>
                  <w:divsChild>
                    <w:div w:id="1618826966">
                      <w:marLeft w:val="0"/>
                      <w:marRight w:val="0"/>
                      <w:marTop w:val="0"/>
                      <w:marBottom w:val="0"/>
                      <w:divBdr>
                        <w:top w:val="none" w:sz="0" w:space="0" w:color="auto"/>
                        <w:left w:val="none" w:sz="0" w:space="0" w:color="auto"/>
                        <w:bottom w:val="none" w:sz="0" w:space="0" w:color="auto"/>
                        <w:right w:val="none" w:sz="0" w:space="0" w:color="auto"/>
                      </w:divBdr>
                      <w:divsChild>
                        <w:div w:id="1618826970">
                          <w:marLeft w:val="0"/>
                          <w:marRight w:val="0"/>
                          <w:marTop w:val="0"/>
                          <w:marBottom w:val="0"/>
                          <w:divBdr>
                            <w:top w:val="none" w:sz="0" w:space="0" w:color="auto"/>
                            <w:left w:val="none" w:sz="0" w:space="0" w:color="auto"/>
                            <w:bottom w:val="none" w:sz="0" w:space="0" w:color="auto"/>
                            <w:right w:val="none" w:sz="0" w:space="0" w:color="auto"/>
                          </w:divBdr>
                          <w:divsChild>
                            <w:div w:id="16188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826974">
      <w:marLeft w:val="60"/>
      <w:marRight w:val="60"/>
      <w:marTop w:val="60"/>
      <w:marBottom w:val="15"/>
      <w:divBdr>
        <w:top w:val="none" w:sz="0" w:space="0" w:color="auto"/>
        <w:left w:val="none" w:sz="0" w:space="0" w:color="auto"/>
        <w:bottom w:val="none" w:sz="0" w:space="0" w:color="auto"/>
        <w:right w:val="none" w:sz="0" w:space="0" w:color="auto"/>
      </w:divBdr>
      <w:divsChild>
        <w:div w:id="1618826962">
          <w:marLeft w:val="0"/>
          <w:marRight w:val="0"/>
          <w:marTop w:val="0"/>
          <w:marBottom w:val="0"/>
          <w:divBdr>
            <w:top w:val="none" w:sz="0" w:space="0" w:color="auto"/>
            <w:left w:val="none" w:sz="0" w:space="0" w:color="auto"/>
            <w:bottom w:val="none" w:sz="0" w:space="0" w:color="auto"/>
            <w:right w:val="none" w:sz="0" w:space="0" w:color="auto"/>
          </w:divBdr>
        </w:div>
        <w:div w:id="1618826965">
          <w:marLeft w:val="0"/>
          <w:marRight w:val="0"/>
          <w:marTop w:val="0"/>
          <w:marBottom w:val="0"/>
          <w:divBdr>
            <w:top w:val="none" w:sz="0" w:space="0" w:color="auto"/>
            <w:left w:val="none" w:sz="0" w:space="0" w:color="auto"/>
            <w:bottom w:val="none" w:sz="0" w:space="0" w:color="auto"/>
            <w:right w:val="none" w:sz="0" w:space="0" w:color="auto"/>
          </w:divBdr>
        </w:div>
        <w:div w:id="1618826972">
          <w:marLeft w:val="0"/>
          <w:marRight w:val="0"/>
          <w:marTop w:val="0"/>
          <w:marBottom w:val="0"/>
          <w:divBdr>
            <w:top w:val="none" w:sz="0" w:space="0" w:color="auto"/>
            <w:left w:val="none" w:sz="0" w:space="0" w:color="auto"/>
            <w:bottom w:val="none" w:sz="0" w:space="0" w:color="auto"/>
            <w:right w:val="none" w:sz="0" w:space="0" w:color="auto"/>
          </w:divBdr>
        </w:div>
        <w:div w:id="1618826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roche@hr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Pages>
  <Words>2544</Words>
  <Characters>14502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SAMHSA Customer Satisfaction Survey Proposal</dc:title>
  <dc:subject/>
  <dc:creator>HRSA</dc:creator>
  <cp:keywords/>
  <dc:description/>
  <cp:lastModifiedBy>Hrsa</cp:lastModifiedBy>
  <cp:revision>3</cp:revision>
  <cp:lastPrinted>2010-05-25T18:42:00Z</cp:lastPrinted>
  <dcterms:created xsi:type="dcterms:W3CDTF">2010-06-28T18:44:00Z</dcterms:created>
  <dcterms:modified xsi:type="dcterms:W3CDTF">2010-06-28T18:50:00Z</dcterms:modified>
</cp:coreProperties>
</file>