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22" w:rsidRDefault="00A02108" w:rsidP="00E67222">
      <w:pPr>
        <w:tabs>
          <w:tab w:val="left" w:pos="1080"/>
        </w:tabs>
        <w:rPr>
          <w:rFonts w:asciiTheme="minorHAnsi" w:hAnsiTheme="minorHAnsi"/>
          <w:sz w:val="22"/>
          <w:szCs w:val="22"/>
        </w:rPr>
      </w:pPr>
      <w:r>
        <w:rPr>
          <w:rFonts w:asciiTheme="minorHAnsi" w:hAnsiTheme="minorHAnsi"/>
          <w:sz w:val="22"/>
          <w:szCs w:val="22"/>
        </w:rPr>
        <w:t xml:space="preserve">December </w:t>
      </w:r>
      <w:r w:rsidR="00421C00">
        <w:rPr>
          <w:rFonts w:asciiTheme="minorHAnsi" w:hAnsiTheme="minorHAnsi"/>
          <w:sz w:val="22"/>
          <w:szCs w:val="22"/>
        </w:rPr>
        <w:t>7</w:t>
      </w:r>
      <w:r w:rsidR="00E67222" w:rsidRPr="003A5DFA">
        <w:rPr>
          <w:rFonts w:asciiTheme="minorHAnsi" w:hAnsiTheme="minorHAnsi"/>
          <w:sz w:val="22"/>
          <w:szCs w:val="22"/>
        </w:rPr>
        <w:t>, 2011</w:t>
      </w:r>
    </w:p>
    <w:p w:rsidR="00E67222" w:rsidRDefault="00E67222" w:rsidP="00E67222">
      <w:pPr>
        <w:rPr>
          <w:rFonts w:asciiTheme="minorHAnsi" w:hAnsiTheme="minorHAnsi"/>
          <w:sz w:val="22"/>
          <w:szCs w:val="22"/>
        </w:rPr>
      </w:pPr>
    </w:p>
    <w:p w:rsidR="00E67222" w:rsidRDefault="00E67222" w:rsidP="00E67222">
      <w:pPr>
        <w:autoSpaceDE w:val="0"/>
        <w:autoSpaceDN w:val="0"/>
        <w:adjustRightInd w:val="0"/>
        <w:rPr>
          <w:rFonts w:asciiTheme="minorHAnsi" w:hAnsiTheme="minorHAnsi"/>
          <w:i/>
          <w:sz w:val="22"/>
          <w:szCs w:val="22"/>
        </w:rPr>
      </w:pPr>
      <w:r>
        <w:rPr>
          <w:rFonts w:asciiTheme="minorHAnsi" w:hAnsiTheme="minorHAnsi"/>
          <w:sz w:val="22"/>
          <w:szCs w:val="22"/>
        </w:rPr>
        <w:t>BJS Request for OMB Clearance for Field Test under the National Crime Victimization Survey (NCVS) Redesign Generic Clearance, OMB Number 1121-0325.</w:t>
      </w:r>
    </w:p>
    <w:p w:rsidR="00E67222" w:rsidRDefault="00E67222" w:rsidP="00E67222">
      <w:pPr>
        <w:autoSpaceDE w:val="0"/>
        <w:autoSpaceDN w:val="0"/>
        <w:adjustRightInd w:val="0"/>
        <w:rPr>
          <w:rFonts w:asciiTheme="minorHAnsi" w:hAnsiTheme="minorHAnsi"/>
          <w:sz w:val="22"/>
          <w:szCs w:val="22"/>
        </w:rPr>
      </w:pPr>
    </w:p>
    <w:p w:rsidR="00597BDB" w:rsidRDefault="00597BDB" w:rsidP="00E67222">
      <w:pPr>
        <w:autoSpaceDE w:val="0"/>
        <w:autoSpaceDN w:val="0"/>
        <w:adjustRightInd w:val="0"/>
        <w:rPr>
          <w:rFonts w:asciiTheme="minorHAnsi" w:hAnsiTheme="minorHAnsi"/>
          <w:sz w:val="22"/>
          <w:szCs w:val="22"/>
        </w:rPr>
      </w:pPr>
    </w:p>
    <w:p w:rsidR="00D1031F" w:rsidRPr="00D1031F" w:rsidRDefault="00597BDB" w:rsidP="00E67222">
      <w:pPr>
        <w:autoSpaceDE w:val="0"/>
        <w:autoSpaceDN w:val="0"/>
        <w:adjustRightInd w:val="0"/>
        <w:rPr>
          <w:rFonts w:asciiTheme="minorHAnsi" w:hAnsiTheme="minorHAnsi"/>
          <w:b/>
          <w:sz w:val="22"/>
          <w:szCs w:val="22"/>
        </w:rPr>
      </w:pPr>
      <w:r w:rsidRPr="00D1031F">
        <w:rPr>
          <w:rFonts w:asciiTheme="minorHAnsi" w:hAnsiTheme="minorHAnsi"/>
          <w:b/>
          <w:sz w:val="22"/>
          <w:szCs w:val="22"/>
        </w:rPr>
        <w:t>Question</w:t>
      </w:r>
    </w:p>
    <w:p w:rsidR="00421C00" w:rsidRPr="00421C00" w:rsidRDefault="00421C00" w:rsidP="00E67222">
      <w:pPr>
        <w:autoSpaceDE w:val="0"/>
        <w:autoSpaceDN w:val="0"/>
        <w:adjustRightInd w:val="0"/>
        <w:rPr>
          <w:rFonts w:asciiTheme="minorHAnsi" w:hAnsiTheme="minorHAnsi"/>
          <w:i/>
          <w:sz w:val="22"/>
          <w:szCs w:val="22"/>
        </w:rPr>
      </w:pPr>
      <w:r>
        <w:rPr>
          <w:rFonts w:asciiTheme="minorHAnsi" w:hAnsiTheme="minorHAnsi"/>
          <w:i/>
          <w:sz w:val="22"/>
          <w:szCs w:val="22"/>
        </w:rPr>
        <w:t>Because the power of the test related to the impact of ECP on victimization rates is low, are there other areas that the study will explore that would have a greater probability for identifying a statistically significant finding related to the utility of adding ECP questions?</w:t>
      </w:r>
    </w:p>
    <w:p w:rsidR="00421C00" w:rsidRDefault="00421C00" w:rsidP="00E67222">
      <w:pPr>
        <w:autoSpaceDE w:val="0"/>
        <w:autoSpaceDN w:val="0"/>
        <w:adjustRightInd w:val="0"/>
        <w:rPr>
          <w:rFonts w:asciiTheme="minorHAnsi" w:hAnsiTheme="minorHAnsi"/>
          <w:sz w:val="22"/>
          <w:szCs w:val="22"/>
        </w:rPr>
      </w:pPr>
    </w:p>
    <w:p w:rsidR="00421C00" w:rsidRDefault="00421C00" w:rsidP="00E67222">
      <w:pPr>
        <w:autoSpaceDE w:val="0"/>
        <w:autoSpaceDN w:val="0"/>
        <w:adjustRightInd w:val="0"/>
        <w:rPr>
          <w:rFonts w:asciiTheme="minorHAnsi" w:hAnsiTheme="minorHAnsi"/>
          <w:b/>
          <w:sz w:val="22"/>
          <w:szCs w:val="22"/>
        </w:rPr>
      </w:pPr>
      <w:r>
        <w:rPr>
          <w:rFonts w:asciiTheme="minorHAnsi" w:hAnsiTheme="minorHAnsi"/>
          <w:b/>
          <w:sz w:val="22"/>
          <w:szCs w:val="22"/>
        </w:rPr>
        <w:t>Response</w:t>
      </w:r>
    </w:p>
    <w:p w:rsidR="00421C00" w:rsidRPr="00421C00" w:rsidRDefault="00421C00" w:rsidP="00E67222">
      <w:pPr>
        <w:autoSpaceDE w:val="0"/>
        <w:autoSpaceDN w:val="0"/>
        <w:adjustRightInd w:val="0"/>
        <w:rPr>
          <w:rFonts w:asciiTheme="minorHAnsi" w:hAnsiTheme="minorHAnsi"/>
          <w:i/>
          <w:sz w:val="22"/>
          <w:szCs w:val="22"/>
        </w:rPr>
      </w:pPr>
      <w:r>
        <w:rPr>
          <w:rFonts w:asciiTheme="minorHAnsi" w:hAnsiTheme="minorHAnsi"/>
          <w:i/>
          <w:sz w:val="22"/>
          <w:szCs w:val="22"/>
        </w:rPr>
        <w:t>The following research question has been added to the ECP project. Does the use of enhanced contextual priming increase response rates to the crime screener by increasing respondent engagement in the survey?</w:t>
      </w:r>
    </w:p>
    <w:p w:rsidR="00421C00" w:rsidRPr="00421C00" w:rsidRDefault="00421C00" w:rsidP="00E67222">
      <w:pPr>
        <w:autoSpaceDE w:val="0"/>
        <w:autoSpaceDN w:val="0"/>
        <w:adjustRightInd w:val="0"/>
        <w:rPr>
          <w:rFonts w:asciiTheme="minorHAnsi" w:hAnsiTheme="minorHAnsi"/>
          <w:sz w:val="22"/>
          <w:szCs w:val="22"/>
        </w:rPr>
      </w:pPr>
    </w:p>
    <w:p w:rsidR="00E67222" w:rsidRPr="00E67222" w:rsidRDefault="00E67222" w:rsidP="00E67222">
      <w:pPr>
        <w:rPr>
          <w:rFonts w:asciiTheme="minorHAnsi" w:hAnsiTheme="minorHAnsi" w:cstheme="minorHAnsi"/>
          <w:sz w:val="22"/>
          <w:szCs w:val="22"/>
        </w:rPr>
      </w:pPr>
      <w:r w:rsidRPr="00E67222">
        <w:rPr>
          <w:rFonts w:asciiTheme="minorHAnsi" w:hAnsiTheme="minorHAnsi" w:cstheme="minorHAnsi"/>
          <w:sz w:val="22"/>
          <w:szCs w:val="22"/>
        </w:rPr>
        <w:t>In addition to aiding the recall of crime incidents, the ECP may also increase respondent engagement with the survey both for respondents who have experienced victimizations and those who have not.  The ECP questions touch upon issues that respondents may have experienced in their everyday lives, whether they have experienced a crime or not.  Respondents’ reports from the cognitive interviews suggested that the majority of respondents, victims and non-victims alike, found the ECP questions interesting.   Many respondents commented that the ECP section contained questions that made them think about their own lives or their neighborhoods. One respondent stated that these questions “cause you to reflect on things that you kind of block out of your mind” while another specifically stated that “the questions about safety were interesting because they made me think about my own area.”  It is important to keep in mind that the respondents volunteered to participate in the survey (by responding to advertisements on a crime or neighborhood safety survey).  However, the overwhelmingly positive reaction of the participants suggests that many field test respondents will also find the ECP questions to be relevant and of interest.</w:t>
      </w:r>
    </w:p>
    <w:p w:rsidR="00E67222" w:rsidRPr="00E67222" w:rsidRDefault="00E67222" w:rsidP="00E67222">
      <w:pPr>
        <w:rPr>
          <w:rFonts w:asciiTheme="minorHAnsi" w:hAnsiTheme="minorHAnsi" w:cstheme="minorHAnsi"/>
          <w:sz w:val="22"/>
          <w:szCs w:val="22"/>
        </w:rPr>
      </w:pPr>
    </w:p>
    <w:p w:rsidR="00E67222" w:rsidRPr="00E67222" w:rsidRDefault="00E67222" w:rsidP="00E67222">
      <w:pPr>
        <w:rPr>
          <w:rFonts w:asciiTheme="minorHAnsi" w:hAnsiTheme="minorHAnsi" w:cstheme="minorHAnsi"/>
          <w:sz w:val="22"/>
          <w:szCs w:val="22"/>
        </w:rPr>
      </w:pPr>
      <w:r w:rsidRPr="00E67222">
        <w:rPr>
          <w:rFonts w:asciiTheme="minorHAnsi" w:hAnsiTheme="minorHAnsi" w:cstheme="minorHAnsi"/>
          <w:sz w:val="22"/>
          <w:szCs w:val="22"/>
        </w:rPr>
        <w:t xml:space="preserve">Evidence from the literature suggests that respondent interest in the survey influences decisions to participate and to complete a survey (e.g., Groves, Singer, &amp;Corning, 2000; Groves, Presser, &amp; Dipko, 2004; </w:t>
      </w:r>
      <w:proofErr w:type="spellStart"/>
      <w:r w:rsidRPr="00E67222">
        <w:rPr>
          <w:rFonts w:asciiTheme="minorHAnsi" w:hAnsiTheme="minorHAnsi" w:cstheme="minorHAnsi"/>
          <w:sz w:val="22"/>
          <w:szCs w:val="22"/>
        </w:rPr>
        <w:t>Galesic</w:t>
      </w:r>
      <w:proofErr w:type="spellEnd"/>
      <w:r w:rsidRPr="00E67222">
        <w:rPr>
          <w:rFonts w:asciiTheme="minorHAnsi" w:hAnsiTheme="minorHAnsi" w:cstheme="minorHAnsi"/>
          <w:sz w:val="22"/>
          <w:szCs w:val="22"/>
        </w:rPr>
        <w:t>, 2006).  In a web survey on unemployment (</w:t>
      </w:r>
      <w:proofErr w:type="spellStart"/>
      <w:r w:rsidRPr="00E67222">
        <w:rPr>
          <w:rFonts w:asciiTheme="minorHAnsi" w:hAnsiTheme="minorHAnsi" w:cstheme="minorHAnsi"/>
          <w:sz w:val="22"/>
          <w:szCs w:val="22"/>
        </w:rPr>
        <w:t>Galesic</w:t>
      </w:r>
      <w:proofErr w:type="spellEnd"/>
      <w:r w:rsidRPr="00E67222">
        <w:rPr>
          <w:rFonts w:asciiTheme="minorHAnsi" w:hAnsiTheme="minorHAnsi" w:cstheme="minorHAnsi"/>
          <w:sz w:val="22"/>
          <w:szCs w:val="22"/>
        </w:rPr>
        <w:t>, 2006), level of interest in the survey questions along with the perception that the survey is not burdensome increased the likelihood that respondents completed the survey.  This study further suggested that respondents who completed the survey yielded higher quality data with regard to open-ended answers than those who dropped out before the end. Groves et al. (2000) found that respondents who were motivated by a sense that community involvement were more likely to agree to do a survey (and less likely to be influenced by an incentive) than those who had a lesser sense of community involvement.  They found response rates of 58% vs. 43%, respectively, for the high vs. low community involvement samples, a difference of 15%. In another study, Groves et al. (2004) compared response rates depending on whether the survey topic was one of interest to the respondent.  Samples of teachers, new parents, adults age 65 and older, and political contributors were given one of four survey introductions (e.g., education, Medicare, etc.), one of which was assumed to be of greater interest given the respondent’s characteristics.  Groves et al. (2004) found that response rates were up to 14% higher when the survey topic was of interest to the respondent than when it was not.</w:t>
      </w:r>
    </w:p>
    <w:p w:rsidR="00E67222" w:rsidRPr="00E67222" w:rsidRDefault="00E67222" w:rsidP="00E67222">
      <w:pPr>
        <w:rPr>
          <w:rFonts w:asciiTheme="minorHAnsi" w:hAnsiTheme="minorHAnsi" w:cstheme="minorHAnsi"/>
          <w:sz w:val="22"/>
          <w:szCs w:val="22"/>
        </w:rPr>
      </w:pPr>
    </w:p>
    <w:p w:rsidR="00E67222" w:rsidRPr="00E67222" w:rsidRDefault="00E67222" w:rsidP="00E67222">
      <w:pPr>
        <w:rPr>
          <w:rFonts w:asciiTheme="minorHAnsi" w:hAnsiTheme="minorHAnsi" w:cstheme="minorHAnsi"/>
          <w:sz w:val="22"/>
          <w:szCs w:val="22"/>
        </w:rPr>
      </w:pPr>
      <w:r w:rsidRPr="00E67222">
        <w:rPr>
          <w:rFonts w:asciiTheme="minorHAnsi" w:hAnsiTheme="minorHAnsi" w:cstheme="minorHAnsi"/>
          <w:sz w:val="22"/>
          <w:szCs w:val="22"/>
        </w:rPr>
        <w:t xml:space="preserve">By highlighting issues of interest and importance to respondents, the ECP may increase respondent engagement in the survey.  In turn, this engagement may yield fewer break-offs and higher response rates for the crime screener when it follows the ECP.  As part of the field test we will examine the hypothesis that response rates to the crime screener will be higher in the ECP as compared to the </w:t>
      </w:r>
      <w:r w:rsidR="00250218">
        <w:rPr>
          <w:rFonts w:asciiTheme="minorHAnsi" w:hAnsiTheme="minorHAnsi" w:cstheme="minorHAnsi"/>
          <w:sz w:val="22"/>
          <w:szCs w:val="22"/>
        </w:rPr>
        <w:t>Control</w:t>
      </w:r>
      <w:r w:rsidRPr="00E67222">
        <w:rPr>
          <w:rFonts w:asciiTheme="minorHAnsi" w:hAnsiTheme="minorHAnsi" w:cstheme="minorHAnsi"/>
          <w:sz w:val="22"/>
          <w:szCs w:val="22"/>
        </w:rPr>
        <w:t xml:space="preserve"> condition.</w:t>
      </w:r>
    </w:p>
    <w:p w:rsidR="00E67222" w:rsidRPr="00E67222" w:rsidRDefault="00E67222" w:rsidP="00E67222">
      <w:pPr>
        <w:rPr>
          <w:rFonts w:asciiTheme="minorHAnsi" w:hAnsiTheme="minorHAnsi" w:cstheme="minorHAnsi"/>
          <w:sz w:val="22"/>
          <w:szCs w:val="22"/>
        </w:rPr>
      </w:pPr>
    </w:p>
    <w:p w:rsidR="00E67222" w:rsidRPr="00E67222" w:rsidRDefault="00E67222" w:rsidP="00E67222">
      <w:pPr>
        <w:rPr>
          <w:rFonts w:asciiTheme="minorHAnsi" w:hAnsiTheme="minorHAnsi" w:cstheme="minorHAnsi"/>
          <w:sz w:val="22"/>
          <w:szCs w:val="22"/>
        </w:rPr>
      </w:pPr>
      <w:r w:rsidRPr="00E67222">
        <w:rPr>
          <w:rFonts w:asciiTheme="minorHAnsi" w:hAnsiTheme="minorHAnsi" w:cstheme="minorHAnsi"/>
          <w:sz w:val="22"/>
          <w:szCs w:val="22"/>
        </w:rPr>
        <w:lastRenderedPageBreak/>
        <w:t xml:space="preserve">A number of articles on the effects of the NCS attitude supplement on crime rates were examined to explore the effect of the attitude supplement on response rates (Gibson, Shapiro, Murphy, &amp; </w:t>
      </w:r>
      <w:proofErr w:type="spellStart"/>
      <w:r w:rsidRPr="00E67222">
        <w:rPr>
          <w:rFonts w:asciiTheme="minorHAnsi" w:hAnsiTheme="minorHAnsi" w:cstheme="minorHAnsi"/>
          <w:sz w:val="22"/>
          <w:szCs w:val="22"/>
        </w:rPr>
        <w:t>Stanko</w:t>
      </w:r>
      <w:proofErr w:type="spellEnd"/>
      <w:r w:rsidRPr="00E67222">
        <w:rPr>
          <w:rFonts w:asciiTheme="minorHAnsi" w:hAnsiTheme="minorHAnsi" w:cstheme="minorHAnsi"/>
          <w:sz w:val="22"/>
          <w:szCs w:val="22"/>
        </w:rPr>
        <w:t xml:space="preserve">, 1978; Murphy, 1976; Cowan, Murphy, &amp; Wiener, 1978; Kalton &amp; Schuman, 1982).  None of these articles provided a breakdown of response rates for households or respondents based on whether they received the attitude supplement.  However, the more recent work on respondent engagement provides data that allow for an estimate of the effects of increased engagement on response rates.  The findings of Groves et al. (2000) and Groves et al. (2004) suggest that respondent interest in a survey enhances response rates, with observed increases up to 15%.  </w:t>
      </w:r>
    </w:p>
    <w:p w:rsidR="00E67222" w:rsidRPr="00E67222" w:rsidRDefault="00E67222" w:rsidP="00E67222">
      <w:pPr>
        <w:rPr>
          <w:rFonts w:asciiTheme="minorHAnsi" w:hAnsiTheme="minorHAnsi" w:cstheme="minorHAnsi"/>
          <w:sz w:val="22"/>
          <w:szCs w:val="22"/>
        </w:rPr>
      </w:pPr>
    </w:p>
    <w:p w:rsidR="00E67222" w:rsidRPr="00E67222" w:rsidRDefault="00597BDB" w:rsidP="00E67222">
      <w:pPr>
        <w:rPr>
          <w:rFonts w:asciiTheme="minorHAnsi" w:hAnsiTheme="minorHAnsi" w:cstheme="minorHAnsi"/>
          <w:sz w:val="22"/>
          <w:szCs w:val="22"/>
        </w:rPr>
      </w:pPr>
      <w:r>
        <w:rPr>
          <w:rFonts w:asciiTheme="minorHAnsi" w:hAnsiTheme="minorHAnsi" w:cstheme="minorHAnsi"/>
          <w:sz w:val="22"/>
          <w:szCs w:val="22"/>
        </w:rPr>
        <w:t>We</w:t>
      </w:r>
      <w:r w:rsidR="00E67222" w:rsidRPr="00E67222">
        <w:rPr>
          <w:rFonts w:asciiTheme="minorHAnsi" w:hAnsiTheme="minorHAnsi" w:cstheme="minorHAnsi"/>
          <w:sz w:val="22"/>
          <w:szCs w:val="22"/>
        </w:rPr>
        <w:t xml:space="preserve"> expect the </w:t>
      </w:r>
      <w:r w:rsidR="0065798F">
        <w:rPr>
          <w:rFonts w:asciiTheme="minorHAnsi" w:hAnsiTheme="minorHAnsi" w:cstheme="minorHAnsi"/>
          <w:sz w:val="22"/>
          <w:szCs w:val="22"/>
        </w:rPr>
        <w:t xml:space="preserve">CASRO </w:t>
      </w:r>
      <w:r w:rsidR="00E67222" w:rsidRPr="00E67222">
        <w:rPr>
          <w:rFonts w:asciiTheme="minorHAnsi" w:hAnsiTheme="minorHAnsi" w:cstheme="minorHAnsi"/>
          <w:sz w:val="22"/>
          <w:szCs w:val="22"/>
        </w:rPr>
        <w:t xml:space="preserve">response rate </w:t>
      </w:r>
      <w:r w:rsidR="0065798F">
        <w:rPr>
          <w:rFonts w:asciiTheme="minorHAnsi" w:hAnsiTheme="minorHAnsi" w:cstheme="minorHAnsi"/>
          <w:sz w:val="22"/>
          <w:szCs w:val="22"/>
        </w:rPr>
        <w:t xml:space="preserve">in the </w:t>
      </w:r>
      <w:r w:rsidR="00250218">
        <w:rPr>
          <w:rFonts w:asciiTheme="minorHAnsi" w:hAnsiTheme="minorHAnsi" w:cstheme="minorHAnsi"/>
          <w:sz w:val="22"/>
          <w:szCs w:val="22"/>
        </w:rPr>
        <w:t>Control</w:t>
      </w:r>
      <w:r w:rsidR="0065798F">
        <w:rPr>
          <w:rFonts w:asciiTheme="minorHAnsi" w:hAnsiTheme="minorHAnsi" w:cstheme="minorHAnsi"/>
          <w:sz w:val="22"/>
          <w:szCs w:val="22"/>
        </w:rPr>
        <w:t xml:space="preserve"> condition </w:t>
      </w:r>
      <w:r w:rsidR="00E67222" w:rsidRPr="00E67222">
        <w:rPr>
          <w:rFonts w:asciiTheme="minorHAnsi" w:hAnsiTheme="minorHAnsi" w:cstheme="minorHAnsi"/>
          <w:sz w:val="22"/>
          <w:szCs w:val="22"/>
        </w:rPr>
        <w:t xml:space="preserve">will be </w:t>
      </w:r>
      <w:r w:rsidR="0065798F">
        <w:rPr>
          <w:rFonts w:asciiTheme="minorHAnsi" w:hAnsiTheme="minorHAnsi" w:cstheme="minorHAnsi"/>
          <w:sz w:val="22"/>
          <w:szCs w:val="22"/>
        </w:rPr>
        <w:t>2</w:t>
      </w:r>
      <w:r w:rsidR="00E67222" w:rsidRPr="00E67222">
        <w:rPr>
          <w:rFonts w:asciiTheme="minorHAnsi" w:hAnsiTheme="minorHAnsi" w:cstheme="minorHAnsi"/>
          <w:sz w:val="22"/>
          <w:szCs w:val="22"/>
        </w:rPr>
        <w:t>5%.  We expect that the added survey interest provided by the ECP could increase the response rate in that condition by a few percentage points.  Since the Groves et al. (2000, 2004) studies suggest increases of up to 15%,</w:t>
      </w:r>
      <w:r w:rsidR="00F9072C">
        <w:rPr>
          <w:rFonts w:asciiTheme="minorHAnsi" w:hAnsiTheme="minorHAnsi" w:cstheme="minorHAnsi"/>
          <w:sz w:val="22"/>
          <w:szCs w:val="22"/>
        </w:rPr>
        <w:t xml:space="preserve"> </w:t>
      </w:r>
      <w:r w:rsidR="00E67222" w:rsidRPr="00E67222">
        <w:rPr>
          <w:rFonts w:asciiTheme="minorHAnsi" w:hAnsiTheme="minorHAnsi" w:cstheme="minorHAnsi"/>
          <w:sz w:val="22"/>
          <w:szCs w:val="22"/>
        </w:rPr>
        <w:t>we make a conservative estimate of a 5% increase in response rates with the addition of the ECP</w:t>
      </w:r>
      <w:r w:rsidR="0065798F">
        <w:rPr>
          <w:rFonts w:asciiTheme="minorHAnsi" w:hAnsiTheme="minorHAnsi" w:cstheme="minorHAnsi"/>
          <w:sz w:val="22"/>
          <w:szCs w:val="22"/>
        </w:rPr>
        <w:t>, for a CASRO response rate of 30%</w:t>
      </w:r>
      <w:proofErr w:type="gramStart"/>
      <w:r w:rsidR="00E67222" w:rsidRPr="00E67222">
        <w:rPr>
          <w:rFonts w:asciiTheme="minorHAnsi" w:hAnsiTheme="minorHAnsi" w:cstheme="minorHAnsi"/>
          <w:sz w:val="22"/>
          <w:szCs w:val="22"/>
        </w:rPr>
        <w:t>.</w:t>
      </w:r>
      <w:r>
        <w:rPr>
          <w:rFonts w:asciiTheme="minorHAnsi" w:hAnsiTheme="minorHAnsi" w:cstheme="minorHAnsi"/>
          <w:sz w:val="22"/>
          <w:szCs w:val="22"/>
        </w:rPr>
        <w:t xml:space="preserve">  </w:t>
      </w:r>
      <w:proofErr w:type="gramEnd"/>
      <w:r>
        <w:rPr>
          <w:rFonts w:asciiTheme="minorHAnsi" w:hAnsiTheme="minorHAnsi" w:cstheme="minorHAnsi"/>
          <w:sz w:val="22"/>
          <w:szCs w:val="22"/>
        </w:rPr>
        <w:t>The design of the field test is shown in Table 1.</w:t>
      </w:r>
    </w:p>
    <w:p w:rsidR="00E67222" w:rsidRPr="00E67222" w:rsidRDefault="00E67222" w:rsidP="00E67222">
      <w:pPr>
        <w:contextualSpacing/>
        <w:rPr>
          <w:rFonts w:asciiTheme="minorHAnsi" w:hAnsiTheme="minorHAnsi" w:cstheme="minorHAnsi"/>
          <w:sz w:val="22"/>
          <w:szCs w:val="22"/>
        </w:rPr>
      </w:pPr>
    </w:p>
    <w:p w:rsidR="00597BDB" w:rsidRPr="002B23D8" w:rsidRDefault="00597BDB" w:rsidP="00597BDB">
      <w:pPr>
        <w:contextualSpacing/>
        <w:rPr>
          <w:rFonts w:asciiTheme="minorHAnsi" w:hAnsiTheme="minorHAnsi"/>
          <w:b/>
          <w:sz w:val="22"/>
          <w:szCs w:val="22"/>
        </w:rPr>
      </w:pPr>
      <w:r w:rsidRPr="002B23D8">
        <w:rPr>
          <w:rFonts w:asciiTheme="minorHAnsi" w:hAnsiTheme="minorHAnsi"/>
          <w:b/>
          <w:sz w:val="22"/>
          <w:szCs w:val="22"/>
        </w:rPr>
        <w:t xml:space="preserve">Table </w:t>
      </w:r>
      <w:r>
        <w:rPr>
          <w:rFonts w:asciiTheme="minorHAnsi" w:hAnsiTheme="minorHAnsi"/>
          <w:b/>
          <w:sz w:val="22"/>
          <w:szCs w:val="22"/>
        </w:rPr>
        <w:t>1</w:t>
      </w:r>
      <w:r w:rsidRPr="002B23D8">
        <w:rPr>
          <w:rFonts w:asciiTheme="minorHAnsi" w:hAnsiTheme="minorHAnsi"/>
          <w:b/>
          <w:sz w:val="22"/>
          <w:szCs w:val="22"/>
        </w:rPr>
        <w:t>: Field Test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8"/>
        <w:gridCol w:w="3319"/>
        <w:gridCol w:w="2852"/>
      </w:tblGrid>
      <w:tr w:rsidR="00597BDB" w:rsidRPr="002B23D8" w:rsidTr="00597BDB">
        <w:tc>
          <w:tcPr>
            <w:tcW w:w="0" w:type="auto"/>
            <w:vMerge w:val="restart"/>
            <w:shd w:val="clear" w:color="auto" w:fill="FFFFFF"/>
            <w:vAlign w:val="center"/>
          </w:tcPr>
          <w:p w:rsidR="00597BDB" w:rsidRPr="002B23D8" w:rsidRDefault="00597BDB" w:rsidP="00597BDB">
            <w:pPr>
              <w:pStyle w:val="NORCTableSubheading"/>
              <w:spacing w:before="0" w:after="0"/>
              <w:contextualSpacing/>
              <w:jc w:val="left"/>
              <w:rPr>
                <w:rFonts w:asciiTheme="minorHAnsi" w:hAnsiTheme="minorHAnsi"/>
                <w:b w:val="0"/>
                <w:sz w:val="22"/>
              </w:rPr>
            </w:pPr>
            <w:bookmarkStart w:id="0" w:name="_Toc199742390"/>
            <w:bookmarkStart w:id="1" w:name="_Toc224547419"/>
            <w:r w:rsidRPr="002B23D8">
              <w:rPr>
                <w:rFonts w:asciiTheme="minorHAnsi" w:hAnsiTheme="minorHAnsi"/>
                <w:b w:val="0"/>
                <w:sz w:val="22"/>
                <w:szCs w:val="22"/>
              </w:rPr>
              <w:t>Mode</w:t>
            </w:r>
          </w:p>
        </w:tc>
        <w:tc>
          <w:tcPr>
            <w:tcW w:w="0" w:type="auto"/>
            <w:gridSpan w:val="2"/>
            <w:tcBorders>
              <w:bottom w:val="single" w:sz="4" w:space="0" w:color="auto"/>
            </w:tcBorders>
            <w:shd w:val="clear" w:color="auto" w:fill="FFFFFF"/>
            <w:vAlign w:val="center"/>
          </w:tcPr>
          <w:p w:rsidR="00597BDB" w:rsidRPr="002B23D8" w:rsidRDefault="00597BDB" w:rsidP="00597BDB">
            <w:pPr>
              <w:pStyle w:val="NORCTableSubheading"/>
              <w:spacing w:before="0" w:after="0"/>
              <w:contextualSpacing/>
              <w:rPr>
                <w:rFonts w:asciiTheme="minorHAnsi" w:hAnsiTheme="minorHAnsi"/>
                <w:b w:val="0"/>
                <w:sz w:val="22"/>
              </w:rPr>
            </w:pPr>
            <w:r w:rsidRPr="002B23D8">
              <w:rPr>
                <w:rFonts w:asciiTheme="minorHAnsi" w:hAnsiTheme="minorHAnsi"/>
                <w:b w:val="0"/>
                <w:sz w:val="22"/>
                <w:szCs w:val="22"/>
              </w:rPr>
              <w:t>Memory Aid</w:t>
            </w:r>
          </w:p>
        </w:tc>
      </w:tr>
      <w:tr w:rsidR="00597BDB" w:rsidRPr="002B23D8" w:rsidTr="00597BDB">
        <w:tc>
          <w:tcPr>
            <w:tcW w:w="0" w:type="auto"/>
            <w:vMerge/>
            <w:shd w:val="clear" w:color="auto" w:fill="5993B4"/>
            <w:vAlign w:val="center"/>
          </w:tcPr>
          <w:p w:rsidR="00597BDB" w:rsidRPr="002B23D8" w:rsidRDefault="00597BDB" w:rsidP="00597BDB">
            <w:pPr>
              <w:pStyle w:val="NORCTableSubheading"/>
              <w:spacing w:before="0" w:after="0"/>
              <w:contextualSpacing/>
              <w:jc w:val="left"/>
              <w:rPr>
                <w:rFonts w:asciiTheme="minorHAnsi" w:hAnsiTheme="minorHAnsi"/>
                <w:b w:val="0"/>
                <w:sz w:val="22"/>
              </w:rPr>
            </w:pPr>
          </w:p>
        </w:tc>
        <w:tc>
          <w:tcPr>
            <w:tcW w:w="0" w:type="auto"/>
            <w:shd w:val="clear" w:color="auto" w:fill="FFFFFF"/>
            <w:vAlign w:val="center"/>
          </w:tcPr>
          <w:p w:rsidR="00597BDB" w:rsidRPr="002B23D8" w:rsidRDefault="00597BDB" w:rsidP="00597BDB">
            <w:pPr>
              <w:pStyle w:val="NORCTableSubheading"/>
              <w:spacing w:before="0" w:after="0"/>
              <w:contextualSpacing/>
              <w:jc w:val="left"/>
              <w:rPr>
                <w:rFonts w:asciiTheme="minorHAnsi" w:hAnsiTheme="minorHAnsi"/>
                <w:b w:val="0"/>
                <w:sz w:val="22"/>
              </w:rPr>
            </w:pPr>
            <w:r w:rsidRPr="002B23D8">
              <w:rPr>
                <w:rFonts w:asciiTheme="minorHAnsi" w:hAnsiTheme="minorHAnsi"/>
                <w:b w:val="0"/>
                <w:sz w:val="22"/>
                <w:szCs w:val="22"/>
              </w:rPr>
              <w:t>6-Month Control (No Memory Aid)</w:t>
            </w:r>
          </w:p>
        </w:tc>
        <w:tc>
          <w:tcPr>
            <w:tcW w:w="0" w:type="auto"/>
            <w:shd w:val="clear" w:color="auto" w:fill="FFFFFF"/>
            <w:vAlign w:val="center"/>
          </w:tcPr>
          <w:p w:rsidR="00597BDB" w:rsidRPr="002B23D8" w:rsidRDefault="00597BDB" w:rsidP="00597BDB">
            <w:pPr>
              <w:pStyle w:val="NORCTableSubheading"/>
              <w:spacing w:before="0" w:after="0"/>
              <w:contextualSpacing/>
              <w:jc w:val="left"/>
              <w:rPr>
                <w:rFonts w:asciiTheme="minorHAnsi" w:hAnsiTheme="minorHAnsi"/>
                <w:b w:val="0"/>
                <w:sz w:val="22"/>
              </w:rPr>
            </w:pPr>
            <w:r w:rsidRPr="002B23D8">
              <w:rPr>
                <w:rFonts w:asciiTheme="minorHAnsi" w:hAnsiTheme="minorHAnsi"/>
                <w:b w:val="0"/>
                <w:sz w:val="22"/>
                <w:szCs w:val="22"/>
              </w:rPr>
              <w:t>Enhanced Contextual Priming</w:t>
            </w:r>
          </w:p>
        </w:tc>
      </w:tr>
      <w:tr w:rsidR="00597BDB" w:rsidRPr="002B23D8" w:rsidTr="00597BDB">
        <w:trPr>
          <w:trHeight w:val="242"/>
        </w:trPr>
        <w:tc>
          <w:tcPr>
            <w:tcW w:w="0" w:type="auto"/>
            <w:vAlign w:val="center"/>
          </w:tcPr>
          <w:p w:rsidR="00597BDB" w:rsidRPr="002B23D8" w:rsidRDefault="00597BDB" w:rsidP="00597BDB">
            <w:pPr>
              <w:pStyle w:val="NORCTableText"/>
              <w:spacing w:before="0" w:after="0"/>
              <w:contextualSpacing/>
              <w:rPr>
                <w:rFonts w:asciiTheme="minorHAnsi" w:hAnsiTheme="minorHAnsi"/>
                <w:sz w:val="22"/>
                <w:szCs w:val="22"/>
              </w:rPr>
            </w:pPr>
            <w:r w:rsidRPr="002B23D8">
              <w:rPr>
                <w:rFonts w:asciiTheme="minorHAnsi" w:hAnsiTheme="minorHAnsi"/>
                <w:sz w:val="22"/>
                <w:szCs w:val="22"/>
              </w:rPr>
              <w:t>Telephone/CATI</w:t>
            </w:r>
          </w:p>
        </w:tc>
        <w:tc>
          <w:tcPr>
            <w:tcW w:w="0" w:type="auto"/>
            <w:vAlign w:val="center"/>
          </w:tcPr>
          <w:p w:rsidR="00597BDB" w:rsidRPr="002B23D8" w:rsidRDefault="00597BDB" w:rsidP="00597BDB">
            <w:pPr>
              <w:pStyle w:val="NORCTableText"/>
              <w:spacing w:before="0" w:after="0"/>
              <w:contextualSpacing/>
              <w:jc w:val="center"/>
              <w:rPr>
                <w:rFonts w:asciiTheme="minorHAnsi" w:hAnsiTheme="minorHAnsi"/>
                <w:sz w:val="22"/>
                <w:szCs w:val="22"/>
              </w:rPr>
            </w:pPr>
            <w:r w:rsidRPr="002B23D8">
              <w:rPr>
                <w:rFonts w:asciiTheme="minorHAnsi" w:hAnsiTheme="minorHAnsi"/>
                <w:sz w:val="22"/>
                <w:szCs w:val="22"/>
              </w:rPr>
              <w:t>1,000</w:t>
            </w:r>
          </w:p>
        </w:tc>
        <w:tc>
          <w:tcPr>
            <w:tcW w:w="0" w:type="auto"/>
            <w:shd w:val="clear" w:color="auto" w:fill="auto"/>
            <w:vAlign w:val="center"/>
          </w:tcPr>
          <w:p w:rsidR="00597BDB" w:rsidRPr="002B23D8" w:rsidRDefault="00597BDB" w:rsidP="00597BDB">
            <w:pPr>
              <w:pStyle w:val="NORCTableText"/>
              <w:spacing w:before="0" w:after="0"/>
              <w:contextualSpacing/>
              <w:jc w:val="center"/>
              <w:rPr>
                <w:rFonts w:asciiTheme="minorHAnsi" w:hAnsiTheme="minorHAnsi"/>
                <w:sz w:val="22"/>
                <w:szCs w:val="22"/>
              </w:rPr>
            </w:pPr>
            <w:r w:rsidRPr="002B23D8">
              <w:rPr>
                <w:rFonts w:asciiTheme="minorHAnsi" w:hAnsiTheme="minorHAnsi"/>
                <w:sz w:val="22"/>
                <w:szCs w:val="22"/>
              </w:rPr>
              <w:t>1,000</w:t>
            </w:r>
          </w:p>
        </w:tc>
      </w:tr>
      <w:bookmarkEnd w:id="0"/>
      <w:bookmarkEnd w:id="1"/>
    </w:tbl>
    <w:p w:rsidR="00597BDB" w:rsidRDefault="00597BDB" w:rsidP="00597BDB">
      <w:pPr>
        <w:contextualSpacing/>
        <w:rPr>
          <w:rFonts w:asciiTheme="minorHAnsi" w:hAnsiTheme="minorHAnsi"/>
          <w:sz w:val="22"/>
          <w:szCs w:val="22"/>
        </w:rPr>
      </w:pPr>
    </w:p>
    <w:p w:rsidR="0065798F" w:rsidRPr="0065798F" w:rsidRDefault="0065798F" w:rsidP="00597BDB">
      <w:pPr>
        <w:contextualSpacing/>
        <w:rPr>
          <w:rFonts w:asciiTheme="minorHAnsi" w:hAnsiTheme="minorHAnsi"/>
          <w:b/>
          <w:sz w:val="22"/>
          <w:szCs w:val="22"/>
        </w:rPr>
      </w:pPr>
      <w:r w:rsidRPr="0065798F">
        <w:rPr>
          <w:rFonts w:asciiTheme="minorHAnsi" w:hAnsiTheme="minorHAnsi"/>
          <w:b/>
          <w:sz w:val="22"/>
          <w:szCs w:val="22"/>
        </w:rPr>
        <w:t>Burden Hours for Field Test</w:t>
      </w:r>
    </w:p>
    <w:p w:rsidR="0065798F" w:rsidRDefault="0065798F" w:rsidP="00597BDB">
      <w:pPr>
        <w:contextualSpacing/>
        <w:rPr>
          <w:rFonts w:asciiTheme="minorHAnsi" w:hAnsiTheme="minorHAnsi"/>
          <w:sz w:val="22"/>
          <w:szCs w:val="22"/>
        </w:rPr>
      </w:pPr>
    </w:p>
    <w:p w:rsidR="0065798F" w:rsidRPr="002B23D8" w:rsidRDefault="0065798F" w:rsidP="0065798F">
      <w:pPr>
        <w:contextualSpacing/>
        <w:rPr>
          <w:rFonts w:asciiTheme="minorHAnsi" w:hAnsiTheme="minorHAnsi"/>
          <w:color w:val="000000"/>
          <w:sz w:val="22"/>
          <w:szCs w:val="22"/>
        </w:rPr>
      </w:pPr>
      <w:r w:rsidRPr="002B23D8">
        <w:rPr>
          <w:rFonts w:asciiTheme="minorHAnsi" w:hAnsiTheme="minorHAnsi" w:cstheme="minorHAnsi"/>
          <w:color w:val="000000" w:themeColor="text1"/>
          <w:sz w:val="22"/>
          <w:szCs w:val="22"/>
        </w:rPr>
        <w:t xml:space="preserve">The burden hours requested for the field test </w:t>
      </w:r>
      <w:r w:rsidR="00FE2D7C">
        <w:rPr>
          <w:rFonts w:asciiTheme="minorHAnsi" w:hAnsiTheme="minorHAnsi" w:cstheme="minorHAnsi"/>
          <w:color w:val="000000" w:themeColor="text1"/>
          <w:sz w:val="22"/>
          <w:szCs w:val="22"/>
        </w:rPr>
        <w:t>is 1,339</w:t>
      </w:r>
      <w:r w:rsidRPr="00D86C14">
        <w:rPr>
          <w:rFonts w:asciiTheme="minorHAnsi" w:hAnsiTheme="minorHAnsi" w:cstheme="minorHAnsi"/>
          <w:color w:val="000000" w:themeColor="text1"/>
          <w:sz w:val="22"/>
          <w:szCs w:val="22"/>
        </w:rPr>
        <w:t xml:space="preserve"> hours</w:t>
      </w:r>
      <w:r w:rsidRPr="002B23D8">
        <w:rPr>
          <w:rFonts w:asciiTheme="minorHAnsi" w:hAnsiTheme="minorHAnsi" w:cstheme="minorHAnsi"/>
          <w:color w:val="000000" w:themeColor="text1"/>
          <w:sz w:val="22"/>
          <w:szCs w:val="22"/>
        </w:rPr>
        <w:t xml:space="preserve">. Approximately 2,000 respondents will be interviewed, and the approximate time required for each respondent is </w:t>
      </w:r>
      <w:r w:rsidR="00B95F56">
        <w:rPr>
          <w:rFonts w:asciiTheme="minorHAnsi" w:hAnsiTheme="minorHAnsi" w:cstheme="minorHAnsi"/>
          <w:color w:val="000000" w:themeColor="text1"/>
          <w:sz w:val="22"/>
          <w:szCs w:val="22"/>
        </w:rPr>
        <w:t>.28</w:t>
      </w:r>
      <w:r w:rsidRPr="00D86C14">
        <w:rPr>
          <w:rFonts w:asciiTheme="minorHAnsi" w:hAnsiTheme="minorHAnsi" w:cstheme="minorHAnsi"/>
          <w:color w:val="000000" w:themeColor="text1"/>
          <w:sz w:val="22"/>
          <w:szCs w:val="22"/>
        </w:rPr>
        <w:t xml:space="preserve"> hour</w:t>
      </w:r>
      <w:r w:rsidRPr="002B23D8">
        <w:rPr>
          <w:rFonts w:asciiTheme="minorHAnsi" w:hAnsiTheme="minorHAnsi" w:cstheme="minorHAnsi"/>
          <w:color w:val="000000" w:themeColor="text1"/>
          <w:sz w:val="22"/>
          <w:szCs w:val="22"/>
        </w:rPr>
        <w:t xml:space="preserve"> on average. These estimates are derived from analyzing the cognitive interviewing data </w:t>
      </w:r>
      <w:r w:rsidRPr="00636343">
        <w:rPr>
          <w:rFonts w:asciiTheme="minorHAnsi" w:hAnsiTheme="minorHAnsi" w:cstheme="minorHAnsi"/>
          <w:color w:val="000000" w:themeColor="text1"/>
          <w:sz w:val="22"/>
          <w:szCs w:val="22"/>
        </w:rPr>
        <w:t xml:space="preserve">(Attachment 1 – Findings from </w:t>
      </w:r>
      <w:bookmarkStart w:id="2" w:name="_GoBack"/>
      <w:bookmarkEnd w:id="2"/>
      <w:r>
        <w:rPr>
          <w:rFonts w:asciiTheme="minorHAnsi" w:hAnsiTheme="minorHAnsi" w:cstheme="minorHAnsi"/>
          <w:color w:val="000000" w:themeColor="text1"/>
          <w:sz w:val="22"/>
          <w:szCs w:val="22"/>
        </w:rPr>
        <w:t>C</w:t>
      </w:r>
      <w:r w:rsidRPr="00636343">
        <w:rPr>
          <w:rFonts w:asciiTheme="minorHAnsi" w:hAnsiTheme="minorHAnsi" w:cstheme="minorHAnsi"/>
          <w:color w:val="000000" w:themeColor="text1"/>
          <w:sz w:val="22"/>
          <w:szCs w:val="22"/>
        </w:rPr>
        <w:t xml:space="preserve">ognitive </w:t>
      </w:r>
      <w:r>
        <w:rPr>
          <w:rFonts w:asciiTheme="minorHAnsi" w:hAnsiTheme="minorHAnsi" w:cstheme="minorHAnsi"/>
          <w:color w:val="000000" w:themeColor="text1"/>
          <w:sz w:val="22"/>
          <w:szCs w:val="22"/>
        </w:rPr>
        <w:t>I</w:t>
      </w:r>
      <w:r w:rsidRPr="00636343">
        <w:rPr>
          <w:rFonts w:asciiTheme="minorHAnsi" w:hAnsiTheme="minorHAnsi" w:cstheme="minorHAnsi"/>
          <w:color w:val="000000" w:themeColor="text1"/>
          <w:sz w:val="22"/>
          <w:szCs w:val="22"/>
        </w:rPr>
        <w:t>nterviewing)</w:t>
      </w:r>
      <w:r w:rsidRPr="002B23D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The findings from </w:t>
      </w:r>
      <w:r w:rsidRPr="002B23D8">
        <w:rPr>
          <w:rFonts w:asciiTheme="minorHAnsi" w:hAnsiTheme="minorHAnsi"/>
          <w:color w:val="000000"/>
          <w:sz w:val="22"/>
          <w:szCs w:val="22"/>
        </w:rPr>
        <w:t>the cognitive interviews show that the average administration time for the ECP questions was approximately 5 minutes</w:t>
      </w:r>
      <w:r>
        <w:rPr>
          <w:rFonts w:asciiTheme="minorHAnsi" w:hAnsiTheme="minorHAnsi"/>
          <w:color w:val="000000"/>
          <w:sz w:val="22"/>
          <w:szCs w:val="22"/>
        </w:rPr>
        <w:t xml:space="preserve"> (.08 hour)</w:t>
      </w:r>
      <w:r w:rsidRPr="002B23D8">
        <w:rPr>
          <w:rFonts w:asciiTheme="minorHAnsi" w:hAnsiTheme="minorHAnsi"/>
          <w:color w:val="000000"/>
          <w:sz w:val="22"/>
          <w:szCs w:val="22"/>
        </w:rPr>
        <w:t xml:space="preserve">, with an average of </w:t>
      </w:r>
      <w:r>
        <w:rPr>
          <w:rFonts w:asciiTheme="minorHAnsi" w:hAnsiTheme="minorHAnsi"/>
          <w:color w:val="000000"/>
          <w:sz w:val="22"/>
          <w:szCs w:val="22"/>
        </w:rPr>
        <w:t>7.7</w:t>
      </w:r>
      <w:r w:rsidRPr="002B23D8">
        <w:rPr>
          <w:rFonts w:asciiTheme="minorHAnsi" w:hAnsiTheme="minorHAnsi"/>
          <w:color w:val="000000"/>
          <w:sz w:val="22"/>
          <w:szCs w:val="22"/>
        </w:rPr>
        <w:t xml:space="preserve"> minutes</w:t>
      </w:r>
      <w:r>
        <w:rPr>
          <w:rFonts w:asciiTheme="minorHAnsi" w:hAnsiTheme="minorHAnsi"/>
          <w:color w:val="000000"/>
          <w:sz w:val="22"/>
          <w:szCs w:val="22"/>
        </w:rPr>
        <w:t xml:space="preserve"> (.13 hour)</w:t>
      </w:r>
      <w:r w:rsidRPr="002B23D8">
        <w:rPr>
          <w:rFonts w:asciiTheme="minorHAnsi" w:hAnsiTheme="minorHAnsi"/>
          <w:color w:val="000000"/>
          <w:sz w:val="22"/>
          <w:szCs w:val="22"/>
        </w:rPr>
        <w:t xml:space="preserve"> to answer the screener questions. Respondents averaged a completed incident report in 7 minutes</w:t>
      </w:r>
      <w:r>
        <w:rPr>
          <w:rFonts w:asciiTheme="minorHAnsi" w:hAnsiTheme="minorHAnsi"/>
          <w:color w:val="000000"/>
          <w:sz w:val="22"/>
          <w:szCs w:val="22"/>
        </w:rPr>
        <w:t xml:space="preserve"> (.12 hour)</w:t>
      </w:r>
      <w:r w:rsidRPr="002B23D8">
        <w:rPr>
          <w:rFonts w:asciiTheme="minorHAnsi" w:hAnsiTheme="minorHAnsi"/>
          <w:color w:val="000000"/>
          <w:sz w:val="22"/>
          <w:szCs w:val="22"/>
        </w:rPr>
        <w:t>. The consent process at the beginning and the additional demographic questions at the end of the interview are estimated to add 5 minutes</w:t>
      </w:r>
      <w:r>
        <w:rPr>
          <w:rFonts w:asciiTheme="minorHAnsi" w:hAnsiTheme="minorHAnsi"/>
          <w:color w:val="000000"/>
          <w:sz w:val="22"/>
          <w:szCs w:val="22"/>
        </w:rPr>
        <w:t xml:space="preserve"> (.04 hour consent and .04 hour, respectively)</w:t>
      </w:r>
      <w:r w:rsidRPr="002B23D8">
        <w:rPr>
          <w:rFonts w:asciiTheme="minorHAnsi" w:hAnsiTheme="minorHAnsi"/>
          <w:color w:val="000000"/>
          <w:sz w:val="22"/>
          <w:szCs w:val="22"/>
        </w:rPr>
        <w:t xml:space="preserve"> to the interview.</w:t>
      </w:r>
      <w:r>
        <w:rPr>
          <w:rFonts w:asciiTheme="minorHAnsi" w:hAnsiTheme="minorHAnsi"/>
          <w:color w:val="000000"/>
          <w:sz w:val="22"/>
          <w:szCs w:val="22"/>
        </w:rPr>
        <w:t xml:space="preserve"> No </w:t>
      </w:r>
      <w:r w:rsidRPr="002B23D8">
        <w:rPr>
          <w:rFonts w:asciiTheme="minorHAnsi" w:hAnsiTheme="minorHAnsi"/>
          <w:color w:val="000000"/>
          <w:sz w:val="22"/>
          <w:szCs w:val="22"/>
        </w:rPr>
        <w:t>more than 4 incident reports per respondent</w:t>
      </w:r>
      <w:r>
        <w:rPr>
          <w:rFonts w:asciiTheme="minorHAnsi" w:hAnsiTheme="minorHAnsi"/>
          <w:color w:val="000000"/>
          <w:sz w:val="22"/>
          <w:szCs w:val="22"/>
        </w:rPr>
        <w:t xml:space="preserve"> will be collected during the field test. Hence, in Table </w:t>
      </w:r>
      <w:r w:rsidR="0030515E">
        <w:rPr>
          <w:rFonts w:asciiTheme="minorHAnsi" w:hAnsiTheme="minorHAnsi"/>
          <w:color w:val="000000"/>
          <w:sz w:val="22"/>
          <w:szCs w:val="22"/>
        </w:rPr>
        <w:t>2</w:t>
      </w:r>
      <w:r>
        <w:rPr>
          <w:rFonts w:asciiTheme="minorHAnsi" w:hAnsiTheme="minorHAnsi"/>
          <w:color w:val="000000"/>
          <w:sz w:val="22"/>
          <w:szCs w:val="22"/>
        </w:rPr>
        <w:t xml:space="preserve"> we assume an average of two incident reports for each respondent who reports victimization. For more detailed information on the sample, please refer to Table </w:t>
      </w:r>
      <w:r w:rsidR="00AE30AE">
        <w:rPr>
          <w:rFonts w:asciiTheme="minorHAnsi" w:hAnsiTheme="minorHAnsi"/>
          <w:color w:val="000000"/>
          <w:sz w:val="22"/>
          <w:szCs w:val="22"/>
        </w:rPr>
        <w:t>6</w:t>
      </w:r>
      <w:r>
        <w:rPr>
          <w:rFonts w:asciiTheme="minorHAnsi" w:hAnsiTheme="minorHAnsi"/>
          <w:color w:val="000000"/>
          <w:sz w:val="22"/>
          <w:szCs w:val="22"/>
        </w:rPr>
        <w:t xml:space="preserve">. </w:t>
      </w:r>
    </w:p>
    <w:p w:rsidR="00BA6BC9" w:rsidRDefault="00BA6BC9">
      <w:pPr>
        <w:spacing w:after="200" w:line="276" w:lineRule="auto"/>
        <w:rPr>
          <w:rFonts w:asciiTheme="minorHAnsi" w:hAnsiTheme="minorHAnsi"/>
          <w:color w:val="000000"/>
          <w:sz w:val="22"/>
          <w:szCs w:val="22"/>
        </w:rPr>
      </w:pPr>
      <w:r>
        <w:rPr>
          <w:rFonts w:asciiTheme="minorHAnsi" w:hAnsiTheme="minorHAnsi"/>
          <w:color w:val="000000"/>
          <w:sz w:val="22"/>
          <w:szCs w:val="22"/>
        </w:rPr>
        <w:br w:type="page"/>
      </w:r>
    </w:p>
    <w:p w:rsidR="0065798F" w:rsidRPr="002B23D8" w:rsidRDefault="0065798F" w:rsidP="0065798F">
      <w:pPr>
        <w:contextualSpacing/>
        <w:rPr>
          <w:rFonts w:asciiTheme="minorHAnsi" w:hAnsiTheme="minorHAnsi"/>
          <w:color w:val="000000"/>
          <w:sz w:val="22"/>
          <w:szCs w:val="22"/>
        </w:rPr>
      </w:pPr>
    </w:p>
    <w:p w:rsidR="0065798F" w:rsidRPr="002B23D8" w:rsidRDefault="0065798F" w:rsidP="0065798F">
      <w:pPr>
        <w:contextualSpacing/>
        <w:rPr>
          <w:rFonts w:asciiTheme="minorHAnsi" w:hAnsiTheme="minorHAnsi"/>
          <w:b/>
          <w:color w:val="000000"/>
          <w:sz w:val="22"/>
          <w:szCs w:val="22"/>
        </w:rPr>
      </w:pPr>
      <w:r w:rsidRPr="002B23D8">
        <w:rPr>
          <w:rFonts w:asciiTheme="minorHAnsi" w:hAnsiTheme="minorHAnsi"/>
          <w:color w:val="000000"/>
          <w:sz w:val="22"/>
          <w:szCs w:val="22"/>
        </w:rPr>
        <w:t>T</w:t>
      </w:r>
      <w:r w:rsidRPr="002B23D8">
        <w:rPr>
          <w:rFonts w:asciiTheme="minorHAnsi" w:hAnsiTheme="minorHAnsi"/>
          <w:b/>
          <w:color w:val="000000"/>
          <w:sz w:val="22"/>
          <w:szCs w:val="22"/>
        </w:rPr>
        <w:t xml:space="preserve">able </w:t>
      </w:r>
      <w:r w:rsidR="00C71601">
        <w:rPr>
          <w:rFonts w:asciiTheme="minorHAnsi" w:hAnsiTheme="minorHAnsi"/>
          <w:b/>
          <w:color w:val="000000"/>
          <w:sz w:val="22"/>
          <w:szCs w:val="22"/>
        </w:rPr>
        <w:t>2</w:t>
      </w:r>
      <w:r w:rsidRPr="002B23D8">
        <w:rPr>
          <w:rFonts w:asciiTheme="minorHAnsi" w:hAnsiTheme="minorHAnsi"/>
          <w:b/>
          <w:color w:val="000000"/>
          <w:sz w:val="22"/>
          <w:szCs w:val="22"/>
        </w:rPr>
        <w:t>: Administration Times</w:t>
      </w:r>
    </w:p>
    <w:tbl>
      <w:tblPr>
        <w:tblW w:w="0" w:type="auto"/>
        <w:tblInd w:w="198" w:type="dxa"/>
        <w:tblBorders>
          <w:bottom w:val="single" w:sz="8" w:space="0" w:color="000000"/>
          <w:insideH w:val="single" w:sz="8" w:space="0" w:color="000000"/>
        </w:tblBorders>
        <w:tblCellMar>
          <w:left w:w="0" w:type="dxa"/>
          <w:right w:w="0" w:type="dxa"/>
        </w:tblCellMar>
        <w:tblLook w:val="04A0"/>
      </w:tblPr>
      <w:tblGrid>
        <w:gridCol w:w="1197"/>
        <w:gridCol w:w="1817"/>
        <w:gridCol w:w="1617"/>
        <w:gridCol w:w="1491"/>
        <w:gridCol w:w="2788"/>
      </w:tblGrid>
      <w:tr w:rsidR="0065798F" w:rsidRPr="00D86C14" w:rsidTr="00315603">
        <w:tc>
          <w:tcPr>
            <w:tcW w:w="1197" w:type="dxa"/>
            <w:tcBorders>
              <w:top w:val="single" w:sz="8" w:space="0" w:color="000000"/>
              <w:bottom w:val="single" w:sz="8" w:space="0" w:color="000000"/>
            </w:tcBorders>
            <w:tcMar>
              <w:top w:w="0" w:type="dxa"/>
              <w:left w:w="108" w:type="dxa"/>
              <w:bottom w:w="0" w:type="dxa"/>
              <w:right w:w="108" w:type="dxa"/>
            </w:tcMar>
          </w:tcPr>
          <w:p w:rsidR="0065798F" w:rsidRPr="00D86C14" w:rsidRDefault="0065798F" w:rsidP="00315603">
            <w:pPr>
              <w:rPr>
                <w:rFonts w:asciiTheme="minorHAnsi" w:eastAsiaTheme="minorHAnsi" w:hAnsiTheme="minorHAnsi" w:cstheme="minorHAnsi"/>
                <w:b/>
                <w:bCs/>
                <w:color w:val="000000"/>
                <w:sz w:val="20"/>
                <w:szCs w:val="20"/>
              </w:rPr>
            </w:pPr>
          </w:p>
        </w:tc>
        <w:tc>
          <w:tcPr>
            <w:tcW w:w="1817" w:type="dxa"/>
            <w:tcBorders>
              <w:top w:val="single" w:sz="8" w:space="0" w:color="000000"/>
              <w:bottom w:val="single" w:sz="8" w:space="0" w:color="000000"/>
            </w:tcBorders>
            <w:tcMar>
              <w:top w:w="0" w:type="dxa"/>
              <w:left w:w="108" w:type="dxa"/>
              <w:bottom w:w="0" w:type="dxa"/>
              <w:right w:w="108" w:type="dxa"/>
            </w:tcMar>
            <w:hideMark/>
          </w:tcPr>
          <w:p w:rsidR="0065798F" w:rsidRPr="00D86C14" w:rsidRDefault="0065798F" w:rsidP="00315603">
            <w:pPr>
              <w:jc w:val="center"/>
              <w:rPr>
                <w:rFonts w:asciiTheme="minorHAnsi" w:eastAsiaTheme="minorHAnsi" w:hAnsiTheme="minorHAnsi" w:cstheme="minorHAnsi"/>
                <w:b/>
                <w:bCs/>
                <w:color w:val="000000"/>
                <w:sz w:val="20"/>
                <w:szCs w:val="20"/>
              </w:rPr>
            </w:pPr>
            <w:r w:rsidRPr="00D86C14">
              <w:rPr>
                <w:rFonts w:asciiTheme="minorHAnsi" w:hAnsiTheme="minorHAnsi" w:cstheme="minorHAnsi"/>
                <w:b/>
                <w:bCs/>
                <w:color w:val="000000"/>
                <w:sz w:val="20"/>
                <w:szCs w:val="20"/>
              </w:rPr>
              <w:t>Reporting Method</w:t>
            </w:r>
          </w:p>
        </w:tc>
        <w:tc>
          <w:tcPr>
            <w:tcW w:w="1617" w:type="dxa"/>
            <w:tcBorders>
              <w:top w:val="single" w:sz="8" w:space="0" w:color="000000"/>
              <w:bottom w:val="single" w:sz="8" w:space="0" w:color="000000"/>
            </w:tcBorders>
            <w:tcMar>
              <w:top w:w="0" w:type="dxa"/>
              <w:left w:w="108" w:type="dxa"/>
              <w:bottom w:w="0" w:type="dxa"/>
              <w:right w:w="108" w:type="dxa"/>
            </w:tcMar>
            <w:hideMark/>
          </w:tcPr>
          <w:p w:rsidR="0065798F" w:rsidRPr="00D86C14" w:rsidRDefault="0065798F" w:rsidP="00315603">
            <w:pPr>
              <w:jc w:val="center"/>
              <w:rPr>
                <w:rFonts w:asciiTheme="minorHAnsi" w:eastAsiaTheme="minorHAnsi" w:hAnsiTheme="minorHAnsi" w:cstheme="minorHAnsi"/>
                <w:b/>
                <w:bCs/>
                <w:color w:val="000000"/>
                <w:sz w:val="20"/>
                <w:szCs w:val="20"/>
              </w:rPr>
            </w:pPr>
            <w:r w:rsidRPr="00D86C14">
              <w:rPr>
                <w:rFonts w:asciiTheme="minorHAnsi" w:hAnsiTheme="minorHAnsi" w:cstheme="minorHAnsi"/>
                <w:b/>
                <w:bCs/>
                <w:color w:val="000000"/>
                <w:sz w:val="20"/>
                <w:szCs w:val="20"/>
              </w:rPr>
              <w:t>Number of Respondents</w:t>
            </w:r>
          </w:p>
        </w:tc>
        <w:tc>
          <w:tcPr>
            <w:tcW w:w="1491" w:type="dxa"/>
            <w:tcBorders>
              <w:top w:val="single" w:sz="8" w:space="0" w:color="000000"/>
              <w:bottom w:val="single" w:sz="8" w:space="0" w:color="000000"/>
            </w:tcBorders>
            <w:tcMar>
              <w:top w:w="0" w:type="dxa"/>
              <w:left w:w="108" w:type="dxa"/>
              <w:bottom w:w="0" w:type="dxa"/>
              <w:right w:w="108" w:type="dxa"/>
            </w:tcMar>
            <w:hideMark/>
          </w:tcPr>
          <w:p w:rsidR="0065798F" w:rsidRPr="00D86C14" w:rsidRDefault="0065798F" w:rsidP="00315603">
            <w:pPr>
              <w:jc w:val="center"/>
              <w:rPr>
                <w:rFonts w:asciiTheme="minorHAnsi" w:eastAsiaTheme="minorHAnsi" w:hAnsiTheme="minorHAnsi" w:cstheme="minorHAnsi"/>
                <w:b/>
                <w:bCs/>
                <w:color w:val="000000"/>
                <w:sz w:val="20"/>
                <w:szCs w:val="20"/>
              </w:rPr>
            </w:pPr>
            <w:r w:rsidRPr="00D86C14">
              <w:rPr>
                <w:rFonts w:asciiTheme="minorHAnsi" w:hAnsiTheme="minorHAnsi" w:cstheme="minorHAnsi"/>
                <w:b/>
                <w:bCs/>
                <w:color w:val="000000"/>
                <w:sz w:val="20"/>
                <w:szCs w:val="20"/>
              </w:rPr>
              <w:t>Average Time (hours)</w:t>
            </w:r>
          </w:p>
        </w:tc>
        <w:tc>
          <w:tcPr>
            <w:tcW w:w="2788" w:type="dxa"/>
            <w:tcBorders>
              <w:top w:val="single" w:sz="8" w:space="0" w:color="000000"/>
              <w:bottom w:val="single" w:sz="8" w:space="0" w:color="000000"/>
            </w:tcBorders>
            <w:tcMar>
              <w:top w:w="0" w:type="dxa"/>
              <w:left w:w="108" w:type="dxa"/>
              <w:bottom w:w="0" w:type="dxa"/>
              <w:right w:w="108" w:type="dxa"/>
            </w:tcMar>
            <w:hideMark/>
          </w:tcPr>
          <w:p w:rsidR="0065798F" w:rsidRPr="00D86C14" w:rsidRDefault="0065798F" w:rsidP="00315603">
            <w:pPr>
              <w:jc w:val="center"/>
              <w:rPr>
                <w:rFonts w:asciiTheme="minorHAnsi" w:hAnsiTheme="minorHAnsi" w:cstheme="minorHAnsi"/>
                <w:b/>
                <w:bCs/>
                <w:color w:val="000000"/>
                <w:sz w:val="20"/>
                <w:szCs w:val="20"/>
              </w:rPr>
            </w:pPr>
            <w:r w:rsidRPr="00D86C14">
              <w:rPr>
                <w:rFonts w:asciiTheme="minorHAnsi" w:hAnsiTheme="minorHAnsi" w:cstheme="minorHAnsi"/>
                <w:b/>
                <w:bCs/>
                <w:color w:val="000000"/>
                <w:sz w:val="20"/>
                <w:szCs w:val="20"/>
              </w:rPr>
              <w:t>Total Burden</w:t>
            </w:r>
          </w:p>
          <w:p w:rsidR="0065798F" w:rsidRPr="00D86C14" w:rsidRDefault="0065798F" w:rsidP="00315603">
            <w:pPr>
              <w:jc w:val="center"/>
              <w:rPr>
                <w:rFonts w:asciiTheme="minorHAnsi" w:eastAsiaTheme="minorHAnsi" w:hAnsiTheme="minorHAnsi" w:cstheme="minorHAnsi"/>
                <w:b/>
                <w:bCs/>
                <w:color w:val="000000"/>
                <w:sz w:val="20"/>
                <w:szCs w:val="20"/>
              </w:rPr>
            </w:pPr>
            <w:r w:rsidRPr="00D86C14">
              <w:rPr>
                <w:rFonts w:asciiTheme="minorHAnsi" w:hAnsiTheme="minorHAnsi" w:cstheme="minorHAnsi"/>
                <w:b/>
                <w:bCs/>
                <w:color w:val="000000"/>
                <w:sz w:val="20"/>
                <w:szCs w:val="20"/>
              </w:rPr>
              <w:t>(hours)</w:t>
            </w:r>
          </w:p>
        </w:tc>
      </w:tr>
      <w:tr w:rsidR="0065798F" w:rsidRPr="00D86C14" w:rsidTr="00315603">
        <w:tc>
          <w:tcPr>
            <w:tcW w:w="8910" w:type="dxa"/>
            <w:gridSpan w:val="5"/>
            <w:tcBorders>
              <w:top w:val="single" w:sz="8" w:space="0" w:color="000000"/>
              <w:bottom w:val="nil"/>
            </w:tcBorders>
            <w:tcMar>
              <w:top w:w="0" w:type="dxa"/>
              <w:left w:w="108" w:type="dxa"/>
              <w:bottom w:w="0" w:type="dxa"/>
              <w:right w:w="108" w:type="dxa"/>
            </w:tcMar>
          </w:tcPr>
          <w:p w:rsidR="0065798F" w:rsidRPr="00B43542" w:rsidRDefault="0065798F" w:rsidP="0065798F">
            <w:pPr>
              <w:pStyle w:val="ListParagraph"/>
              <w:numPr>
                <w:ilvl w:val="0"/>
                <w:numId w:val="2"/>
              </w:numPr>
              <w:rPr>
                <w:rFonts w:asciiTheme="minorHAnsi" w:hAnsiTheme="minorHAnsi" w:cstheme="minorHAnsi"/>
                <w:color w:val="000000"/>
                <w:sz w:val="20"/>
                <w:szCs w:val="20"/>
              </w:rPr>
            </w:pPr>
            <w:r w:rsidRPr="00B43542">
              <w:rPr>
                <w:rFonts w:asciiTheme="minorHAnsi" w:hAnsiTheme="minorHAnsi" w:cstheme="minorHAnsi"/>
                <w:color w:val="000000"/>
                <w:sz w:val="20"/>
                <w:szCs w:val="20"/>
              </w:rPr>
              <w:t>From RD</w:t>
            </w:r>
            <w:r w:rsidR="00BA6BC9">
              <w:rPr>
                <w:rFonts w:asciiTheme="minorHAnsi" w:hAnsiTheme="minorHAnsi" w:cstheme="minorHAnsi"/>
                <w:color w:val="000000"/>
                <w:sz w:val="20"/>
                <w:szCs w:val="20"/>
              </w:rPr>
              <w:t>D sample size of 26,646 numbers, 45% (11,99</w:t>
            </w:r>
            <w:r w:rsidR="0030515E">
              <w:rPr>
                <w:rFonts w:asciiTheme="minorHAnsi" w:hAnsiTheme="minorHAnsi" w:cstheme="minorHAnsi"/>
                <w:color w:val="000000"/>
                <w:sz w:val="20"/>
                <w:szCs w:val="20"/>
              </w:rPr>
              <w:t>1</w:t>
            </w:r>
            <w:r w:rsidRPr="00B43542">
              <w:rPr>
                <w:rFonts w:asciiTheme="minorHAnsi" w:hAnsiTheme="minorHAnsi" w:cstheme="minorHAnsi"/>
                <w:color w:val="000000"/>
                <w:sz w:val="20"/>
                <w:szCs w:val="20"/>
              </w:rPr>
              <w:t>) will be reso</w:t>
            </w:r>
            <w:r w:rsidR="00BA6BC9">
              <w:rPr>
                <w:rFonts w:asciiTheme="minorHAnsi" w:hAnsiTheme="minorHAnsi" w:cstheme="minorHAnsi"/>
                <w:color w:val="000000"/>
                <w:sz w:val="20"/>
                <w:szCs w:val="20"/>
              </w:rPr>
              <w:t>lved before CATI and 55% (14,655</w:t>
            </w:r>
            <w:r w:rsidRPr="00B43542">
              <w:rPr>
                <w:rFonts w:asciiTheme="minorHAnsi" w:hAnsiTheme="minorHAnsi" w:cstheme="minorHAnsi"/>
                <w:color w:val="000000"/>
                <w:sz w:val="20"/>
                <w:szCs w:val="20"/>
              </w:rPr>
              <w:t xml:space="preserve">) will be worked.  </w:t>
            </w:r>
            <w:r>
              <w:rPr>
                <w:rFonts w:asciiTheme="minorHAnsi" w:hAnsiTheme="minorHAnsi" w:cstheme="minorHAnsi"/>
                <w:color w:val="000000"/>
                <w:sz w:val="20"/>
                <w:szCs w:val="20"/>
              </w:rPr>
              <w:t>Estimated</w:t>
            </w:r>
            <w:r w:rsidRPr="00B43542">
              <w:rPr>
                <w:rFonts w:asciiTheme="minorHAnsi" w:hAnsiTheme="minorHAnsi" w:cstheme="minorHAnsi"/>
                <w:color w:val="000000"/>
                <w:sz w:val="20"/>
                <w:szCs w:val="20"/>
              </w:rPr>
              <w:t xml:space="preserve"> 1 minute of respondent burden (.017 hour) per number. </w:t>
            </w:r>
          </w:p>
          <w:p w:rsidR="0065798F" w:rsidRPr="00D86C14" w:rsidRDefault="0065798F" w:rsidP="00315603">
            <w:pPr>
              <w:rPr>
                <w:rFonts w:asciiTheme="minorHAnsi" w:hAnsiTheme="minorHAnsi" w:cstheme="minorHAnsi"/>
                <w:color w:val="000000"/>
                <w:sz w:val="20"/>
                <w:szCs w:val="20"/>
              </w:rPr>
            </w:pPr>
          </w:p>
        </w:tc>
      </w:tr>
      <w:tr w:rsidR="0065798F" w:rsidRPr="00D86C14" w:rsidTr="00315603">
        <w:trPr>
          <w:trHeight w:val="556"/>
        </w:trPr>
        <w:tc>
          <w:tcPr>
            <w:tcW w:w="1197" w:type="dxa"/>
            <w:tcBorders>
              <w:top w:val="nil"/>
              <w:bottom w:val="nil"/>
            </w:tcBorders>
            <w:tcMar>
              <w:top w:w="0" w:type="dxa"/>
              <w:left w:w="108" w:type="dxa"/>
              <w:bottom w:w="0" w:type="dxa"/>
              <w:right w:w="108" w:type="dxa"/>
            </w:tcMar>
          </w:tcPr>
          <w:p w:rsidR="0065798F" w:rsidRPr="00D86C14" w:rsidRDefault="0065798F" w:rsidP="00315603">
            <w:pPr>
              <w:ind w:left="360"/>
              <w:rPr>
                <w:rFonts w:asciiTheme="minorHAnsi" w:hAnsiTheme="minorHAnsi" w:cstheme="minorHAnsi"/>
                <w:color w:val="000000"/>
                <w:sz w:val="20"/>
                <w:szCs w:val="20"/>
              </w:rPr>
            </w:pPr>
          </w:p>
        </w:tc>
        <w:tc>
          <w:tcPr>
            <w:tcW w:w="1817" w:type="dxa"/>
            <w:tcBorders>
              <w:top w:val="nil"/>
            </w:tcBorders>
            <w:tcMar>
              <w:top w:w="0" w:type="dxa"/>
              <w:left w:w="108" w:type="dxa"/>
              <w:bottom w:w="0" w:type="dxa"/>
              <w:right w:w="108" w:type="dxa"/>
            </w:tcMar>
          </w:tcPr>
          <w:p w:rsidR="0065798F" w:rsidRPr="00D86C14" w:rsidRDefault="0065798F" w:rsidP="00315603">
            <w:pPr>
              <w:rPr>
                <w:rFonts w:asciiTheme="minorHAnsi" w:hAnsiTheme="minorHAnsi" w:cstheme="minorHAnsi"/>
                <w:color w:val="000000"/>
                <w:sz w:val="20"/>
                <w:szCs w:val="20"/>
              </w:rPr>
            </w:pPr>
            <w:r w:rsidRPr="00D86C14">
              <w:rPr>
                <w:rFonts w:asciiTheme="minorHAnsi" w:hAnsiTheme="minorHAnsi" w:cstheme="minorHAnsi"/>
                <w:color w:val="000000"/>
                <w:sz w:val="20"/>
                <w:szCs w:val="20"/>
              </w:rPr>
              <w:t>CATI telephone numbers dialed</w:t>
            </w:r>
          </w:p>
        </w:tc>
        <w:tc>
          <w:tcPr>
            <w:tcW w:w="1617" w:type="dxa"/>
            <w:tcBorders>
              <w:top w:val="nil"/>
            </w:tcBorders>
            <w:tcMar>
              <w:top w:w="0" w:type="dxa"/>
              <w:left w:w="108" w:type="dxa"/>
              <w:bottom w:w="0" w:type="dxa"/>
              <w:right w:w="108" w:type="dxa"/>
            </w:tcMar>
            <w:vAlign w:val="center"/>
          </w:tcPr>
          <w:p w:rsidR="0065798F" w:rsidRPr="00D86C14" w:rsidRDefault="00BA6BC9" w:rsidP="00315603">
            <w:pPr>
              <w:jc w:val="center"/>
              <w:rPr>
                <w:rFonts w:asciiTheme="minorHAnsi" w:hAnsiTheme="minorHAnsi" w:cstheme="minorHAnsi"/>
                <w:color w:val="000000"/>
                <w:sz w:val="20"/>
                <w:szCs w:val="20"/>
              </w:rPr>
            </w:pPr>
            <w:r>
              <w:rPr>
                <w:rFonts w:asciiTheme="minorHAnsi" w:hAnsiTheme="minorHAnsi" w:cstheme="minorHAnsi"/>
                <w:color w:val="000000"/>
                <w:sz w:val="20"/>
                <w:szCs w:val="20"/>
              </w:rPr>
              <w:t>14,655</w:t>
            </w:r>
          </w:p>
        </w:tc>
        <w:tc>
          <w:tcPr>
            <w:tcW w:w="1491" w:type="dxa"/>
            <w:tcBorders>
              <w:top w:val="nil"/>
            </w:tcBorders>
            <w:tcMar>
              <w:top w:w="0" w:type="dxa"/>
              <w:left w:w="108" w:type="dxa"/>
              <w:bottom w:w="0" w:type="dxa"/>
              <w:right w:w="108" w:type="dxa"/>
            </w:tcMar>
            <w:vAlign w:val="center"/>
          </w:tcPr>
          <w:p w:rsidR="0065798F" w:rsidRPr="00D86C14" w:rsidRDefault="0065798F" w:rsidP="00315603">
            <w:pPr>
              <w:jc w:val="center"/>
              <w:rPr>
                <w:rFonts w:asciiTheme="minorHAnsi" w:hAnsiTheme="minorHAnsi" w:cstheme="minorHAnsi"/>
                <w:color w:val="000000"/>
                <w:sz w:val="20"/>
                <w:szCs w:val="20"/>
              </w:rPr>
            </w:pPr>
            <w:r w:rsidRPr="00D86C14">
              <w:rPr>
                <w:rFonts w:asciiTheme="minorHAnsi" w:hAnsiTheme="minorHAnsi" w:cstheme="minorHAnsi"/>
                <w:color w:val="000000"/>
                <w:sz w:val="20"/>
                <w:szCs w:val="20"/>
              </w:rPr>
              <w:t>.017</w:t>
            </w:r>
          </w:p>
        </w:tc>
        <w:tc>
          <w:tcPr>
            <w:tcW w:w="2788" w:type="dxa"/>
            <w:tcBorders>
              <w:top w:val="nil"/>
            </w:tcBorders>
            <w:tcMar>
              <w:top w:w="0" w:type="dxa"/>
              <w:left w:w="108" w:type="dxa"/>
              <w:bottom w:w="0" w:type="dxa"/>
              <w:right w:w="108" w:type="dxa"/>
            </w:tcMar>
            <w:vAlign w:val="center"/>
          </w:tcPr>
          <w:p w:rsidR="0065798F" w:rsidRPr="00D86C14" w:rsidRDefault="00BA6BC9" w:rsidP="00315603">
            <w:pPr>
              <w:jc w:val="center"/>
              <w:rPr>
                <w:rFonts w:asciiTheme="minorHAnsi" w:hAnsiTheme="minorHAnsi" w:cstheme="minorHAnsi"/>
                <w:color w:val="000000"/>
                <w:sz w:val="20"/>
                <w:szCs w:val="20"/>
              </w:rPr>
            </w:pPr>
            <w:r>
              <w:rPr>
                <w:rFonts w:asciiTheme="minorHAnsi" w:hAnsiTheme="minorHAnsi" w:cstheme="minorHAnsi"/>
                <w:color w:val="000000"/>
                <w:sz w:val="20"/>
                <w:szCs w:val="20"/>
              </w:rPr>
              <w:t>249</w:t>
            </w:r>
          </w:p>
        </w:tc>
      </w:tr>
      <w:tr w:rsidR="0065798F" w:rsidRPr="00D86C14" w:rsidTr="00315603">
        <w:tc>
          <w:tcPr>
            <w:tcW w:w="8910" w:type="dxa"/>
            <w:gridSpan w:val="5"/>
            <w:tcBorders>
              <w:top w:val="single" w:sz="8" w:space="0" w:color="000000"/>
              <w:bottom w:val="nil"/>
            </w:tcBorders>
            <w:tcMar>
              <w:top w:w="0" w:type="dxa"/>
              <w:left w:w="108" w:type="dxa"/>
              <w:bottom w:w="0" w:type="dxa"/>
              <w:right w:w="108" w:type="dxa"/>
            </w:tcMar>
          </w:tcPr>
          <w:p w:rsidR="0065798F" w:rsidRPr="00B43542" w:rsidRDefault="00BA6BC9" w:rsidP="0065798F">
            <w:pPr>
              <w:pStyle w:val="ListParagraph"/>
              <w:numPr>
                <w:ilvl w:val="0"/>
                <w:numId w:val="2"/>
              </w:numPr>
              <w:rPr>
                <w:rFonts w:asciiTheme="minorHAnsi" w:hAnsiTheme="minorHAnsi" w:cstheme="minorHAnsi"/>
                <w:color w:val="000000"/>
                <w:sz w:val="20"/>
                <w:szCs w:val="20"/>
              </w:rPr>
            </w:pPr>
            <w:r>
              <w:rPr>
                <w:rFonts w:asciiTheme="minorHAnsi" w:hAnsiTheme="minorHAnsi" w:cstheme="minorHAnsi"/>
                <w:color w:val="000000"/>
                <w:sz w:val="20"/>
                <w:szCs w:val="20"/>
              </w:rPr>
              <w:t>Of 14,655</w:t>
            </w:r>
            <w:r w:rsidR="0065798F" w:rsidRPr="00B43542">
              <w:rPr>
                <w:rFonts w:asciiTheme="minorHAnsi" w:hAnsiTheme="minorHAnsi" w:cstheme="minorHAnsi"/>
                <w:color w:val="000000"/>
                <w:sz w:val="20"/>
                <w:szCs w:val="20"/>
              </w:rPr>
              <w:t xml:space="preserve"> numbers worked in CATI</w:t>
            </w:r>
            <w:r>
              <w:rPr>
                <w:rFonts w:asciiTheme="minorHAnsi" w:hAnsiTheme="minorHAnsi" w:cstheme="minorHAnsi"/>
                <w:color w:val="000000"/>
                <w:sz w:val="20"/>
                <w:szCs w:val="20"/>
              </w:rPr>
              <w:t>, 45% (6,595</w:t>
            </w:r>
            <w:r w:rsidR="0065798F" w:rsidRPr="00B43542">
              <w:rPr>
                <w:rFonts w:asciiTheme="minorHAnsi" w:hAnsiTheme="minorHAnsi" w:cstheme="minorHAnsi"/>
                <w:color w:val="000000"/>
                <w:sz w:val="20"/>
                <w:szCs w:val="20"/>
              </w:rPr>
              <w:t xml:space="preserve">) will be Working Residential Numbers (WRN).  </w:t>
            </w:r>
            <w:r w:rsidR="0065798F">
              <w:rPr>
                <w:rFonts w:asciiTheme="minorHAnsi" w:hAnsiTheme="minorHAnsi" w:cstheme="minorHAnsi"/>
                <w:color w:val="000000"/>
                <w:sz w:val="20"/>
                <w:szCs w:val="20"/>
              </w:rPr>
              <w:t>Estimated</w:t>
            </w:r>
            <w:r w:rsidR="0065798F" w:rsidRPr="00B43542">
              <w:rPr>
                <w:rFonts w:asciiTheme="minorHAnsi" w:hAnsiTheme="minorHAnsi" w:cstheme="minorHAnsi"/>
                <w:color w:val="000000"/>
                <w:sz w:val="20"/>
                <w:szCs w:val="20"/>
              </w:rPr>
              <w:t xml:space="preserve"> 5 minutes of respondent</w:t>
            </w:r>
            <w:r>
              <w:rPr>
                <w:rFonts w:asciiTheme="minorHAnsi" w:hAnsiTheme="minorHAnsi" w:cstheme="minorHAnsi"/>
                <w:color w:val="000000"/>
                <w:sz w:val="20"/>
                <w:szCs w:val="20"/>
              </w:rPr>
              <w:t xml:space="preserve"> burden (.08 hour). Of the 6,595</w:t>
            </w:r>
            <w:r w:rsidR="0065798F" w:rsidRPr="00B43542">
              <w:rPr>
                <w:rFonts w:asciiTheme="minorHAnsi" w:hAnsiTheme="minorHAnsi" w:cstheme="minorHAnsi"/>
                <w:color w:val="000000"/>
                <w:sz w:val="20"/>
                <w:szCs w:val="20"/>
              </w:rPr>
              <w:t xml:space="preserve"> work</w:t>
            </w:r>
            <w:r>
              <w:rPr>
                <w:rFonts w:asciiTheme="minorHAnsi" w:hAnsiTheme="minorHAnsi" w:cstheme="minorHAnsi"/>
                <w:color w:val="000000"/>
                <w:sz w:val="20"/>
                <w:szCs w:val="20"/>
              </w:rPr>
              <w:t>ing WRN, an estimated 80% (5,276</w:t>
            </w:r>
            <w:r w:rsidR="0065798F" w:rsidRPr="00B43542">
              <w:rPr>
                <w:rFonts w:asciiTheme="minorHAnsi" w:hAnsiTheme="minorHAnsi" w:cstheme="minorHAnsi"/>
                <w:color w:val="000000"/>
                <w:sz w:val="20"/>
                <w:szCs w:val="20"/>
              </w:rPr>
              <w:t>) of households contact with an eligible a</w:t>
            </w:r>
            <w:r>
              <w:rPr>
                <w:rFonts w:asciiTheme="minorHAnsi" w:hAnsiTheme="minorHAnsi" w:cstheme="minorHAnsi"/>
                <w:color w:val="000000"/>
                <w:sz w:val="20"/>
                <w:szCs w:val="20"/>
              </w:rPr>
              <w:t>dult will be made; in 20% (1,319</w:t>
            </w:r>
            <w:r w:rsidR="0065798F" w:rsidRPr="00B43542">
              <w:rPr>
                <w:rFonts w:asciiTheme="minorHAnsi" w:hAnsiTheme="minorHAnsi" w:cstheme="minorHAnsi"/>
                <w:color w:val="000000"/>
                <w:sz w:val="20"/>
                <w:szCs w:val="20"/>
              </w:rPr>
              <w:t xml:space="preserve">) of households, no contact with an eligible adult will be made. </w:t>
            </w:r>
          </w:p>
          <w:p w:rsidR="0065798F" w:rsidRPr="00D86C14" w:rsidRDefault="0065798F" w:rsidP="00315603">
            <w:pPr>
              <w:rPr>
                <w:rFonts w:asciiTheme="minorHAnsi" w:hAnsiTheme="minorHAnsi" w:cstheme="minorHAnsi"/>
                <w:color w:val="000000"/>
                <w:sz w:val="20"/>
                <w:szCs w:val="20"/>
              </w:rPr>
            </w:pPr>
          </w:p>
        </w:tc>
      </w:tr>
      <w:tr w:rsidR="0065798F" w:rsidRPr="00D86C14" w:rsidTr="00315603">
        <w:tc>
          <w:tcPr>
            <w:tcW w:w="1197" w:type="dxa"/>
            <w:tcBorders>
              <w:top w:val="nil"/>
              <w:bottom w:val="single" w:sz="8" w:space="0" w:color="000000"/>
            </w:tcBorders>
            <w:tcMar>
              <w:top w:w="0" w:type="dxa"/>
              <w:left w:w="108" w:type="dxa"/>
              <w:bottom w:w="0" w:type="dxa"/>
              <w:right w:w="108" w:type="dxa"/>
            </w:tcMar>
          </w:tcPr>
          <w:p w:rsidR="0065798F" w:rsidRPr="00D86C14" w:rsidRDefault="0065798F" w:rsidP="00315603">
            <w:pP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 xml:space="preserve">        </w:t>
            </w:r>
          </w:p>
        </w:tc>
        <w:tc>
          <w:tcPr>
            <w:tcW w:w="1817" w:type="dxa"/>
            <w:tcBorders>
              <w:top w:val="nil"/>
              <w:bottom w:val="single" w:sz="8" w:space="0" w:color="000000"/>
            </w:tcBorders>
            <w:tcMar>
              <w:top w:w="0" w:type="dxa"/>
              <w:left w:w="108" w:type="dxa"/>
              <w:bottom w:w="0" w:type="dxa"/>
              <w:right w:w="108" w:type="dxa"/>
            </w:tcMar>
            <w:hideMark/>
          </w:tcPr>
          <w:p w:rsidR="0065798F" w:rsidRPr="00177ACE" w:rsidRDefault="0065798F" w:rsidP="00315603">
            <w:pPr>
              <w:rPr>
                <w:rFonts w:asciiTheme="minorHAnsi" w:hAnsiTheme="minorHAnsi" w:cstheme="minorHAnsi"/>
                <w:color w:val="000000"/>
                <w:sz w:val="20"/>
                <w:szCs w:val="20"/>
              </w:rPr>
            </w:pPr>
            <w:r w:rsidRPr="00D86C14">
              <w:rPr>
                <w:rFonts w:asciiTheme="minorHAnsi" w:hAnsiTheme="minorHAnsi" w:cstheme="minorHAnsi"/>
                <w:color w:val="000000"/>
                <w:sz w:val="20"/>
                <w:szCs w:val="20"/>
              </w:rPr>
              <w:t>CATI-WRN dialed for interview</w:t>
            </w:r>
          </w:p>
        </w:tc>
        <w:tc>
          <w:tcPr>
            <w:tcW w:w="1617" w:type="dxa"/>
            <w:tcBorders>
              <w:top w:val="nil"/>
              <w:bottom w:val="single" w:sz="8" w:space="0" w:color="000000"/>
            </w:tcBorders>
            <w:tcMar>
              <w:top w:w="0" w:type="dxa"/>
              <w:left w:w="108" w:type="dxa"/>
              <w:bottom w:w="0" w:type="dxa"/>
              <w:right w:w="108" w:type="dxa"/>
            </w:tcMar>
            <w:vAlign w:val="center"/>
            <w:hideMark/>
          </w:tcPr>
          <w:p w:rsidR="0065798F" w:rsidRPr="00D86C14" w:rsidRDefault="00BA6BC9" w:rsidP="00315603">
            <w:pPr>
              <w:jc w:val="center"/>
              <w:rPr>
                <w:rFonts w:asciiTheme="minorHAnsi" w:eastAsiaTheme="minorHAnsi" w:hAnsiTheme="minorHAnsi" w:cstheme="minorHAnsi"/>
                <w:color w:val="000000"/>
                <w:sz w:val="20"/>
                <w:szCs w:val="20"/>
              </w:rPr>
            </w:pPr>
            <w:r>
              <w:rPr>
                <w:rFonts w:asciiTheme="minorHAnsi" w:hAnsiTheme="minorHAnsi" w:cstheme="minorHAnsi"/>
                <w:color w:val="000000"/>
                <w:sz w:val="20"/>
                <w:szCs w:val="20"/>
              </w:rPr>
              <w:t>6,595</w:t>
            </w:r>
          </w:p>
        </w:tc>
        <w:tc>
          <w:tcPr>
            <w:tcW w:w="1491" w:type="dxa"/>
            <w:tcBorders>
              <w:top w:val="nil"/>
              <w:bottom w:val="single" w:sz="8" w:space="0" w:color="000000"/>
            </w:tcBorders>
            <w:tcMar>
              <w:top w:w="0" w:type="dxa"/>
              <w:left w:w="108" w:type="dxa"/>
              <w:bottom w:w="0" w:type="dxa"/>
              <w:right w:w="108" w:type="dxa"/>
            </w:tcMar>
            <w:vAlign w:val="center"/>
            <w:hideMark/>
          </w:tcPr>
          <w:p w:rsidR="0065798F" w:rsidRPr="00D86C14" w:rsidRDefault="0065798F" w:rsidP="00315603">
            <w:pPr>
              <w:jc w:val="cente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.08</w:t>
            </w:r>
          </w:p>
        </w:tc>
        <w:tc>
          <w:tcPr>
            <w:tcW w:w="2788" w:type="dxa"/>
            <w:tcBorders>
              <w:top w:val="nil"/>
              <w:bottom w:val="single" w:sz="8" w:space="0" w:color="000000"/>
            </w:tcBorders>
            <w:tcMar>
              <w:top w:w="0" w:type="dxa"/>
              <w:left w:w="108" w:type="dxa"/>
              <w:bottom w:w="0" w:type="dxa"/>
              <w:right w:w="108" w:type="dxa"/>
            </w:tcMar>
            <w:vAlign w:val="center"/>
          </w:tcPr>
          <w:p w:rsidR="0065798F" w:rsidRPr="00D86C14" w:rsidRDefault="00BA6BC9" w:rsidP="00315603">
            <w:pPr>
              <w:jc w:val="center"/>
              <w:rPr>
                <w:rFonts w:asciiTheme="minorHAnsi" w:eastAsiaTheme="minorHAnsi" w:hAnsiTheme="minorHAnsi" w:cstheme="minorHAnsi"/>
                <w:color w:val="000000"/>
                <w:sz w:val="20"/>
                <w:szCs w:val="20"/>
              </w:rPr>
            </w:pPr>
            <w:r>
              <w:rPr>
                <w:rFonts w:asciiTheme="minorHAnsi" w:hAnsiTheme="minorHAnsi" w:cstheme="minorHAnsi"/>
                <w:color w:val="000000"/>
                <w:sz w:val="20"/>
                <w:szCs w:val="20"/>
              </w:rPr>
              <w:t>528</w:t>
            </w:r>
          </w:p>
        </w:tc>
      </w:tr>
      <w:tr w:rsidR="0065798F" w:rsidRPr="00D86C14" w:rsidTr="00315603">
        <w:tc>
          <w:tcPr>
            <w:tcW w:w="8910" w:type="dxa"/>
            <w:gridSpan w:val="5"/>
            <w:tcBorders>
              <w:top w:val="single" w:sz="8" w:space="0" w:color="000000"/>
              <w:bottom w:val="nil"/>
            </w:tcBorders>
            <w:tcMar>
              <w:top w:w="0" w:type="dxa"/>
              <w:left w:w="108" w:type="dxa"/>
              <w:bottom w:w="0" w:type="dxa"/>
              <w:right w:w="108" w:type="dxa"/>
            </w:tcMar>
          </w:tcPr>
          <w:p w:rsidR="0065798F" w:rsidRDefault="0065798F" w:rsidP="00315603">
            <w:pPr>
              <w:pStyle w:val="ListParagraph"/>
              <w:rPr>
                <w:rFonts w:asciiTheme="minorHAnsi" w:hAnsiTheme="minorHAnsi" w:cstheme="minorHAnsi"/>
                <w:color w:val="000000"/>
                <w:sz w:val="20"/>
                <w:szCs w:val="20"/>
              </w:rPr>
            </w:pPr>
          </w:p>
          <w:p w:rsidR="0065798F" w:rsidRPr="00B43542" w:rsidRDefault="00BA6BC9" w:rsidP="0065798F">
            <w:pPr>
              <w:pStyle w:val="ListParagraph"/>
              <w:numPr>
                <w:ilvl w:val="0"/>
                <w:numId w:val="3"/>
              </w:numPr>
              <w:rPr>
                <w:rFonts w:asciiTheme="minorHAnsi" w:hAnsiTheme="minorHAnsi" w:cstheme="minorHAnsi"/>
                <w:color w:val="000000"/>
                <w:sz w:val="20"/>
                <w:szCs w:val="20"/>
              </w:rPr>
            </w:pPr>
            <w:r>
              <w:rPr>
                <w:rFonts w:asciiTheme="minorHAnsi" w:hAnsiTheme="minorHAnsi" w:cstheme="minorHAnsi"/>
                <w:color w:val="000000"/>
                <w:sz w:val="20"/>
                <w:szCs w:val="20"/>
              </w:rPr>
              <w:t>Of the 5,276</w:t>
            </w:r>
            <w:r w:rsidR="0065798F" w:rsidRPr="00B43542">
              <w:rPr>
                <w:rFonts w:asciiTheme="minorHAnsi" w:hAnsiTheme="minorHAnsi" w:cstheme="minorHAnsi"/>
                <w:color w:val="000000"/>
                <w:sz w:val="20"/>
                <w:szCs w:val="20"/>
              </w:rPr>
              <w:t xml:space="preserve"> household contacts,</w:t>
            </w:r>
            <w:r w:rsidR="0065798F">
              <w:rPr>
                <w:rFonts w:asciiTheme="minorHAnsi" w:hAnsiTheme="minorHAnsi" w:cstheme="minorHAnsi"/>
                <w:color w:val="000000"/>
                <w:sz w:val="20"/>
                <w:szCs w:val="20"/>
              </w:rPr>
              <w:t xml:space="preserve"> an estimated</w:t>
            </w:r>
            <w:r w:rsidR="0065798F" w:rsidRPr="00B43542">
              <w:rPr>
                <w:rFonts w:asciiTheme="minorHAnsi" w:hAnsiTheme="minorHAnsi" w:cstheme="minorHAnsi"/>
                <w:color w:val="000000"/>
                <w:sz w:val="20"/>
                <w:szCs w:val="20"/>
              </w:rPr>
              <w:t xml:space="preserve"> 2,000 of the contacted eligible adults will agree to be interviewed. For 2,000 completed cases, time to administer consent is </w:t>
            </w:r>
            <w:r w:rsidR="0065798F">
              <w:rPr>
                <w:rFonts w:asciiTheme="minorHAnsi" w:hAnsiTheme="minorHAnsi" w:cstheme="minorHAnsi"/>
                <w:color w:val="000000"/>
                <w:sz w:val="20"/>
                <w:szCs w:val="20"/>
              </w:rPr>
              <w:t xml:space="preserve">estimated </w:t>
            </w:r>
            <w:r w:rsidR="0065798F" w:rsidRPr="00B43542">
              <w:rPr>
                <w:rFonts w:asciiTheme="minorHAnsi" w:hAnsiTheme="minorHAnsi" w:cstheme="minorHAnsi"/>
                <w:color w:val="000000"/>
                <w:sz w:val="20"/>
                <w:szCs w:val="20"/>
              </w:rPr>
              <w:t xml:space="preserve">to be 2.5 minutes (.04 hour). </w:t>
            </w:r>
          </w:p>
          <w:p w:rsidR="0065798F" w:rsidRPr="00D86C14" w:rsidRDefault="0065798F" w:rsidP="00315603">
            <w:pPr>
              <w:rPr>
                <w:rFonts w:asciiTheme="minorHAnsi" w:hAnsiTheme="minorHAnsi" w:cstheme="minorHAnsi"/>
                <w:color w:val="000000"/>
                <w:sz w:val="20"/>
                <w:szCs w:val="20"/>
              </w:rPr>
            </w:pPr>
            <w:r w:rsidRPr="00D86C14">
              <w:rPr>
                <w:rFonts w:asciiTheme="minorHAnsi" w:hAnsiTheme="minorHAnsi" w:cstheme="minorHAnsi"/>
                <w:color w:val="000000"/>
                <w:sz w:val="20"/>
                <w:szCs w:val="20"/>
              </w:rPr>
              <w:t xml:space="preserve">  </w:t>
            </w:r>
          </w:p>
        </w:tc>
      </w:tr>
      <w:tr w:rsidR="0065798F" w:rsidRPr="00D86C14" w:rsidTr="00315603">
        <w:tc>
          <w:tcPr>
            <w:tcW w:w="1197" w:type="dxa"/>
            <w:tcBorders>
              <w:top w:val="nil"/>
              <w:bottom w:val="single" w:sz="8" w:space="0" w:color="000000"/>
            </w:tcBorders>
            <w:tcMar>
              <w:top w:w="0" w:type="dxa"/>
              <w:left w:w="108" w:type="dxa"/>
              <w:bottom w:w="0" w:type="dxa"/>
              <w:right w:w="108" w:type="dxa"/>
            </w:tcMar>
          </w:tcPr>
          <w:p w:rsidR="0065798F" w:rsidRPr="00D86C14" w:rsidRDefault="0065798F" w:rsidP="00315603">
            <w:pP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 xml:space="preserve">        </w:t>
            </w:r>
          </w:p>
        </w:tc>
        <w:tc>
          <w:tcPr>
            <w:tcW w:w="1817" w:type="dxa"/>
            <w:tcBorders>
              <w:top w:val="nil"/>
              <w:bottom w:val="single" w:sz="8" w:space="0" w:color="000000"/>
            </w:tcBorders>
            <w:tcMar>
              <w:top w:w="0" w:type="dxa"/>
              <w:left w:w="108" w:type="dxa"/>
              <w:bottom w:w="0" w:type="dxa"/>
              <w:right w:w="108" w:type="dxa"/>
            </w:tcMar>
            <w:hideMark/>
          </w:tcPr>
          <w:p w:rsidR="0065798F" w:rsidRPr="00D86C14" w:rsidRDefault="0065798F" w:rsidP="00315603">
            <w:pP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CATI-Consent</w:t>
            </w:r>
          </w:p>
        </w:tc>
        <w:tc>
          <w:tcPr>
            <w:tcW w:w="1617" w:type="dxa"/>
            <w:tcBorders>
              <w:top w:val="nil"/>
              <w:bottom w:val="single" w:sz="8" w:space="0" w:color="000000"/>
            </w:tcBorders>
            <w:tcMar>
              <w:top w:w="0" w:type="dxa"/>
              <w:left w:w="108" w:type="dxa"/>
              <w:bottom w:w="0" w:type="dxa"/>
              <w:right w:w="108" w:type="dxa"/>
            </w:tcMar>
            <w:vAlign w:val="center"/>
            <w:hideMark/>
          </w:tcPr>
          <w:p w:rsidR="0065798F" w:rsidRPr="00D86C14" w:rsidRDefault="0065798F" w:rsidP="00315603">
            <w:pPr>
              <w:jc w:val="cente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2,000</w:t>
            </w:r>
          </w:p>
        </w:tc>
        <w:tc>
          <w:tcPr>
            <w:tcW w:w="1491" w:type="dxa"/>
            <w:tcBorders>
              <w:top w:val="nil"/>
              <w:bottom w:val="single" w:sz="8" w:space="0" w:color="000000"/>
            </w:tcBorders>
            <w:tcMar>
              <w:top w:w="0" w:type="dxa"/>
              <w:left w:w="108" w:type="dxa"/>
              <w:bottom w:w="0" w:type="dxa"/>
              <w:right w:w="108" w:type="dxa"/>
            </w:tcMar>
            <w:vAlign w:val="center"/>
            <w:hideMark/>
          </w:tcPr>
          <w:p w:rsidR="0065798F" w:rsidRPr="00D86C14" w:rsidRDefault="0065798F" w:rsidP="00315603">
            <w:pPr>
              <w:jc w:val="cente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.04</w:t>
            </w:r>
          </w:p>
        </w:tc>
        <w:tc>
          <w:tcPr>
            <w:tcW w:w="2788" w:type="dxa"/>
            <w:tcBorders>
              <w:top w:val="nil"/>
              <w:bottom w:val="single" w:sz="8" w:space="0" w:color="000000"/>
            </w:tcBorders>
            <w:tcMar>
              <w:top w:w="0" w:type="dxa"/>
              <w:left w:w="108" w:type="dxa"/>
              <w:bottom w:w="0" w:type="dxa"/>
              <w:right w:w="108" w:type="dxa"/>
            </w:tcMar>
            <w:vAlign w:val="center"/>
            <w:hideMark/>
          </w:tcPr>
          <w:p w:rsidR="0065798F" w:rsidRPr="00D86C14" w:rsidRDefault="0065798F" w:rsidP="00315603">
            <w:pPr>
              <w:jc w:val="cente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80</w:t>
            </w:r>
          </w:p>
        </w:tc>
      </w:tr>
      <w:tr w:rsidR="0065798F" w:rsidRPr="00D86C14" w:rsidTr="00315603">
        <w:tc>
          <w:tcPr>
            <w:tcW w:w="8910" w:type="dxa"/>
            <w:gridSpan w:val="5"/>
            <w:tcBorders>
              <w:top w:val="single" w:sz="8" w:space="0" w:color="000000"/>
              <w:bottom w:val="nil"/>
            </w:tcBorders>
            <w:tcMar>
              <w:top w:w="0" w:type="dxa"/>
              <w:left w:w="108" w:type="dxa"/>
              <w:bottom w:w="0" w:type="dxa"/>
              <w:right w:w="108" w:type="dxa"/>
            </w:tcMar>
          </w:tcPr>
          <w:p w:rsidR="0065798F" w:rsidRPr="00B43542" w:rsidRDefault="0065798F" w:rsidP="0065798F">
            <w:pPr>
              <w:pStyle w:val="ListParagraph"/>
              <w:numPr>
                <w:ilvl w:val="0"/>
                <w:numId w:val="3"/>
              </w:numPr>
              <w:rPr>
                <w:rFonts w:asciiTheme="minorHAnsi" w:hAnsiTheme="minorHAnsi" w:cstheme="minorHAnsi"/>
                <w:color w:val="000000"/>
                <w:sz w:val="20"/>
                <w:szCs w:val="20"/>
              </w:rPr>
            </w:pPr>
            <w:r w:rsidRPr="00B43542">
              <w:rPr>
                <w:rFonts w:asciiTheme="minorHAnsi" w:hAnsiTheme="minorHAnsi" w:cstheme="minorHAnsi"/>
                <w:color w:val="000000"/>
                <w:sz w:val="20"/>
                <w:szCs w:val="20"/>
              </w:rPr>
              <w:t>Half of the 2,000 completed cases will be in the Control Condition and half in the ECP Treatment condition.  Control cases will complete the crime screener in about 7.7 minutes (.13 hour).  Treatment cases will complete the ECP module in 5 minutes (.08 hour), followed by the crime screener (.13 hour), for a total of .21 hour.</w:t>
            </w:r>
          </w:p>
          <w:p w:rsidR="0065798F" w:rsidRPr="00D86C14" w:rsidRDefault="0065798F" w:rsidP="00315603">
            <w:pPr>
              <w:rPr>
                <w:rFonts w:asciiTheme="minorHAnsi" w:hAnsiTheme="minorHAnsi" w:cstheme="minorHAnsi"/>
                <w:color w:val="000000"/>
                <w:sz w:val="20"/>
                <w:szCs w:val="20"/>
              </w:rPr>
            </w:pPr>
          </w:p>
        </w:tc>
      </w:tr>
      <w:tr w:rsidR="0065798F" w:rsidRPr="00D86C14" w:rsidTr="00315603">
        <w:tc>
          <w:tcPr>
            <w:tcW w:w="1197" w:type="dxa"/>
            <w:tcBorders>
              <w:top w:val="nil"/>
              <w:bottom w:val="nil"/>
            </w:tcBorders>
            <w:tcMar>
              <w:top w:w="0" w:type="dxa"/>
              <w:left w:w="108" w:type="dxa"/>
              <w:bottom w:w="0" w:type="dxa"/>
              <w:right w:w="108" w:type="dxa"/>
            </w:tcMar>
          </w:tcPr>
          <w:p w:rsidR="0065798F" w:rsidRPr="00D86C14" w:rsidRDefault="0065798F" w:rsidP="00315603">
            <w:pP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 xml:space="preserve">        </w:t>
            </w:r>
          </w:p>
        </w:tc>
        <w:tc>
          <w:tcPr>
            <w:tcW w:w="1817" w:type="dxa"/>
            <w:tcBorders>
              <w:top w:val="nil"/>
            </w:tcBorders>
            <w:tcMar>
              <w:top w:w="0" w:type="dxa"/>
              <w:left w:w="108" w:type="dxa"/>
              <w:bottom w:w="0" w:type="dxa"/>
              <w:right w:w="108" w:type="dxa"/>
            </w:tcMar>
            <w:hideMark/>
          </w:tcPr>
          <w:p w:rsidR="0065798F" w:rsidRPr="00D86C14" w:rsidRDefault="0065798F" w:rsidP="00315603">
            <w:pP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CATI- Screener-Control</w:t>
            </w:r>
          </w:p>
        </w:tc>
        <w:tc>
          <w:tcPr>
            <w:tcW w:w="1617" w:type="dxa"/>
            <w:tcBorders>
              <w:top w:val="nil"/>
            </w:tcBorders>
            <w:tcMar>
              <w:top w:w="0" w:type="dxa"/>
              <w:left w:w="108" w:type="dxa"/>
              <w:bottom w:w="0" w:type="dxa"/>
              <w:right w:w="108" w:type="dxa"/>
            </w:tcMar>
            <w:vAlign w:val="center"/>
            <w:hideMark/>
          </w:tcPr>
          <w:p w:rsidR="0065798F" w:rsidRPr="00D86C14" w:rsidRDefault="0065798F" w:rsidP="00315603">
            <w:pPr>
              <w:jc w:val="cente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1,000</w:t>
            </w:r>
          </w:p>
        </w:tc>
        <w:tc>
          <w:tcPr>
            <w:tcW w:w="1491" w:type="dxa"/>
            <w:tcBorders>
              <w:top w:val="nil"/>
            </w:tcBorders>
            <w:tcMar>
              <w:top w:w="0" w:type="dxa"/>
              <w:left w:w="108" w:type="dxa"/>
              <w:bottom w:w="0" w:type="dxa"/>
              <w:right w:w="108" w:type="dxa"/>
            </w:tcMar>
            <w:vAlign w:val="center"/>
            <w:hideMark/>
          </w:tcPr>
          <w:p w:rsidR="0065798F" w:rsidRPr="00D86C14" w:rsidRDefault="0065798F" w:rsidP="00315603">
            <w:pPr>
              <w:jc w:val="cente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.13</w:t>
            </w:r>
          </w:p>
        </w:tc>
        <w:tc>
          <w:tcPr>
            <w:tcW w:w="2788" w:type="dxa"/>
            <w:tcBorders>
              <w:top w:val="nil"/>
            </w:tcBorders>
            <w:tcMar>
              <w:top w:w="0" w:type="dxa"/>
              <w:left w:w="108" w:type="dxa"/>
              <w:bottom w:w="0" w:type="dxa"/>
              <w:right w:w="108" w:type="dxa"/>
            </w:tcMar>
            <w:vAlign w:val="center"/>
          </w:tcPr>
          <w:p w:rsidR="0065798F" w:rsidRPr="00D86C14" w:rsidRDefault="0065798F" w:rsidP="00315603">
            <w:pPr>
              <w:jc w:val="cente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130</w:t>
            </w:r>
          </w:p>
        </w:tc>
      </w:tr>
      <w:tr w:rsidR="0065798F" w:rsidRPr="00D86C14" w:rsidTr="00315603">
        <w:tc>
          <w:tcPr>
            <w:tcW w:w="1197" w:type="dxa"/>
            <w:tcBorders>
              <w:top w:val="nil"/>
              <w:bottom w:val="single" w:sz="8" w:space="0" w:color="000000"/>
            </w:tcBorders>
            <w:tcMar>
              <w:top w:w="0" w:type="dxa"/>
              <w:left w:w="108" w:type="dxa"/>
              <w:bottom w:w="0" w:type="dxa"/>
              <w:right w:w="108" w:type="dxa"/>
            </w:tcMar>
          </w:tcPr>
          <w:p w:rsidR="0065798F" w:rsidRPr="00D86C14" w:rsidRDefault="0065798F" w:rsidP="00315603">
            <w:pP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 xml:space="preserve">        </w:t>
            </w:r>
          </w:p>
        </w:tc>
        <w:tc>
          <w:tcPr>
            <w:tcW w:w="1817" w:type="dxa"/>
            <w:tcBorders>
              <w:bottom w:val="single" w:sz="8" w:space="0" w:color="000000"/>
            </w:tcBorders>
            <w:tcMar>
              <w:top w:w="0" w:type="dxa"/>
              <w:left w:w="108" w:type="dxa"/>
              <w:bottom w:w="0" w:type="dxa"/>
              <w:right w:w="108" w:type="dxa"/>
            </w:tcMar>
            <w:hideMark/>
          </w:tcPr>
          <w:p w:rsidR="0065798F" w:rsidRPr="00D86C14" w:rsidRDefault="0065798F" w:rsidP="00315603">
            <w:pPr>
              <w:rPr>
                <w:rFonts w:asciiTheme="minorHAnsi" w:hAnsiTheme="minorHAnsi" w:cstheme="minorHAnsi"/>
                <w:color w:val="000000"/>
                <w:sz w:val="20"/>
                <w:szCs w:val="20"/>
              </w:rPr>
            </w:pPr>
            <w:r w:rsidRPr="00D86C14">
              <w:rPr>
                <w:rFonts w:asciiTheme="minorHAnsi" w:hAnsiTheme="minorHAnsi" w:cstheme="minorHAnsi"/>
                <w:color w:val="000000"/>
                <w:sz w:val="20"/>
                <w:szCs w:val="20"/>
              </w:rPr>
              <w:t>CATI-Screener-ECP Treatment</w:t>
            </w:r>
          </w:p>
        </w:tc>
        <w:tc>
          <w:tcPr>
            <w:tcW w:w="1617" w:type="dxa"/>
            <w:tcBorders>
              <w:bottom w:val="single" w:sz="8" w:space="0" w:color="000000"/>
            </w:tcBorders>
            <w:tcMar>
              <w:top w:w="0" w:type="dxa"/>
              <w:left w:w="108" w:type="dxa"/>
              <w:bottom w:w="0" w:type="dxa"/>
              <w:right w:w="108" w:type="dxa"/>
            </w:tcMar>
            <w:vAlign w:val="center"/>
            <w:hideMark/>
          </w:tcPr>
          <w:p w:rsidR="0065798F" w:rsidRPr="00D86C14" w:rsidRDefault="0065798F" w:rsidP="00315603">
            <w:pPr>
              <w:jc w:val="cente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1,000</w:t>
            </w:r>
          </w:p>
        </w:tc>
        <w:tc>
          <w:tcPr>
            <w:tcW w:w="1491" w:type="dxa"/>
            <w:tcBorders>
              <w:bottom w:val="single" w:sz="8" w:space="0" w:color="000000"/>
            </w:tcBorders>
            <w:tcMar>
              <w:top w:w="0" w:type="dxa"/>
              <w:left w:w="108" w:type="dxa"/>
              <w:bottom w:w="0" w:type="dxa"/>
              <w:right w:w="108" w:type="dxa"/>
            </w:tcMar>
            <w:vAlign w:val="center"/>
            <w:hideMark/>
          </w:tcPr>
          <w:p w:rsidR="0065798F" w:rsidRPr="00D86C14" w:rsidRDefault="0065798F" w:rsidP="00315603">
            <w:pPr>
              <w:jc w:val="cente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.21</w:t>
            </w:r>
          </w:p>
        </w:tc>
        <w:tc>
          <w:tcPr>
            <w:tcW w:w="2788" w:type="dxa"/>
            <w:tcBorders>
              <w:bottom w:val="single" w:sz="8" w:space="0" w:color="000000"/>
            </w:tcBorders>
            <w:tcMar>
              <w:top w:w="0" w:type="dxa"/>
              <w:left w:w="108" w:type="dxa"/>
              <w:bottom w:w="0" w:type="dxa"/>
              <w:right w:w="108" w:type="dxa"/>
            </w:tcMar>
            <w:vAlign w:val="center"/>
          </w:tcPr>
          <w:p w:rsidR="0065798F" w:rsidRPr="00D86C14" w:rsidRDefault="0065798F" w:rsidP="00315603">
            <w:pPr>
              <w:jc w:val="cente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210</w:t>
            </w:r>
          </w:p>
        </w:tc>
      </w:tr>
      <w:tr w:rsidR="0065798F" w:rsidRPr="00D86C14" w:rsidTr="00315603">
        <w:tc>
          <w:tcPr>
            <w:tcW w:w="8910" w:type="dxa"/>
            <w:gridSpan w:val="5"/>
            <w:tcBorders>
              <w:top w:val="single" w:sz="8" w:space="0" w:color="000000"/>
              <w:bottom w:val="nil"/>
            </w:tcBorders>
            <w:tcMar>
              <w:top w:w="0" w:type="dxa"/>
              <w:left w:w="108" w:type="dxa"/>
              <w:bottom w:w="0" w:type="dxa"/>
              <w:right w:w="108" w:type="dxa"/>
            </w:tcMar>
          </w:tcPr>
          <w:p w:rsidR="0065798F" w:rsidRPr="00B43542" w:rsidRDefault="0065798F" w:rsidP="0065798F">
            <w:pPr>
              <w:pStyle w:val="ListParagraph"/>
              <w:numPr>
                <w:ilvl w:val="0"/>
                <w:numId w:val="3"/>
              </w:numPr>
              <w:rPr>
                <w:rFonts w:asciiTheme="minorHAnsi" w:hAnsiTheme="minorHAnsi" w:cstheme="minorHAnsi"/>
                <w:color w:val="000000"/>
                <w:sz w:val="20"/>
                <w:szCs w:val="20"/>
              </w:rPr>
            </w:pPr>
            <w:r>
              <w:rPr>
                <w:rFonts w:asciiTheme="minorHAnsi" w:hAnsiTheme="minorHAnsi" w:cstheme="minorHAnsi"/>
                <w:color w:val="000000"/>
                <w:sz w:val="20"/>
                <w:szCs w:val="20"/>
              </w:rPr>
              <w:t>Based on 2009 NCVS estimated</w:t>
            </w:r>
            <w:r w:rsidRPr="00B43542">
              <w:rPr>
                <w:rFonts w:asciiTheme="minorHAnsi" w:hAnsiTheme="minorHAnsi" w:cstheme="minorHAnsi"/>
                <w:color w:val="000000"/>
                <w:sz w:val="20"/>
                <w:szCs w:val="20"/>
              </w:rPr>
              <w:t xml:space="preserve"> crime rate of 127.4 per 1,000, </w:t>
            </w:r>
            <w:r>
              <w:rPr>
                <w:rFonts w:asciiTheme="minorHAnsi" w:hAnsiTheme="minorHAnsi" w:cstheme="minorHAnsi"/>
                <w:color w:val="000000"/>
                <w:sz w:val="20"/>
                <w:szCs w:val="20"/>
              </w:rPr>
              <w:t xml:space="preserve">in the Control condition </w:t>
            </w:r>
            <w:r w:rsidRPr="00B43542">
              <w:rPr>
                <w:rFonts w:asciiTheme="minorHAnsi" w:hAnsiTheme="minorHAnsi" w:cstheme="minorHAnsi"/>
                <w:color w:val="000000"/>
                <w:sz w:val="20"/>
                <w:szCs w:val="20"/>
              </w:rPr>
              <w:t>an estimated 127 respondents will complete one or mo</w:t>
            </w:r>
            <w:r>
              <w:rPr>
                <w:rFonts w:asciiTheme="minorHAnsi" w:hAnsiTheme="minorHAnsi" w:cstheme="minorHAnsi"/>
                <w:color w:val="000000"/>
                <w:sz w:val="20"/>
                <w:szCs w:val="20"/>
              </w:rPr>
              <w:t xml:space="preserve">re incident reports. </w:t>
            </w:r>
            <w:r w:rsidRPr="00B43542">
              <w:rPr>
                <w:rFonts w:asciiTheme="minorHAnsi" w:hAnsiTheme="minorHAnsi" w:cstheme="minorHAnsi"/>
                <w:color w:val="000000"/>
                <w:sz w:val="20"/>
                <w:szCs w:val="20"/>
              </w:rPr>
              <w:t xml:space="preserve"> </w:t>
            </w:r>
            <w:r>
              <w:rPr>
                <w:rFonts w:asciiTheme="minorHAnsi" w:hAnsiTheme="minorHAnsi" w:cstheme="minorHAnsi"/>
                <w:color w:val="000000"/>
                <w:sz w:val="20"/>
                <w:szCs w:val="20"/>
              </w:rPr>
              <w:t>I</w:t>
            </w:r>
            <w:r w:rsidRPr="00B43542">
              <w:rPr>
                <w:rFonts w:asciiTheme="minorHAnsi" w:hAnsiTheme="minorHAnsi" w:cstheme="minorHAnsi"/>
                <w:color w:val="000000"/>
                <w:sz w:val="20"/>
                <w:szCs w:val="20"/>
              </w:rPr>
              <w:t>n the ECP Treatment condition, a</w:t>
            </w:r>
            <w:r>
              <w:rPr>
                <w:rFonts w:asciiTheme="minorHAnsi" w:hAnsiTheme="minorHAnsi" w:cstheme="minorHAnsi"/>
                <w:color w:val="000000"/>
                <w:sz w:val="20"/>
                <w:szCs w:val="20"/>
              </w:rPr>
              <w:t>n</w:t>
            </w:r>
            <w:r w:rsidRPr="00B43542">
              <w:rPr>
                <w:rFonts w:asciiTheme="minorHAnsi" w:hAnsiTheme="minorHAnsi" w:cstheme="minorHAnsi"/>
                <w:color w:val="000000"/>
                <w:sz w:val="20"/>
                <w:szCs w:val="20"/>
              </w:rPr>
              <w:t xml:space="preserve"> estimated 144 respondents will complete one or more incident reports</w:t>
            </w:r>
            <w:r>
              <w:rPr>
                <w:rFonts w:asciiTheme="minorHAnsi" w:hAnsiTheme="minorHAnsi" w:cstheme="minorHAnsi"/>
                <w:color w:val="000000"/>
                <w:sz w:val="20"/>
                <w:szCs w:val="20"/>
              </w:rPr>
              <w:t xml:space="preserve"> based on the predicted improvement found in earlier research.</w:t>
            </w:r>
            <w:r w:rsidRPr="00B43542">
              <w:rPr>
                <w:rFonts w:asciiTheme="minorHAnsi" w:hAnsiTheme="minorHAnsi" w:cstheme="minorHAnsi"/>
                <w:color w:val="000000"/>
                <w:sz w:val="20"/>
                <w:szCs w:val="20"/>
              </w:rPr>
              <w:t xml:space="preserve">  The estimated burden per incident report is 7 minutes (.12 hour).  For burden calculation,</w:t>
            </w:r>
            <w:r>
              <w:rPr>
                <w:rFonts w:asciiTheme="minorHAnsi" w:hAnsiTheme="minorHAnsi" w:cstheme="minorHAnsi"/>
                <w:color w:val="000000"/>
                <w:sz w:val="20"/>
                <w:szCs w:val="20"/>
              </w:rPr>
              <w:t xml:space="preserve"> we have </w:t>
            </w:r>
            <w:r w:rsidRPr="00B43542">
              <w:rPr>
                <w:rFonts w:asciiTheme="minorHAnsi" w:hAnsiTheme="minorHAnsi" w:cstheme="minorHAnsi"/>
                <w:color w:val="000000"/>
                <w:sz w:val="20"/>
                <w:szCs w:val="20"/>
              </w:rPr>
              <w:t>assume</w:t>
            </w:r>
            <w:r>
              <w:rPr>
                <w:rFonts w:asciiTheme="minorHAnsi" w:hAnsiTheme="minorHAnsi" w:cstheme="minorHAnsi"/>
                <w:color w:val="000000"/>
                <w:sz w:val="20"/>
                <w:szCs w:val="20"/>
              </w:rPr>
              <w:t>d</w:t>
            </w:r>
            <w:r w:rsidRPr="00B43542">
              <w:rPr>
                <w:rFonts w:asciiTheme="minorHAnsi" w:hAnsiTheme="minorHAnsi" w:cstheme="minorHAnsi"/>
                <w:color w:val="000000"/>
                <w:sz w:val="20"/>
                <w:szCs w:val="20"/>
              </w:rPr>
              <w:t xml:space="preserve"> an average of two incident reports for those respondents who indicate one or more crimes in the crime screener (14 minutes, or.23 hour).</w:t>
            </w:r>
          </w:p>
          <w:p w:rsidR="0065798F" w:rsidRPr="00D86C14" w:rsidRDefault="0065798F" w:rsidP="00315603">
            <w:pPr>
              <w:rPr>
                <w:rFonts w:asciiTheme="minorHAnsi" w:hAnsiTheme="minorHAnsi" w:cstheme="minorHAnsi"/>
                <w:color w:val="000000"/>
                <w:sz w:val="20"/>
                <w:szCs w:val="20"/>
              </w:rPr>
            </w:pPr>
          </w:p>
        </w:tc>
      </w:tr>
      <w:tr w:rsidR="0065798F" w:rsidRPr="00D86C14" w:rsidTr="00315603">
        <w:tc>
          <w:tcPr>
            <w:tcW w:w="1197" w:type="dxa"/>
            <w:tcBorders>
              <w:top w:val="nil"/>
              <w:bottom w:val="nil"/>
            </w:tcBorders>
            <w:tcMar>
              <w:top w:w="0" w:type="dxa"/>
              <w:left w:w="108" w:type="dxa"/>
              <w:bottom w:w="0" w:type="dxa"/>
              <w:right w:w="108" w:type="dxa"/>
            </w:tcMar>
          </w:tcPr>
          <w:p w:rsidR="0065798F" w:rsidRPr="00D86C14" w:rsidRDefault="0065798F" w:rsidP="00315603">
            <w:pP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 xml:space="preserve">        </w:t>
            </w:r>
          </w:p>
        </w:tc>
        <w:tc>
          <w:tcPr>
            <w:tcW w:w="1817" w:type="dxa"/>
            <w:tcBorders>
              <w:top w:val="nil"/>
            </w:tcBorders>
            <w:tcMar>
              <w:top w:w="0" w:type="dxa"/>
              <w:left w:w="108" w:type="dxa"/>
              <w:bottom w:w="0" w:type="dxa"/>
              <w:right w:w="108" w:type="dxa"/>
            </w:tcMar>
            <w:hideMark/>
          </w:tcPr>
          <w:p w:rsidR="0065798F" w:rsidRPr="00D86C14" w:rsidRDefault="0065798F" w:rsidP="00315603">
            <w:pPr>
              <w:rPr>
                <w:rFonts w:asciiTheme="minorHAnsi" w:hAnsiTheme="minorHAnsi" w:cstheme="minorHAnsi"/>
                <w:color w:val="000000"/>
                <w:sz w:val="20"/>
                <w:szCs w:val="20"/>
              </w:rPr>
            </w:pPr>
            <w:r w:rsidRPr="00D86C14">
              <w:rPr>
                <w:rFonts w:asciiTheme="minorHAnsi" w:hAnsiTheme="minorHAnsi" w:cstheme="minorHAnsi"/>
                <w:color w:val="000000"/>
                <w:sz w:val="20"/>
                <w:szCs w:val="20"/>
              </w:rPr>
              <w:t xml:space="preserve">CATI-Incident report-Control </w:t>
            </w:r>
          </w:p>
        </w:tc>
        <w:tc>
          <w:tcPr>
            <w:tcW w:w="1617" w:type="dxa"/>
            <w:tcBorders>
              <w:top w:val="nil"/>
            </w:tcBorders>
            <w:tcMar>
              <w:top w:w="0" w:type="dxa"/>
              <w:left w:w="108" w:type="dxa"/>
              <w:bottom w:w="0" w:type="dxa"/>
              <w:right w:w="108" w:type="dxa"/>
            </w:tcMar>
            <w:vAlign w:val="center"/>
            <w:hideMark/>
          </w:tcPr>
          <w:p w:rsidR="0065798F" w:rsidRPr="00D86C14" w:rsidRDefault="0065798F" w:rsidP="00315603">
            <w:pPr>
              <w:jc w:val="cente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127</w:t>
            </w:r>
          </w:p>
        </w:tc>
        <w:tc>
          <w:tcPr>
            <w:tcW w:w="1491" w:type="dxa"/>
            <w:tcBorders>
              <w:top w:val="nil"/>
            </w:tcBorders>
            <w:tcMar>
              <w:top w:w="0" w:type="dxa"/>
              <w:left w:w="108" w:type="dxa"/>
              <w:bottom w:w="0" w:type="dxa"/>
              <w:right w:w="108" w:type="dxa"/>
            </w:tcMar>
            <w:vAlign w:val="center"/>
            <w:hideMark/>
          </w:tcPr>
          <w:p w:rsidR="0065798F" w:rsidRPr="00D86C14" w:rsidRDefault="0065798F" w:rsidP="00315603">
            <w:pPr>
              <w:jc w:val="cente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.23</w:t>
            </w:r>
          </w:p>
        </w:tc>
        <w:tc>
          <w:tcPr>
            <w:tcW w:w="2788" w:type="dxa"/>
            <w:tcBorders>
              <w:top w:val="nil"/>
            </w:tcBorders>
            <w:tcMar>
              <w:top w:w="0" w:type="dxa"/>
              <w:left w:w="108" w:type="dxa"/>
              <w:bottom w:w="0" w:type="dxa"/>
              <w:right w:w="108" w:type="dxa"/>
            </w:tcMar>
            <w:vAlign w:val="center"/>
            <w:hideMark/>
          </w:tcPr>
          <w:p w:rsidR="0065798F" w:rsidRPr="00D86C14" w:rsidRDefault="0065798F" w:rsidP="00315603">
            <w:pPr>
              <w:jc w:val="cente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29</w:t>
            </w:r>
          </w:p>
        </w:tc>
      </w:tr>
      <w:tr w:rsidR="0065798F" w:rsidRPr="00D86C14" w:rsidTr="00315603">
        <w:tc>
          <w:tcPr>
            <w:tcW w:w="1197" w:type="dxa"/>
            <w:tcBorders>
              <w:top w:val="nil"/>
              <w:bottom w:val="single" w:sz="8" w:space="0" w:color="000000"/>
            </w:tcBorders>
            <w:tcMar>
              <w:top w:w="0" w:type="dxa"/>
              <w:left w:w="108" w:type="dxa"/>
              <w:bottom w:w="0" w:type="dxa"/>
              <w:right w:w="108" w:type="dxa"/>
            </w:tcMar>
          </w:tcPr>
          <w:p w:rsidR="0065798F" w:rsidRPr="00D86C14" w:rsidRDefault="0065798F" w:rsidP="00315603">
            <w:pPr>
              <w:rPr>
                <w:rFonts w:asciiTheme="minorHAnsi" w:hAnsiTheme="minorHAnsi" w:cstheme="minorHAnsi"/>
                <w:color w:val="000000"/>
                <w:sz w:val="20"/>
                <w:szCs w:val="20"/>
              </w:rPr>
            </w:pPr>
            <w:r w:rsidRPr="00D86C14">
              <w:rPr>
                <w:rFonts w:asciiTheme="minorHAnsi" w:hAnsiTheme="minorHAnsi" w:cstheme="minorHAnsi"/>
                <w:color w:val="000000"/>
                <w:sz w:val="20"/>
                <w:szCs w:val="20"/>
              </w:rPr>
              <w:t xml:space="preserve">        </w:t>
            </w:r>
          </w:p>
        </w:tc>
        <w:tc>
          <w:tcPr>
            <w:tcW w:w="1817" w:type="dxa"/>
            <w:tcBorders>
              <w:bottom w:val="single" w:sz="8" w:space="0" w:color="000000"/>
            </w:tcBorders>
            <w:tcMar>
              <w:top w:w="0" w:type="dxa"/>
              <w:left w:w="108" w:type="dxa"/>
              <w:bottom w:w="0" w:type="dxa"/>
              <w:right w:w="108" w:type="dxa"/>
            </w:tcMar>
          </w:tcPr>
          <w:p w:rsidR="0065798F" w:rsidRPr="00D86C14" w:rsidRDefault="0065798F" w:rsidP="00315603">
            <w:pPr>
              <w:rPr>
                <w:rFonts w:asciiTheme="minorHAnsi" w:hAnsiTheme="minorHAnsi" w:cstheme="minorHAnsi"/>
                <w:color w:val="000000"/>
                <w:sz w:val="20"/>
                <w:szCs w:val="20"/>
              </w:rPr>
            </w:pPr>
            <w:r w:rsidRPr="00D86C14">
              <w:rPr>
                <w:rFonts w:asciiTheme="minorHAnsi" w:hAnsiTheme="minorHAnsi" w:cstheme="minorHAnsi"/>
                <w:color w:val="000000"/>
                <w:sz w:val="20"/>
                <w:szCs w:val="20"/>
              </w:rPr>
              <w:t>CATI-Incident Report- ECP Treatment</w:t>
            </w:r>
          </w:p>
        </w:tc>
        <w:tc>
          <w:tcPr>
            <w:tcW w:w="1617" w:type="dxa"/>
            <w:tcBorders>
              <w:bottom w:val="single" w:sz="8" w:space="0" w:color="000000"/>
            </w:tcBorders>
            <w:tcMar>
              <w:top w:w="0" w:type="dxa"/>
              <w:left w:w="108" w:type="dxa"/>
              <w:bottom w:w="0" w:type="dxa"/>
              <w:right w:w="108" w:type="dxa"/>
            </w:tcMar>
            <w:vAlign w:val="center"/>
          </w:tcPr>
          <w:p w:rsidR="0065798F" w:rsidRPr="00D86C14" w:rsidRDefault="0065798F" w:rsidP="00315603">
            <w:pPr>
              <w:jc w:val="center"/>
              <w:rPr>
                <w:rFonts w:asciiTheme="minorHAnsi" w:hAnsiTheme="minorHAnsi" w:cstheme="minorHAnsi"/>
                <w:color w:val="000000"/>
                <w:sz w:val="20"/>
                <w:szCs w:val="20"/>
              </w:rPr>
            </w:pPr>
            <w:r w:rsidRPr="00D86C14">
              <w:rPr>
                <w:rFonts w:asciiTheme="minorHAnsi" w:hAnsiTheme="minorHAnsi" w:cstheme="minorHAnsi"/>
                <w:color w:val="000000"/>
                <w:sz w:val="20"/>
                <w:szCs w:val="20"/>
              </w:rPr>
              <w:t>144</w:t>
            </w:r>
          </w:p>
        </w:tc>
        <w:tc>
          <w:tcPr>
            <w:tcW w:w="1491" w:type="dxa"/>
            <w:tcBorders>
              <w:bottom w:val="single" w:sz="8" w:space="0" w:color="000000"/>
            </w:tcBorders>
            <w:tcMar>
              <w:top w:w="0" w:type="dxa"/>
              <w:left w:w="108" w:type="dxa"/>
              <w:bottom w:w="0" w:type="dxa"/>
              <w:right w:w="108" w:type="dxa"/>
            </w:tcMar>
            <w:vAlign w:val="center"/>
          </w:tcPr>
          <w:p w:rsidR="0065798F" w:rsidRPr="00D86C14" w:rsidRDefault="0065798F" w:rsidP="00315603">
            <w:pPr>
              <w:jc w:val="center"/>
              <w:rPr>
                <w:rFonts w:asciiTheme="minorHAnsi" w:hAnsiTheme="minorHAnsi" w:cstheme="minorHAnsi"/>
                <w:color w:val="000000"/>
                <w:sz w:val="20"/>
                <w:szCs w:val="20"/>
              </w:rPr>
            </w:pPr>
            <w:r w:rsidRPr="00D86C14">
              <w:rPr>
                <w:rFonts w:asciiTheme="minorHAnsi" w:hAnsiTheme="minorHAnsi" w:cstheme="minorHAnsi"/>
                <w:color w:val="000000"/>
                <w:sz w:val="20"/>
                <w:szCs w:val="20"/>
              </w:rPr>
              <w:t>.23</w:t>
            </w:r>
          </w:p>
        </w:tc>
        <w:tc>
          <w:tcPr>
            <w:tcW w:w="2788" w:type="dxa"/>
            <w:tcBorders>
              <w:bottom w:val="single" w:sz="8" w:space="0" w:color="000000"/>
            </w:tcBorders>
            <w:tcMar>
              <w:top w:w="0" w:type="dxa"/>
              <w:left w:w="108" w:type="dxa"/>
              <w:bottom w:w="0" w:type="dxa"/>
              <w:right w:w="108" w:type="dxa"/>
            </w:tcMar>
            <w:vAlign w:val="center"/>
          </w:tcPr>
          <w:p w:rsidR="0065798F" w:rsidRPr="00D86C14" w:rsidRDefault="0065798F" w:rsidP="00315603">
            <w:pPr>
              <w:jc w:val="center"/>
              <w:rPr>
                <w:rFonts w:asciiTheme="minorHAnsi" w:hAnsiTheme="minorHAnsi" w:cstheme="minorHAnsi"/>
                <w:color w:val="000000"/>
                <w:sz w:val="20"/>
                <w:szCs w:val="20"/>
              </w:rPr>
            </w:pPr>
            <w:r w:rsidRPr="00D86C14">
              <w:rPr>
                <w:rFonts w:asciiTheme="minorHAnsi" w:hAnsiTheme="minorHAnsi" w:cstheme="minorHAnsi"/>
                <w:color w:val="000000"/>
                <w:sz w:val="20"/>
                <w:szCs w:val="20"/>
              </w:rPr>
              <w:t>33</w:t>
            </w:r>
          </w:p>
        </w:tc>
      </w:tr>
      <w:tr w:rsidR="0065798F" w:rsidRPr="00D86C14" w:rsidTr="00315603">
        <w:tc>
          <w:tcPr>
            <w:tcW w:w="8910" w:type="dxa"/>
            <w:gridSpan w:val="5"/>
            <w:tcBorders>
              <w:top w:val="single" w:sz="8" w:space="0" w:color="000000"/>
              <w:bottom w:val="nil"/>
            </w:tcBorders>
            <w:tcMar>
              <w:top w:w="0" w:type="dxa"/>
              <w:left w:w="108" w:type="dxa"/>
              <w:bottom w:w="0" w:type="dxa"/>
              <w:right w:w="108" w:type="dxa"/>
            </w:tcMar>
          </w:tcPr>
          <w:p w:rsidR="0065798F" w:rsidRPr="00B43542" w:rsidRDefault="0065798F" w:rsidP="0065798F">
            <w:pPr>
              <w:pStyle w:val="ListParagraph"/>
              <w:numPr>
                <w:ilvl w:val="0"/>
                <w:numId w:val="3"/>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We have estimated a </w:t>
            </w:r>
            <w:r w:rsidRPr="00B43542">
              <w:rPr>
                <w:rFonts w:asciiTheme="minorHAnsi" w:hAnsiTheme="minorHAnsi" w:cstheme="minorHAnsi"/>
                <w:color w:val="000000"/>
                <w:sz w:val="20"/>
                <w:szCs w:val="20"/>
              </w:rPr>
              <w:t>respondent burden of 2.5 minutes (.04 hour) to complete the demographic questions.</w:t>
            </w:r>
          </w:p>
          <w:p w:rsidR="0065798F" w:rsidRPr="00D86C14" w:rsidRDefault="0065798F" w:rsidP="00315603">
            <w:pPr>
              <w:rPr>
                <w:rFonts w:asciiTheme="minorHAnsi" w:hAnsiTheme="minorHAnsi" w:cstheme="minorHAnsi"/>
                <w:color w:val="000000"/>
                <w:sz w:val="20"/>
                <w:szCs w:val="20"/>
              </w:rPr>
            </w:pPr>
          </w:p>
        </w:tc>
      </w:tr>
      <w:tr w:rsidR="0065798F" w:rsidRPr="00D86C14" w:rsidTr="00315603">
        <w:tc>
          <w:tcPr>
            <w:tcW w:w="1197" w:type="dxa"/>
            <w:tcBorders>
              <w:top w:val="nil"/>
            </w:tcBorders>
            <w:tcMar>
              <w:top w:w="0" w:type="dxa"/>
              <w:left w:w="108" w:type="dxa"/>
              <w:bottom w:w="0" w:type="dxa"/>
              <w:right w:w="108" w:type="dxa"/>
            </w:tcMar>
          </w:tcPr>
          <w:p w:rsidR="0065798F" w:rsidRPr="00D86C14" w:rsidRDefault="0065798F" w:rsidP="00315603">
            <w:pP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 xml:space="preserve">        </w:t>
            </w:r>
          </w:p>
        </w:tc>
        <w:tc>
          <w:tcPr>
            <w:tcW w:w="1817" w:type="dxa"/>
            <w:tcBorders>
              <w:top w:val="nil"/>
            </w:tcBorders>
            <w:tcMar>
              <w:top w:w="0" w:type="dxa"/>
              <w:left w:w="108" w:type="dxa"/>
              <w:bottom w:w="0" w:type="dxa"/>
              <w:right w:w="108" w:type="dxa"/>
            </w:tcMar>
            <w:hideMark/>
          </w:tcPr>
          <w:p w:rsidR="0065798F" w:rsidRPr="00D86C14" w:rsidRDefault="0065798F" w:rsidP="00315603">
            <w:pP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CATI-Demographics</w:t>
            </w:r>
          </w:p>
        </w:tc>
        <w:tc>
          <w:tcPr>
            <w:tcW w:w="1617" w:type="dxa"/>
            <w:tcBorders>
              <w:top w:val="nil"/>
            </w:tcBorders>
            <w:tcMar>
              <w:top w:w="0" w:type="dxa"/>
              <w:left w:w="108" w:type="dxa"/>
              <w:bottom w:w="0" w:type="dxa"/>
              <w:right w:w="108" w:type="dxa"/>
            </w:tcMar>
            <w:vAlign w:val="center"/>
            <w:hideMark/>
          </w:tcPr>
          <w:p w:rsidR="0065798F" w:rsidRPr="00D86C14" w:rsidRDefault="0065798F" w:rsidP="00315603">
            <w:pPr>
              <w:jc w:val="cente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2,000</w:t>
            </w:r>
          </w:p>
        </w:tc>
        <w:tc>
          <w:tcPr>
            <w:tcW w:w="1491" w:type="dxa"/>
            <w:tcBorders>
              <w:top w:val="nil"/>
            </w:tcBorders>
            <w:tcMar>
              <w:top w:w="0" w:type="dxa"/>
              <w:left w:w="108" w:type="dxa"/>
              <w:bottom w:w="0" w:type="dxa"/>
              <w:right w:w="108" w:type="dxa"/>
            </w:tcMar>
            <w:vAlign w:val="center"/>
            <w:hideMark/>
          </w:tcPr>
          <w:p w:rsidR="0065798F" w:rsidRPr="00D86C14" w:rsidRDefault="0065798F" w:rsidP="00315603">
            <w:pPr>
              <w:jc w:val="cente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.04</w:t>
            </w:r>
          </w:p>
        </w:tc>
        <w:tc>
          <w:tcPr>
            <w:tcW w:w="2788" w:type="dxa"/>
            <w:tcBorders>
              <w:top w:val="nil"/>
            </w:tcBorders>
            <w:tcMar>
              <w:top w:w="0" w:type="dxa"/>
              <w:left w:w="108" w:type="dxa"/>
              <w:bottom w:w="0" w:type="dxa"/>
              <w:right w:w="108" w:type="dxa"/>
            </w:tcMar>
            <w:vAlign w:val="center"/>
            <w:hideMark/>
          </w:tcPr>
          <w:p w:rsidR="0065798F" w:rsidRPr="00D86C14" w:rsidRDefault="0065798F" w:rsidP="00315603">
            <w:pPr>
              <w:jc w:val="center"/>
              <w:rPr>
                <w:rFonts w:asciiTheme="minorHAnsi" w:eastAsiaTheme="minorHAnsi" w:hAnsiTheme="minorHAnsi" w:cstheme="minorHAnsi"/>
                <w:color w:val="000000"/>
                <w:sz w:val="20"/>
                <w:szCs w:val="20"/>
              </w:rPr>
            </w:pPr>
            <w:r w:rsidRPr="00D86C14">
              <w:rPr>
                <w:rFonts w:asciiTheme="minorHAnsi" w:hAnsiTheme="minorHAnsi" w:cstheme="minorHAnsi"/>
                <w:color w:val="000000"/>
                <w:sz w:val="20"/>
                <w:szCs w:val="20"/>
              </w:rPr>
              <w:t>80</w:t>
            </w:r>
          </w:p>
        </w:tc>
      </w:tr>
      <w:tr w:rsidR="0065798F" w:rsidRPr="00D86C14" w:rsidTr="00315603">
        <w:tc>
          <w:tcPr>
            <w:tcW w:w="1197" w:type="dxa"/>
            <w:tcMar>
              <w:top w:w="0" w:type="dxa"/>
              <w:left w:w="108" w:type="dxa"/>
              <w:bottom w:w="0" w:type="dxa"/>
              <w:right w:w="108" w:type="dxa"/>
            </w:tcMar>
            <w:hideMark/>
          </w:tcPr>
          <w:p w:rsidR="0065798F" w:rsidRPr="00D86C14" w:rsidRDefault="0065798F" w:rsidP="00315603">
            <w:pPr>
              <w:rPr>
                <w:rFonts w:asciiTheme="minorHAnsi" w:eastAsiaTheme="minorHAnsi" w:hAnsiTheme="minorHAnsi" w:cstheme="minorHAnsi"/>
                <w:b/>
                <w:bCs/>
                <w:color w:val="000000"/>
                <w:sz w:val="20"/>
                <w:szCs w:val="20"/>
              </w:rPr>
            </w:pPr>
            <w:r w:rsidRPr="00D86C14">
              <w:rPr>
                <w:rFonts w:asciiTheme="minorHAnsi" w:hAnsiTheme="minorHAnsi" w:cstheme="minorHAnsi"/>
                <w:b/>
                <w:bCs/>
                <w:color w:val="000000"/>
                <w:sz w:val="20"/>
                <w:szCs w:val="20"/>
              </w:rPr>
              <w:t>Total</w:t>
            </w:r>
          </w:p>
        </w:tc>
        <w:tc>
          <w:tcPr>
            <w:tcW w:w="1817" w:type="dxa"/>
            <w:tcMar>
              <w:top w:w="0" w:type="dxa"/>
              <w:left w:w="108" w:type="dxa"/>
              <w:bottom w:w="0" w:type="dxa"/>
              <w:right w:w="108" w:type="dxa"/>
            </w:tcMar>
          </w:tcPr>
          <w:p w:rsidR="0065798F" w:rsidRPr="00D86C14" w:rsidRDefault="0065798F" w:rsidP="00315603">
            <w:pPr>
              <w:rPr>
                <w:rFonts w:asciiTheme="minorHAnsi" w:eastAsiaTheme="minorHAnsi" w:hAnsiTheme="minorHAnsi" w:cstheme="minorHAnsi"/>
                <w:color w:val="000000"/>
                <w:sz w:val="20"/>
                <w:szCs w:val="20"/>
              </w:rPr>
            </w:pPr>
          </w:p>
        </w:tc>
        <w:tc>
          <w:tcPr>
            <w:tcW w:w="1617" w:type="dxa"/>
            <w:tcMar>
              <w:top w:w="0" w:type="dxa"/>
              <w:left w:w="108" w:type="dxa"/>
              <w:bottom w:w="0" w:type="dxa"/>
              <w:right w:w="108" w:type="dxa"/>
            </w:tcMar>
          </w:tcPr>
          <w:p w:rsidR="0065798F" w:rsidRPr="00D86C14" w:rsidRDefault="0065798F" w:rsidP="00315603">
            <w:pPr>
              <w:rPr>
                <w:rFonts w:asciiTheme="minorHAnsi" w:eastAsiaTheme="minorHAnsi" w:hAnsiTheme="minorHAnsi" w:cstheme="minorHAnsi"/>
                <w:color w:val="000000"/>
                <w:sz w:val="20"/>
                <w:szCs w:val="20"/>
              </w:rPr>
            </w:pPr>
          </w:p>
        </w:tc>
        <w:tc>
          <w:tcPr>
            <w:tcW w:w="1491" w:type="dxa"/>
            <w:tcMar>
              <w:top w:w="0" w:type="dxa"/>
              <w:left w:w="108" w:type="dxa"/>
              <w:bottom w:w="0" w:type="dxa"/>
              <w:right w:w="108" w:type="dxa"/>
            </w:tcMar>
            <w:hideMark/>
          </w:tcPr>
          <w:p w:rsidR="0065798F" w:rsidRPr="00D86C14" w:rsidRDefault="0065798F" w:rsidP="00315603">
            <w:pPr>
              <w:rPr>
                <w:rFonts w:asciiTheme="minorHAnsi" w:eastAsiaTheme="minorHAnsi" w:hAnsiTheme="minorHAnsi" w:cstheme="minorHAnsi"/>
                <w:b/>
                <w:bCs/>
                <w:color w:val="000000"/>
                <w:sz w:val="20"/>
                <w:szCs w:val="20"/>
              </w:rPr>
            </w:pPr>
          </w:p>
        </w:tc>
        <w:tc>
          <w:tcPr>
            <w:tcW w:w="2788" w:type="dxa"/>
            <w:tcMar>
              <w:top w:w="0" w:type="dxa"/>
              <w:left w:w="108" w:type="dxa"/>
              <w:bottom w:w="0" w:type="dxa"/>
              <w:right w:w="108" w:type="dxa"/>
            </w:tcMar>
            <w:vAlign w:val="center"/>
            <w:hideMark/>
          </w:tcPr>
          <w:p w:rsidR="0065798F" w:rsidRPr="00D86C14" w:rsidRDefault="00FE2D7C" w:rsidP="00315603">
            <w:pPr>
              <w:jc w:val="center"/>
              <w:rPr>
                <w:rFonts w:asciiTheme="minorHAnsi" w:eastAsiaTheme="minorHAnsi" w:hAnsiTheme="minorHAnsi" w:cstheme="minorHAnsi"/>
                <w:b/>
                <w:bCs/>
                <w:color w:val="000000"/>
                <w:sz w:val="20"/>
                <w:szCs w:val="20"/>
              </w:rPr>
            </w:pPr>
            <w:r>
              <w:rPr>
                <w:rFonts w:asciiTheme="minorHAnsi" w:hAnsiTheme="minorHAnsi" w:cstheme="minorHAnsi"/>
                <w:b/>
                <w:bCs/>
                <w:color w:val="000000"/>
                <w:sz w:val="20"/>
                <w:szCs w:val="20"/>
              </w:rPr>
              <w:t>1,339</w:t>
            </w:r>
            <w:r w:rsidR="0065798F" w:rsidRPr="00D86C14">
              <w:rPr>
                <w:rFonts w:asciiTheme="minorHAnsi" w:hAnsiTheme="minorHAnsi" w:cstheme="minorHAnsi"/>
                <w:b/>
                <w:bCs/>
                <w:color w:val="000000"/>
                <w:sz w:val="20"/>
                <w:szCs w:val="20"/>
              </w:rPr>
              <w:t xml:space="preserve"> hours</w:t>
            </w:r>
          </w:p>
        </w:tc>
      </w:tr>
    </w:tbl>
    <w:p w:rsidR="0065798F" w:rsidRPr="002B23D8" w:rsidRDefault="0065798F" w:rsidP="0065798F">
      <w:pPr>
        <w:autoSpaceDE w:val="0"/>
        <w:autoSpaceDN w:val="0"/>
        <w:adjustRightInd w:val="0"/>
        <w:contextualSpacing/>
        <w:rPr>
          <w:rFonts w:asciiTheme="minorHAnsi" w:hAnsiTheme="minorHAnsi"/>
          <w:sz w:val="22"/>
          <w:szCs w:val="22"/>
        </w:rPr>
      </w:pPr>
    </w:p>
    <w:p w:rsidR="0065798F" w:rsidRPr="002B23D8" w:rsidRDefault="0065798F" w:rsidP="00597BDB">
      <w:pPr>
        <w:contextualSpacing/>
        <w:rPr>
          <w:rFonts w:asciiTheme="minorHAnsi" w:hAnsiTheme="minorHAnsi"/>
          <w:sz w:val="22"/>
          <w:szCs w:val="22"/>
        </w:rPr>
      </w:pPr>
    </w:p>
    <w:p w:rsidR="00597BDB" w:rsidRDefault="00597BDB" w:rsidP="00597BDB">
      <w:pPr>
        <w:contextualSpacing/>
        <w:rPr>
          <w:rStyle w:val="Heading2Char"/>
          <w:rFonts w:asciiTheme="minorHAnsi" w:eastAsia="Calibri" w:hAnsiTheme="minorHAnsi"/>
          <w:sz w:val="22"/>
          <w:szCs w:val="22"/>
        </w:rPr>
      </w:pPr>
      <w:bookmarkStart w:id="3" w:name="_Toc295825673"/>
    </w:p>
    <w:p w:rsidR="00597BDB" w:rsidRPr="00597BDB" w:rsidRDefault="00597BDB" w:rsidP="00597BDB">
      <w:pPr>
        <w:contextualSpacing/>
        <w:rPr>
          <w:rFonts w:asciiTheme="minorHAnsi" w:hAnsiTheme="minorHAnsi"/>
          <w:sz w:val="22"/>
          <w:szCs w:val="22"/>
        </w:rPr>
      </w:pPr>
      <w:r w:rsidRPr="00597BDB">
        <w:rPr>
          <w:rStyle w:val="Heading2Char"/>
          <w:rFonts w:asciiTheme="minorHAnsi" w:eastAsia="Calibri" w:hAnsiTheme="minorHAnsi"/>
          <w:color w:val="auto"/>
          <w:sz w:val="22"/>
          <w:szCs w:val="22"/>
        </w:rPr>
        <w:t>Power and Precision Analysis</w:t>
      </w:r>
      <w:bookmarkEnd w:id="3"/>
    </w:p>
    <w:p w:rsidR="00C71601" w:rsidRDefault="00C71601" w:rsidP="00597BDB">
      <w:pPr>
        <w:contextualSpacing/>
        <w:rPr>
          <w:rFonts w:asciiTheme="minorHAnsi" w:hAnsiTheme="minorHAnsi"/>
          <w:sz w:val="22"/>
          <w:szCs w:val="22"/>
        </w:rPr>
      </w:pPr>
    </w:p>
    <w:p w:rsidR="00597BDB" w:rsidRPr="002B23D8" w:rsidRDefault="00597BDB" w:rsidP="00597BDB">
      <w:pPr>
        <w:contextualSpacing/>
        <w:rPr>
          <w:rFonts w:asciiTheme="minorHAnsi" w:hAnsiTheme="minorHAnsi"/>
          <w:sz w:val="22"/>
          <w:szCs w:val="22"/>
        </w:rPr>
      </w:pPr>
      <w:r>
        <w:rPr>
          <w:rFonts w:asciiTheme="minorHAnsi" w:hAnsiTheme="minorHAnsi"/>
          <w:sz w:val="22"/>
          <w:szCs w:val="22"/>
        </w:rPr>
        <w:t xml:space="preserve">In calculating power and precision for the field test, </w:t>
      </w:r>
      <w:r w:rsidRPr="002B23D8">
        <w:rPr>
          <w:rFonts w:asciiTheme="minorHAnsi" w:hAnsiTheme="minorHAnsi"/>
          <w:sz w:val="22"/>
          <w:szCs w:val="22"/>
        </w:rPr>
        <w:t xml:space="preserve">we examined data from Cowan et al. (1978) on the effects of an attitude supplement on estimates of crime victimization. Half of the sample of respondents received an attitude supplement on crime prior to answering the NCVS screener and half completed the crime screener without the supplement. Table </w:t>
      </w:r>
      <w:r w:rsidR="00C71601">
        <w:rPr>
          <w:rFonts w:asciiTheme="minorHAnsi" w:hAnsiTheme="minorHAnsi"/>
          <w:sz w:val="22"/>
          <w:szCs w:val="22"/>
        </w:rPr>
        <w:t>3</w:t>
      </w:r>
      <w:r w:rsidRPr="002B23D8">
        <w:rPr>
          <w:rFonts w:asciiTheme="minorHAnsi" w:hAnsiTheme="minorHAnsi"/>
          <w:sz w:val="22"/>
          <w:szCs w:val="22"/>
        </w:rPr>
        <w:t xml:space="preserve"> summarizes the effects of the attitude supplement on crime rates. As can be seen in the table, the crime rate in the 13 cities sampled is somewhat higher than the national estimates from the NCS/NCVS. The relative change in crime estimates varies from 22.25% for violent crime and 12.69% for property crime.</w:t>
      </w:r>
    </w:p>
    <w:p w:rsidR="00597BDB" w:rsidRDefault="00597BDB" w:rsidP="00597BDB">
      <w:pPr>
        <w:contextualSpacing/>
        <w:rPr>
          <w:rFonts w:asciiTheme="minorHAnsi" w:hAnsiTheme="minorHAnsi"/>
          <w:b/>
          <w:sz w:val="22"/>
          <w:szCs w:val="22"/>
        </w:rPr>
      </w:pPr>
    </w:p>
    <w:p w:rsidR="00597BDB" w:rsidRPr="002B23D8" w:rsidRDefault="00597BDB" w:rsidP="00597BDB">
      <w:pPr>
        <w:contextualSpacing/>
        <w:rPr>
          <w:rFonts w:asciiTheme="minorHAnsi" w:hAnsiTheme="minorHAnsi"/>
          <w:b/>
          <w:sz w:val="22"/>
          <w:szCs w:val="22"/>
        </w:rPr>
      </w:pPr>
      <w:r w:rsidRPr="002B23D8">
        <w:rPr>
          <w:rFonts w:asciiTheme="minorHAnsi" w:hAnsiTheme="minorHAnsi"/>
          <w:b/>
          <w:sz w:val="22"/>
          <w:szCs w:val="22"/>
        </w:rPr>
        <w:t xml:space="preserve">Table </w:t>
      </w:r>
      <w:r w:rsidR="00C71601">
        <w:rPr>
          <w:rFonts w:asciiTheme="minorHAnsi" w:hAnsiTheme="minorHAnsi"/>
          <w:b/>
          <w:sz w:val="22"/>
          <w:szCs w:val="22"/>
        </w:rPr>
        <w:t>3</w:t>
      </w:r>
      <w:r w:rsidRPr="002B23D8">
        <w:rPr>
          <w:rFonts w:asciiTheme="minorHAnsi" w:hAnsiTheme="minorHAnsi"/>
          <w:b/>
          <w:sz w:val="22"/>
          <w:szCs w:val="22"/>
        </w:rPr>
        <w:t>: Crime rates with and without an attitude supplement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1890"/>
        <w:gridCol w:w="1890"/>
        <w:gridCol w:w="1890"/>
      </w:tblGrid>
      <w:tr w:rsidR="00597BDB" w:rsidRPr="002B23D8" w:rsidTr="00597BDB">
        <w:trPr>
          <w:trHeight w:val="755"/>
        </w:trPr>
        <w:tc>
          <w:tcPr>
            <w:tcW w:w="3078" w:type="dxa"/>
          </w:tcPr>
          <w:p w:rsidR="00597BDB" w:rsidRPr="002B23D8" w:rsidRDefault="00597BDB" w:rsidP="00597BDB">
            <w:pPr>
              <w:contextualSpacing/>
              <w:rPr>
                <w:rFonts w:asciiTheme="minorHAnsi" w:hAnsiTheme="minorHAnsi"/>
              </w:rPr>
            </w:pPr>
          </w:p>
        </w:tc>
        <w:tc>
          <w:tcPr>
            <w:tcW w:w="1890" w:type="dxa"/>
          </w:tcPr>
          <w:p w:rsidR="00597BDB" w:rsidRPr="002B23D8" w:rsidRDefault="00597BDB" w:rsidP="00597BDB">
            <w:pPr>
              <w:contextualSpacing/>
              <w:jc w:val="center"/>
              <w:rPr>
                <w:rFonts w:asciiTheme="minorHAnsi" w:hAnsiTheme="minorHAnsi"/>
              </w:rPr>
            </w:pPr>
            <w:r w:rsidRPr="002B23D8">
              <w:rPr>
                <w:rFonts w:asciiTheme="minorHAnsi" w:hAnsiTheme="minorHAnsi"/>
                <w:sz w:val="22"/>
                <w:szCs w:val="22"/>
              </w:rPr>
              <w:t>No attitude supplement</w:t>
            </w:r>
          </w:p>
        </w:tc>
        <w:tc>
          <w:tcPr>
            <w:tcW w:w="1890" w:type="dxa"/>
          </w:tcPr>
          <w:p w:rsidR="00597BDB" w:rsidRPr="002B23D8" w:rsidRDefault="00597BDB" w:rsidP="00597BDB">
            <w:pPr>
              <w:contextualSpacing/>
              <w:jc w:val="center"/>
              <w:rPr>
                <w:rFonts w:asciiTheme="minorHAnsi" w:hAnsiTheme="minorHAnsi"/>
              </w:rPr>
            </w:pPr>
            <w:r w:rsidRPr="002B23D8">
              <w:rPr>
                <w:rFonts w:asciiTheme="minorHAnsi" w:hAnsiTheme="minorHAnsi"/>
                <w:sz w:val="22"/>
                <w:szCs w:val="22"/>
              </w:rPr>
              <w:t>With attitude supplement</w:t>
            </w:r>
          </w:p>
        </w:tc>
        <w:tc>
          <w:tcPr>
            <w:tcW w:w="1890" w:type="dxa"/>
          </w:tcPr>
          <w:p w:rsidR="00597BDB" w:rsidRPr="002B23D8" w:rsidRDefault="00597BDB" w:rsidP="00597BDB">
            <w:pPr>
              <w:contextualSpacing/>
              <w:jc w:val="center"/>
              <w:rPr>
                <w:rFonts w:asciiTheme="minorHAnsi" w:hAnsiTheme="minorHAnsi"/>
              </w:rPr>
            </w:pPr>
            <w:r w:rsidRPr="002B23D8">
              <w:rPr>
                <w:rFonts w:asciiTheme="minorHAnsi" w:hAnsiTheme="minorHAnsi"/>
                <w:sz w:val="22"/>
                <w:szCs w:val="22"/>
              </w:rPr>
              <w:t>Relative change (%)</w:t>
            </w:r>
          </w:p>
        </w:tc>
      </w:tr>
      <w:tr w:rsidR="00597BDB" w:rsidRPr="002B23D8" w:rsidTr="00597BDB">
        <w:tc>
          <w:tcPr>
            <w:tcW w:w="3078" w:type="dxa"/>
          </w:tcPr>
          <w:p w:rsidR="00597BDB" w:rsidRPr="002B23D8" w:rsidRDefault="00597BDB" w:rsidP="00597BDB">
            <w:pPr>
              <w:contextualSpacing/>
              <w:rPr>
                <w:rFonts w:asciiTheme="minorHAnsi" w:hAnsiTheme="minorHAnsi"/>
              </w:rPr>
            </w:pPr>
            <w:r w:rsidRPr="002B23D8">
              <w:rPr>
                <w:rFonts w:asciiTheme="minorHAnsi" w:hAnsiTheme="minorHAnsi"/>
                <w:sz w:val="22"/>
                <w:szCs w:val="22"/>
              </w:rPr>
              <w:t>Violent crime</w:t>
            </w:r>
          </w:p>
        </w:tc>
        <w:tc>
          <w:tcPr>
            <w:tcW w:w="1890" w:type="dxa"/>
          </w:tcPr>
          <w:p w:rsidR="00597BDB" w:rsidRPr="002B23D8" w:rsidRDefault="00597BDB" w:rsidP="00597BDB">
            <w:pPr>
              <w:contextualSpacing/>
              <w:jc w:val="center"/>
              <w:rPr>
                <w:rFonts w:asciiTheme="minorHAnsi" w:hAnsiTheme="minorHAnsi"/>
              </w:rPr>
            </w:pPr>
            <w:r w:rsidRPr="002B23D8">
              <w:rPr>
                <w:rFonts w:asciiTheme="minorHAnsi" w:hAnsiTheme="minorHAnsi"/>
                <w:sz w:val="22"/>
                <w:szCs w:val="22"/>
              </w:rPr>
              <w:t>48.27</w:t>
            </w:r>
          </w:p>
        </w:tc>
        <w:tc>
          <w:tcPr>
            <w:tcW w:w="1890" w:type="dxa"/>
          </w:tcPr>
          <w:p w:rsidR="00597BDB" w:rsidRPr="002B23D8" w:rsidRDefault="00597BDB" w:rsidP="00597BDB">
            <w:pPr>
              <w:contextualSpacing/>
              <w:jc w:val="center"/>
              <w:rPr>
                <w:rFonts w:asciiTheme="minorHAnsi" w:hAnsiTheme="minorHAnsi"/>
              </w:rPr>
            </w:pPr>
            <w:r w:rsidRPr="002B23D8">
              <w:rPr>
                <w:rFonts w:asciiTheme="minorHAnsi" w:hAnsiTheme="minorHAnsi"/>
                <w:sz w:val="22"/>
                <w:szCs w:val="22"/>
              </w:rPr>
              <w:t>59.01</w:t>
            </w:r>
          </w:p>
        </w:tc>
        <w:tc>
          <w:tcPr>
            <w:tcW w:w="1890" w:type="dxa"/>
          </w:tcPr>
          <w:p w:rsidR="00597BDB" w:rsidRPr="002B23D8" w:rsidRDefault="00597BDB" w:rsidP="00597BDB">
            <w:pPr>
              <w:contextualSpacing/>
              <w:jc w:val="center"/>
              <w:rPr>
                <w:rFonts w:asciiTheme="minorHAnsi" w:hAnsiTheme="minorHAnsi"/>
              </w:rPr>
            </w:pPr>
            <w:r w:rsidRPr="002B23D8">
              <w:rPr>
                <w:rFonts w:asciiTheme="minorHAnsi" w:hAnsiTheme="minorHAnsi"/>
                <w:sz w:val="22"/>
                <w:szCs w:val="22"/>
              </w:rPr>
              <w:t>22.25</w:t>
            </w:r>
          </w:p>
        </w:tc>
      </w:tr>
      <w:tr w:rsidR="00597BDB" w:rsidRPr="002B23D8" w:rsidTr="00597BDB">
        <w:tc>
          <w:tcPr>
            <w:tcW w:w="3078" w:type="dxa"/>
          </w:tcPr>
          <w:p w:rsidR="00597BDB" w:rsidRPr="002B23D8" w:rsidRDefault="00597BDB" w:rsidP="00597BDB">
            <w:pPr>
              <w:contextualSpacing/>
              <w:rPr>
                <w:rFonts w:asciiTheme="minorHAnsi" w:hAnsiTheme="minorHAnsi"/>
              </w:rPr>
            </w:pPr>
            <w:r w:rsidRPr="002B23D8">
              <w:rPr>
                <w:rFonts w:asciiTheme="minorHAnsi" w:hAnsiTheme="minorHAnsi"/>
                <w:sz w:val="22"/>
                <w:szCs w:val="22"/>
              </w:rPr>
              <w:t>Personal theft</w:t>
            </w:r>
          </w:p>
        </w:tc>
        <w:tc>
          <w:tcPr>
            <w:tcW w:w="1890" w:type="dxa"/>
          </w:tcPr>
          <w:p w:rsidR="00597BDB" w:rsidRPr="002B23D8" w:rsidRDefault="00597BDB" w:rsidP="00597BDB">
            <w:pPr>
              <w:contextualSpacing/>
              <w:jc w:val="center"/>
              <w:rPr>
                <w:rFonts w:asciiTheme="minorHAnsi" w:hAnsiTheme="minorHAnsi"/>
              </w:rPr>
            </w:pPr>
            <w:r w:rsidRPr="002B23D8">
              <w:rPr>
                <w:rFonts w:asciiTheme="minorHAnsi" w:hAnsiTheme="minorHAnsi"/>
                <w:sz w:val="22"/>
                <w:szCs w:val="22"/>
              </w:rPr>
              <w:t>97.56</w:t>
            </w:r>
          </w:p>
        </w:tc>
        <w:tc>
          <w:tcPr>
            <w:tcW w:w="1890" w:type="dxa"/>
          </w:tcPr>
          <w:p w:rsidR="00597BDB" w:rsidRPr="002B23D8" w:rsidRDefault="00597BDB" w:rsidP="00597BDB">
            <w:pPr>
              <w:contextualSpacing/>
              <w:jc w:val="center"/>
              <w:rPr>
                <w:rFonts w:asciiTheme="minorHAnsi" w:hAnsiTheme="minorHAnsi"/>
              </w:rPr>
            </w:pPr>
            <w:r w:rsidRPr="002B23D8">
              <w:rPr>
                <w:rFonts w:asciiTheme="minorHAnsi" w:hAnsiTheme="minorHAnsi"/>
                <w:sz w:val="22"/>
                <w:szCs w:val="22"/>
              </w:rPr>
              <w:t>112.70</w:t>
            </w:r>
          </w:p>
        </w:tc>
        <w:tc>
          <w:tcPr>
            <w:tcW w:w="1890" w:type="dxa"/>
          </w:tcPr>
          <w:p w:rsidR="00597BDB" w:rsidRPr="002B23D8" w:rsidRDefault="00597BDB" w:rsidP="00597BDB">
            <w:pPr>
              <w:contextualSpacing/>
              <w:jc w:val="center"/>
              <w:rPr>
                <w:rFonts w:asciiTheme="minorHAnsi" w:hAnsiTheme="minorHAnsi"/>
              </w:rPr>
            </w:pPr>
            <w:r w:rsidRPr="002B23D8">
              <w:rPr>
                <w:rFonts w:asciiTheme="minorHAnsi" w:hAnsiTheme="minorHAnsi"/>
                <w:sz w:val="22"/>
                <w:szCs w:val="22"/>
              </w:rPr>
              <w:t>15.52</w:t>
            </w:r>
          </w:p>
        </w:tc>
      </w:tr>
      <w:tr w:rsidR="00597BDB" w:rsidRPr="002B23D8" w:rsidTr="00597BDB">
        <w:tc>
          <w:tcPr>
            <w:tcW w:w="3078" w:type="dxa"/>
          </w:tcPr>
          <w:p w:rsidR="00597BDB" w:rsidRPr="002B23D8" w:rsidRDefault="00597BDB" w:rsidP="00597BDB">
            <w:pPr>
              <w:contextualSpacing/>
              <w:rPr>
                <w:rFonts w:asciiTheme="minorHAnsi" w:hAnsiTheme="minorHAnsi"/>
              </w:rPr>
            </w:pPr>
            <w:r w:rsidRPr="002B23D8">
              <w:rPr>
                <w:rFonts w:asciiTheme="minorHAnsi" w:hAnsiTheme="minorHAnsi"/>
                <w:sz w:val="22"/>
                <w:szCs w:val="22"/>
              </w:rPr>
              <w:t>Property crime</w:t>
            </w:r>
          </w:p>
        </w:tc>
        <w:tc>
          <w:tcPr>
            <w:tcW w:w="1890" w:type="dxa"/>
          </w:tcPr>
          <w:p w:rsidR="00597BDB" w:rsidRPr="002B23D8" w:rsidRDefault="00597BDB" w:rsidP="00597BDB">
            <w:pPr>
              <w:contextualSpacing/>
              <w:jc w:val="center"/>
              <w:rPr>
                <w:rFonts w:asciiTheme="minorHAnsi" w:hAnsiTheme="minorHAnsi"/>
              </w:rPr>
            </w:pPr>
            <w:r w:rsidRPr="002B23D8">
              <w:rPr>
                <w:rFonts w:asciiTheme="minorHAnsi" w:hAnsiTheme="minorHAnsi"/>
                <w:sz w:val="22"/>
                <w:szCs w:val="22"/>
              </w:rPr>
              <w:t>447.68</w:t>
            </w:r>
          </w:p>
        </w:tc>
        <w:tc>
          <w:tcPr>
            <w:tcW w:w="1890" w:type="dxa"/>
          </w:tcPr>
          <w:p w:rsidR="00597BDB" w:rsidRPr="002B23D8" w:rsidRDefault="00597BDB" w:rsidP="00597BDB">
            <w:pPr>
              <w:contextualSpacing/>
              <w:jc w:val="center"/>
              <w:rPr>
                <w:rFonts w:asciiTheme="minorHAnsi" w:hAnsiTheme="minorHAnsi"/>
              </w:rPr>
            </w:pPr>
            <w:r w:rsidRPr="002B23D8">
              <w:rPr>
                <w:rFonts w:asciiTheme="minorHAnsi" w:hAnsiTheme="minorHAnsi"/>
                <w:sz w:val="22"/>
                <w:szCs w:val="22"/>
              </w:rPr>
              <w:t>504.49</w:t>
            </w:r>
          </w:p>
        </w:tc>
        <w:tc>
          <w:tcPr>
            <w:tcW w:w="1890" w:type="dxa"/>
          </w:tcPr>
          <w:p w:rsidR="00597BDB" w:rsidRPr="002B23D8" w:rsidRDefault="00597BDB" w:rsidP="00597BDB">
            <w:pPr>
              <w:contextualSpacing/>
              <w:jc w:val="center"/>
              <w:rPr>
                <w:rFonts w:asciiTheme="minorHAnsi" w:hAnsiTheme="minorHAnsi"/>
              </w:rPr>
            </w:pPr>
            <w:r w:rsidRPr="002B23D8">
              <w:rPr>
                <w:rFonts w:asciiTheme="minorHAnsi" w:hAnsiTheme="minorHAnsi"/>
                <w:sz w:val="22"/>
                <w:szCs w:val="22"/>
              </w:rPr>
              <w:t>12.69</w:t>
            </w:r>
          </w:p>
        </w:tc>
      </w:tr>
    </w:tbl>
    <w:p w:rsidR="00597BDB" w:rsidRPr="00AF3DCC" w:rsidRDefault="00597BDB" w:rsidP="00597BDB">
      <w:pPr>
        <w:contextualSpacing/>
        <w:rPr>
          <w:rFonts w:asciiTheme="minorHAnsi" w:hAnsiTheme="minorHAnsi"/>
          <w:sz w:val="20"/>
          <w:szCs w:val="20"/>
        </w:rPr>
      </w:pPr>
      <w:r w:rsidRPr="00AF3DCC">
        <w:rPr>
          <w:rFonts w:asciiTheme="minorHAnsi" w:hAnsiTheme="minorHAnsi"/>
          <w:sz w:val="20"/>
          <w:szCs w:val="20"/>
        </w:rPr>
        <w:t xml:space="preserve">Note: Data from Cowan et al. (1978). The “no attitude supplement” condition is considered the reference point in determining relative change. Table </w:t>
      </w:r>
      <w:r w:rsidR="00AE30AE">
        <w:rPr>
          <w:rFonts w:asciiTheme="minorHAnsi" w:hAnsiTheme="minorHAnsi"/>
          <w:sz w:val="20"/>
          <w:szCs w:val="20"/>
        </w:rPr>
        <w:t xml:space="preserve">3 </w:t>
      </w:r>
      <w:r w:rsidRPr="00AF3DCC">
        <w:rPr>
          <w:rFonts w:asciiTheme="minorHAnsi" w:hAnsiTheme="minorHAnsi"/>
          <w:sz w:val="20"/>
          <w:szCs w:val="20"/>
        </w:rPr>
        <w:t>represents victimization rate per 1,000 persons or per 1,000 households.</w:t>
      </w:r>
    </w:p>
    <w:p w:rsidR="00597BDB" w:rsidRPr="002B23D8" w:rsidRDefault="00597BDB" w:rsidP="00597BDB">
      <w:pPr>
        <w:contextualSpacing/>
        <w:rPr>
          <w:rFonts w:asciiTheme="minorHAnsi" w:hAnsiTheme="minorHAnsi"/>
          <w:sz w:val="22"/>
          <w:szCs w:val="22"/>
        </w:rPr>
      </w:pPr>
    </w:p>
    <w:p w:rsidR="00597BDB" w:rsidRDefault="00597BDB" w:rsidP="00597BDB">
      <w:pPr>
        <w:contextualSpacing/>
        <w:rPr>
          <w:rFonts w:asciiTheme="minorHAnsi" w:hAnsiTheme="minorHAnsi"/>
          <w:sz w:val="22"/>
          <w:szCs w:val="22"/>
        </w:rPr>
      </w:pPr>
      <w:r w:rsidRPr="002B23D8">
        <w:rPr>
          <w:rFonts w:asciiTheme="minorHAnsi" w:hAnsiTheme="minorHAnsi"/>
          <w:sz w:val="22"/>
          <w:szCs w:val="22"/>
        </w:rPr>
        <w:t xml:space="preserve"> </w:t>
      </w:r>
    </w:p>
    <w:p w:rsidR="00597BDB" w:rsidRDefault="00597BDB" w:rsidP="00597BDB">
      <w:pPr>
        <w:contextualSpacing/>
        <w:rPr>
          <w:rFonts w:asciiTheme="minorHAnsi" w:hAnsiTheme="minorHAnsi"/>
          <w:sz w:val="22"/>
          <w:szCs w:val="22"/>
        </w:rPr>
      </w:pPr>
      <w:r w:rsidRPr="002B23D8">
        <w:rPr>
          <w:rFonts w:asciiTheme="minorHAnsi" w:hAnsiTheme="minorHAnsi"/>
          <w:sz w:val="22"/>
          <w:szCs w:val="22"/>
        </w:rPr>
        <w:t xml:space="preserve">We assumed the lowest level of relative change observed when the attitude supplement is included before the crime screener (12.69%, rounded up to 13%). Taking the lowest relative change observed will provide the most conservative assumption of the effect of the ECP on crime rates with respect to the sample size. The following assumptions </w:t>
      </w:r>
      <w:r>
        <w:rPr>
          <w:rFonts w:asciiTheme="minorHAnsi" w:hAnsiTheme="minorHAnsi"/>
          <w:sz w:val="22"/>
          <w:szCs w:val="22"/>
        </w:rPr>
        <w:t>were made</w:t>
      </w:r>
      <w:r w:rsidRPr="002B23D8">
        <w:rPr>
          <w:rFonts w:asciiTheme="minorHAnsi" w:hAnsiTheme="minorHAnsi"/>
          <w:sz w:val="22"/>
          <w:szCs w:val="22"/>
        </w:rPr>
        <w:t>:</w:t>
      </w:r>
    </w:p>
    <w:p w:rsidR="00597BDB" w:rsidRPr="002B23D8" w:rsidRDefault="00597BDB" w:rsidP="00597BDB">
      <w:pPr>
        <w:contextualSpacing/>
        <w:rPr>
          <w:rFonts w:asciiTheme="minorHAnsi" w:hAnsiTheme="minorHAnsi"/>
          <w:sz w:val="22"/>
          <w:szCs w:val="22"/>
        </w:rPr>
      </w:pPr>
    </w:p>
    <w:p w:rsidR="00597BDB" w:rsidRDefault="00597BDB" w:rsidP="00597BDB">
      <w:pPr>
        <w:numPr>
          <w:ilvl w:val="0"/>
          <w:numId w:val="1"/>
        </w:numPr>
        <w:contextualSpacing/>
        <w:rPr>
          <w:rFonts w:asciiTheme="minorHAnsi" w:hAnsiTheme="minorHAnsi"/>
          <w:sz w:val="22"/>
          <w:szCs w:val="22"/>
        </w:rPr>
      </w:pPr>
      <w:r>
        <w:rPr>
          <w:rFonts w:asciiTheme="minorHAnsi" w:hAnsiTheme="minorHAnsi"/>
          <w:sz w:val="22"/>
          <w:szCs w:val="22"/>
        </w:rPr>
        <w:t>Following standard statistical assumptions, p</w:t>
      </w:r>
      <w:r w:rsidRPr="002B23D8">
        <w:rPr>
          <w:rFonts w:asciiTheme="minorHAnsi" w:hAnsiTheme="minorHAnsi"/>
          <w:sz w:val="22"/>
          <w:szCs w:val="22"/>
        </w:rPr>
        <w:t>recision will be held constant at 95% for the power calculation.</w:t>
      </w:r>
      <w:r>
        <w:rPr>
          <w:rFonts w:asciiTheme="minorHAnsi" w:hAnsiTheme="minorHAnsi"/>
          <w:sz w:val="22"/>
          <w:szCs w:val="22"/>
        </w:rPr>
        <w:t xml:space="preserve">  </w:t>
      </w:r>
    </w:p>
    <w:p w:rsidR="00597BDB" w:rsidRPr="000A7083" w:rsidRDefault="00597BDB" w:rsidP="00597BDB">
      <w:pPr>
        <w:numPr>
          <w:ilvl w:val="0"/>
          <w:numId w:val="1"/>
        </w:numPr>
        <w:contextualSpacing/>
        <w:rPr>
          <w:rFonts w:asciiTheme="minorHAnsi" w:hAnsiTheme="minorHAnsi"/>
          <w:sz w:val="22"/>
          <w:szCs w:val="22"/>
        </w:rPr>
      </w:pPr>
      <w:r w:rsidRPr="002B23D8">
        <w:rPr>
          <w:rFonts w:asciiTheme="minorHAnsi" w:hAnsiTheme="minorHAnsi"/>
          <w:sz w:val="22"/>
          <w:szCs w:val="22"/>
        </w:rPr>
        <w:t>Number of completed cases will be 1,</w:t>
      </w:r>
      <w:r>
        <w:rPr>
          <w:rFonts w:asciiTheme="minorHAnsi" w:hAnsiTheme="minorHAnsi"/>
          <w:sz w:val="22"/>
          <w:szCs w:val="22"/>
        </w:rPr>
        <w:t>000 per condition (2,000 total):  The remaining budget for the project supports the completion of 2,000 cases</w:t>
      </w:r>
      <w:proofErr w:type="gramStart"/>
      <w:r>
        <w:rPr>
          <w:rFonts w:asciiTheme="minorHAnsi" w:hAnsiTheme="minorHAnsi"/>
          <w:sz w:val="22"/>
          <w:szCs w:val="22"/>
        </w:rPr>
        <w:t xml:space="preserve">.  </w:t>
      </w:r>
      <w:proofErr w:type="gramEnd"/>
      <w:r>
        <w:rPr>
          <w:rFonts w:asciiTheme="minorHAnsi" w:hAnsiTheme="minorHAnsi"/>
          <w:sz w:val="22"/>
          <w:szCs w:val="22"/>
        </w:rPr>
        <w:t>The projected number of completed cases will be distributed evenly across the Control and Treatment conditions.</w:t>
      </w:r>
    </w:p>
    <w:p w:rsidR="00597BDB" w:rsidRPr="00FE346E" w:rsidRDefault="00597BDB" w:rsidP="00597BDB">
      <w:pPr>
        <w:numPr>
          <w:ilvl w:val="0"/>
          <w:numId w:val="1"/>
        </w:numPr>
        <w:contextualSpacing/>
        <w:rPr>
          <w:rFonts w:asciiTheme="minorHAnsi" w:hAnsiTheme="minorHAnsi"/>
          <w:sz w:val="22"/>
          <w:szCs w:val="22"/>
        </w:rPr>
      </w:pPr>
      <w:r w:rsidRPr="002B23D8">
        <w:rPr>
          <w:rFonts w:asciiTheme="minorHAnsi" w:hAnsiTheme="minorHAnsi"/>
          <w:sz w:val="22"/>
          <w:szCs w:val="22"/>
        </w:rPr>
        <w:t>The use of ECP will increase reporting of crime over the Control condition (one-sided test)</w:t>
      </w:r>
      <w:r>
        <w:rPr>
          <w:rFonts w:asciiTheme="minorHAnsi" w:hAnsiTheme="minorHAnsi"/>
          <w:sz w:val="22"/>
          <w:szCs w:val="22"/>
        </w:rPr>
        <w:t>:  Based on the work of Cowan et al. (1978), we expect that the ECP will increase crime reporting.  The interest in the use of the ECP centers around its facilitative effects on reporting; our hypothesis reflects this expectation that the ECP will increase reporting.</w:t>
      </w:r>
    </w:p>
    <w:p w:rsidR="00597BDB" w:rsidRPr="002B23D8" w:rsidRDefault="00597BDB" w:rsidP="00597BDB">
      <w:pPr>
        <w:numPr>
          <w:ilvl w:val="0"/>
          <w:numId w:val="1"/>
        </w:numPr>
        <w:contextualSpacing/>
        <w:rPr>
          <w:rFonts w:asciiTheme="minorHAnsi" w:hAnsiTheme="minorHAnsi"/>
          <w:sz w:val="22"/>
          <w:szCs w:val="22"/>
        </w:rPr>
      </w:pPr>
      <w:r w:rsidRPr="002B23D8">
        <w:rPr>
          <w:rFonts w:asciiTheme="minorHAnsi" w:hAnsiTheme="minorHAnsi"/>
          <w:sz w:val="22"/>
          <w:szCs w:val="22"/>
        </w:rPr>
        <w:t xml:space="preserve">The 2009 NCVS property crime rate (127.4 per 1,000) will be </w:t>
      </w:r>
      <w:r>
        <w:rPr>
          <w:rFonts w:asciiTheme="minorHAnsi" w:hAnsiTheme="minorHAnsi"/>
          <w:sz w:val="22"/>
          <w:szCs w:val="22"/>
        </w:rPr>
        <w:t xml:space="preserve">adopted as the 6M Control value:  The NCVS data provide the best estimate of what the crime rate will be in the Control condition of the field test.  The Control condition reflects the current design of the NCVS, using the same reference period and crime screener.  Therefore, the crime rate observed in the Control condition is expected to approximate that found in the NCVS. </w:t>
      </w:r>
    </w:p>
    <w:p w:rsidR="00597BDB" w:rsidRDefault="00597BDB" w:rsidP="00597BDB">
      <w:pPr>
        <w:numPr>
          <w:ilvl w:val="0"/>
          <w:numId w:val="1"/>
        </w:numPr>
        <w:contextualSpacing/>
        <w:rPr>
          <w:rFonts w:asciiTheme="minorHAnsi" w:hAnsiTheme="minorHAnsi"/>
          <w:sz w:val="22"/>
          <w:szCs w:val="22"/>
        </w:rPr>
      </w:pPr>
      <w:r w:rsidRPr="002B23D8">
        <w:rPr>
          <w:rFonts w:asciiTheme="minorHAnsi" w:hAnsiTheme="minorHAnsi"/>
          <w:sz w:val="22"/>
          <w:szCs w:val="22"/>
        </w:rPr>
        <w:t>The increase in</w:t>
      </w:r>
      <w:r>
        <w:rPr>
          <w:rFonts w:asciiTheme="minorHAnsi" w:hAnsiTheme="minorHAnsi"/>
          <w:sz w:val="22"/>
          <w:szCs w:val="22"/>
        </w:rPr>
        <w:t xml:space="preserve"> </w:t>
      </w:r>
      <w:r w:rsidRPr="002B23D8">
        <w:rPr>
          <w:rFonts w:asciiTheme="minorHAnsi" w:hAnsiTheme="minorHAnsi"/>
          <w:sz w:val="22"/>
          <w:szCs w:val="22"/>
        </w:rPr>
        <w:t xml:space="preserve">crime rates with the ECP will be 13%, the observed relative change in property crime rates when the attitude </w:t>
      </w:r>
      <w:r>
        <w:rPr>
          <w:rFonts w:asciiTheme="minorHAnsi" w:hAnsiTheme="minorHAnsi"/>
          <w:sz w:val="22"/>
          <w:szCs w:val="22"/>
        </w:rPr>
        <w:t>supplement was added to the NCS:  This estimate of the relative change in crime rates that we expect to observe is based on the work of Cowan et al. (1978), in which the effect of an attitude supplement on the crime rates was examined.  Although an increase in reporting is expected for violent crime and personal theft as well, we focus on the property crime rates because the incidence of these crimes is higher than for other crimes.  Given the small sample size for the field test, it will be more difficult to observe changes in the rate of more rare crime events.</w:t>
      </w:r>
    </w:p>
    <w:p w:rsidR="00E67222" w:rsidRPr="00E67222" w:rsidRDefault="00E67222" w:rsidP="00E67222">
      <w:pPr>
        <w:numPr>
          <w:ilvl w:val="0"/>
          <w:numId w:val="1"/>
        </w:numPr>
        <w:contextualSpacing/>
        <w:rPr>
          <w:rFonts w:asciiTheme="minorHAnsi" w:hAnsiTheme="minorHAnsi" w:cstheme="minorHAnsi"/>
          <w:sz w:val="22"/>
          <w:szCs w:val="22"/>
        </w:rPr>
      </w:pPr>
      <w:r w:rsidRPr="00E67222">
        <w:rPr>
          <w:rFonts w:asciiTheme="minorHAnsi" w:hAnsiTheme="minorHAnsi" w:cstheme="minorHAnsi"/>
          <w:sz w:val="22"/>
          <w:szCs w:val="22"/>
        </w:rPr>
        <w:t>The increase in response rates wi</w:t>
      </w:r>
      <w:r w:rsidR="0030515E">
        <w:rPr>
          <w:rFonts w:asciiTheme="minorHAnsi" w:hAnsiTheme="minorHAnsi" w:cstheme="minorHAnsi"/>
          <w:sz w:val="22"/>
          <w:szCs w:val="22"/>
        </w:rPr>
        <w:t>ll be from 25% to 3</w:t>
      </w:r>
      <w:r w:rsidRPr="00E67222">
        <w:rPr>
          <w:rFonts w:asciiTheme="minorHAnsi" w:hAnsiTheme="minorHAnsi" w:cstheme="minorHAnsi"/>
          <w:sz w:val="22"/>
          <w:szCs w:val="22"/>
        </w:rPr>
        <w:t xml:space="preserve">0%, a relative change </w:t>
      </w:r>
      <w:r w:rsidRPr="000A0C56">
        <w:rPr>
          <w:rFonts w:asciiTheme="minorHAnsi" w:hAnsiTheme="minorHAnsi" w:cstheme="minorHAnsi"/>
          <w:sz w:val="22"/>
          <w:szCs w:val="22"/>
        </w:rPr>
        <w:t xml:space="preserve">of </w:t>
      </w:r>
      <w:r w:rsidR="0030515E" w:rsidRPr="000A0C56">
        <w:rPr>
          <w:rFonts w:asciiTheme="minorHAnsi" w:hAnsiTheme="minorHAnsi" w:cstheme="minorHAnsi"/>
          <w:sz w:val="22"/>
          <w:szCs w:val="22"/>
        </w:rPr>
        <w:t>20</w:t>
      </w:r>
      <w:r w:rsidRPr="000A0C56">
        <w:rPr>
          <w:rFonts w:asciiTheme="minorHAnsi" w:hAnsiTheme="minorHAnsi" w:cstheme="minorHAnsi"/>
          <w:sz w:val="22"/>
          <w:szCs w:val="22"/>
        </w:rPr>
        <w:t>%,</w:t>
      </w:r>
      <w:r w:rsidRPr="00E67222">
        <w:rPr>
          <w:rFonts w:asciiTheme="minorHAnsi" w:hAnsiTheme="minorHAnsi" w:cstheme="minorHAnsi"/>
          <w:sz w:val="22"/>
          <w:szCs w:val="22"/>
        </w:rPr>
        <w:t xml:space="preserve"> when the ECP is administered.  </w:t>
      </w:r>
    </w:p>
    <w:p w:rsidR="00E67222" w:rsidRPr="00E67222" w:rsidRDefault="00E67222" w:rsidP="00E67222">
      <w:pPr>
        <w:contextualSpacing/>
        <w:rPr>
          <w:rFonts w:asciiTheme="minorHAnsi" w:hAnsiTheme="minorHAnsi" w:cstheme="minorHAnsi"/>
          <w:sz w:val="22"/>
          <w:szCs w:val="22"/>
        </w:rPr>
      </w:pPr>
    </w:p>
    <w:p w:rsidR="00E67222" w:rsidRPr="00E67222" w:rsidRDefault="00E67222" w:rsidP="00E67222">
      <w:pPr>
        <w:contextualSpacing/>
        <w:rPr>
          <w:rFonts w:asciiTheme="minorHAnsi" w:hAnsiTheme="minorHAnsi" w:cstheme="minorHAnsi"/>
          <w:sz w:val="22"/>
          <w:szCs w:val="22"/>
        </w:rPr>
      </w:pPr>
      <w:r w:rsidRPr="00E67222">
        <w:rPr>
          <w:rFonts w:asciiTheme="minorHAnsi" w:hAnsiTheme="minorHAnsi" w:cstheme="minorHAnsi"/>
          <w:sz w:val="22"/>
          <w:szCs w:val="22"/>
        </w:rPr>
        <w:t xml:space="preserve">Analyses were conducted to determine the power and precision of 1,000 completed cases in the Control and ECP conditions. Precision is the width of the interval with which we try to estimate the true population value; precision estimates increase with larger sample sizes. Also, with a larger percent change between the </w:t>
      </w:r>
      <w:r w:rsidR="00250218">
        <w:rPr>
          <w:rFonts w:asciiTheme="minorHAnsi" w:hAnsiTheme="minorHAnsi" w:cstheme="minorHAnsi"/>
          <w:sz w:val="22"/>
          <w:szCs w:val="22"/>
        </w:rPr>
        <w:t>Control</w:t>
      </w:r>
      <w:r w:rsidRPr="00E67222">
        <w:rPr>
          <w:rFonts w:asciiTheme="minorHAnsi" w:hAnsiTheme="minorHAnsi" w:cstheme="minorHAnsi"/>
          <w:sz w:val="22"/>
          <w:szCs w:val="22"/>
        </w:rPr>
        <w:t xml:space="preserve"> and treatment conditions, we would have a higher likelihood of detecting the change as significant. Table </w:t>
      </w:r>
      <w:r w:rsidR="00C71601">
        <w:rPr>
          <w:rFonts w:asciiTheme="minorHAnsi" w:hAnsiTheme="minorHAnsi" w:cstheme="minorHAnsi"/>
          <w:sz w:val="22"/>
          <w:szCs w:val="22"/>
        </w:rPr>
        <w:t>4</w:t>
      </w:r>
      <w:r w:rsidRPr="00E67222">
        <w:rPr>
          <w:rFonts w:asciiTheme="minorHAnsi" w:hAnsiTheme="minorHAnsi" w:cstheme="minorHAnsi"/>
          <w:sz w:val="22"/>
          <w:szCs w:val="22"/>
        </w:rPr>
        <w:t xml:space="preserve"> presents the confidence level for detecting 13% change in crime rates between the </w:t>
      </w:r>
      <w:r w:rsidR="00250218">
        <w:rPr>
          <w:rFonts w:asciiTheme="minorHAnsi" w:hAnsiTheme="minorHAnsi" w:cstheme="minorHAnsi"/>
          <w:sz w:val="22"/>
          <w:szCs w:val="22"/>
        </w:rPr>
        <w:t>Control</w:t>
      </w:r>
      <w:r w:rsidRPr="00E67222">
        <w:rPr>
          <w:rFonts w:asciiTheme="minorHAnsi" w:hAnsiTheme="minorHAnsi" w:cstheme="minorHAnsi"/>
          <w:sz w:val="22"/>
          <w:szCs w:val="22"/>
        </w:rPr>
        <w:t xml:space="preserve"> and treatment values for 1,000 cases per cell; this table also shows the confidence level for detecting </w:t>
      </w:r>
      <w:r w:rsidR="00A97DCC">
        <w:rPr>
          <w:rFonts w:asciiTheme="minorHAnsi" w:hAnsiTheme="minorHAnsi" w:cstheme="minorHAnsi"/>
          <w:sz w:val="22"/>
          <w:szCs w:val="22"/>
        </w:rPr>
        <w:t>20</w:t>
      </w:r>
      <w:r w:rsidRPr="00E67222">
        <w:rPr>
          <w:rFonts w:asciiTheme="minorHAnsi" w:hAnsiTheme="minorHAnsi" w:cstheme="minorHAnsi"/>
          <w:sz w:val="22"/>
          <w:szCs w:val="22"/>
        </w:rPr>
        <w:t xml:space="preserve">% change in response rates between the </w:t>
      </w:r>
      <w:r w:rsidR="00250218">
        <w:rPr>
          <w:rFonts w:asciiTheme="minorHAnsi" w:hAnsiTheme="minorHAnsi" w:cstheme="minorHAnsi"/>
          <w:sz w:val="22"/>
          <w:szCs w:val="22"/>
        </w:rPr>
        <w:t>Control</w:t>
      </w:r>
      <w:r w:rsidRPr="00E67222">
        <w:rPr>
          <w:rFonts w:asciiTheme="minorHAnsi" w:hAnsiTheme="minorHAnsi" w:cstheme="minorHAnsi"/>
          <w:sz w:val="22"/>
          <w:szCs w:val="22"/>
        </w:rPr>
        <w:t xml:space="preserve"> and treatment conditions. This table tells us that 85% (for crime rates) or 9</w:t>
      </w:r>
      <w:r w:rsidR="00A97DCC">
        <w:rPr>
          <w:rFonts w:asciiTheme="minorHAnsi" w:hAnsiTheme="minorHAnsi" w:cstheme="minorHAnsi"/>
          <w:sz w:val="22"/>
          <w:szCs w:val="22"/>
        </w:rPr>
        <w:t>9</w:t>
      </w:r>
      <w:r w:rsidRPr="00E67222">
        <w:rPr>
          <w:rFonts w:asciiTheme="minorHAnsi" w:hAnsiTheme="minorHAnsi" w:cstheme="minorHAnsi"/>
          <w:sz w:val="22"/>
          <w:szCs w:val="22"/>
        </w:rPr>
        <w:t>% (for response rates) of the time, we would observe that the percent change between Control and Treatment condition is greater than 0% (that is, that the direction of the effect is positive). If we wished to observe that the difference is greater than, say, 10%, our confidence would be much lower. Only 59% of the time would we observe that the percent change between Control and Treatment is greater than 10%</w:t>
      </w:r>
      <w:proofErr w:type="gramStart"/>
      <w:r w:rsidRPr="00E67222">
        <w:rPr>
          <w:rFonts w:asciiTheme="minorHAnsi" w:hAnsiTheme="minorHAnsi" w:cstheme="minorHAnsi"/>
          <w:sz w:val="22"/>
          <w:szCs w:val="22"/>
        </w:rPr>
        <w:t>.</w:t>
      </w:r>
      <w:proofErr w:type="gramEnd"/>
    </w:p>
    <w:p w:rsidR="00E67222" w:rsidRPr="00E67222" w:rsidRDefault="00E67222" w:rsidP="00E67222">
      <w:pPr>
        <w:contextualSpacing/>
        <w:rPr>
          <w:rFonts w:asciiTheme="minorHAnsi" w:hAnsiTheme="minorHAnsi" w:cstheme="minorHAnsi"/>
          <w:sz w:val="22"/>
          <w:szCs w:val="22"/>
        </w:rPr>
      </w:pPr>
    </w:p>
    <w:p w:rsidR="00E67222" w:rsidRPr="00E67222" w:rsidRDefault="00E67222" w:rsidP="00E67222">
      <w:pPr>
        <w:contextualSpacing/>
        <w:rPr>
          <w:rFonts w:asciiTheme="minorHAnsi" w:hAnsiTheme="minorHAnsi" w:cstheme="minorHAnsi"/>
          <w:b/>
          <w:sz w:val="22"/>
          <w:szCs w:val="22"/>
        </w:rPr>
      </w:pPr>
      <w:r w:rsidRPr="00E67222">
        <w:rPr>
          <w:rFonts w:asciiTheme="minorHAnsi" w:hAnsiTheme="minorHAnsi" w:cstheme="minorHAnsi"/>
          <w:b/>
          <w:sz w:val="22"/>
          <w:szCs w:val="22"/>
        </w:rPr>
        <w:t xml:space="preserve">Table </w:t>
      </w:r>
      <w:r w:rsidR="00C71601">
        <w:rPr>
          <w:rFonts w:asciiTheme="minorHAnsi" w:hAnsiTheme="minorHAnsi" w:cstheme="minorHAnsi"/>
          <w:b/>
          <w:sz w:val="22"/>
          <w:szCs w:val="22"/>
        </w:rPr>
        <w:t>4</w:t>
      </w:r>
      <w:r w:rsidRPr="00E67222">
        <w:rPr>
          <w:rFonts w:asciiTheme="minorHAnsi" w:hAnsiTheme="minorHAnsi" w:cstheme="minorHAnsi"/>
          <w:b/>
          <w:sz w:val="22"/>
          <w:szCs w:val="22"/>
        </w:rPr>
        <w:t>: Confidence level</w:t>
      </w:r>
    </w:p>
    <w:tbl>
      <w:tblPr>
        <w:tblW w:w="8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6"/>
        <w:gridCol w:w="1152"/>
        <w:gridCol w:w="1243"/>
        <w:gridCol w:w="1187"/>
        <w:gridCol w:w="900"/>
        <w:gridCol w:w="1170"/>
        <w:gridCol w:w="1476"/>
      </w:tblGrid>
      <w:tr w:rsidR="00E67222" w:rsidRPr="00E67222" w:rsidTr="00597BDB">
        <w:trPr>
          <w:trHeight w:val="765"/>
        </w:trPr>
        <w:tc>
          <w:tcPr>
            <w:tcW w:w="1296" w:type="dxa"/>
          </w:tcPr>
          <w:p w:rsidR="00E67222" w:rsidRPr="00E67222" w:rsidRDefault="00E67222" w:rsidP="00597BDB">
            <w:pPr>
              <w:contextualSpacing/>
              <w:jc w:val="center"/>
              <w:rPr>
                <w:rFonts w:asciiTheme="minorHAnsi" w:hAnsiTheme="minorHAnsi" w:cstheme="minorHAnsi"/>
              </w:rPr>
            </w:pPr>
          </w:p>
          <w:p w:rsidR="00E67222" w:rsidRPr="00E67222" w:rsidRDefault="00E67222" w:rsidP="00597BDB">
            <w:pPr>
              <w:contextualSpacing/>
              <w:jc w:val="center"/>
              <w:rPr>
                <w:rFonts w:asciiTheme="minorHAnsi" w:hAnsiTheme="minorHAnsi" w:cstheme="minorHAnsi"/>
              </w:rPr>
            </w:pPr>
          </w:p>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Hypothesis</w:t>
            </w:r>
          </w:p>
        </w:tc>
        <w:tc>
          <w:tcPr>
            <w:tcW w:w="1152" w:type="dxa"/>
          </w:tcPr>
          <w:p w:rsidR="00E67222" w:rsidRPr="00E67222" w:rsidRDefault="00E67222" w:rsidP="00597BDB">
            <w:pPr>
              <w:contextualSpacing/>
              <w:jc w:val="center"/>
              <w:rPr>
                <w:rFonts w:asciiTheme="minorHAnsi" w:hAnsiTheme="minorHAnsi" w:cstheme="minorHAnsi"/>
              </w:rPr>
            </w:pPr>
          </w:p>
          <w:p w:rsidR="00E67222" w:rsidRPr="00E67222" w:rsidRDefault="00E67222" w:rsidP="00597BDB">
            <w:pPr>
              <w:contextualSpacing/>
              <w:jc w:val="center"/>
              <w:rPr>
                <w:rFonts w:asciiTheme="minorHAnsi" w:hAnsiTheme="minorHAnsi" w:cstheme="minorHAnsi"/>
              </w:rPr>
            </w:pPr>
          </w:p>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Cell size</w:t>
            </w:r>
          </w:p>
        </w:tc>
        <w:tc>
          <w:tcPr>
            <w:tcW w:w="1243" w:type="dxa"/>
            <w:shd w:val="clear" w:color="auto" w:fill="auto"/>
            <w:vAlign w:val="bottom"/>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Proportion</w:t>
            </w:r>
          </w:p>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Control</w:t>
            </w:r>
          </w:p>
        </w:tc>
        <w:tc>
          <w:tcPr>
            <w:tcW w:w="1187" w:type="dxa"/>
            <w:shd w:val="clear" w:color="auto" w:fill="auto"/>
            <w:vAlign w:val="bottom"/>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Proportion</w:t>
            </w:r>
          </w:p>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Treatment</w:t>
            </w:r>
          </w:p>
        </w:tc>
        <w:tc>
          <w:tcPr>
            <w:tcW w:w="900" w:type="dxa"/>
            <w:shd w:val="clear" w:color="auto" w:fill="auto"/>
            <w:vAlign w:val="bottom"/>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 change</w:t>
            </w:r>
          </w:p>
        </w:tc>
        <w:tc>
          <w:tcPr>
            <w:tcW w:w="1170" w:type="dxa"/>
          </w:tcPr>
          <w:p w:rsidR="00E67222" w:rsidRPr="00E67222" w:rsidRDefault="00E67222" w:rsidP="00597BDB">
            <w:pPr>
              <w:contextualSpacing/>
              <w:jc w:val="center"/>
              <w:rPr>
                <w:rFonts w:asciiTheme="minorHAnsi" w:hAnsiTheme="minorHAnsi" w:cstheme="minorHAnsi"/>
              </w:rPr>
            </w:pPr>
          </w:p>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 xml:space="preserve">S.E. of </w:t>
            </w:r>
          </w:p>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 change</w:t>
            </w:r>
          </w:p>
        </w:tc>
        <w:tc>
          <w:tcPr>
            <w:tcW w:w="1476" w:type="dxa"/>
            <w:shd w:val="clear" w:color="auto" w:fill="auto"/>
            <w:vAlign w:val="bottom"/>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Confidence level (%, one-tail)</w:t>
            </w:r>
          </w:p>
        </w:tc>
      </w:tr>
      <w:tr w:rsidR="00E67222" w:rsidRPr="00E67222" w:rsidTr="00597BDB">
        <w:trPr>
          <w:trHeight w:val="255"/>
        </w:trPr>
        <w:tc>
          <w:tcPr>
            <w:tcW w:w="1296" w:type="dxa"/>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Crime rates</w:t>
            </w:r>
          </w:p>
        </w:tc>
        <w:tc>
          <w:tcPr>
            <w:tcW w:w="1152" w:type="dxa"/>
            <w:vAlign w:val="center"/>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1000</w:t>
            </w:r>
          </w:p>
        </w:tc>
        <w:tc>
          <w:tcPr>
            <w:tcW w:w="1243" w:type="dxa"/>
            <w:shd w:val="clear" w:color="auto" w:fill="auto"/>
            <w:noWrap/>
            <w:vAlign w:val="bottom"/>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0.1274</w:t>
            </w:r>
          </w:p>
        </w:tc>
        <w:tc>
          <w:tcPr>
            <w:tcW w:w="1187" w:type="dxa"/>
            <w:shd w:val="clear" w:color="auto" w:fill="auto"/>
            <w:noWrap/>
            <w:vAlign w:val="bottom"/>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0.1440</w:t>
            </w:r>
          </w:p>
        </w:tc>
        <w:tc>
          <w:tcPr>
            <w:tcW w:w="900" w:type="dxa"/>
            <w:shd w:val="clear" w:color="auto" w:fill="auto"/>
            <w:noWrap/>
            <w:vAlign w:val="bottom"/>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13</w:t>
            </w:r>
          </w:p>
        </w:tc>
        <w:tc>
          <w:tcPr>
            <w:tcW w:w="1170" w:type="dxa"/>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0.1278</w:t>
            </w:r>
          </w:p>
        </w:tc>
        <w:tc>
          <w:tcPr>
            <w:tcW w:w="1476" w:type="dxa"/>
            <w:shd w:val="clear" w:color="auto" w:fill="auto"/>
            <w:noWrap/>
            <w:vAlign w:val="bottom"/>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85</w:t>
            </w:r>
          </w:p>
        </w:tc>
      </w:tr>
      <w:tr w:rsidR="00E67222" w:rsidRPr="00E67222" w:rsidTr="00597BDB">
        <w:trPr>
          <w:trHeight w:val="255"/>
        </w:trPr>
        <w:tc>
          <w:tcPr>
            <w:tcW w:w="1296" w:type="dxa"/>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Response rates</w:t>
            </w:r>
          </w:p>
        </w:tc>
        <w:tc>
          <w:tcPr>
            <w:tcW w:w="1152" w:type="dxa"/>
            <w:vAlign w:val="center"/>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1000</w:t>
            </w:r>
          </w:p>
        </w:tc>
        <w:tc>
          <w:tcPr>
            <w:tcW w:w="1243" w:type="dxa"/>
            <w:shd w:val="clear" w:color="auto" w:fill="auto"/>
            <w:noWrap/>
            <w:vAlign w:val="center"/>
          </w:tcPr>
          <w:p w:rsidR="00E67222" w:rsidRPr="00E67222" w:rsidRDefault="00E67222" w:rsidP="0030515E">
            <w:pPr>
              <w:contextualSpacing/>
              <w:jc w:val="center"/>
              <w:rPr>
                <w:rFonts w:asciiTheme="minorHAnsi" w:hAnsiTheme="minorHAnsi" w:cstheme="minorHAnsi"/>
              </w:rPr>
            </w:pPr>
            <w:r w:rsidRPr="00E67222">
              <w:rPr>
                <w:rFonts w:asciiTheme="minorHAnsi" w:hAnsiTheme="minorHAnsi" w:cstheme="minorHAnsi"/>
                <w:sz w:val="22"/>
                <w:szCs w:val="22"/>
              </w:rPr>
              <w:t>0.</w:t>
            </w:r>
            <w:r w:rsidR="0030515E">
              <w:rPr>
                <w:rFonts w:asciiTheme="minorHAnsi" w:hAnsiTheme="minorHAnsi" w:cstheme="minorHAnsi"/>
                <w:sz w:val="22"/>
                <w:szCs w:val="22"/>
              </w:rPr>
              <w:t>2</w:t>
            </w:r>
            <w:r w:rsidRPr="00E67222">
              <w:rPr>
                <w:rFonts w:asciiTheme="minorHAnsi" w:hAnsiTheme="minorHAnsi" w:cstheme="minorHAnsi"/>
                <w:sz w:val="22"/>
                <w:szCs w:val="22"/>
              </w:rPr>
              <w:t>5</w:t>
            </w:r>
          </w:p>
        </w:tc>
        <w:tc>
          <w:tcPr>
            <w:tcW w:w="1187" w:type="dxa"/>
            <w:shd w:val="clear" w:color="auto" w:fill="auto"/>
            <w:noWrap/>
            <w:vAlign w:val="center"/>
          </w:tcPr>
          <w:p w:rsidR="00E67222" w:rsidRPr="00E67222" w:rsidRDefault="00E67222" w:rsidP="0030515E">
            <w:pPr>
              <w:contextualSpacing/>
              <w:jc w:val="center"/>
              <w:rPr>
                <w:rFonts w:asciiTheme="minorHAnsi" w:hAnsiTheme="minorHAnsi" w:cstheme="minorHAnsi"/>
              </w:rPr>
            </w:pPr>
            <w:r w:rsidRPr="00E67222">
              <w:rPr>
                <w:rFonts w:asciiTheme="minorHAnsi" w:hAnsiTheme="minorHAnsi" w:cstheme="minorHAnsi"/>
                <w:sz w:val="22"/>
                <w:szCs w:val="22"/>
              </w:rPr>
              <w:t>0.</w:t>
            </w:r>
            <w:r w:rsidR="0030515E">
              <w:rPr>
                <w:rFonts w:asciiTheme="minorHAnsi" w:hAnsiTheme="minorHAnsi" w:cstheme="minorHAnsi"/>
                <w:sz w:val="22"/>
                <w:szCs w:val="22"/>
              </w:rPr>
              <w:t>3</w:t>
            </w:r>
            <w:r w:rsidRPr="00E67222">
              <w:rPr>
                <w:rFonts w:asciiTheme="minorHAnsi" w:hAnsiTheme="minorHAnsi" w:cstheme="minorHAnsi"/>
                <w:sz w:val="22"/>
                <w:szCs w:val="22"/>
              </w:rPr>
              <w:t>0</w:t>
            </w:r>
          </w:p>
        </w:tc>
        <w:tc>
          <w:tcPr>
            <w:tcW w:w="900" w:type="dxa"/>
            <w:shd w:val="clear" w:color="auto" w:fill="auto"/>
            <w:noWrap/>
            <w:vAlign w:val="center"/>
          </w:tcPr>
          <w:p w:rsidR="00E67222" w:rsidRPr="00E67222" w:rsidRDefault="0030515E" w:rsidP="00597BDB">
            <w:pPr>
              <w:contextualSpacing/>
              <w:jc w:val="center"/>
              <w:rPr>
                <w:rFonts w:asciiTheme="minorHAnsi" w:hAnsiTheme="minorHAnsi" w:cstheme="minorHAnsi"/>
              </w:rPr>
            </w:pPr>
            <w:r>
              <w:rPr>
                <w:rFonts w:asciiTheme="minorHAnsi" w:hAnsiTheme="minorHAnsi" w:cstheme="minorHAnsi"/>
                <w:sz w:val="22"/>
                <w:szCs w:val="22"/>
              </w:rPr>
              <w:t>20</w:t>
            </w:r>
          </w:p>
        </w:tc>
        <w:tc>
          <w:tcPr>
            <w:tcW w:w="1170" w:type="dxa"/>
            <w:vAlign w:val="center"/>
          </w:tcPr>
          <w:p w:rsidR="00E67222" w:rsidRPr="00E67222" w:rsidRDefault="0030515E" w:rsidP="00597BDB">
            <w:pPr>
              <w:contextualSpacing/>
              <w:jc w:val="center"/>
              <w:rPr>
                <w:rFonts w:asciiTheme="minorHAnsi" w:hAnsiTheme="minorHAnsi" w:cstheme="minorHAnsi"/>
              </w:rPr>
            </w:pPr>
            <w:r>
              <w:rPr>
                <w:rFonts w:asciiTheme="minorHAnsi" w:hAnsiTheme="minorHAnsi" w:cstheme="minorHAnsi"/>
                <w:sz w:val="22"/>
                <w:szCs w:val="22"/>
              </w:rPr>
              <w:t>0.0876</w:t>
            </w:r>
          </w:p>
        </w:tc>
        <w:tc>
          <w:tcPr>
            <w:tcW w:w="1476" w:type="dxa"/>
            <w:shd w:val="clear" w:color="auto" w:fill="auto"/>
            <w:noWrap/>
            <w:vAlign w:val="center"/>
          </w:tcPr>
          <w:p w:rsidR="00E67222" w:rsidRPr="00E67222" w:rsidRDefault="0030515E" w:rsidP="00597BDB">
            <w:pPr>
              <w:contextualSpacing/>
              <w:jc w:val="center"/>
              <w:rPr>
                <w:rFonts w:asciiTheme="minorHAnsi" w:hAnsiTheme="minorHAnsi" w:cstheme="minorHAnsi"/>
              </w:rPr>
            </w:pPr>
            <w:r>
              <w:rPr>
                <w:rFonts w:asciiTheme="minorHAnsi" w:hAnsiTheme="minorHAnsi" w:cstheme="minorHAnsi"/>
                <w:sz w:val="22"/>
                <w:szCs w:val="22"/>
              </w:rPr>
              <w:t>99</w:t>
            </w:r>
          </w:p>
        </w:tc>
      </w:tr>
    </w:tbl>
    <w:p w:rsidR="00E67222" w:rsidRPr="00E67222" w:rsidRDefault="00E67222" w:rsidP="00E67222">
      <w:pPr>
        <w:contextualSpacing/>
        <w:rPr>
          <w:rFonts w:asciiTheme="minorHAnsi" w:hAnsiTheme="minorHAnsi" w:cstheme="minorHAnsi"/>
          <w:sz w:val="22"/>
          <w:szCs w:val="22"/>
        </w:rPr>
      </w:pPr>
    </w:p>
    <w:p w:rsidR="00E67222" w:rsidRPr="00E67222" w:rsidRDefault="00E67222" w:rsidP="00E67222">
      <w:pPr>
        <w:contextualSpacing/>
        <w:rPr>
          <w:rFonts w:asciiTheme="minorHAnsi" w:hAnsiTheme="minorHAnsi" w:cstheme="minorHAnsi"/>
          <w:sz w:val="22"/>
          <w:szCs w:val="22"/>
        </w:rPr>
      </w:pPr>
      <w:r w:rsidRPr="00E67222">
        <w:rPr>
          <w:rFonts w:asciiTheme="minorHAnsi" w:hAnsiTheme="minorHAnsi" w:cstheme="minorHAnsi"/>
          <w:sz w:val="22"/>
          <w:szCs w:val="22"/>
        </w:rPr>
        <w:t xml:space="preserve">The power of a statistical test is its probability of correctly rejecting a null hypothesis; it tells us the likelihood that we will be able to detect a difference when the difference exists between groups. Power analysis is often done prior to a study in order to understand the likelihood of making a Type II error (failing to detect a difference that exists). Table </w:t>
      </w:r>
      <w:r w:rsidR="00C71601">
        <w:rPr>
          <w:rFonts w:asciiTheme="minorHAnsi" w:hAnsiTheme="minorHAnsi" w:cstheme="minorHAnsi"/>
          <w:sz w:val="22"/>
          <w:szCs w:val="22"/>
        </w:rPr>
        <w:t>5</w:t>
      </w:r>
      <w:r w:rsidRPr="00E67222">
        <w:rPr>
          <w:rFonts w:asciiTheme="minorHAnsi" w:hAnsiTheme="minorHAnsi" w:cstheme="minorHAnsi"/>
          <w:sz w:val="22"/>
          <w:szCs w:val="22"/>
        </w:rPr>
        <w:t xml:space="preserve"> presents the power of the experiment to detect</w:t>
      </w:r>
      <w:r w:rsidR="00A97DCC">
        <w:rPr>
          <w:rFonts w:asciiTheme="minorHAnsi" w:hAnsiTheme="minorHAnsi" w:cstheme="minorHAnsi"/>
          <w:sz w:val="22"/>
          <w:szCs w:val="22"/>
        </w:rPr>
        <w:t xml:space="preserve"> 13% change in crime rates or 20</w:t>
      </w:r>
      <w:r w:rsidRPr="00E67222">
        <w:rPr>
          <w:rFonts w:asciiTheme="minorHAnsi" w:hAnsiTheme="minorHAnsi" w:cstheme="minorHAnsi"/>
          <w:sz w:val="22"/>
          <w:szCs w:val="22"/>
        </w:rPr>
        <w:t xml:space="preserve">% change in response rates between the </w:t>
      </w:r>
      <w:r w:rsidR="00250218">
        <w:rPr>
          <w:rFonts w:asciiTheme="minorHAnsi" w:hAnsiTheme="minorHAnsi" w:cstheme="minorHAnsi"/>
          <w:sz w:val="22"/>
          <w:szCs w:val="22"/>
        </w:rPr>
        <w:t>Control</w:t>
      </w:r>
      <w:r w:rsidRPr="00E67222">
        <w:rPr>
          <w:rFonts w:asciiTheme="minorHAnsi" w:hAnsiTheme="minorHAnsi" w:cstheme="minorHAnsi"/>
          <w:sz w:val="22"/>
          <w:szCs w:val="22"/>
        </w:rPr>
        <w:t xml:space="preserve"> and treatment values for 1,000 cases per cell. </w:t>
      </w:r>
    </w:p>
    <w:p w:rsidR="00E67222" w:rsidRPr="00E67222" w:rsidRDefault="00E67222" w:rsidP="00E67222">
      <w:pPr>
        <w:contextualSpacing/>
        <w:rPr>
          <w:rFonts w:asciiTheme="minorHAnsi" w:hAnsiTheme="minorHAnsi" w:cstheme="minorHAnsi"/>
          <w:sz w:val="22"/>
          <w:szCs w:val="22"/>
        </w:rPr>
      </w:pPr>
    </w:p>
    <w:p w:rsidR="00E67222" w:rsidRPr="00E67222" w:rsidRDefault="00E67222" w:rsidP="00E67222">
      <w:pPr>
        <w:contextualSpacing/>
        <w:rPr>
          <w:rFonts w:asciiTheme="minorHAnsi" w:hAnsiTheme="minorHAnsi" w:cstheme="minorHAnsi"/>
          <w:b/>
          <w:sz w:val="22"/>
          <w:szCs w:val="22"/>
        </w:rPr>
      </w:pPr>
      <w:r w:rsidRPr="00E67222">
        <w:rPr>
          <w:rFonts w:asciiTheme="minorHAnsi" w:hAnsiTheme="minorHAnsi" w:cstheme="minorHAnsi"/>
          <w:b/>
          <w:sz w:val="22"/>
          <w:szCs w:val="22"/>
        </w:rPr>
        <w:t xml:space="preserve">Table </w:t>
      </w:r>
      <w:r w:rsidR="00C71601">
        <w:rPr>
          <w:rFonts w:asciiTheme="minorHAnsi" w:hAnsiTheme="minorHAnsi" w:cstheme="minorHAnsi"/>
          <w:b/>
          <w:sz w:val="22"/>
          <w:szCs w:val="22"/>
        </w:rPr>
        <w:t>5</w:t>
      </w:r>
      <w:r w:rsidRPr="00E67222">
        <w:rPr>
          <w:rFonts w:asciiTheme="minorHAnsi" w:hAnsiTheme="minorHAnsi" w:cstheme="minorHAnsi"/>
          <w:b/>
          <w:sz w:val="22"/>
          <w:szCs w:val="22"/>
        </w:rPr>
        <w:t xml:space="preserve">: Power </w:t>
      </w:r>
    </w:p>
    <w:tbl>
      <w:tblPr>
        <w:tblW w:w="6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6"/>
        <w:gridCol w:w="763"/>
        <w:gridCol w:w="1243"/>
        <w:gridCol w:w="1243"/>
        <w:gridCol w:w="905"/>
        <w:gridCol w:w="1228"/>
      </w:tblGrid>
      <w:tr w:rsidR="00E67222" w:rsidRPr="00E67222" w:rsidTr="00E67222">
        <w:trPr>
          <w:trHeight w:val="450"/>
        </w:trPr>
        <w:tc>
          <w:tcPr>
            <w:tcW w:w="1296" w:type="dxa"/>
          </w:tcPr>
          <w:p w:rsidR="00E67222" w:rsidRPr="00E67222" w:rsidRDefault="00E67222" w:rsidP="00597BDB">
            <w:pPr>
              <w:contextualSpacing/>
              <w:jc w:val="center"/>
              <w:rPr>
                <w:rFonts w:asciiTheme="minorHAnsi" w:hAnsiTheme="minorHAnsi" w:cstheme="minorHAnsi"/>
              </w:rPr>
            </w:pPr>
          </w:p>
          <w:p w:rsidR="00E67222" w:rsidRPr="00E67222" w:rsidRDefault="00E67222" w:rsidP="00597BDB">
            <w:pPr>
              <w:contextualSpacing/>
              <w:jc w:val="center"/>
              <w:rPr>
                <w:rFonts w:asciiTheme="minorHAnsi" w:hAnsiTheme="minorHAnsi" w:cstheme="minorHAnsi"/>
              </w:rPr>
            </w:pPr>
          </w:p>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Hypothesis</w:t>
            </w:r>
          </w:p>
        </w:tc>
        <w:tc>
          <w:tcPr>
            <w:tcW w:w="763" w:type="dxa"/>
          </w:tcPr>
          <w:p w:rsidR="00E67222" w:rsidRPr="00E67222" w:rsidRDefault="00E67222" w:rsidP="00597BDB">
            <w:pPr>
              <w:contextualSpacing/>
              <w:rPr>
                <w:rFonts w:asciiTheme="minorHAnsi" w:hAnsiTheme="minorHAnsi" w:cstheme="minorHAnsi"/>
              </w:rPr>
            </w:pPr>
          </w:p>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Cell size</w:t>
            </w:r>
          </w:p>
        </w:tc>
        <w:tc>
          <w:tcPr>
            <w:tcW w:w="1243" w:type="dxa"/>
            <w:shd w:val="clear" w:color="auto" w:fill="auto"/>
            <w:vAlign w:val="bottom"/>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Proportion Control</w:t>
            </w:r>
          </w:p>
        </w:tc>
        <w:tc>
          <w:tcPr>
            <w:tcW w:w="1243" w:type="dxa"/>
            <w:shd w:val="clear" w:color="auto" w:fill="auto"/>
            <w:vAlign w:val="bottom"/>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Proportion Treatment</w:t>
            </w:r>
          </w:p>
        </w:tc>
        <w:tc>
          <w:tcPr>
            <w:tcW w:w="905" w:type="dxa"/>
          </w:tcPr>
          <w:p w:rsidR="00E67222" w:rsidRPr="00E67222" w:rsidRDefault="00E67222" w:rsidP="00597BDB">
            <w:pPr>
              <w:contextualSpacing/>
              <w:rPr>
                <w:rFonts w:asciiTheme="minorHAnsi" w:hAnsiTheme="minorHAnsi" w:cstheme="minorHAnsi"/>
              </w:rPr>
            </w:pPr>
          </w:p>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 Change</w:t>
            </w:r>
          </w:p>
        </w:tc>
        <w:tc>
          <w:tcPr>
            <w:tcW w:w="1228" w:type="dxa"/>
            <w:shd w:val="clear" w:color="auto" w:fill="auto"/>
            <w:vAlign w:val="bottom"/>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Power (%)</w:t>
            </w:r>
          </w:p>
        </w:tc>
      </w:tr>
      <w:tr w:rsidR="00E67222" w:rsidRPr="00E67222" w:rsidTr="00E67222">
        <w:trPr>
          <w:trHeight w:val="255"/>
        </w:trPr>
        <w:tc>
          <w:tcPr>
            <w:tcW w:w="1296" w:type="dxa"/>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Crime rates</w:t>
            </w:r>
          </w:p>
        </w:tc>
        <w:tc>
          <w:tcPr>
            <w:tcW w:w="763" w:type="dxa"/>
            <w:vAlign w:val="center"/>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1000</w:t>
            </w:r>
          </w:p>
        </w:tc>
        <w:tc>
          <w:tcPr>
            <w:tcW w:w="1243" w:type="dxa"/>
            <w:shd w:val="clear" w:color="auto" w:fill="auto"/>
            <w:noWrap/>
            <w:vAlign w:val="bottom"/>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0.1274</w:t>
            </w:r>
          </w:p>
        </w:tc>
        <w:tc>
          <w:tcPr>
            <w:tcW w:w="1243" w:type="dxa"/>
            <w:shd w:val="clear" w:color="auto" w:fill="auto"/>
            <w:noWrap/>
            <w:vAlign w:val="bottom"/>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0.1440</w:t>
            </w:r>
          </w:p>
        </w:tc>
        <w:tc>
          <w:tcPr>
            <w:tcW w:w="905" w:type="dxa"/>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13</w:t>
            </w:r>
          </w:p>
        </w:tc>
        <w:tc>
          <w:tcPr>
            <w:tcW w:w="1228" w:type="dxa"/>
            <w:shd w:val="clear" w:color="auto" w:fill="auto"/>
            <w:noWrap/>
            <w:vAlign w:val="bottom"/>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29</w:t>
            </w:r>
          </w:p>
        </w:tc>
      </w:tr>
      <w:tr w:rsidR="00E67222" w:rsidRPr="00E67222" w:rsidTr="00E67222">
        <w:trPr>
          <w:trHeight w:val="255"/>
        </w:trPr>
        <w:tc>
          <w:tcPr>
            <w:tcW w:w="1296" w:type="dxa"/>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Response rates</w:t>
            </w:r>
          </w:p>
        </w:tc>
        <w:tc>
          <w:tcPr>
            <w:tcW w:w="763" w:type="dxa"/>
            <w:vAlign w:val="center"/>
          </w:tcPr>
          <w:p w:rsidR="00E67222" w:rsidRPr="00E67222" w:rsidRDefault="00E67222" w:rsidP="00597BDB">
            <w:pPr>
              <w:contextualSpacing/>
              <w:jc w:val="center"/>
              <w:rPr>
                <w:rFonts w:asciiTheme="minorHAnsi" w:hAnsiTheme="minorHAnsi" w:cstheme="minorHAnsi"/>
              </w:rPr>
            </w:pPr>
            <w:r w:rsidRPr="00E67222">
              <w:rPr>
                <w:rFonts w:asciiTheme="minorHAnsi" w:hAnsiTheme="minorHAnsi" w:cstheme="minorHAnsi"/>
                <w:sz w:val="22"/>
                <w:szCs w:val="22"/>
              </w:rPr>
              <w:t>1000</w:t>
            </w:r>
          </w:p>
        </w:tc>
        <w:tc>
          <w:tcPr>
            <w:tcW w:w="1243" w:type="dxa"/>
            <w:shd w:val="clear" w:color="auto" w:fill="auto"/>
            <w:noWrap/>
            <w:vAlign w:val="center"/>
          </w:tcPr>
          <w:p w:rsidR="00E67222" w:rsidRPr="00E67222" w:rsidRDefault="00A97DCC" w:rsidP="00597BDB">
            <w:pPr>
              <w:contextualSpacing/>
              <w:jc w:val="center"/>
              <w:rPr>
                <w:rFonts w:asciiTheme="minorHAnsi" w:hAnsiTheme="minorHAnsi" w:cstheme="minorHAnsi"/>
              </w:rPr>
            </w:pPr>
            <w:r>
              <w:rPr>
                <w:rFonts w:asciiTheme="minorHAnsi" w:hAnsiTheme="minorHAnsi" w:cstheme="minorHAnsi"/>
                <w:sz w:val="22"/>
                <w:szCs w:val="22"/>
              </w:rPr>
              <w:t>0.2</w:t>
            </w:r>
            <w:r w:rsidR="00E67222" w:rsidRPr="00E67222">
              <w:rPr>
                <w:rFonts w:asciiTheme="minorHAnsi" w:hAnsiTheme="minorHAnsi" w:cstheme="minorHAnsi"/>
                <w:sz w:val="22"/>
                <w:szCs w:val="22"/>
              </w:rPr>
              <w:t>5</w:t>
            </w:r>
          </w:p>
        </w:tc>
        <w:tc>
          <w:tcPr>
            <w:tcW w:w="1243" w:type="dxa"/>
            <w:shd w:val="clear" w:color="auto" w:fill="auto"/>
            <w:noWrap/>
            <w:vAlign w:val="center"/>
          </w:tcPr>
          <w:p w:rsidR="00E67222" w:rsidRPr="00E67222" w:rsidRDefault="00E67222" w:rsidP="00A97DCC">
            <w:pPr>
              <w:contextualSpacing/>
              <w:jc w:val="center"/>
              <w:rPr>
                <w:rFonts w:asciiTheme="minorHAnsi" w:hAnsiTheme="minorHAnsi" w:cstheme="minorHAnsi"/>
              </w:rPr>
            </w:pPr>
            <w:r w:rsidRPr="00E67222">
              <w:rPr>
                <w:rFonts w:asciiTheme="minorHAnsi" w:hAnsiTheme="minorHAnsi" w:cstheme="minorHAnsi"/>
                <w:sz w:val="22"/>
                <w:szCs w:val="22"/>
              </w:rPr>
              <w:t>0.</w:t>
            </w:r>
            <w:r w:rsidR="00A97DCC">
              <w:rPr>
                <w:rFonts w:asciiTheme="minorHAnsi" w:hAnsiTheme="minorHAnsi" w:cstheme="minorHAnsi"/>
                <w:sz w:val="22"/>
                <w:szCs w:val="22"/>
              </w:rPr>
              <w:t>3</w:t>
            </w:r>
            <w:r w:rsidRPr="00E67222">
              <w:rPr>
                <w:rFonts w:asciiTheme="minorHAnsi" w:hAnsiTheme="minorHAnsi" w:cstheme="minorHAnsi"/>
                <w:sz w:val="22"/>
                <w:szCs w:val="22"/>
              </w:rPr>
              <w:t>0</w:t>
            </w:r>
          </w:p>
        </w:tc>
        <w:tc>
          <w:tcPr>
            <w:tcW w:w="905" w:type="dxa"/>
            <w:vAlign w:val="center"/>
          </w:tcPr>
          <w:p w:rsidR="00E67222" w:rsidRPr="00E67222" w:rsidRDefault="00A97DCC" w:rsidP="00597BDB">
            <w:pPr>
              <w:contextualSpacing/>
              <w:jc w:val="center"/>
              <w:rPr>
                <w:rFonts w:asciiTheme="minorHAnsi" w:hAnsiTheme="minorHAnsi" w:cstheme="minorHAnsi"/>
              </w:rPr>
            </w:pPr>
            <w:r>
              <w:rPr>
                <w:rFonts w:asciiTheme="minorHAnsi" w:hAnsiTheme="minorHAnsi" w:cstheme="minorHAnsi"/>
                <w:sz w:val="22"/>
                <w:szCs w:val="22"/>
              </w:rPr>
              <w:t>20</w:t>
            </w:r>
          </w:p>
        </w:tc>
        <w:tc>
          <w:tcPr>
            <w:tcW w:w="1228" w:type="dxa"/>
            <w:shd w:val="clear" w:color="auto" w:fill="auto"/>
            <w:noWrap/>
            <w:vAlign w:val="center"/>
          </w:tcPr>
          <w:p w:rsidR="00E67222" w:rsidRPr="00E67222" w:rsidRDefault="00A97DCC" w:rsidP="00597BDB">
            <w:pPr>
              <w:contextualSpacing/>
              <w:jc w:val="center"/>
              <w:rPr>
                <w:rFonts w:asciiTheme="minorHAnsi" w:hAnsiTheme="minorHAnsi" w:cstheme="minorHAnsi"/>
              </w:rPr>
            </w:pPr>
            <w:r>
              <w:rPr>
                <w:rFonts w:asciiTheme="minorHAnsi" w:hAnsiTheme="minorHAnsi" w:cstheme="minorHAnsi"/>
                <w:sz w:val="22"/>
                <w:szCs w:val="22"/>
              </w:rPr>
              <w:t>80</w:t>
            </w:r>
          </w:p>
        </w:tc>
      </w:tr>
    </w:tbl>
    <w:p w:rsidR="00E67222" w:rsidRPr="00E67222" w:rsidRDefault="00E67222" w:rsidP="00E67222">
      <w:pPr>
        <w:rPr>
          <w:rFonts w:asciiTheme="minorHAnsi" w:hAnsiTheme="minorHAnsi" w:cstheme="minorHAnsi"/>
          <w:sz w:val="22"/>
          <w:szCs w:val="22"/>
        </w:rPr>
      </w:pPr>
    </w:p>
    <w:p w:rsidR="00F9072C" w:rsidRPr="002B23D8" w:rsidRDefault="00F9072C" w:rsidP="00F9072C">
      <w:pPr>
        <w:contextualSpacing/>
        <w:rPr>
          <w:rFonts w:asciiTheme="minorHAnsi" w:hAnsiTheme="minorHAnsi"/>
          <w:sz w:val="22"/>
          <w:szCs w:val="22"/>
        </w:rPr>
      </w:pPr>
      <w:r w:rsidRPr="002B23D8">
        <w:rPr>
          <w:rFonts w:asciiTheme="minorHAnsi" w:hAnsiTheme="minorHAnsi"/>
          <w:sz w:val="22"/>
          <w:szCs w:val="22"/>
        </w:rPr>
        <w:t>Although the power and precision of the field test is not at an optimal level, the experiment is still capable of providing valuable information in two key areas. First, we expect to see the direction of the effect, that is, whether including the ECP affects recall</w:t>
      </w:r>
      <w:r>
        <w:rPr>
          <w:rFonts w:asciiTheme="minorHAnsi" w:hAnsiTheme="minorHAnsi"/>
          <w:sz w:val="22"/>
          <w:szCs w:val="22"/>
        </w:rPr>
        <w:t xml:space="preserve"> and response rates</w:t>
      </w:r>
      <w:r w:rsidRPr="002B23D8">
        <w:rPr>
          <w:rFonts w:asciiTheme="minorHAnsi" w:hAnsiTheme="minorHAnsi"/>
          <w:sz w:val="22"/>
          <w:szCs w:val="22"/>
        </w:rPr>
        <w:t>, even though ascertaining statistical significance will be difficult. More importantly, the addition of attitudinal questions in the NCVS has not been examined since the 1970's. At various times in the history of the survey, BJS has considered incorporating attitud</w:t>
      </w:r>
      <w:r>
        <w:rPr>
          <w:rFonts w:asciiTheme="minorHAnsi" w:hAnsiTheme="minorHAnsi"/>
          <w:sz w:val="22"/>
          <w:szCs w:val="22"/>
        </w:rPr>
        <w:t>inal</w:t>
      </w:r>
      <w:r w:rsidRPr="002B23D8">
        <w:rPr>
          <w:rFonts w:asciiTheme="minorHAnsi" w:hAnsiTheme="minorHAnsi"/>
          <w:sz w:val="22"/>
          <w:szCs w:val="22"/>
        </w:rPr>
        <w:t xml:space="preserve"> </w:t>
      </w:r>
      <w:r>
        <w:rPr>
          <w:rFonts w:asciiTheme="minorHAnsi" w:hAnsiTheme="minorHAnsi"/>
          <w:sz w:val="22"/>
          <w:szCs w:val="22"/>
        </w:rPr>
        <w:t xml:space="preserve">and behavioral </w:t>
      </w:r>
      <w:r w:rsidRPr="002B23D8">
        <w:rPr>
          <w:rFonts w:asciiTheme="minorHAnsi" w:hAnsiTheme="minorHAnsi"/>
          <w:sz w:val="22"/>
          <w:szCs w:val="22"/>
        </w:rPr>
        <w:t>questions as a method of utilizing the non-victims that are screened for crime</w:t>
      </w:r>
      <w:r>
        <w:rPr>
          <w:rFonts w:asciiTheme="minorHAnsi" w:hAnsiTheme="minorHAnsi"/>
          <w:sz w:val="22"/>
          <w:szCs w:val="22"/>
        </w:rPr>
        <w:t xml:space="preserve"> thereby </w:t>
      </w:r>
      <w:r w:rsidRPr="002B23D8">
        <w:rPr>
          <w:rFonts w:asciiTheme="minorHAnsi" w:hAnsiTheme="minorHAnsi"/>
          <w:sz w:val="22"/>
          <w:szCs w:val="22"/>
        </w:rPr>
        <w:t xml:space="preserve">increasing the analytical value of the survey by generating </w:t>
      </w:r>
      <w:r>
        <w:rPr>
          <w:rFonts w:asciiTheme="minorHAnsi" w:hAnsiTheme="minorHAnsi"/>
          <w:sz w:val="22"/>
          <w:szCs w:val="22"/>
        </w:rPr>
        <w:t xml:space="preserve">valuable </w:t>
      </w:r>
      <w:r w:rsidRPr="002B23D8">
        <w:rPr>
          <w:rFonts w:asciiTheme="minorHAnsi" w:hAnsiTheme="minorHAnsi"/>
          <w:sz w:val="22"/>
          <w:szCs w:val="22"/>
        </w:rPr>
        <w:t>data by which to</w:t>
      </w:r>
      <w:r>
        <w:rPr>
          <w:rFonts w:asciiTheme="minorHAnsi" w:hAnsiTheme="minorHAnsi"/>
          <w:sz w:val="22"/>
          <w:szCs w:val="22"/>
        </w:rPr>
        <w:t xml:space="preserve"> ex</w:t>
      </w:r>
      <w:r w:rsidRPr="002B23D8">
        <w:rPr>
          <w:rFonts w:asciiTheme="minorHAnsi" w:hAnsiTheme="minorHAnsi"/>
          <w:sz w:val="22"/>
          <w:szCs w:val="22"/>
        </w:rPr>
        <w:t xml:space="preserve">amine victimization. This study will provide initial findings on how respondents receive these questions and whether administering these questions in a CATI environment is viable. </w:t>
      </w:r>
    </w:p>
    <w:p w:rsidR="00E67222" w:rsidRDefault="00E67222" w:rsidP="00E67222">
      <w:pPr>
        <w:ind w:left="540" w:hanging="540"/>
        <w:rPr>
          <w:rFonts w:asciiTheme="minorHAnsi" w:hAnsiTheme="minorHAnsi" w:cstheme="minorHAnsi"/>
          <w:sz w:val="22"/>
          <w:szCs w:val="22"/>
        </w:rPr>
      </w:pPr>
    </w:p>
    <w:p w:rsidR="00FE2D7C" w:rsidRPr="002B23D8" w:rsidRDefault="00FE2D7C" w:rsidP="00FE2D7C">
      <w:pPr>
        <w:contextualSpacing/>
        <w:rPr>
          <w:rFonts w:asciiTheme="minorHAnsi" w:hAnsiTheme="minorHAnsi"/>
          <w:b/>
          <w:color w:val="000000"/>
          <w:sz w:val="22"/>
          <w:szCs w:val="22"/>
        </w:rPr>
      </w:pPr>
      <w:r w:rsidRPr="002B23D8">
        <w:rPr>
          <w:rFonts w:asciiTheme="minorHAnsi" w:hAnsiTheme="minorHAnsi"/>
          <w:b/>
          <w:color w:val="000000"/>
          <w:sz w:val="22"/>
          <w:szCs w:val="22"/>
        </w:rPr>
        <w:t>Sample Design</w:t>
      </w:r>
    </w:p>
    <w:p w:rsidR="000A7ACE" w:rsidRDefault="000A7ACE" w:rsidP="00FE2D7C">
      <w:pPr>
        <w:contextualSpacing/>
        <w:rPr>
          <w:rFonts w:asciiTheme="minorHAnsi" w:hAnsiTheme="minorHAnsi"/>
          <w:color w:val="000000"/>
          <w:sz w:val="22"/>
          <w:szCs w:val="22"/>
        </w:rPr>
      </w:pPr>
    </w:p>
    <w:p w:rsidR="000A7ACE" w:rsidRPr="00B95F56" w:rsidRDefault="000A7ACE" w:rsidP="00FE2D7C">
      <w:pPr>
        <w:contextualSpacing/>
        <w:rPr>
          <w:rFonts w:asciiTheme="minorHAnsi" w:hAnsiTheme="minorHAnsi" w:cstheme="minorHAnsi"/>
          <w:sz w:val="22"/>
          <w:szCs w:val="22"/>
        </w:rPr>
      </w:pPr>
      <w:r w:rsidRPr="00B95F56">
        <w:rPr>
          <w:rFonts w:asciiTheme="minorHAnsi" w:hAnsiTheme="minorHAnsi" w:cstheme="minorHAnsi"/>
          <w:sz w:val="22"/>
          <w:szCs w:val="22"/>
        </w:rPr>
        <w:t xml:space="preserve">Note that a test of the ECP vs. Control requires two comparable samples (not necessarily two samples that represent the general population) to determine whether the ECP elicits greater recall of crimes </w:t>
      </w:r>
      <w:r w:rsidR="00A97DCC" w:rsidRPr="00B95F56">
        <w:rPr>
          <w:rFonts w:asciiTheme="minorHAnsi" w:hAnsiTheme="minorHAnsi" w:cstheme="minorHAnsi"/>
          <w:sz w:val="22"/>
          <w:szCs w:val="22"/>
        </w:rPr>
        <w:t>and</w:t>
      </w:r>
      <w:r w:rsidRPr="00B95F56">
        <w:rPr>
          <w:rFonts w:asciiTheme="minorHAnsi" w:hAnsiTheme="minorHAnsi" w:cstheme="minorHAnsi"/>
          <w:sz w:val="22"/>
          <w:szCs w:val="22"/>
        </w:rPr>
        <w:t xml:space="preserve"> higher response rates.  However, an RDD sample for the field test is desirable because it allows us to obtain the best evidence as to how the ECP memory aid is received by the general population. </w:t>
      </w:r>
    </w:p>
    <w:p w:rsidR="000A7ACE" w:rsidRPr="00B95F56" w:rsidRDefault="000A7ACE" w:rsidP="00FE2D7C">
      <w:pPr>
        <w:contextualSpacing/>
        <w:rPr>
          <w:rFonts w:asciiTheme="minorHAnsi" w:hAnsiTheme="minorHAnsi"/>
          <w:sz w:val="22"/>
          <w:szCs w:val="22"/>
        </w:rPr>
      </w:pPr>
    </w:p>
    <w:p w:rsidR="00FE2D7C" w:rsidRDefault="00FE2D7C" w:rsidP="00FE2D7C">
      <w:pPr>
        <w:contextualSpacing/>
        <w:rPr>
          <w:rFonts w:asciiTheme="minorHAnsi" w:hAnsiTheme="minorHAnsi"/>
          <w:color w:val="000000"/>
          <w:sz w:val="22"/>
          <w:szCs w:val="22"/>
        </w:rPr>
      </w:pPr>
      <w:r w:rsidRPr="00B95F56">
        <w:rPr>
          <w:rFonts w:asciiTheme="minorHAnsi" w:hAnsiTheme="minorHAnsi"/>
          <w:sz w:val="22"/>
          <w:szCs w:val="22"/>
        </w:rPr>
        <w:t xml:space="preserve">The target completed case goal for the field test will be 2,000 completed CATI interviews. As Table </w:t>
      </w:r>
      <w:r w:rsidR="00C71601">
        <w:rPr>
          <w:rFonts w:asciiTheme="minorHAnsi" w:hAnsiTheme="minorHAnsi"/>
          <w:sz w:val="22"/>
          <w:szCs w:val="22"/>
        </w:rPr>
        <w:t>6</w:t>
      </w:r>
      <w:r w:rsidRPr="00B95F56">
        <w:rPr>
          <w:rFonts w:asciiTheme="minorHAnsi" w:hAnsiTheme="minorHAnsi"/>
          <w:sz w:val="22"/>
          <w:szCs w:val="22"/>
        </w:rPr>
        <w:t xml:space="preserve"> </w:t>
      </w:r>
      <w:r w:rsidRPr="002B23D8">
        <w:rPr>
          <w:rFonts w:asciiTheme="minorHAnsi" w:hAnsiTheme="minorHAnsi"/>
          <w:color w:val="000000"/>
          <w:sz w:val="22"/>
          <w:szCs w:val="22"/>
        </w:rPr>
        <w:t>indicates, the starting Random Digit Dial (RDD) sample size f</w:t>
      </w:r>
      <w:r>
        <w:rPr>
          <w:rFonts w:asciiTheme="minorHAnsi" w:hAnsiTheme="minorHAnsi"/>
          <w:color w:val="000000"/>
          <w:sz w:val="22"/>
          <w:szCs w:val="22"/>
        </w:rPr>
        <w:t>or the field test will be 26,646</w:t>
      </w:r>
      <w:r w:rsidRPr="002B23D8">
        <w:rPr>
          <w:rFonts w:asciiTheme="minorHAnsi" w:hAnsiTheme="minorHAnsi"/>
          <w:color w:val="000000"/>
          <w:sz w:val="22"/>
          <w:szCs w:val="22"/>
        </w:rPr>
        <w:t xml:space="preserve"> cases. The “rate” column indicates the percentage of cases expected to be worked in the telephone center (that is, not identified through pre-screening as non-residential or non-working numbers), the resolution rate, working residential number (WRN) rate, rate of contact with household (HH) adult, and response rate. For reference, the terms NORC uses when discussing the sample and response rates are:</w:t>
      </w:r>
    </w:p>
    <w:p w:rsidR="00FE2D7C" w:rsidRPr="002B23D8" w:rsidRDefault="00FE2D7C" w:rsidP="00FE2D7C">
      <w:pPr>
        <w:contextualSpacing/>
        <w:rPr>
          <w:rFonts w:asciiTheme="minorHAnsi" w:hAnsiTheme="minorHAnsi"/>
          <w:color w:val="000000"/>
          <w:sz w:val="22"/>
          <w:szCs w:val="22"/>
        </w:rPr>
      </w:pPr>
    </w:p>
    <w:p w:rsidR="00FE2D7C" w:rsidRPr="002B23D8" w:rsidRDefault="00FE2D7C" w:rsidP="00FE2D7C">
      <w:pPr>
        <w:numPr>
          <w:ilvl w:val="0"/>
          <w:numId w:val="4"/>
        </w:numPr>
        <w:contextualSpacing/>
        <w:rPr>
          <w:rFonts w:asciiTheme="minorHAnsi" w:hAnsiTheme="minorHAnsi"/>
          <w:color w:val="000000"/>
          <w:sz w:val="22"/>
          <w:szCs w:val="22"/>
        </w:rPr>
      </w:pPr>
      <w:r w:rsidRPr="002B23D8">
        <w:rPr>
          <w:rFonts w:asciiTheme="minorHAnsi" w:hAnsiTheme="minorHAnsi"/>
          <w:color w:val="000000"/>
          <w:sz w:val="22"/>
          <w:szCs w:val="22"/>
        </w:rPr>
        <w:t>Random Digit Dial (RDD): A method of selecting numbers by generating them at random;</w:t>
      </w:r>
    </w:p>
    <w:p w:rsidR="00FE2D7C" w:rsidRPr="002B23D8" w:rsidRDefault="00FE2D7C" w:rsidP="00FE2D7C">
      <w:pPr>
        <w:numPr>
          <w:ilvl w:val="0"/>
          <w:numId w:val="4"/>
        </w:numPr>
        <w:contextualSpacing/>
        <w:rPr>
          <w:rFonts w:asciiTheme="minorHAnsi" w:hAnsiTheme="minorHAnsi"/>
          <w:color w:val="000000"/>
          <w:sz w:val="22"/>
          <w:szCs w:val="22"/>
        </w:rPr>
      </w:pPr>
      <w:r w:rsidRPr="002B23D8">
        <w:rPr>
          <w:rFonts w:asciiTheme="minorHAnsi" w:hAnsiTheme="minorHAnsi"/>
          <w:color w:val="000000"/>
          <w:sz w:val="22"/>
          <w:szCs w:val="22"/>
        </w:rPr>
        <w:t>Resolution Rate: The expected rate of numbers that will be identified as either a residential number, a business number, or a non-working number;</w:t>
      </w:r>
    </w:p>
    <w:p w:rsidR="00FE2D7C" w:rsidRPr="002B23D8" w:rsidRDefault="00FE2D7C" w:rsidP="00FE2D7C">
      <w:pPr>
        <w:numPr>
          <w:ilvl w:val="0"/>
          <w:numId w:val="4"/>
        </w:numPr>
        <w:contextualSpacing/>
        <w:rPr>
          <w:rFonts w:asciiTheme="minorHAnsi" w:hAnsiTheme="minorHAnsi"/>
          <w:color w:val="000000"/>
          <w:sz w:val="22"/>
          <w:szCs w:val="22"/>
        </w:rPr>
      </w:pPr>
      <w:r w:rsidRPr="002B23D8">
        <w:rPr>
          <w:rFonts w:asciiTheme="minorHAnsi" w:hAnsiTheme="minorHAnsi"/>
          <w:color w:val="000000"/>
          <w:sz w:val="22"/>
          <w:szCs w:val="22"/>
        </w:rPr>
        <w:t>Working Residential Number (WRN) rate: The expected rate of telephone numbers that can be identified as valid numbers associated with a household;</w:t>
      </w:r>
    </w:p>
    <w:p w:rsidR="00FE2D7C" w:rsidRPr="002B23D8" w:rsidRDefault="00FE2D7C" w:rsidP="00FE2D7C">
      <w:pPr>
        <w:numPr>
          <w:ilvl w:val="0"/>
          <w:numId w:val="4"/>
        </w:numPr>
        <w:contextualSpacing/>
        <w:rPr>
          <w:rFonts w:asciiTheme="minorHAnsi" w:hAnsiTheme="minorHAnsi"/>
          <w:color w:val="000000"/>
          <w:sz w:val="22"/>
          <w:szCs w:val="22"/>
        </w:rPr>
      </w:pPr>
      <w:r w:rsidRPr="002B23D8">
        <w:rPr>
          <w:rFonts w:asciiTheme="minorHAnsi" w:hAnsiTheme="minorHAnsi"/>
          <w:color w:val="000000"/>
          <w:sz w:val="22"/>
          <w:szCs w:val="22"/>
        </w:rPr>
        <w:t>Rate of contact with household (HH) adult: The amount of households where NORC expects to make contact with an adult member of the household; and</w:t>
      </w:r>
    </w:p>
    <w:p w:rsidR="00FE2D7C" w:rsidRPr="002B23D8" w:rsidRDefault="00FE2D7C" w:rsidP="00FE2D7C">
      <w:pPr>
        <w:numPr>
          <w:ilvl w:val="0"/>
          <w:numId w:val="4"/>
        </w:numPr>
        <w:contextualSpacing/>
        <w:rPr>
          <w:rFonts w:asciiTheme="minorHAnsi" w:hAnsiTheme="minorHAnsi"/>
          <w:color w:val="000000"/>
          <w:sz w:val="22"/>
          <w:szCs w:val="22"/>
        </w:rPr>
      </w:pPr>
      <w:r w:rsidRPr="00693843">
        <w:rPr>
          <w:rFonts w:asciiTheme="minorHAnsi" w:hAnsiTheme="minorHAnsi" w:cstheme="minorHAnsi"/>
          <w:color w:val="000000"/>
          <w:sz w:val="22"/>
          <w:szCs w:val="22"/>
        </w:rPr>
        <w:t>Council of American Survey Research Organizations</w:t>
      </w:r>
      <w:r w:rsidRPr="00FE2D7C">
        <w:rPr>
          <w:rFonts w:asciiTheme="minorHAnsi" w:hAnsiTheme="minorHAnsi" w:cstheme="minorHAnsi"/>
          <w:color w:val="000000"/>
          <w:sz w:val="22"/>
          <w:szCs w:val="22"/>
        </w:rPr>
        <w:t xml:space="preserve"> (CASRO)</w:t>
      </w:r>
      <w:r w:rsidRPr="002F1BF9">
        <w:rPr>
          <w:rFonts w:asciiTheme="minorHAnsi" w:hAnsiTheme="minorHAnsi" w:cstheme="minorHAnsi"/>
          <w:color w:val="000000"/>
          <w:sz w:val="22"/>
          <w:szCs w:val="22"/>
        </w:rPr>
        <w:t xml:space="preserve"> Response rate: The CASRO </w:t>
      </w:r>
      <w:r w:rsidRPr="002B23D8">
        <w:rPr>
          <w:rFonts w:asciiTheme="minorHAnsi" w:hAnsiTheme="minorHAnsi"/>
          <w:color w:val="000000"/>
          <w:sz w:val="22"/>
          <w:szCs w:val="22"/>
        </w:rPr>
        <w:t>response rate is the product of the resolution rate, contact with HH adult rate, and the CATI screener response rate. It takes into account the cases presumed eligible (but unresolved) in calculation of response rate.</w:t>
      </w:r>
    </w:p>
    <w:p w:rsidR="00FE2D7C" w:rsidRPr="002B23D8" w:rsidRDefault="00FE2D7C" w:rsidP="00FE2D7C">
      <w:pPr>
        <w:contextualSpacing/>
        <w:rPr>
          <w:rFonts w:asciiTheme="minorHAnsi" w:hAnsiTheme="minorHAnsi"/>
          <w:color w:val="000000"/>
          <w:sz w:val="22"/>
          <w:szCs w:val="22"/>
        </w:rPr>
      </w:pPr>
    </w:p>
    <w:p w:rsidR="00FE2D7C" w:rsidRPr="002B23D8" w:rsidRDefault="00FE2D7C" w:rsidP="00FE2D7C">
      <w:pPr>
        <w:contextualSpacing/>
        <w:rPr>
          <w:rFonts w:asciiTheme="minorHAnsi" w:hAnsiTheme="minorHAnsi"/>
          <w:color w:val="000000"/>
          <w:sz w:val="22"/>
          <w:szCs w:val="22"/>
        </w:rPr>
      </w:pPr>
      <w:r w:rsidRPr="002B23D8">
        <w:rPr>
          <w:rFonts w:asciiTheme="minorHAnsi" w:hAnsiTheme="minorHAnsi"/>
          <w:color w:val="000000"/>
          <w:sz w:val="22"/>
          <w:szCs w:val="22"/>
        </w:rPr>
        <w:t xml:space="preserve">We expect that 45% of numbers in the sample will be resolved before CATI. Of the remaining 55% of numbers that are called, we expect 90% of the numbers to be resolved as business or residential. From the resolved numbers, 50% will be identified as WRN. We expect to make contact with an adult in 80% of those households (that is, an adult who can speak for the household) and to complete the NCVS crime screener with </w:t>
      </w:r>
      <w:r w:rsidR="002F1BF9">
        <w:rPr>
          <w:rFonts w:asciiTheme="minorHAnsi" w:hAnsiTheme="minorHAnsi"/>
          <w:color w:val="000000"/>
          <w:sz w:val="22"/>
          <w:szCs w:val="22"/>
        </w:rPr>
        <w:t xml:space="preserve">about </w:t>
      </w:r>
      <w:r w:rsidRPr="002B23D8">
        <w:rPr>
          <w:rFonts w:asciiTheme="minorHAnsi" w:hAnsiTheme="minorHAnsi"/>
          <w:color w:val="000000"/>
          <w:sz w:val="22"/>
          <w:szCs w:val="22"/>
        </w:rPr>
        <w:t>35% of those households</w:t>
      </w:r>
      <w:r w:rsidR="002F1BF9">
        <w:rPr>
          <w:rFonts w:asciiTheme="minorHAnsi" w:hAnsiTheme="minorHAnsi"/>
          <w:color w:val="000000"/>
          <w:sz w:val="22"/>
          <w:szCs w:val="22"/>
        </w:rPr>
        <w:t xml:space="preserve"> in the Control condition and about 42% of households in the ECP condition</w:t>
      </w:r>
      <w:r w:rsidRPr="002B23D8">
        <w:rPr>
          <w:rFonts w:asciiTheme="minorHAnsi" w:hAnsiTheme="minorHAnsi"/>
          <w:color w:val="000000"/>
          <w:sz w:val="22"/>
          <w:szCs w:val="22"/>
        </w:rPr>
        <w:t xml:space="preserve">. </w:t>
      </w:r>
      <w:r w:rsidR="002F1BF9">
        <w:rPr>
          <w:rFonts w:asciiTheme="minorHAnsi" w:hAnsiTheme="minorHAnsi"/>
          <w:color w:val="000000"/>
          <w:sz w:val="22"/>
          <w:szCs w:val="22"/>
        </w:rPr>
        <w:t xml:space="preserve">The different NCVS crime screener response rates </w:t>
      </w:r>
      <w:r w:rsidR="00A97DCC">
        <w:rPr>
          <w:rFonts w:asciiTheme="minorHAnsi" w:hAnsiTheme="minorHAnsi"/>
          <w:color w:val="000000"/>
          <w:sz w:val="22"/>
          <w:szCs w:val="22"/>
        </w:rPr>
        <w:t>for</w:t>
      </w:r>
      <w:r w:rsidR="002F1BF9">
        <w:rPr>
          <w:rFonts w:asciiTheme="minorHAnsi" w:hAnsiTheme="minorHAnsi"/>
          <w:color w:val="000000"/>
          <w:sz w:val="22"/>
          <w:szCs w:val="22"/>
        </w:rPr>
        <w:t xml:space="preserve"> the Control and ECP conditions</w:t>
      </w:r>
      <w:r w:rsidR="00A97DCC">
        <w:rPr>
          <w:rFonts w:asciiTheme="minorHAnsi" w:hAnsiTheme="minorHAnsi"/>
          <w:color w:val="000000"/>
          <w:sz w:val="22"/>
          <w:szCs w:val="22"/>
        </w:rPr>
        <w:t xml:space="preserve"> shown in Table </w:t>
      </w:r>
      <w:r w:rsidR="00C71601">
        <w:rPr>
          <w:rFonts w:asciiTheme="minorHAnsi" w:hAnsiTheme="minorHAnsi"/>
          <w:color w:val="000000"/>
          <w:sz w:val="22"/>
          <w:szCs w:val="22"/>
        </w:rPr>
        <w:t>6</w:t>
      </w:r>
      <w:r w:rsidR="00A97DCC">
        <w:rPr>
          <w:rFonts w:asciiTheme="minorHAnsi" w:hAnsiTheme="minorHAnsi"/>
          <w:color w:val="000000"/>
          <w:sz w:val="22"/>
          <w:szCs w:val="22"/>
        </w:rPr>
        <w:t xml:space="preserve"> are</w:t>
      </w:r>
      <w:r w:rsidR="002F1BF9">
        <w:rPr>
          <w:rFonts w:asciiTheme="minorHAnsi" w:hAnsiTheme="minorHAnsi"/>
          <w:color w:val="000000"/>
          <w:sz w:val="22"/>
          <w:szCs w:val="22"/>
        </w:rPr>
        <w:t xml:space="preserve"> based on our hypothesis that respondent engagement will be higher in the ECP condition and that this engagement will increase cooperation.  Because a lower percentage of contacted adults are expected to complete the crime screener in the Control as compared to the ECP condition, more cases will be attempted in the Control condition to arrive at 1,000 completes.  </w:t>
      </w:r>
      <w:r w:rsidRPr="002B23D8">
        <w:rPr>
          <w:rFonts w:asciiTheme="minorHAnsi" w:hAnsiTheme="minorHAnsi"/>
          <w:color w:val="000000"/>
          <w:sz w:val="22"/>
          <w:szCs w:val="22"/>
        </w:rPr>
        <w:t>The eligibility rate is set at 100% since there is no other screening criterion for participation other than that we speak to the most knowledgeable adult. On the basis of these assumptions, we estimate that we will st</w:t>
      </w:r>
      <w:r w:rsidR="002F1BF9">
        <w:rPr>
          <w:rFonts w:asciiTheme="minorHAnsi" w:hAnsiTheme="minorHAnsi"/>
          <w:color w:val="000000"/>
          <w:sz w:val="22"/>
          <w:szCs w:val="22"/>
        </w:rPr>
        <w:t>art with a sample size of 26,646</w:t>
      </w:r>
      <w:r w:rsidRPr="002B23D8">
        <w:rPr>
          <w:rFonts w:asciiTheme="minorHAnsi" w:hAnsiTheme="minorHAnsi"/>
          <w:color w:val="000000"/>
          <w:sz w:val="22"/>
          <w:szCs w:val="22"/>
        </w:rPr>
        <w:t xml:space="preserve"> to arrive at 2,000 completed cases.</w:t>
      </w:r>
    </w:p>
    <w:p w:rsidR="00FE2D7C" w:rsidRPr="002B23D8" w:rsidRDefault="00FE2D7C" w:rsidP="00FE2D7C">
      <w:pPr>
        <w:contextualSpacing/>
        <w:rPr>
          <w:rFonts w:asciiTheme="minorHAnsi" w:hAnsiTheme="minorHAnsi"/>
          <w:color w:val="000000"/>
          <w:sz w:val="22"/>
          <w:szCs w:val="22"/>
        </w:rPr>
      </w:pPr>
    </w:p>
    <w:p w:rsidR="00FE2D7C" w:rsidRPr="004C5C08" w:rsidRDefault="00FE2D7C" w:rsidP="00FE2D7C">
      <w:pPr>
        <w:contextualSpacing/>
        <w:rPr>
          <w:rFonts w:asciiTheme="minorHAnsi" w:hAnsiTheme="minorHAnsi" w:cstheme="minorHAnsi"/>
          <w:color w:val="000000"/>
          <w:sz w:val="22"/>
          <w:szCs w:val="22"/>
        </w:rPr>
      </w:pPr>
      <w:r w:rsidRPr="002B23D8">
        <w:rPr>
          <w:rFonts w:asciiTheme="minorHAnsi" w:hAnsiTheme="minorHAnsi"/>
          <w:color w:val="000000"/>
          <w:sz w:val="22"/>
          <w:szCs w:val="22"/>
        </w:rPr>
        <w:t xml:space="preserve">The rates that NORC assumes for resolution of phone numbers before CATI, resolution rate, working residential numbers, and response are based on NORC’s broad experience with RDD studies such as the </w:t>
      </w:r>
      <w:r w:rsidRPr="00A02108">
        <w:rPr>
          <w:rFonts w:asciiTheme="minorHAnsi" w:hAnsiTheme="minorHAnsi"/>
          <w:color w:val="000000"/>
          <w:sz w:val="22"/>
          <w:szCs w:val="22"/>
        </w:rPr>
        <w:t>National Immunization Survey (NIS)</w:t>
      </w:r>
      <w:r w:rsidR="00452860" w:rsidRPr="00A02108">
        <w:rPr>
          <w:rFonts w:asciiTheme="minorHAnsi" w:hAnsiTheme="minorHAnsi"/>
          <w:color w:val="000000"/>
          <w:sz w:val="22"/>
          <w:szCs w:val="22"/>
        </w:rPr>
        <w:t>,</w:t>
      </w:r>
      <w:r w:rsidR="00452860">
        <w:rPr>
          <w:rFonts w:asciiTheme="minorHAnsi" w:hAnsiTheme="minorHAnsi"/>
          <w:color w:val="000000"/>
          <w:sz w:val="22"/>
          <w:szCs w:val="22"/>
        </w:rPr>
        <w:t xml:space="preserve"> Racial</w:t>
      </w:r>
      <w:r w:rsidR="00452860" w:rsidRPr="00452860">
        <w:t xml:space="preserve"> </w:t>
      </w:r>
      <w:r w:rsidR="00452860" w:rsidRPr="00693843">
        <w:rPr>
          <w:rFonts w:asciiTheme="minorHAnsi" w:hAnsiTheme="minorHAnsi" w:cstheme="minorHAnsi"/>
          <w:sz w:val="22"/>
          <w:szCs w:val="22"/>
        </w:rPr>
        <w:t>and Ethnic Approaches to Community Health (REACH</w:t>
      </w:r>
      <w:r w:rsidR="00452860">
        <w:rPr>
          <w:rFonts w:asciiTheme="minorHAnsi" w:hAnsiTheme="minorHAnsi" w:cstheme="minorHAnsi"/>
          <w:sz w:val="22"/>
          <w:szCs w:val="22"/>
        </w:rPr>
        <w:t>), and</w:t>
      </w:r>
      <w:r w:rsidR="00602CE6">
        <w:rPr>
          <w:rFonts w:asciiTheme="minorHAnsi" w:hAnsiTheme="minorHAnsi" w:cstheme="minorHAnsi"/>
          <w:sz w:val="22"/>
          <w:szCs w:val="22"/>
        </w:rPr>
        <w:t xml:space="preserve"> </w:t>
      </w:r>
      <w:r w:rsidR="00602CE6" w:rsidRPr="00693843">
        <w:rPr>
          <w:rFonts w:asciiTheme="minorHAnsi" w:hAnsiTheme="minorHAnsi" w:cstheme="minorHAnsi"/>
          <w:sz w:val="22"/>
          <w:szCs w:val="22"/>
        </w:rPr>
        <w:t>Trends in US Public Awareness of Racial and Ethnic Disparities in Health (OMH).</w:t>
      </w:r>
      <w:r w:rsidRPr="004C5C08">
        <w:rPr>
          <w:rFonts w:asciiTheme="minorHAnsi" w:hAnsiTheme="minorHAnsi" w:cstheme="minorHAnsi"/>
          <w:color w:val="000000"/>
          <w:sz w:val="22"/>
          <w:szCs w:val="22"/>
        </w:rPr>
        <w:t xml:space="preserve"> </w:t>
      </w:r>
      <w:r w:rsidR="00354E9C" w:rsidRPr="004C5C08">
        <w:rPr>
          <w:rFonts w:asciiTheme="minorHAnsi" w:hAnsiTheme="minorHAnsi"/>
          <w:color w:val="000000"/>
          <w:sz w:val="22"/>
          <w:szCs w:val="22"/>
        </w:rPr>
        <w:t xml:space="preserve">  </w:t>
      </w:r>
    </w:p>
    <w:p w:rsidR="00FE2D7C" w:rsidRPr="00354E9C" w:rsidRDefault="00FE2D7C" w:rsidP="00FE2D7C">
      <w:pPr>
        <w:contextualSpacing/>
        <w:rPr>
          <w:rFonts w:asciiTheme="minorHAnsi" w:hAnsiTheme="minorHAnsi" w:cstheme="minorHAnsi"/>
          <w:b/>
          <w:color w:val="000000"/>
          <w:sz w:val="22"/>
          <w:szCs w:val="22"/>
        </w:rPr>
      </w:pPr>
    </w:p>
    <w:p w:rsidR="00597BDB" w:rsidRDefault="00597BDB" w:rsidP="00E67222">
      <w:pPr>
        <w:ind w:left="540" w:hanging="540"/>
        <w:rPr>
          <w:rFonts w:asciiTheme="minorHAnsi" w:hAnsiTheme="minorHAnsi" w:cstheme="minorHAnsi"/>
          <w:sz w:val="22"/>
          <w:szCs w:val="22"/>
        </w:rPr>
      </w:pPr>
    </w:p>
    <w:p w:rsidR="00FE2D7C" w:rsidRPr="002B23D8" w:rsidRDefault="00FE2D7C" w:rsidP="00FE2D7C">
      <w:pPr>
        <w:contextualSpacing/>
        <w:rPr>
          <w:rFonts w:asciiTheme="minorHAnsi" w:hAnsiTheme="minorHAnsi"/>
          <w:b/>
          <w:color w:val="000000"/>
          <w:sz w:val="22"/>
          <w:szCs w:val="22"/>
        </w:rPr>
      </w:pPr>
      <w:r w:rsidRPr="002B23D8">
        <w:rPr>
          <w:rFonts w:asciiTheme="minorHAnsi" w:hAnsiTheme="minorHAnsi"/>
          <w:b/>
          <w:color w:val="000000"/>
          <w:sz w:val="22"/>
          <w:szCs w:val="22"/>
        </w:rPr>
        <w:t xml:space="preserve">Table </w:t>
      </w:r>
      <w:r w:rsidR="00C71601">
        <w:rPr>
          <w:rFonts w:asciiTheme="minorHAnsi" w:hAnsiTheme="minorHAnsi"/>
          <w:b/>
          <w:color w:val="000000"/>
          <w:sz w:val="22"/>
          <w:szCs w:val="22"/>
        </w:rPr>
        <w:t>6</w:t>
      </w:r>
      <w:r w:rsidRPr="002B23D8">
        <w:rPr>
          <w:rFonts w:asciiTheme="minorHAnsi" w:hAnsiTheme="minorHAnsi"/>
          <w:b/>
          <w:color w:val="000000"/>
          <w:sz w:val="22"/>
          <w:szCs w:val="22"/>
        </w:rPr>
        <w:t>: Estimated sample</w:t>
      </w:r>
      <w:r w:rsidR="0021416C">
        <w:rPr>
          <w:rFonts w:asciiTheme="minorHAnsi" w:hAnsiTheme="minorHAnsi"/>
          <w:b/>
          <w:color w:val="000000"/>
          <w:sz w:val="22"/>
          <w:szCs w:val="22"/>
        </w:rPr>
        <w:t xml:space="preserve"> size and rates</w:t>
      </w:r>
    </w:p>
    <w:tbl>
      <w:tblPr>
        <w:tblW w:w="7935" w:type="dxa"/>
        <w:tblInd w:w="93" w:type="dxa"/>
        <w:tblLook w:val="04A0"/>
      </w:tblPr>
      <w:tblGrid>
        <w:gridCol w:w="5685"/>
        <w:gridCol w:w="1170"/>
        <w:gridCol w:w="1080"/>
      </w:tblGrid>
      <w:tr w:rsidR="00FE2D7C" w:rsidRPr="002B23D8" w:rsidTr="00FE2D7C">
        <w:trPr>
          <w:trHeight w:val="300"/>
        </w:trPr>
        <w:tc>
          <w:tcPr>
            <w:tcW w:w="568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E2D7C" w:rsidRPr="002B23D8" w:rsidRDefault="00FE2D7C" w:rsidP="00FE2D7C">
            <w:pPr>
              <w:contextualSpacing/>
              <w:rPr>
                <w:rFonts w:asciiTheme="minorHAnsi" w:hAnsiTheme="minorHAnsi" w:cs="Calibri"/>
                <w:color w:val="000000"/>
              </w:rPr>
            </w:pPr>
            <w:r w:rsidRPr="002B23D8">
              <w:rPr>
                <w:rFonts w:asciiTheme="minorHAnsi" w:hAnsiTheme="minorHAnsi" w:cs="Calibri"/>
                <w:color w:val="000000"/>
                <w:sz w:val="22"/>
                <w:szCs w:val="22"/>
              </w:rPr>
              <w:t> </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rsidR="00FE2D7C" w:rsidRPr="002B23D8" w:rsidRDefault="00FE2D7C" w:rsidP="00FE2D7C">
            <w:pPr>
              <w:contextualSpacing/>
              <w:rPr>
                <w:rFonts w:asciiTheme="minorHAnsi" w:hAnsiTheme="minorHAnsi" w:cs="Calibri"/>
                <w:b/>
                <w:bCs/>
                <w:color w:val="000000"/>
              </w:rPr>
            </w:pPr>
            <w:r w:rsidRPr="002B23D8">
              <w:rPr>
                <w:rFonts w:asciiTheme="minorHAnsi" w:hAnsiTheme="minorHAnsi" w:cs="Calibri"/>
                <w:b/>
                <w:bCs/>
                <w:color w:val="000000"/>
                <w:sz w:val="22"/>
                <w:szCs w:val="22"/>
              </w:rPr>
              <w:t>Rate</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FE2D7C" w:rsidRPr="002B23D8" w:rsidRDefault="00FE2D7C" w:rsidP="00FE2D7C">
            <w:pPr>
              <w:contextualSpacing/>
              <w:rPr>
                <w:rFonts w:asciiTheme="minorHAnsi" w:hAnsiTheme="minorHAnsi" w:cs="Calibri"/>
                <w:b/>
                <w:bCs/>
                <w:color w:val="000000"/>
              </w:rPr>
            </w:pPr>
            <w:r w:rsidRPr="002B23D8">
              <w:rPr>
                <w:rFonts w:asciiTheme="minorHAnsi" w:hAnsiTheme="minorHAnsi" w:cs="Calibri"/>
                <w:b/>
                <w:bCs/>
                <w:color w:val="000000"/>
                <w:sz w:val="22"/>
                <w:szCs w:val="22"/>
              </w:rPr>
              <w:t>Sample</w:t>
            </w:r>
          </w:p>
        </w:tc>
      </w:tr>
      <w:tr w:rsidR="00FE2D7C" w:rsidRPr="002B23D8" w:rsidTr="00FE2D7C">
        <w:trPr>
          <w:trHeight w:val="300"/>
        </w:trPr>
        <w:tc>
          <w:tcPr>
            <w:tcW w:w="5685" w:type="dxa"/>
            <w:tcBorders>
              <w:top w:val="nil"/>
              <w:left w:val="single" w:sz="8" w:space="0" w:color="auto"/>
              <w:bottom w:val="single" w:sz="4" w:space="0" w:color="auto"/>
              <w:right w:val="single" w:sz="4" w:space="0" w:color="auto"/>
            </w:tcBorders>
            <w:shd w:val="clear" w:color="auto" w:fill="auto"/>
            <w:noWrap/>
            <w:vAlign w:val="bottom"/>
            <w:hideMark/>
          </w:tcPr>
          <w:p w:rsidR="00FE2D7C" w:rsidRPr="002B23D8" w:rsidRDefault="00FE2D7C" w:rsidP="00FE2D7C">
            <w:pPr>
              <w:contextualSpacing/>
              <w:rPr>
                <w:rFonts w:asciiTheme="minorHAnsi" w:hAnsiTheme="minorHAnsi" w:cs="Calibri"/>
                <w:color w:val="000000"/>
              </w:rPr>
            </w:pPr>
            <w:r w:rsidRPr="002B23D8">
              <w:rPr>
                <w:rFonts w:asciiTheme="minorHAnsi" w:hAnsiTheme="minorHAnsi" w:cs="Calibri"/>
                <w:color w:val="000000"/>
                <w:sz w:val="22"/>
                <w:szCs w:val="22"/>
              </w:rPr>
              <w:t>RDD Sample</w:t>
            </w:r>
          </w:p>
        </w:tc>
        <w:tc>
          <w:tcPr>
            <w:tcW w:w="1170" w:type="dxa"/>
            <w:tcBorders>
              <w:top w:val="nil"/>
              <w:left w:val="nil"/>
              <w:bottom w:val="single" w:sz="4" w:space="0" w:color="auto"/>
              <w:right w:val="single" w:sz="4" w:space="0" w:color="auto"/>
            </w:tcBorders>
            <w:shd w:val="clear" w:color="auto" w:fill="auto"/>
            <w:noWrap/>
            <w:vAlign w:val="bottom"/>
            <w:hideMark/>
          </w:tcPr>
          <w:p w:rsidR="00FE2D7C" w:rsidRPr="002B23D8" w:rsidRDefault="00FE2D7C" w:rsidP="00FE2D7C">
            <w:pPr>
              <w:contextualSpacing/>
              <w:rPr>
                <w:rFonts w:asciiTheme="minorHAnsi" w:hAnsiTheme="minorHAnsi" w:cs="Calibri"/>
                <w:color w:val="000000"/>
              </w:rPr>
            </w:pPr>
            <w:r w:rsidRPr="002B23D8">
              <w:rPr>
                <w:rFonts w:asciiTheme="minorHAnsi" w:hAnsiTheme="minorHAnsi" w:cs="Calibri"/>
                <w:color w:val="000000"/>
                <w:sz w:val="22"/>
                <w:szCs w:val="22"/>
              </w:rPr>
              <w:t> </w:t>
            </w:r>
          </w:p>
        </w:tc>
        <w:tc>
          <w:tcPr>
            <w:tcW w:w="1080" w:type="dxa"/>
            <w:tcBorders>
              <w:top w:val="nil"/>
              <w:left w:val="nil"/>
              <w:bottom w:val="single" w:sz="4" w:space="0" w:color="auto"/>
              <w:right w:val="single" w:sz="8" w:space="0" w:color="auto"/>
            </w:tcBorders>
            <w:shd w:val="clear" w:color="auto" w:fill="auto"/>
            <w:noWrap/>
            <w:vAlign w:val="bottom"/>
            <w:hideMark/>
          </w:tcPr>
          <w:p w:rsidR="00FE2D7C" w:rsidRPr="002B23D8" w:rsidRDefault="00FE2D7C" w:rsidP="00FE2D7C">
            <w:pPr>
              <w:contextualSpacing/>
              <w:jc w:val="right"/>
              <w:rPr>
                <w:rFonts w:asciiTheme="minorHAnsi" w:hAnsiTheme="minorHAnsi" w:cs="Calibri"/>
                <w:color w:val="000000"/>
              </w:rPr>
            </w:pPr>
            <w:r>
              <w:rPr>
                <w:rFonts w:asciiTheme="minorHAnsi" w:hAnsiTheme="minorHAnsi" w:cs="Calibri"/>
                <w:color w:val="000000"/>
                <w:sz w:val="22"/>
                <w:szCs w:val="22"/>
              </w:rPr>
              <w:t>26646</w:t>
            </w:r>
          </w:p>
        </w:tc>
      </w:tr>
      <w:tr w:rsidR="00FE2D7C" w:rsidRPr="002B23D8" w:rsidTr="00FE2D7C">
        <w:trPr>
          <w:trHeight w:val="300"/>
        </w:trPr>
        <w:tc>
          <w:tcPr>
            <w:tcW w:w="5685" w:type="dxa"/>
            <w:tcBorders>
              <w:top w:val="nil"/>
              <w:left w:val="single" w:sz="8" w:space="0" w:color="auto"/>
              <w:bottom w:val="single" w:sz="4" w:space="0" w:color="auto"/>
              <w:right w:val="single" w:sz="4" w:space="0" w:color="auto"/>
            </w:tcBorders>
            <w:shd w:val="clear" w:color="auto" w:fill="auto"/>
            <w:noWrap/>
            <w:vAlign w:val="bottom"/>
            <w:hideMark/>
          </w:tcPr>
          <w:p w:rsidR="00FE2D7C" w:rsidRPr="002B23D8" w:rsidRDefault="00FE2D7C" w:rsidP="00FE2D7C">
            <w:pPr>
              <w:contextualSpacing/>
              <w:rPr>
                <w:rFonts w:asciiTheme="minorHAnsi" w:hAnsiTheme="minorHAnsi" w:cs="Calibri"/>
                <w:color w:val="000000"/>
              </w:rPr>
            </w:pPr>
            <w:r w:rsidRPr="002B23D8">
              <w:rPr>
                <w:rFonts w:asciiTheme="minorHAnsi" w:hAnsiTheme="minorHAnsi" w:cs="Calibri"/>
                <w:color w:val="000000"/>
                <w:sz w:val="22"/>
                <w:szCs w:val="22"/>
              </w:rPr>
              <w:t xml:space="preserve">  Phone numbers resolved before CATI</w:t>
            </w:r>
          </w:p>
        </w:tc>
        <w:tc>
          <w:tcPr>
            <w:tcW w:w="1170" w:type="dxa"/>
            <w:tcBorders>
              <w:top w:val="nil"/>
              <w:left w:val="nil"/>
              <w:bottom w:val="single" w:sz="4" w:space="0" w:color="auto"/>
              <w:right w:val="single" w:sz="4" w:space="0" w:color="auto"/>
            </w:tcBorders>
            <w:shd w:val="clear" w:color="auto" w:fill="auto"/>
            <w:noWrap/>
            <w:vAlign w:val="bottom"/>
            <w:hideMark/>
          </w:tcPr>
          <w:p w:rsidR="00FE2D7C" w:rsidRPr="002B23D8" w:rsidRDefault="00FE2D7C" w:rsidP="00FE2D7C">
            <w:pPr>
              <w:contextualSpacing/>
              <w:jc w:val="right"/>
              <w:rPr>
                <w:rFonts w:asciiTheme="minorHAnsi" w:hAnsiTheme="minorHAnsi" w:cs="Calibri"/>
                <w:color w:val="000000"/>
              </w:rPr>
            </w:pPr>
            <w:r w:rsidRPr="002B23D8">
              <w:rPr>
                <w:rFonts w:asciiTheme="minorHAnsi" w:hAnsiTheme="minorHAnsi" w:cs="Calibri"/>
                <w:color w:val="000000"/>
                <w:sz w:val="22"/>
                <w:szCs w:val="22"/>
              </w:rPr>
              <w:t>0.45</w:t>
            </w:r>
          </w:p>
        </w:tc>
        <w:tc>
          <w:tcPr>
            <w:tcW w:w="1080" w:type="dxa"/>
            <w:tcBorders>
              <w:top w:val="nil"/>
              <w:left w:val="nil"/>
              <w:bottom w:val="single" w:sz="4" w:space="0" w:color="auto"/>
              <w:right w:val="single" w:sz="8" w:space="0" w:color="auto"/>
            </w:tcBorders>
            <w:shd w:val="clear" w:color="auto" w:fill="auto"/>
            <w:noWrap/>
            <w:vAlign w:val="bottom"/>
            <w:hideMark/>
          </w:tcPr>
          <w:p w:rsidR="00FE2D7C" w:rsidRPr="002B23D8" w:rsidRDefault="00FE2D7C" w:rsidP="0021416C">
            <w:pPr>
              <w:contextualSpacing/>
              <w:jc w:val="right"/>
              <w:rPr>
                <w:rFonts w:asciiTheme="minorHAnsi" w:hAnsiTheme="minorHAnsi" w:cs="Calibri"/>
                <w:color w:val="000000"/>
              </w:rPr>
            </w:pPr>
            <w:r>
              <w:rPr>
                <w:rFonts w:asciiTheme="minorHAnsi" w:hAnsiTheme="minorHAnsi" w:cs="Calibri"/>
                <w:color w:val="000000"/>
                <w:sz w:val="22"/>
                <w:szCs w:val="22"/>
              </w:rPr>
              <w:t>(1199</w:t>
            </w:r>
            <w:r w:rsidR="0021416C">
              <w:rPr>
                <w:rFonts w:asciiTheme="minorHAnsi" w:hAnsiTheme="minorHAnsi" w:cs="Calibri"/>
                <w:color w:val="000000"/>
                <w:sz w:val="22"/>
                <w:szCs w:val="22"/>
              </w:rPr>
              <w:t>1</w:t>
            </w:r>
            <w:r w:rsidRPr="002B23D8">
              <w:rPr>
                <w:rFonts w:asciiTheme="minorHAnsi" w:hAnsiTheme="minorHAnsi" w:cs="Calibri"/>
                <w:color w:val="000000"/>
                <w:sz w:val="22"/>
                <w:szCs w:val="22"/>
              </w:rPr>
              <w:t>)</w:t>
            </w:r>
          </w:p>
        </w:tc>
      </w:tr>
      <w:tr w:rsidR="00FE2D7C" w:rsidRPr="002B23D8" w:rsidTr="00FE2D7C">
        <w:trPr>
          <w:trHeight w:val="300"/>
        </w:trPr>
        <w:tc>
          <w:tcPr>
            <w:tcW w:w="5685" w:type="dxa"/>
            <w:tcBorders>
              <w:top w:val="nil"/>
              <w:left w:val="single" w:sz="8" w:space="0" w:color="auto"/>
              <w:bottom w:val="single" w:sz="4" w:space="0" w:color="auto"/>
              <w:right w:val="single" w:sz="4" w:space="0" w:color="auto"/>
            </w:tcBorders>
            <w:shd w:val="clear" w:color="auto" w:fill="auto"/>
            <w:noWrap/>
            <w:vAlign w:val="bottom"/>
            <w:hideMark/>
          </w:tcPr>
          <w:p w:rsidR="00FE2D7C" w:rsidRPr="002B23D8" w:rsidRDefault="00FE2D7C" w:rsidP="00FE2D7C">
            <w:pPr>
              <w:contextualSpacing/>
              <w:rPr>
                <w:rFonts w:asciiTheme="minorHAnsi" w:hAnsiTheme="minorHAnsi" w:cs="Calibri"/>
                <w:color w:val="000000"/>
              </w:rPr>
            </w:pPr>
            <w:r w:rsidRPr="002B23D8">
              <w:rPr>
                <w:rFonts w:asciiTheme="minorHAnsi" w:hAnsiTheme="minorHAnsi" w:cs="Calibri"/>
                <w:color w:val="000000"/>
                <w:sz w:val="22"/>
                <w:szCs w:val="22"/>
              </w:rPr>
              <w:t xml:space="preserve">  Total phone numbers called</w:t>
            </w:r>
          </w:p>
        </w:tc>
        <w:tc>
          <w:tcPr>
            <w:tcW w:w="1170" w:type="dxa"/>
            <w:tcBorders>
              <w:top w:val="nil"/>
              <w:left w:val="nil"/>
              <w:bottom w:val="single" w:sz="4" w:space="0" w:color="auto"/>
              <w:right w:val="single" w:sz="4" w:space="0" w:color="auto"/>
            </w:tcBorders>
            <w:shd w:val="clear" w:color="auto" w:fill="auto"/>
            <w:noWrap/>
            <w:vAlign w:val="bottom"/>
            <w:hideMark/>
          </w:tcPr>
          <w:p w:rsidR="00FE2D7C" w:rsidRPr="002B23D8" w:rsidRDefault="00FE2D7C" w:rsidP="00FE2D7C">
            <w:pPr>
              <w:contextualSpacing/>
              <w:jc w:val="right"/>
              <w:rPr>
                <w:rFonts w:asciiTheme="minorHAnsi" w:hAnsiTheme="minorHAnsi" w:cs="Calibri"/>
                <w:color w:val="000000"/>
              </w:rPr>
            </w:pPr>
            <w:r w:rsidRPr="002B23D8">
              <w:rPr>
                <w:rFonts w:asciiTheme="minorHAnsi" w:hAnsiTheme="minorHAnsi" w:cs="Calibri"/>
                <w:color w:val="000000"/>
                <w:sz w:val="22"/>
                <w:szCs w:val="22"/>
              </w:rPr>
              <w:t>0.55</w:t>
            </w:r>
          </w:p>
        </w:tc>
        <w:tc>
          <w:tcPr>
            <w:tcW w:w="1080" w:type="dxa"/>
            <w:tcBorders>
              <w:top w:val="nil"/>
              <w:left w:val="nil"/>
              <w:bottom w:val="single" w:sz="4" w:space="0" w:color="auto"/>
              <w:right w:val="single" w:sz="8" w:space="0" w:color="auto"/>
            </w:tcBorders>
            <w:shd w:val="clear" w:color="auto" w:fill="auto"/>
            <w:noWrap/>
            <w:vAlign w:val="bottom"/>
            <w:hideMark/>
          </w:tcPr>
          <w:p w:rsidR="00FE2D7C" w:rsidRPr="002B23D8" w:rsidRDefault="00FE2D7C" w:rsidP="00FE2D7C">
            <w:pPr>
              <w:contextualSpacing/>
              <w:jc w:val="right"/>
              <w:rPr>
                <w:rFonts w:asciiTheme="minorHAnsi" w:hAnsiTheme="minorHAnsi" w:cs="Calibri"/>
                <w:color w:val="000000"/>
              </w:rPr>
            </w:pPr>
            <w:r>
              <w:rPr>
                <w:rFonts w:asciiTheme="minorHAnsi" w:hAnsiTheme="minorHAnsi" w:cs="Calibri"/>
                <w:color w:val="000000"/>
                <w:sz w:val="22"/>
                <w:szCs w:val="22"/>
              </w:rPr>
              <w:t>14655</w:t>
            </w:r>
          </w:p>
        </w:tc>
      </w:tr>
      <w:tr w:rsidR="00FE2D7C" w:rsidRPr="002B23D8" w:rsidTr="00FE2D7C">
        <w:trPr>
          <w:trHeight w:val="300"/>
        </w:trPr>
        <w:tc>
          <w:tcPr>
            <w:tcW w:w="5685" w:type="dxa"/>
            <w:tcBorders>
              <w:top w:val="nil"/>
              <w:left w:val="single" w:sz="8" w:space="0" w:color="auto"/>
              <w:bottom w:val="single" w:sz="4" w:space="0" w:color="auto"/>
              <w:right w:val="single" w:sz="4" w:space="0" w:color="auto"/>
            </w:tcBorders>
            <w:shd w:val="clear" w:color="auto" w:fill="auto"/>
            <w:noWrap/>
            <w:vAlign w:val="bottom"/>
            <w:hideMark/>
          </w:tcPr>
          <w:p w:rsidR="00FE2D7C" w:rsidRPr="002B23D8" w:rsidRDefault="00FE2D7C" w:rsidP="00FE2D7C">
            <w:pPr>
              <w:contextualSpacing/>
              <w:rPr>
                <w:rFonts w:asciiTheme="minorHAnsi" w:hAnsiTheme="minorHAnsi" w:cs="Calibri"/>
                <w:color w:val="000000"/>
              </w:rPr>
            </w:pPr>
            <w:r w:rsidRPr="002B23D8">
              <w:rPr>
                <w:rFonts w:asciiTheme="minorHAnsi" w:hAnsiTheme="minorHAnsi" w:cs="Calibri"/>
                <w:color w:val="000000"/>
                <w:sz w:val="22"/>
                <w:szCs w:val="22"/>
              </w:rPr>
              <w:t>Resolved phone numbers—Resolution rate</w:t>
            </w:r>
          </w:p>
        </w:tc>
        <w:tc>
          <w:tcPr>
            <w:tcW w:w="1170" w:type="dxa"/>
            <w:tcBorders>
              <w:top w:val="nil"/>
              <w:left w:val="nil"/>
              <w:bottom w:val="single" w:sz="4" w:space="0" w:color="auto"/>
              <w:right w:val="single" w:sz="4" w:space="0" w:color="auto"/>
            </w:tcBorders>
            <w:shd w:val="clear" w:color="auto" w:fill="auto"/>
            <w:noWrap/>
            <w:vAlign w:val="bottom"/>
            <w:hideMark/>
          </w:tcPr>
          <w:p w:rsidR="00FE2D7C" w:rsidRPr="002B23D8" w:rsidRDefault="00FE2D7C" w:rsidP="00FE2D7C">
            <w:pPr>
              <w:contextualSpacing/>
              <w:jc w:val="right"/>
              <w:rPr>
                <w:rFonts w:asciiTheme="minorHAnsi" w:hAnsiTheme="minorHAnsi" w:cs="Calibri"/>
                <w:color w:val="000000"/>
              </w:rPr>
            </w:pPr>
            <w:r w:rsidRPr="002B23D8">
              <w:rPr>
                <w:rFonts w:asciiTheme="minorHAnsi" w:hAnsiTheme="minorHAnsi" w:cs="Calibri"/>
                <w:color w:val="000000"/>
                <w:sz w:val="22"/>
                <w:szCs w:val="22"/>
              </w:rPr>
              <w:t>0.90</w:t>
            </w:r>
          </w:p>
        </w:tc>
        <w:tc>
          <w:tcPr>
            <w:tcW w:w="1080" w:type="dxa"/>
            <w:tcBorders>
              <w:top w:val="nil"/>
              <w:left w:val="nil"/>
              <w:bottom w:val="single" w:sz="4" w:space="0" w:color="auto"/>
              <w:right w:val="single" w:sz="8" w:space="0" w:color="auto"/>
            </w:tcBorders>
            <w:shd w:val="clear" w:color="auto" w:fill="auto"/>
            <w:noWrap/>
            <w:vAlign w:val="bottom"/>
            <w:hideMark/>
          </w:tcPr>
          <w:p w:rsidR="00FE2D7C" w:rsidRPr="002B23D8" w:rsidRDefault="00FE2D7C" w:rsidP="0021416C">
            <w:pPr>
              <w:contextualSpacing/>
              <w:jc w:val="right"/>
              <w:rPr>
                <w:rFonts w:asciiTheme="minorHAnsi" w:hAnsiTheme="minorHAnsi" w:cs="Calibri"/>
                <w:color w:val="000000"/>
              </w:rPr>
            </w:pPr>
            <w:r>
              <w:rPr>
                <w:rFonts w:asciiTheme="minorHAnsi" w:hAnsiTheme="minorHAnsi" w:cs="Calibri"/>
                <w:color w:val="000000"/>
                <w:sz w:val="22"/>
                <w:szCs w:val="22"/>
              </w:rPr>
              <w:t>1319</w:t>
            </w:r>
            <w:r w:rsidR="0021416C">
              <w:rPr>
                <w:rFonts w:asciiTheme="minorHAnsi" w:hAnsiTheme="minorHAnsi" w:cs="Calibri"/>
                <w:color w:val="000000"/>
                <w:sz w:val="22"/>
                <w:szCs w:val="22"/>
              </w:rPr>
              <w:t>0</w:t>
            </w:r>
          </w:p>
        </w:tc>
      </w:tr>
      <w:tr w:rsidR="00FE2D7C" w:rsidRPr="002B23D8" w:rsidTr="00FE2D7C">
        <w:trPr>
          <w:trHeight w:val="315"/>
        </w:trPr>
        <w:tc>
          <w:tcPr>
            <w:tcW w:w="56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2D7C" w:rsidRPr="002B23D8" w:rsidRDefault="00FE2D7C" w:rsidP="00FE2D7C">
            <w:pPr>
              <w:contextualSpacing/>
              <w:rPr>
                <w:rFonts w:asciiTheme="minorHAnsi" w:hAnsiTheme="minorHAnsi" w:cs="Calibri"/>
                <w:color w:val="000000"/>
              </w:rPr>
            </w:pPr>
            <w:r w:rsidRPr="002B23D8">
              <w:rPr>
                <w:rFonts w:asciiTheme="minorHAnsi" w:hAnsiTheme="minorHAnsi" w:cs="Calibri"/>
                <w:color w:val="000000"/>
                <w:sz w:val="22"/>
                <w:szCs w:val="22"/>
              </w:rPr>
              <w:t>Households identified—Working Residential Number Rate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E2D7C" w:rsidRPr="002B23D8" w:rsidRDefault="00FE2D7C" w:rsidP="00FE2D7C">
            <w:pPr>
              <w:contextualSpacing/>
              <w:jc w:val="right"/>
              <w:rPr>
                <w:rFonts w:asciiTheme="minorHAnsi" w:hAnsiTheme="minorHAnsi" w:cs="Calibri"/>
                <w:color w:val="000000"/>
              </w:rPr>
            </w:pPr>
            <w:r w:rsidRPr="002B23D8">
              <w:rPr>
                <w:rFonts w:asciiTheme="minorHAnsi" w:hAnsiTheme="minorHAnsi" w:cs="Calibri"/>
                <w:color w:val="000000"/>
                <w:sz w:val="22"/>
                <w:szCs w:val="22"/>
              </w:rPr>
              <w:t>0.50</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rsidR="00FE2D7C" w:rsidRPr="002B23D8" w:rsidRDefault="00FE2D7C" w:rsidP="00FE2D7C">
            <w:pPr>
              <w:contextualSpacing/>
              <w:jc w:val="right"/>
              <w:rPr>
                <w:rFonts w:asciiTheme="minorHAnsi" w:hAnsiTheme="minorHAnsi" w:cs="Calibri"/>
                <w:color w:val="000000"/>
              </w:rPr>
            </w:pPr>
            <w:r>
              <w:rPr>
                <w:rFonts w:asciiTheme="minorHAnsi" w:hAnsiTheme="minorHAnsi" w:cs="Calibri"/>
                <w:color w:val="000000"/>
                <w:sz w:val="22"/>
                <w:szCs w:val="22"/>
              </w:rPr>
              <w:t>6595</w:t>
            </w:r>
          </w:p>
        </w:tc>
      </w:tr>
      <w:tr w:rsidR="00FE2D7C" w:rsidRPr="002B23D8" w:rsidTr="00FE2D7C">
        <w:trPr>
          <w:trHeight w:val="315"/>
        </w:trPr>
        <w:tc>
          <w:tcPr>
            <w:tcW w:w="5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FE2D7C" w:rsidRPr="002B23D8" w:rsidRDefault="00FE2D7C" w:rsidP="00FE2D7C">
            <w:pPr>
              <w:contextualSpacing/>
              <w:rPr>
                <w:rFonts w:asciiTheme="minorHAnsi" w:hAnsiTheme="minorHAnsi" w:cs="Calibri"/>
                <w:color w:val="000000"/>
              </w:rPr>
            </w:pPr>
            <w:r w:rsidRPr="002B23D8">
              <w:rPr>
                <w:rFonts w:asciiTheme="minorHAnsi" w:hAnsiTheme="minorHAnsi" w:cs="Calibri"/>
                <w:color w:val="000000"/>
                <w:sz w:val="22"/>
                <w:szCs w:val="22"/>
              </w:rPr>
              <w:t>Contact with HH adult</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FE2D7C" w:rsidRPr="002B23D8" w:rsidRDefault="00FE2D7C" w:rsidP="00FE2D7C">
            <w:pPr>
              <w:contextualSpacing/>
              <w:jc w:val="right"/>
              <w:rPr>
                <w:rFonts w:asciiTheme="minorHAnsi" w:hAnsiTheme="minorHAnsi" w:cs="Calibri"/>
                <w:color w:val="000000"/>
              </w:rPr>
            </w:pPr>
            <w:r w:rsidRPr="002B23D8">
              <w:rPr>
                <w:rFonts w:asciiTheme="minorHAnsi" w:hAnsiTheme="minorHAnsi" w:cs="Calibri"/>
                <w:color w:val="000000"/>
                <w:sz w:val="22"/>
                <w:szCs w:val="22"/>
              </w:rPr>
              <w:t>0.8</w:t>
            </w:r>
          </w:p>
        </w:tc>
        <w:tc>
          <w:tcPr>
            <w:tcW w:w="1080" w:type="dxa"/>
            <w:tcBorders>
              <w:top w:val="single" w:sz="4" w:space="0" w:color="auto"/>
              <w:left w:val="nil"/>
              <w:bottom w:val="single" w:sz="4" w:space="0" w:color="auto"/>
              <w:right w:val="single" w:sz="8" w:space="0" w:color="auto"/>
            </w:tcBorders>
            <w:shd w:val="clear" w:color="auto" w:fill="auto"/>
            <w:noWrap/>
            <w:vAlign w:val="bottom"/>
          </w:tcPr>
          <w:p w:rsidR="00FE2D7C" w:rsidRPr="002B23D8" w:rsidRDefault="00FE2D7C" w:rsidP="00FE2D7C">
            <w:pPr>
              <w:contextualSpacing/>
              <w:jc w:val="right"/>
              <w:rPr>
                <w:rFonts w:asciiTheme="minorHAnsi" w:hAnsiTheme="minorHAnsi" w:cs="Calibri"/>
                <w:color w:val="000000"/>
              </w:rPr>
            </w:pPr>
            <w:r>
              <w:rPr>
                <w:rFonts w:asciiTheme="minorHAnsi" w:hAnsiTheme="minorHAnsi" w:cs="Calibri"/>
                <w:color w:val="000000"/>
                <w:sz w:val="22"/>
                <w:szCs w:val="22"/>
              </w:rPr>
              <w:t>5276</w:t>
            </w:r>
          </w:p>
        </w:tc>
      </w:tr>
      <w:tr w:rsidR="00FE2D7C" w:rsidRPr="002B23D8" w:rsidTr="00FE2D7C">
        <w:trPr>
          <w:trHeight w:val="315"/>
        </w:trPr>
        <w:tc>
          <w:tcPr>
            <w:tcW w:w="5685" w:type="dxa"/>
            <w:tcBorders>
              <w:top w:val="single" w:sz="4" w:space="0" w:color="auto"/>
              <w:left w:val="single" w:sz="8" w:space="0" w:color="auto"/>
              <w:bottom w:val="single" w:sz="4" w:space="0" w:color="auto"/>
              <w:right w:val="single" w:sz="4" w:space="0" w:color="auto"/>
            </w:tcBorders>
            <w:shd w:val="clear" w:color="auto" w:fill="auto"/>
            <w:noWrap/>
          </w:tcPr>
          <w:p w:rsidR="00FE2D7C" w:rsidRDefault="00FE2D7C" w:rsidP="00FE2D7C">
            <w:pPr>
              <w:contextualSpacing/>
              <w:rPr>
                <w:rFonts w:asciiTheme="minorHAnsi" w:hAnsiTheme="minorHAnsi" w:cs="Calibri"/>
                <w:color w:val="000000"/>
              </w:rPr>
            </w:pPr>
            <w:r w:rsidRPr="002B23D8">
              <w:rPr>
                <w:rFonts w:asciiTheme="minorHAnsi" w:hAnsiTheme="minorHAnsi" w:cs="Calibri"/>
                <w:color w:val="000000"/>
                <w:sz w:val="22"/>
                <w:szCs w:val="22"/>
              </w:rPr>
              <w:t>Eligibility rate</w:t>
            </w:r>
          </w:p>
          <w:p w:rsidR="00FE2D7C" w:rsidRDefault="00FE2D7C" w:rsidP="00FE2D7C">
            <w:pPr>
              <w:contextualSpacing/>
              <w:rPr>
                <w:rFonts w:asciiTheme="minorHAnsi" w:hAnsiTheme="minorHAnsi" w:cs="Calibri"/>
                <w:color w:val="000000"/>
              </w:rPr>
            </w:pPr>
            <w:r>
              <w:rPr>
                <w:rFonts w:asciiTheme="minorHAnsi" w:hAnsiTheme="minorHAnsi" w:cs="Calibri"/>
                <w:color w:val="000000"/>
                <w:sz w:val="22"/>
                <w:szCs w:val="22"/>
              </w:rPr>
              <w:t xml:space="preserve">   Cases assigned to Control</w:t>
            </w:r>
          </w:p>
          <w:p w:rsidR="00FE2D7C" w:rsidRPr="002B23D8" w:rsidRDefault="00FE2D7C" w:rsidP="00FE2D7C">
            <w:pPr>
              <w:contextualSpacing/>
              <w:rPr>
                <w:rFonts w:asciiTheme="minorHAnsi" w:hAnsiTheme="minorHAnsi" w:cs="Calibri"/>
                <w:color w:val="000000"/>
              </w:rPr>
            </w:pPr>
            <w:r>
              <w:rPr>
                <w:rFonts w:asciiTheme="minorHAnsi" w:hAnsiTheme="minorHAnsi" w:cs="Calibri"/>
                <w:color w:val="000000"/>
                <w:sz w:val="22"/>
                <w:szCs w:val="22"/>
              </w:rPr>
              <w:t xml:space="preserve">   Cases assigned to ECP</w:t>
            </w:r>
          </w:p>
        </w:tc>
        <w:tc>
          <w:tcPr>
            <w:tcW w:w="1170" w:type="dxa"/>
            <w:tcBorders>
              <w:top w:val="single" w:sz="4" w:space="0" w:color="auto"/>
              <w:left w:val="nil"/>
              <w:bottom w:val="single" w:sz="4" w:space="0" w:color="auto"/>
              <w:right w:val="single" w:sz="4" w:space="0" w:color="auto"/>
            </w:tcBorders>
            <w:shd w:val="clear" w:color="auto" w:fill="auto"/>
            <w:noWrap/>
          </w:tcPr>
          <w:p w:rsidR="00FE2D7C" w:rsidRPr="00693843" w:rsidRDefault="00FE2D7C" w:rsidP="00FE2D7C">
            <w:pPr>
              <w:contextualSpacing/>
              <w:jc w:val="right"/>
              <w:rPr>
                <w:rFonts w:asciiTheme="minorHAnsi" w:hAnsiTheme="minorHAnsi" w:cs="Calibri"/>
                <w:color w:val="000000"/>
              </w:rPr>
            </w:pPr>
            <w:r w:rsidRPr="00693843">
              <w:rPr>
                <w:rFonts w:asciiTheme="minorHAnsi" w:hAnsiTheme="minorHAnsi" w:cs="Calibri"/>
                <w:color w:val="000000"/>
                <w:sz w:val="22"/>
                <w:szCs w:val="22"/>
              </w:rPr>
              <w:t>1.00</w:t>
            </w:r>
          </w:p>
        </w:tc>
        <w:tc>
          <w:tcPr>
            <w:tcW w:w="1080" w:type="dxa"/>
            <w:tcBorders>
              <w:top w:val="single" w:sz="4" w:space="0" w:color="auto"/>
              <w:left w:val="nil"/>
              <w:bottom w:val="single" w:sz="4" w:space="0" w:color="auto"/>
              <w:right w:val="single" w:sz="8" w:space="0" w:color="auto"/>
            </w:tcBorders>
            <w:shd w:val="clear" w:color="auto" w:fill="auto"/>
            <w:noWrap/>
            <w:vAlign w:val="bottom"/>
          </w:tcPr>
          <w:p w:rsidR="00FE2D7C" w:rsidRDefault="00FE2D7C" w:rsidP="00FE2D7C">
            <w:pPr>
              <w:contextualSpacing/>
              <w:jc w:val="right"/>
              <w:rPr>
                <w:rFonts w:asciiTheme="minorHAnsi" w:hAnsiTheme="minorHAnsi" w:cs="Calibri"/>
                <w:color w:val="000000"/>
              </w:rPr>
            </w:pPr>
          </w:p>
          <w:p w:rsidR="00FE2D7C" w:rsidRDefault="00FE2D7C" w:rsidP="00FE2D7C">
            <w:pPr>
              <w:contextualSpacing/>
              <w:jc w:val="right"/>
              <w:rPr>
                <w:rFonts w:asciiTheme="minorHAnsi" w:hAnsiTheme="minorHAnsi" w:cs="Calibri"/>
                <w:color w:val="000000"/>
              </w:rPr>
            </w:pPr>
            <w:r>
              <w:rPr>
                <w:rFonts w:asciiTheme="minorHAnsi" w:hAnsiTheme="minorHAnsi" w:cs="Calibri"/>
                <w:color w:val="000000"/>
                <w:sz w:val="22"/>
                <w:szCs w:val="22"/>
              </w:rPr>
              <w:t>(2878)</w:t>
            </w:r>
          </w:p>
          <w:p w:rsidR="00FE2D7C" w:rsidRPr="00C55101" w:rsidRDefault="00FE2D7C" w:rsidP="00FE2D7C">
            <w:pPr>
              <w:contextualSpacing/>
              <w:jc w:val="right"/>
              <w:rPr>
                <w:rFonts w:asciiTheme="minorHAnsi" w:hAnsiTheme="minorHAnsi" w:cs="Calibri"/>
                <w:color w:val="000000"/>
              </w:rPr>
            </w:pPr>
            <w:r>
              <w:rPr>
                <w:rFonts w:asciiTheme="minorHAnsi" w:hAnsiTheme="minorHAnsi" w:cs="Calibri"/>
                <w:color w:val="000000"/>
                <w:sz w:val="22"/>
                <w:szCs w:val="22"/>
              </w:rPr>
              <w:t>(2398)</w:t>
            </w:r>
          </w:p>
        </w:tc>
      </w:tr>
      <w:tr w:rsidR="00FE2D7C" w:rsidRPr="002B23D8" w:rsidTr="00FE2D7C">
        <w:trPr>
          <w:trHeight w:val="315"/>
        </w:trPr>
        <w:tc>
          <w:tcPr>
            <w:tcW w:w="5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FE2D7C" w:rsidRDefault="00FE2D7C" w:rsidP="00FE2D7C">
            <w:pPr>
              <w:contextualSpacing/>
              <w:rPr>
                <w:rFonts w:asciiTheme="minorHAnsi" w:hAnsiTheme="minorHAnsi" w:cs="Calibri"/>
                <w:color w:val="000000"/>
              </w:rPr>
            </w:pPr>
            <w:r w:rsidRPr="002B23D8">
              <w:rPr>
                <w:rFonts w:asciiTheme="minorHAnsi" w:hAnsiTheme="minorHAnsi" w:cs="Calibri"/>
                <w:color w:val="000000"/>
                <w:sz w:val="22"/>
                <w:szCs w:val="22"/>
              </w:rPr>
              <w:t>CATI Screener Response</w:t>
            </w:r>
            <w:r>
              <w:rPr>
                <w:rFonts w:asciiTheme="minorHAnsi" w:hAnsiTheme="minorHAnsi" w:cs="Calibri"/>
                <w:color w:val="000000"/>
                <w:sz w:val="22"/>
                <w:szCs w:val="22"/>
              </w:rPr>
              <w:t xml:space="preserve">—Control </w:t>
            </w:r>
          </w:p>
          <w:p w:rsidR="00FE2D7C" w:rsidRPr="004F34EC" w:rsidRDefault="00FE2D7C" w:rsidP="00FE2D7C">
            <w:pPr>
              <w:contextualSpacing/>
              <w:rPr>
                <w:rFonts w:asciiTheme="minorHAnsi" w:hAnsiTheme="minorHAnsi" w:cs="Calibri"/>
                <w:color w:val="000000"/>
              </w:rPr>
            </w:pPr>
            <w:r>
              <w:rPr>
                <w:rFonts w:asciiTheme="minorHAnsi" w:hAnsiTheme="minorHAnsi" w:cs="Calibri"/>
                <w:color w:val="000000"/>
                <w:sz w:val="22"/>
                <w:szCs w:val="22"/>
              </w:rPr>
              <w:t xml:space="preserve">CATI Screener Response—ECP </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FE2D7C" w:rsidRDefault="00FE2D7C" w:rsidP="00FE2D7C">
            <w:pPr>
              <w:contextualSpacing/>
              <w:jc w:val="right"/>
              <w:rPr>
                <w:rFonts w:asciiTheme="minorHAnsi" w:hAnsiTheme="minorHAnsi" w:cs="Calibri"/>
                <w:color w:val="000000"/>
              </w:rPr>
            </w:pPr>
            <w:r w:rsidRPr="002B23D8">
              <w:rPr>
                <w:rFonts w:asciiTheme="minorHAnsi" w:hAnsiTheme="minorHAnsi" w:cs="Calibri"/>
                <w:color w:val="000000"/>
                <w:sz w:val="22"/>
                <w:szCs w:val="22"/>
              </w:rPr>
              <w:t>0.3</w:t>
            </w:r>
            <w:r>
              <w:rPr>
                <w:rFonts w:asciiTheme="minorHAnsi" w:hAnsiTheme="minorHAnsi" w:cs="Calibri"/>
                <w:color w:val="000000"/>
                <w:sz w:val="22"/>
                <w:szCs w:val="22"/>
              </w:rPr>
              <w:t>475</w:t>
            </w:r>
          </w:p>
          <w:p w:rsidR="00FE2D7C" w:rsidRPr="00693843" w:rsidRDefault="00FE2D7C" w:rsidP="00FE2D7C">
            <w:pPr>
              <w:contextualSpacing/>
              <w:jc w:val="right"/>
              <w:rPr>
                <w:rFonts w:asciiTheme="minorHAnsi" w:hAnsiTheme="minorHAnsi" w:cs="Calibri"/>
                <w:color w:val="000000"/>
              </w:rPr>
            </w:pPr>
            <w:r w:rsidRPr="00693843">
              <w:rPr>
                <w:rFonts w:asciiTheme="minorHAnsi" w:hAnsiTheme="minorHAnsi" w:cs="Calibri"/>
                <w:color w:val="000000"/>
                <w:sz w:val="22"/>
                <w:szCs w:val="22"/>
              </w:rPr>
              <w:t>0.4170</w:t>
            </w:r>
          </w:p>
        </w:tc>
        <w:tc>
          <w:tcPr>
            <w:tcW w:w="1080" w:type="dxa"/>
            <w:tcBorders>
              <w:top w:val="single" w:sz="4" w:space="0" w:color="auto"/>
              <w:left w:val="nil"/>
              <w:bottom w:val="single" w:sz="4" w:space="0" w:color="auto"/>
              <w:right w:val="single" w:sz="8" w:space="0" w:color="auto"/>
            </w:tcBorders>
            <w:shd w:val="clear" w:color="auto" w:fill="auto"/>
            <w:noWrap/>
          </w:tcPr>
          <w:p w:rsidR="00FE2D7C" w:rsidRDefault="00FE2D7C" w:rsidP="00FE2D7C">
            <w:pPr>
              <w:contextualSpacing/>
              <w:jc w:val="right"/>
              <w:rPr>
                <w:rFonts w:asciiTheme="minorHAnsi" w:hAnsiTheme="minorHAnsi" w:cs="Calibri"/>
                <w:color w:val="000000"/>
              </w:rPr>
            </w:pPr>
            <w:r>
              <w:rPr>
                <w:rFonts w:asciiTheme="minorHAnsi" w:hAnsiTheme="minorHAnsi" w:cs="Calibri"/>
                <w:color w:val="000000"/>
                <w:sz w:val="22"/>
                <w:szCs w:val="22"/>
              </w:rPr>
              <w:t>1000</w:t>
            </w:r>
          </w:p>
          <w:p w:rsidR="00FE2D7C" w:rsidRPr="00165AB3" w:rsidRDefault="00FE2D7C" w:rsidP="00FE2D7C">
            <w:pPr>
              <w:contextualSpacing/>
              <w:jc w:val="right"/>
              <w:rPr>
                <w:rFonts w:asciiTheme="minorHAnsi" w:hAnsiTheme="minorHAnsi" w:cs="Calibri"/>
                <w:color w:val="000000"/>
              </w:rPr>
            </w:pPr>
            <w:r w:rsidRPr="00165AB3">
              <w:rPr>
                <w:rFonts w:asciiTheme="minorHAnsi" w:hAnsiTheme="minorHAnsi" w:cs="Calibri"/>
                <w:color w:val="000000"/>
                <w:sz w:val="22"/>
                <w:szCs w:val="22"/>
              </w:rPr>
              <w:t>1000</w:t>
            </w:r>
          </w:p>
        </w:tc>
      </w:tr>
      <w:tr w:rsidR="00FE2D7C" w:rsidRPr="002B23D8" w:rsidTr="00FE2D7C">
        <w:trPr>
          <w:trHeight w:val="315"/>
        </w:trPr>
        <w:tc>
          <w:tcPr>
            <w:tcW w:w="5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FE2D7C" w:rsidRPr="002B23D8" w:rsidRDefault="00FE2D7C" w:rsidP="00FE2D7C">
            <w:pPr>
              <w:contextualSpacing/>
              <w:rPr>
                <w:rFonts w:asciiTheme="minorHAnsi" w:hAnsiTheme="minorHAnsi" w:cs="Calibri"/>
                <w:color w:val="000000"/>
              </w:rPr>
            </w:pPr>
            <w:r w:rsidRPr="002B23D8">
              <w:rPr>
                <w:rFonts w:asciiTheme="minorHAnsi" w:hAnsiTheme="minorHAnsi" w:cs="Calibri"/>
                <w:color w:val="000000"/>
                <w:sz w:val="22"/>
                <w:szCs w:val="22"/>
              </w:rPr>
              <w:t>Total Completes</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FE2D7C" w:rsidRPr="002B23D8" w:rsidRDefault="00FE2D7C" w:rsidP="00FE2D7C">
            <w:pPr>
              <w:contextualSpacing/>
              <w:rPr>
                <w:rFonts w:asciiTheme="minorHAnsi" w:hAnsiTheme="minorHAnsi" w:cs="Calibri"/>
                <w:color w:val="000000"/>
              </w:rPr>
            </w:pPr>
            <w:r w:rsidRPr="002B23D8">
              <w:rPr>
                <w:rFonts w:asciiTheme="minorHAnsi" w:hAnsiTheme="minorHAnsi" w:cs="Calibri"/>
                <w:color w:val="000000"/>
                <w:sz w:val="22"/>
                <w:szCs w:val="22"/>
              </w:rPr>
              <w:t> </w:t>
            </w:r>
          </w:p>
        </w:tc>
        <w:tc>
          <w:tcPr>
            <w:tcW w:w="1080" w:type="dxa"/>
            <w:tcBorders>
              <w:top w:val="single" w:sz="4" w:space="0" w:color="auto"/>
              <w:left w:val="nil"/>
              <w:bottom w:val="single" w:sz="4" w:space="0" w:color="auto"/>
              <w:right w:val="single" w:sz="8" w:space="0" w:color="auto"/>
            </w:tcBorders>
            <w:shd w:val="clear" w:color="auto" w:fill="auto"/>
            <w:noWrap/>
            <w:vAlign w:val="bottom"/>
          </w:tcPr>
          <w:p w:rsidR="00FE2D7C" w:rsidRPr="002B23D8" w:rsidRDefault="00FE2D7C" w:rsidP="00FE2D7C">
            <w:pPr>
              <w:contextualSpacing/>
              <w:jc w:val="right"/>
              <w:rPr>
                <w:rFonts w:asciiTheme="minorHAnsi" w:hAnsiTheme="minorHAnsi" w:cs="Calibri"/>
                <w:color w:val="000000"/>
              </w:rPr>
            </w:pPr>
            <w:r w:rsidRPr="002B23D8">
              <w:rPr>
                <w:rFonts w:asciiTheme="minorHAnsi" w:hAnsiTheme="minorHAnsi" w:cs="Calibri"/>
                <w:color w:val="000000"/>
                <w:sz w:val="22"/>
                <w:szCs w:val="22"/>
              </w:rPr>
              <w:t>2000</w:t>
            </w:r>
          </w:p>
        </w:tc>
      </w:tr>
      <w:tr w:rsidR="00FE2D7C" w:rsidRPr="002B23D8" w:rsidTr="00FE2D7C">
        <w:trPr>
          <w:trHeight w:val="315"/>
        </w:trPr>
        <w:tc>
          <w:tcPr>
            <w:tcW w:w="5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FE2D7C" w:rsidRDefault="00FE2D7C" w:rsidP="00FE2D7C">
            <w:pPr>
              <w:contextualSpacing/>
              <w:rPr>
                <w:rFonts w:asciiTheme="minorHAnsi" w:hAnsiTheme="minorHAnsi" w:cs="Calibri"/>
                <w:color w:val="000000"/>
              </w:rPr>
            </w:pPr>
            <w:r w:rsidRPr="002B23D8">
              <w:rPr>
                <w:rFonts w:asciiTheme="minorHAnsi" w:hAnsiTheme="minorHAnsi" w:cs="Calibri"/>
                <w:color w:val="000000"/>
                <w:sz w:val="22"/>
                <w:szCs w:val="22"/>
              </w:rPr>
              <w:t>CASRO response rate</w:t>
            </w:r>
          </w:p>
          <w:p w:rsidR="0021416C" w:rsidRDefault="0021416C" w:rsidP="00FE2D7C">
            <w:pPr>
              <w:contextualSpacing/>
              <w:rPr>
                <w:rFonts w:asciiTheme="minorHAnsi" w:hAnsiTheme="minorHAnsi" w:cs="Calibri"/>
                <w:color w:val="000000"/>
              </w:rPr>
            </w:pPr>
            <w:r>
              <w:rPr>
                <w:rFonts w:asciiTheme="minorHAnsi" w:hAnsiTheme="minorHAnsi" w:cs="Calibri"/>
                <w:color w:val="000000"/>
                <w:sz w:val="22"/>
                <w:szCs w:val="22"/>
              </w:rPr>
              <w:t xml:space="preserve">   Control</w:t>
            </w:r>
          </w:p>
          <w:p w:rsidR="0021416C" w:rsidRPr="002B23D8" w:rsidRDefault="0021416C" w:rsidP="00FE2D7C">
            <w:pPr>
              <w:contextualSpacing/>
              <w:rPr>
                <w:rFonts w:asciiTheme="minorHAnsi" w:hAnsiTheme="minorHAnsi" w:cs="Calibri"/>
                <w:color w:val="000000"/>
              </w:rPr>
            </w:pPr>
            <w:r>
              <w:rPr>
                <w:rFonts w:asciiTheme="minorHAnsi" w:hAnsiTheme="minorHAnsi" w:cs="Calibri"/>
                <w:color w:val="000000"/>
                <w:sz w:val="22"/>
                <w:szCs w:val="22"/>
              </w:rPr>
              <w:t xml:space="preserve">   ECP</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FE2D7C" w:rsidRDefault="00FE2D7C" w:rsidP="0021416C">
            <w:pPr>
              <w:contextualSpacing/>
              <w:jc w:val="right"/>
              <w:rPr>
                <w:rFonts w:asciiTheme="minorHAnsi" w:hAnsiTheme="minorHAnsi" w:cs="Calibri"/>
                <w:color w:val="000000"/>
              </w:rPr>
            </w:pPr>
            <w:r w:rsidRPr="002B23D8">
              <w:rPr>
                <w:rFonts w:asciiTheme="minorHAnsi" w:hAnsiTheme="minorHAnsi" w:cs="Calibri"/>
                <w:color w:val="000000"/>
                <w:sz w:val="22"/>
                <w:szCs w:val="22"/>
              </w:rPr>
              <w:t>25%</w:t>
            </w:r>
          </w:p>
          <w:p w:rsidR="0021416C" w:rsidRPr="002B23D8" w:rsidRDefault="0021416C" w:rsidP="0021416C">
            <w:pPr>
              <w:contextualSpacing/>
              <w:jc w:val="right"/>
              <w:rPr>
                <w:rFonts w:asciiTheme="minorHAnsi" w:hAnsiTheme="minorHAnsi" w:cs="Calibri"/>
                <w:color w:val="000000"/>
              </w:rPr>
            </w:pPr>
            <w:r>
              <w:rPr>
                <w:rFonts w:asciiTheme="minorHAnsi" w:hAnsiTheme="minorHAnsi" w:cs="Calibri"/>
                <w:color w:val="000000"/>
                <w:sz w:val="22"/>
                <w:szCs w:val="22"/>
              </w:rPr>
              <w:t>30%</w:t>
            </w:r>
          </w:p>
        </w:tc>
        <w:tc>
          <w:tcPr>
            <w:tcW w:w="1080" w:type="dxa"/>
            <w:tcBorders>
              <w:top w:val="single" w:sz="4" w:space="0" w:color="auto"/>
              <w:left w:val="nil"/>
              <w:bottom w:val="single" w:sz="4" w:space="0" w:color="auto"/>
              <w:right w:val="single" w:sz="8" w:space="0" w:color="auto"/>
            </w:tcBorders>
            <w:shd w:val="clear" w:color="auto" w:fill="auto"/>
            <w:noWrap/>
            <w:vAlign w:val="bottom"/>
          </w:tcPr>
          <w:p w:rsidR="00FE2D7C" w:rsidRPr="002B23D8" w:rsidRDefault="00FE2D7C" w:rsidP="00FE2D7C">
            <w:pPr>
              <w:contextualSpacing/>
              <w:jc w:val="right"/>
              <w:rPr>
                <w:rFonts w:asciiTheme="minorHAnsi" w:hAnsiTheme="minorHAnsi" w:cs="Calibri"/>
                <w:color w:val="000000"/>
              </w:rPr>
            </w:pPr>
          </w:p>
        </w:tc>
      </w:tr>
    </w:tbl>
    <w:p w:rsidR="00FE2D7C" w:rsidRPr="002B23D8" w:rsidRDefault="00FE2D7C" w:rsidP="00FE2D7C">
      <w:pPr>
        <w:contextualSpacing/>
        <w:rPr>
          <w:rFonts w:asciiTheme="minorHAnsi" w:hAnsiTheme="minorHAnsi"/>
          <w:sz w:val="22"/>
          <w:szCs w:val="22"/>
        </w:rPr>
      </w:pPr>
    </w:p>
    <w:p w:rsidR="00FE2D7C" w:rsidRDefault="00FE2D7C" w:rsidP="00E67222">
      <w:pPr>
        <w:ind w:left="540" w:hanging="540"/>
        <w:rPr>
          <w:rFonts w:asciiTheme="minorHAnsi" w:hAnsiTheme="minorHAnsi" w:cstheme="minorHAnsi"/>
          <w:sz w:val="22"/>
          <w:szCs w:val="22"/>
        </w:rPr>
      </w:pPr>
    </w:p>
    <w:p w:rsidR="00597BDB" w:rsidRDefault="00597BDB" w:rsidP="00E67222">
      <w:pPr>
        <w:ind w:left="540" w:hanging="540"/>
        <w:rPr>
          <w:rFonts w:asciiTheme="minorHAnsi" w:hAnsiTheme="minorHAnsi" w:cstheme="minorHAnsi"/>
          <w:b/>
          <w:sz w:val="22"/>
          <w:szCs w:val="22"/>
        </w:rPr>
      </w:pPr>
      <w:r w:rsidRPr="00597BDB">
        <w:rPr>
          <w:rFonts w:asciiTheme="minorHAnsi" w:hAnsiTheme="minorHAnsi" w:cstheme="minorHAnsi"/>
          <w:b/>
          <w:sz w:val="22"/>
          <w:szCs w:val="22"/>
        </w:rPr>
        <w:t>Works Cited</w:t>
      </w:r>
    </w:p>
    <w:p w:rsidR="00C71601" w:rsidRPr="00597BDB" w:rsidRDefault="00C71601" w:rsidP="00E67222">
      <w:pPr>
        <w:ind w:left="540" w:hanging="540"/>
        <w:rPr>
          <w:rFonts w:asciiTheme="minorHAnsi" w:hAnsiTheme="minorHAnsi" w:cstheme="minorHAnsi"/>
          <w:b/>
          <w:sz w:val="22"/>
          <w:szCs w:val="22"/>
        </w:rPr>
      </w:pPr>
    </w:p>
    <w:p w:rsidR="00597BDB" w:rsidRPr="00597BDB" w:rsidRDefault="00597BDB" w:rsidP="00597BDB">
      <w:pPr>
        <w:pStyle w:val="NORCReportRefernceList"/>
        <w:rPr>
          <w:rFonts w:asciiTheme="minorHAnsi" w:hAnsiTheme="minorHAnsi"/>
          <w:sz w:val="22"/>
          <w:szCs w:val="22"/>
        </w:rPr>
      </w:pPr>
      <w:r w:rsidRPr="00597BDB">
        <w:rPr>
          <w:rFonts w:asciiTheme="minorHAnsi" w:hAnsiTheme="minorHAnsi"/>
          <w:sz w:val="22"/>
          <w:szCs w:val="22"/>
        </w:rPr>
        <w:t xml:space="preserve">Cowan, C.D., Murphy, L.R., &amp; Wiener, J. (1978). </w:t>
      </w:r>
      <w:proofErr w:type="gramStart"/>
      <w:r w:rsidRPr="00597BDB">
        <w:rPr>
          <w:rFonts w:asciiTheme="minorHAnsi" w:hAnsiTheme="minorHAnsi"/>
          <w:sz w:val="22"/>
          <w:szCs w:val="22"/>
        </w:rPr>
        <w:t>“Effects of supplemental questions on victimization estimates from the National Crime Survey.”</w:t>
      </w:r>
      <w:proofErr w:type="gramEnd"/>
      <w:r w:rsidRPr="00597BDB">
        <w:rPr>
          <w:rFonts w:asciiTheme="minorHAnsi" w:hAnsiTheme="minorHAnsi"/>
          <w:sz w:val="22"/>
          <w:szCs w:val="22"/>
        </w:rPr>
        <w:t xml:space="preserve"> </w:t>
      </w:r>
      <w:r w:rsidRPr="00597BDB">
        <w:rPr>
          <w:rFonts w:asciiTheme="minorHAnsi" w:hAnsiTheme="minorHAnsi"/>
          <w:i/>
          <w:sz w:val="22"/>
          <w:szCs w:val="22"/>
        </w:rPr>
        <w:t>Proceedings of the American Statistical Association</w:t>
      </w:r>
      <w:r w:rsidRPr="00597BDB">
        <w:rPr>
          <w:rFonts w:asciiTheme="minorHAnsi" w:hAnsiTheme="minorHAnsi"/>
          <w:sz w:val="22"/>
          <w:szCs w:val="22"/>
        </w:rPr>
        <w:t>, (pp. 277-282).</w:t>
      </w:r>
    </w:p>
    <w:p w:rsidR="00E67222" w:rsidRPr="00E67222" w:rsidRDefault="00E67222" w:rsidP="00E67222">
      <w:pPr>
        <w:ind w:left="540" w:hanging="540"/>
        <w:rPr>
          <w:rFonts w:asciiTheme="minorHAnsi" w:hAnsiTheme="minorHAnsi" w:cstheme="minorHAnsi"/>
          <w:sz w:val="22"/>
          <w:szCs w:val="22"/>
        </w:rPr>
      </w:pPr>
      <w:proofErr w:type="spellStart"/>
      <w:r w:rsidRPr="00E67222">
        <w:rPr>
          <w:rFonts w:asciiTheme="minorHAnsi" w:hAnsiTheme="minorHAnsi" w:cstheme="minorHAnsi"/>
          <w:sz w:val="22"/>
          <w:szCs w:val="22"/>
        </w:rPr>
        <w:t>Galesic</w:t>
      </w:r>
      <w:proofErr w:type="spellEnd"/>
      <w:r w:rsidRPr="00E67222">
        <w:rPr>
          <w:rFonts w:asciiTheme="minorHAnsi" w:hAnsiTheme="minorHAnsi" w:cstheme="minorHAnsi"/>
          <w:sz w:val="22"/>
          <w:szCs w:val="22"/>
        </w:rPr>
        <w:t>, M.  (2006).  Dropouts on the web:  Effects of interest and burden experienced during an online survey</w:t>
      </w:r>
      <w:proofErr w:type="gramStart"/>
      <w:r w:rsidRPr="00E67222">
        <w:rPr>
          <w:rFonts w:asciiTheme="minorHAnsi" w:hAnsiTheme="minorHAnsi" w:cstheme="minorHAnsi"/>
          <w:sz w:val="22"/>
          <w:szCs w:val="22"/>
        </w:rPr>
        <w:t xml:space="preserve">.  </w:t>
      </w:r>
      <w:proofErr w:type="gramEnd"/>
      <w:r w:rsidRPr="00E67222">
        <w:rPr>
          <w:rFonts w:asciiTheme="minorHAnsi" w:hAnsiTheme="minorHAnsi" w:cstheme="minorHAnsi"/>
          <w:i/>
          <w:sz w:val="22"/>
          <w:szCs w:val="22"/>
        </w:rPr>
        <w:t>Journal of Official Statistics, 22(2)</w:t>
      </w:r>
      <w:r w:rsidRPr="00E67222">
        <w:rPr>
          <w:rFonts w:asciiTheme="minorHAnsi" w:hAnsiTheme="minorHAnsi" w:cstheme="minorHAnsi"/>
          <w:sz w:val="22"/>
          <w:szCs w:val="22"/>
        </w:rPr>
        <w:t>, 313-328.</w:t>
      </w:r>
    </w:p>
    <w:p w:rsidR="00E67222" w:rsidRPr="00E67222" w:rsidRDefault="00E67222" w:rsidP="00E67222">
      <w:pPr>
        <w:ind w:left="540" w:hanging="540"/>
        <w:rPr>
          <w:rFonts w:asciiTheme="minorHAnsi" w:hAnsiTheme="minorHAnsi" w:cstheme="minorHAnsi"/>
          <w:sz w:val="22"/>
          <w:szCs w:val="22"/>
        </w:rPr>
      </w:pPr>
    </w:p>
    <w:p w:rsidR="00E67222" w:rsidRPr="00E67222" w:rsidRDefault="00E67222" w:rsidP="00E67222">
      <w:pPr>
        <w:ind w:left="540" w:hanging="540"/>
        <w:rPr>
          <w:rFonts w:asciiTheme="minorHAnsi" w:hAnsiTheme="minorHAnsi" w:cstheme="minorHAnsi"/>
          <w:sz w:val="22"/>
          <w:szCs w:val="22"/>
        </w:rPr>
      </w:pPr>
      <w:r w:rsidRPr="00E67222">
        <w:rPr>
          <w:rFonts w:asciiTheme="minorHAnsi" w:hAnsiTheme="minorHAnsi" w:cstheme="minorHAnsi"/>
          <w:sz w:val="22"/>
          <w:szCs w:val="22"/>
        </w:rPr>
        <w:t xml:space="preserve">Gibson, C. O., Shapiro, G. M., Murphy, L. R., &amp; </w:t>
      </w:r>
      <w:proofErr w:type="spellStart"/>
      <w:r w:rsidRPr="00E67222">
        <w:rPr>
          <w:rFonts w:asciiTheme="minorHAnsi" w:hAnsiTheme="minorHAnsi" w:cstheme="minorHAnsi"/>
          <w:sz w:val="22"/>
          <w:szCs w:val="22"/>
        </w:rPr>
        <w:t>Stanko</w:t>
      </w:r>
      <w:proofErr w:type="spellEnd"/>
      <w:r w:rsidRPr="00E67222">
        <w:rPr>
          <w:rFonts w:asciiTheme="minorHAnsi" w:hAnsiTheme="minorHAnsi" w:cstheme="minorHAnsi"/>
          <w:sz w:val="22"/>
          <w:szCs w:val="22"/>
        </w:rPr>
        <w:t>, G. J</w:t>
      </w:r>
      <w:proofErr w:type="gramStart"/>
      <w:r w:rsidRPr="00E67222">
        <w:rPr>
          <w:rFonts w:asciiTheme="minorHAnsi" w:hAnsiTheme="minorHAnsi" w:cstheme="minorHAnsi"/>
          <w:sz w:val="22"/>
          <w:szCs w:val="22"/>
        </w:rPr>
        <w:t xml:space="preserve">.  </w:t>
      </w:r>
      <w:proofErr w:type="gramEnd"/>
      <w:r w:rsidRPr="00E67222">
        <w:rPr>
          <w:rFonts w:asciiTheme="minorHAnsi" w:hAnsiTheme="minorHAnsi" w:cstheme="minorHAnsi"/>
          <w:sz w:val="22"/>
          <w:szCs w:val="22"/>
        </w:rPr>
        <w:t>(1978).  Interaction of Survey Questions as it Related to Interviewer-Respondent Bias</w:t>
      </w:r>
      <w:proofErr w:type="gramStart"/>
      <w:r w:rsidRPr="00E67222">
        <w:rPr>
          <w:rFonts w:asciiTheme="minorHAnsi" w:hAnsiTheme="minorHAnsi" w:cstheme="minorHAnsi"/>
          <w:sz w:val="22"/>
          <w:szCs w:val="22"/>
        </w:rPr>
        <w:t xml:space="preserve">.  </w:t>
      </w:r>
      <w:proofErr w:type="gramEnd"/>
      <w:r w:rsidRPr="00597BDB">
        <w:rPr>
          <w:rFonts w:asciiTheme="minorHAnsi" w:hAnsiTheme="minorHAnsi" w:cstheme="minorHAnsi"/>
          <w:i/>
          <w:sz w:val="22"/>
          <w:szCs w:val="22"/>
        </w:rPr>
        <w:t>Proceedings of the American Statistical Association</w:t>
      </w:r>
      <w:r w:rsidR="00597BDB">
        <w:rPr>
          <w:rFonts w:asciiTheme="minorHAnsi" w:hAnsiTheme="minorHAnsi" w:cstheme="minorHAnsi"/>
          <w:i/>
          <w:sz w:val="22"/>
          <w:szCs w:val="22"/>
        </w:rPr>
        <w:t>,</w:t>
      </w:r>
      <w:r w:rsidR="00597BDB" w:rsidRPr="00597BDB">
        <w:rPr>
          <w:rFonts w:asciiTheme="minorHAnsi" w:hAnsiTheme="minorHAnsi" w:cstheme="minorHAnsi"/>
          <w:sz w:val="22"/>
          <w:szCs w:val="22"/>
        </w:rPr>
        <w:t xml:space="preserve"> (pp. 251-256)</w:t>
      </w:r>
      <w:r w:rsidRPr="00E67222">
        <w:rPr>
          <w:rFonts w:asciiTheme="minorHAnsi" w:hAnsiTheme="minorHAnsi" w:cstheme="minorHAnsi"/>
          <w:sz w:val="22"/>
          <w:szCs w:val="22"/>
        </w:rPr>
        <w:t>.</w:t>
      </w:r>
    </w:p>
    <w:p w:rsidR="00E67222" w:rsidRPr="00E67222" w:rsidRDefault="00E67222" w:rsidP="00E67222">
      <w:pPr>
        <w:ind w:left="540" w:hanging="540"/>
        <w:rPr>
          <w:rFonts w:asciiTheme="minorHAnsi" w:hAnsiTheme="minorHAnsi" w:cstheme="minorHAnsi"/>
          <w:sz w:val="22"/>
          <w:szCs w:val="22"/>
        </w:rPr>
      </w:pPr>
    </w:p>
    <w:p w:rsidR="00E67222" w:rsidRPr="00E67222" w:rsidRDefault="00E67222" w:rsidP="00E67222">
      <w:pPr>
        <w:ind w:left="540" w:hanging="540"/>
        <w:rPr>
          <w:rFonts w:asciiTheme="minorHAnsi" w:hAnsiTheme="minorHAnsi" w:cstheme="minorHAnsi"/>
          <w:sz w:val="22"/>
          <w:szCs w:val="22"/>
        </w:rPr>
      </w:pPr>
      <w:r w:rsidRPr="00E67222">
        <w:rPr>
          <w:rFonts w:asciiTheme="minorHAnsi" w:hAnsiTheme="minorHAnsi" w:cstheme="minorHAnsi"/>
          <w:sz w:val="22"/>
          <w:szCs w:val="22"/>
        </w:rPr>
        <w:t>Groves, R.  M., Presser, S., &amp; Dipko, S</w:t>
      </w:r>
      <w:proofErr w:type="gramStart"/>
      <w:r w:rsidRPr="00E67222">
        <w:rPr>
          <w:rFonts w:asciiTheme="minorHAnsi" w:hAnsiTheme="minorHAnsi" w:cstheme="minorHAnsi"/>
          <w:sz w:val="22"/>
          <w:szCs w:val="22"/>
        </w:rPr>
        <w:t xml:space="preserve">.  </w:t>
      </w:r>
      <w:proofErr w:type="gramEnd"/>
      <w:r w:rsidRPr="00E67222">
        <w:rPr>
          <w:rFonts w:asciiTheme="minorHAnsi" w:hAnsiTheme="minorHAnsi" w:cstheme="minorHAnsi"/>
          <w:sz w:val="22"/>
          <w:szCs w:val="22"/>
        </w:rPr>
        <w:t>(2004).  The Role of Topic Interest in Survey Participation Decisions</w:t>
      </w:r>
      <w:proofErr w:type="gramStart"/>
      <w:r w:rsidRPr="00E67222">
        <w:rPr>
          <w:rFonts w:asciiTheme="minorHAnsi" w:hAnsiTheme="minorHAnsi" w:cstheme="minorHAnsi"/>
          <w:sz w:val="22"/>
          <w:szCs w:val="22"/>
        </w:rPr>
        <w:t xml:space="preserve">.  </w:t>
      </w:r>
      <w:proofErr w:type="gramEnd"/>
      <w:r w:rsidRPr="00E67222">
        <w:rPr>
          <w:rFonts w:asciiTheme="minorHAnsi" w:hAnsiTheme="minorHAnsi" w:cstheme="minorHAnsi"/>
          <w:i/>
          <w:sz w:val="22"/>
          <w:szCs w:val="22"/>
        </w:rPr>
        <w:t>Public Opinion Quarterly, 68(1)</w:t>
      </w:r>
      <w:r w:rsidRPr="00E67222">
        <w:rPr>
          <w:rFonts w:asciiTheme="minorHAnsi" w:hAnsiTheme="minorHAnsi" w:cstheme="minorHAnsi"/>
          <w:sz w:val="22"/>
          <w:szCs w:val="22"/>
        </w:rPr>
        <w:t>, 2-31.</w:t>
      </w:r>
    </w:p>
    <w:p w:rsidR="00E67222" w:rsidRPr="00E67222" w:rsidRDefault="00E67222" w:rsidP="00E67222">
      <w:pPr>
        <w:ind w:left="540" w:hanging="540"/>
        <w:rPr>
          <w:rFonts w:asciiTheme="minorHAnsi" w:hAnsiTheme="minorHAnsi" w:cstheme="minorHAnsi"/>
          <w:sz w:val="22"/>
          <w:szCs w:val="22"/>
        </w:rPr>
      </w:pPr>
    </w:p>
    <w:p w:rsidR="00E67222" w:rsidRPr="00E67222" w:rsidRDefault="00E67222" w:rsidP="00E67222">
      <w:pPr>
        <w:ind w:left="540" w:hanging="540"/>
        <w:rPr>
          <w:rFonts w:asciiTheme="minorHAnsi" w:hAnsiTheme="minorHAnsi" w:cstheme="minorHAnsi"/>
          <w:sz w:val="22"/>
          <w:szCs w:val="22"/>
        </w:rPr>
      </w:pPr>
      <w:proofErr w:type="gramStart"/>
      <w:r w:rsidRPr="00E67222">
        <w:rPr>
          <w:rFonts w:asciiTheme="minorHAnsi" w:hAnsiTheme="minorHAnsi" w:cstheme="minorHAnsi"/>
          <w:sz w:val="22"/>
          <w:szCs w:val="22"/>
        </w:rPr>
        <w:t>Groves, R.M., Singer, E., &amp; Corning, A. (2000).</w:t>
      </w:r>
      <w:proofErr w:type="gramEnd"/>
      <w:r w:rsidRPr="00E67222">
        <w:rPr>
          <w:rFonts w:asciiTheme="minorHAnsi" w:hAnsiTheme="minorHAnsi" w:cstheme="minorHAnsi"/>
          <w:sz w:val="22"/>
          <w:szCs w:val="22"/>
        </w:rPr>
        <w:t xml:space="preserve"> “Leverage-salienc</w:t>
      </w:r>
      <w:r w:rsidR="000A0C56">
        <w:rPr>
          <w:rFonts w:asciiTheme="minorHAnsi" w:hAnsiTheme="minorHAnsi" w:cstheme="minorHAnsi"/>
          <w:sz w:val="22"/>
          <w:szCs w:val="22"/>
        </w:rPr>
        <w:t>y</w:t>
      </w:r>
      <w:r w:rsidRPr="00E67222">
        <w:rPr>
          <w:rFonts w:asciiTheme="minorHAnsi" w:hAnsiTheme="minorHAnsi" w:cstheme="minorHAnsi"/>
          <w:sz w:val="22"/>
          <w:szCs w:val="22"/>
        </w:rPr>
        <w:t xml:space="preserve"> Theory of Survey Participation: Description and Illustration.” </w:t>
      </w:r>
      <w:r w:rsidRPr="00E67222">
        <w:rPr>
          <w:rFonts w:asciiTheme="minorHAnsi" w:hAnsiTheme="minorHAnsi" w:cstheme="minorHAnsi"/>
          <w:i/>
          <w:sz w:val="22"/>
          <w:szCs w:val="22"/>
        </w:rPr>
        <w:t>Public Opinion Quarterly, 64</w:t>
      </w:r>
      <w:r w:rsidRPr="00E67222">
        <w:rPr>
          <w:rFonts w:asciiTheme="minorHAnsi" w:hAnsiTheme="minorHAnsi" w:cstheme="minorHAnsi"/>
          <w:sz w:val="22"/>
          <w:szCs w:val="22"/>
        </w:rPr>
        <w:t>, 299–308.</w:t>
      </w:r>
    </w:p>
    <w:p w:rsidR="00E67222" w:rsidRPr="00E67222" w:rsidRDefault="00E67222" w:rsidP="00E67222">
      <w:pPr>
        <w:ind w:left="540" w:hanging="540"/>
        <w:rPr>
          <w:rFonts w:asciiTheme="minorHAnsi" w:hAnsiTheme="minorHAnsi" w:cstheme="minorHAnsi"/>
          <w:sz w:val="22"/>
          <w:szCs w:val="22"/>
        </w:rPr>
      </w:pPr>
    </w:p>
    <w:p w:rsidR="00E67222" w:rsidRPr="00E67222" w:rsidRDefault="00E67222" w:rsidP="00E67222">
      <w:pPr>
        <w:ind w:left="540" w:hanging="540"/>
        <w:rPr>
          <w:rFonts w:asciiTheme="minorHAnsi" w:hAnsiTheme="minorHAnsi" w:cstheme="minorHAnsi"/>
          <w:sz w:val="22"/>
          <w:szCs w:val="22"/>
        </w:rPr>
      </w:pPr>
      <w:r w:rsidRPr="00E67222">
        <w:rPr>
          <w:rFonts w:asciiTheme="minorHAnsi" w:hAnsiTheme="minorHAnsi" w:cstheme="minorHAnsi"/>
          <w:sz w:val="22"/>
          <w:szCs w:val="22"/>
        </w:rPr>
        <w:t>Kalton, G., &amp; Schuman, H</w:t>
      </w:r>
      <w:proofErr w:type="gramStart"/>
      <w:r w:rsidRPr="00E67222">
        <w:rPr>
          <w:rFonts w:asciiTheme="minorHAnsi" w:hAnsiTheme="minorHAnsi" w:cstheme="minorHAnsi"/>
          <w:sz w:val="22"/>
          <w:szCs w:val="22"/>
        </w:rPr>
        <w:t xml:space="preserve">.  </w:t>
      </w:r>
      <w:proofErr w:type="gramEnd"/>
      <w:r w:rsidRPr="00E67222">
        <w:rPr>
          <w:rFonts w:asciiTheme="minorHAnsi" w:hAnsiTheme="minorHAnsi" w:cstheme="minorHAnsi"/>
          <w:sz w:val="22"/>
          <w:szCs w:val="22"/>
        </w:rPr>
        <w:t>(1982).  The Effect of the Question on Survey Responses:  A Review</w:t>
      </w:r>
      <w:proofErr w:type="gramStart"/>
      <w:r w:rsidRPr="00E67222">
        <w:rPr>
          <w:rFonts w:asciiTheme="minorHAnsi" w:hAnsiTheme="minorHAnsi" w:cstheme="minorHAnsi"/>
          <w:i/>
          <w:sz w:val="22"/>
          <w:szCs w:val="22"/>
        </w:rPr>
        <w:t xml:space="preserve">.  </w:t>
      </w:r>
      <w:proofErr w:type="gramEnd"/>
      <w:r w:rsidRPr="00E67222">
        <w:rPr>
          <w:rFonts w:asciiTheme="minorHAnsi" w:hAnsiTheme="minorHAnsi" w:cstheme="minorHAnsi"/>
          <w:i/>
          <w:sz w:val="22"/>
          <w:szCs w:val="22"/>
        </w:rPr>
        <w:t>Journal of the Royal Statistical Society</w:t>
      </w:r>
      <w:proofErr w:type="gramStart"/>
      <w:r w:rsidRPr="00E67222">
        <w:rPr>
          <w:rFonts w:asciiTheme="minorHAnsi" w:hAnsiTheme="minorHAnsi" w:cstheme="minorHAnsi"/>
          <w:i/>
          <w:sz w:val="22"/>
          <w:szCs w:val="22"/>
        </w:rPr>
        <w:t xml:space="preserve">.  </w:t>
      </w:r>
      <w:proofErr w:type="gramEnd"/>
      <w:r w:rsidRPr="00E67222">
        <w:rPr>
          <w:rFonts w:asciiTheme="minorHAnsi" w:hAnsiTheme="minorHAnsi" w:cstheme="minorHAnsi"/>
          <w:i/>
          <w:sz w:val="22"/>
          <w:szCs w:val="22"/>
        </w:rPr>
        <w:t>Series A (General), 145(1</w:t>
      </w:r>
      <w:r w:rsidRPr="00E67222">
        <w:rPr>
          <w:rFonts w:asciiTheme="minorHAnsi" w:hAnsiTheme="minorHAnsi" w:cstheme="minorHAnsi"/>
          <w:sz w:val="22"/>
          <w:szCs w:val="22"/>
        </w:rPr>
        <w:t>), 42-73.</w:t>
      </w:r>
    </w:p>
    <w:p w:rsidR="00E67222" w:rsidRPr="00E67222" w:rsidRDefault="00E67222" w:rsidP="00E67222">
      <w:pPr>
        <w:ind w:left="540" w:hanging="540"/>
        <w:rPr>
          <w:rFonts w:asciiTheme="minorHAnsi" w:hAnsiTheme="minorHAnsi" w:cstheme="minorHAnsi"/>
          <w:sz w:val="22"/>
          <w:szCs w:val="22"/>
        </w:rPr>
      </w:pPr>
    </w:p>
    <w:p w:rsidR="00E67222" w:rsidRPr="00E67222" w:rsidRDefault="00E67222" w:rsidP="00E67222">
      <w:pPr>
        <w:ind w:left="540" w:hanging="540"/>
        <w:rPr>
          <w:rFonts w:asciiTheme="minorHAnsi" w:hAnsiTheme="minorHAnsi" w:cstheme="minorHAnsi"/>
          <w:sz w:val="22"/>
          <w:szCs w:val="22"/>
        </w:rPr>
      </w:pPr>
      <w:r w:rsidRPr="00E67222">
        <w:rPr>
          <w:rFonts w:asciiTheme="minorHAnsi" w:hAnsiTheme="minorHAnsi" w:cstheme="minorHAnsi"/>
          <w:sz w:val="22"/>
          <w:szCs w:val="22"/>
        </w:rPr>
        <w:t>Murphy, L. R.  (1976).  Effect of Attitude Supplement on NCS—Cities Sample Victimization Data</w:t>
      </w:r>
      <w:proofErr w:type="gramStart"/>
      <w:r w:rsidRPr="00E67222">
        <w:rPr>
          <w:rFonts w:asciiTheme="minorHAnsi" w:hAnsiTheme="minorHAnsi" w:cstheme="minorHAnsi"/>
          <w:sz w:val="22"/>
          <w:szCs w:val="22"/>
        </w:rPr>
        <w:t xml:space="preserve">.  </w:t>
      </w:r>
      <w:proofErr w:type="gramEnd"/>
      <w:r w:rsidRPr="00E67222">
        <w:rPr>
          <w:rFonts w:asciiTheme="minorHAnsi" w:hAnsiTheme="minorHAnsi" w:cstheme="minorHAnsi"/>
          <w:sz w:val="22"/>
          <w:szCs w:val="22"/>
        </w:rPr>
        <w:t>Washington, D.C.:  Bureau of the Census.</w:t>
      </w:r>
    </w:p>
    <w:p w:rsidR="00E67222" w:rsidRPr="00C71601" w:rsidRDefault="00E67222">
      <w:pPr>
        <w:rPr>
          <w:rFonts w:asciiTheme="minorHAnsi" w:hAnsiTheme="minorHAnsi" w:cstheme="minorHAnsi"/>
          <w:noProof/>
          <w:sz w:val="22"/>
          <w:szCs w:val="22"/>
        </w:rPr>
      </w:pPr>
      <w:r w:rsidRPr="00E67222">
        <w:rPr>
          <w:rFonts w:asciiTheme="minorHAnsi" w:hAnsiTheme="minorHAnsi" w:cstheme="minorHAnsi"/>
          <w:sz w:val="22"/>
          <w:szCs w:val="22"/>
        </w:rPr>
        <w:t xml:space="preserve">  </w:t>
      </w:r>
    </w:p>
    <w:sectPr w:rsidR="00E67222" w:rsidRPr="00C71601" w:rsidSect="00B07C4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108" w:rsidRDefault="00A02108" w:rsidP="00D1031F">
      <w:r>
        <w:separator/>
      </w:r>
    </w:p>
  </w:endnote>
  <w:endnote w:type="continuationSeparator" w:id="0">
    <w:p w:rsidR="00A02108" w:rsidRDefault="00A02108" w:rsidP="00D10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029882"/>
      <w:docPartObj>
        <w:docPartGallery w:val="Page Numbers (Bottom of Page)"/>
        <w:docPartUnique/>
      </w:docPartObj>
    </w:sdtPr>
    <w:sdtEndPr>
      <w:rPr>
        <w:noProof/>
      </w:rPr>
    </w:sdtEndPr>
    <w:sdtContent>
      <w:p w:rsidR="00A02108" w:rsidRDefault="00B07C4F">
        <w:pPr>
          <w:pStyle w:val="Footer"/>
          <w:jc w:val="center"/>
        </w:pPr>
        <w:r w:rsidRPr="00D1031F">
          <w:rPr>
            <w:rFonts w:ascii="Calibri" w:hAnsi="Calibri"/>
            <w:sz w:val="20"/>
          </w:rPr>
          <w:fldChar w:fldCharType="begin"/>
        </w:r>
        <w:r w:rsidR="00A02108" w:rsidRPr="00D1031F">
          <w:rPr>
            <w:rFonts w:ascii="Calibri" w:hAnsi="Calibri"/>
            <w:sz w:val="20"/>
          </w:rPr>
          <w:instrText xml:space="preserve"> PAGE   \* MERGEFORMAT </w:instrText>
        </w:r>
        <w:r w:rsidRPr="00D1031F">
          <w:rPr>
            <w:rFonts w:ascii="Calibri" w:hAnsi="Calibri"/>
            <w:sz w:val="20"/>
          </w:rPr>
          <w:fldChar w:fldCharType="separate"/>
        </w:r>
        <w:r w:rsidR="00421C00">
          <w:rPr>
            <w:rFonts w:ascii="Calibri" w:hAnsi="Calibri"/>
            <w:noProof/>
            <w:sz w:val="20"/>
          </w:rPr>
          <w:t>1</w:t>
        </w:r>
        <w:r w:rsidRPr="00D1031F">
          <w:rPr>
            <w:rFonts w:ascii="Calibri" w:hAnsi="Calibri"/>
            <w:noProof/>
            <w:sz w:val="20"/>
          </w:rPr>
          <w:fldChar w:fldCharType="end"/>
        </w:r>
      </w:p>
    </w:sdtContent>
  </w:sdt>
  <w:p w:rsidR="00A02108" w:rsidRDefault="00A021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108" w:rsidRDefault="00A02108" w:rsidP="00D1031F">
      <w:r>
        <w:separator/>
      </w:r>
    </w:p>
  </w:footnote>
  <w:footnote w:type="continuationSeparator" w:id="0">
    <w:p w:rsidR="00A02108" w:rsidRDefault="00A02108" w:rsidP="00D10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C5C4E"/>
    <w:multiLevelType w:val="hybridMultilevel"/>
    <w:tmpl w:val="70AABD0E"/>
    <w:lvl w:ilvl="0" w:tplc="7B76CA8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B241DE"/>
    <w:multiLevelType w:val="hybridMultilevel"/>
    <w:tmpl w:val="5F4C4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833634"/>
    <w:multiLevelType w:val="hybridMultilevel"/>
    <w:tmpl w:val="4F94483A"/>
    <w:lvl w:ilvl="0" w:tplc="04090001">
      <w:start w:val="1"/>
      <w:numFmt w:val="bullet"/>
      <w:lvlText w:val=""/>
      <w:lvlJc w:val="left"/>
      <w:pPr>
        <w:ind w:left="753" w:hanging="360"/>
      </w:pPr>
      <w:rPr>
        <w:rFonts w:ascii="Symbol" w:hAnsi="Symbol" w:hint="default"/>
      </w:rPr>
    </w:lvl>
    <w:lvl w:ilvl="1" w:tplc="04090003">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nsid w:val="683F04BD"/>
    <w:multiLevelType w:val="hybridMultilevel"/>
    <w:tmpl w:val="80606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456B07"/>
    <w:rsid w:val="000A0C56"/>
    <w:rsid w:val="000A7ACE"/>
    <w:rsid w:val="001D6E35"/>
    <w:rsid w:val="0021416C"/>
    <w:rsid w:val="00250218"/>
    <w:rsid w:val="002F1BF9"/>
    <w:rsid w:val="0030515E"/>
    <w:rsid w:val="00315603"/>
    <w:rsid w:val="00354E9C"/>
    <w:rsid w:val="00421C00"/>
    <w:rsid w:val="00452860"/>
    <w:rsid w:val="00456B07"/>
    <w:rsid w:val="004B0933"/>
    <w:rsid w:val="004C5C08"/>
    <w:rsid w:val="00597BDB"/>
    <w:rsid w:val="00602CE6"/>
    <w:rsid w:val="0065798F"/>
    <w:rsid w:val="00693843"/>
    <w:rsid w:val="007036ED"/>
    <w:rsid w:val="008D143F"/>
    <w:rsid w:val="0095605F"/>
    <w:rsid w:val="00A02108"/>
    <w:rsid w:val="00A97DCC"/>
    <w:rsid w:val="00AE2EC2"/>
    <w:rsid w:val="00AE30AE"/>
    <w:rsid w:val="00B07C4F"/>
    <w:rsid w:val="00B46BCC"/>
    <w:rsid w:val="00B95F56"/>
    <w:rsid w:val="00BA6BC9"/>
    <w:rsid w:val="00C71601"/>
    <w:rsid w:val="00D1031F"/>
    <w:rsid w:val="00D7637A"/>
    <w:rsid w:val="00E67222"/>
    <w:rsid w:val="00F9072C"/>
    <w:rsid w:val="00FE2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22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97BD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97BDB"/>
    <w:rPr>
      <w:rFonts w:asciiTheme="majorHAnsi" w:eastAsiaTheme="majorEastAsia" w:hAnsiTheme="majorHAnsi" w:cstheme="majorBidi"/>
      <w:b/>
      <w:bCs/>
      <w:color w:val="4F81BD" w:themeColor="accent1"/>
      <w:sz w:val="26"/>
      <w:szCs w:val="26"/>
    </w:rPr>
  </w:style>
  <w:style w:type="paragraph" w:customStyle="1" w:styleId="NORCTableSubheading">
    <w:name w:val="NORC Table Subheading"/>
    <w:basedOn w:val="Normal"/>
    <w:rsid w:val="00597BDB"/>
    <w:pPr>
      <w:spacing w:before="60" w:after="60"/>
      <w:jc w:val="center"/>
    </w:pPr>
    <w:rPr>
      <w:rFonts w:ascii="Arial" w:hAnsi="Arial"/>
      <w:b/>
      <w:sz w:val="18"/>
    </w:rPr>
  </w:style>
  <w:style w:type="paragraph" w:customStyle="1" w:styleId="NORCTableText">
    <w:name w:val="NORC Table Text"/>
    <w:rsid w:val="00597BDB"/>
    <w:pPr>
      <w:spacing w:before="40" w:after="40" w:line="240" w:lineRule="auto"/>
    </w:pPr>
    <w:rPr>
      <w:rFonts w:ascii="Arial" w:eastAsia="Times New Roman" w:hAnsi="Arial" w:cs="Times New Roman"/>
      <w:sz w:val="20"/>
      <w:szCs w:val="24"/>
    </w:rPr>
  </w:style>
  <w:style w:type="paragraph" w:customStyle="1" w:styleId="NORCReportRefernceList">
    <w:name w:val="NORC Report Refernce List"/>
    <w:rsid w:val="00597BDB"/>
    <w:pPr>
      <w:spacing w:after="180" w:line="240" w:lineRule="auto"/>
      <w:ind w:left="547" w:hanging="547"/>
    </w:pPr>
    <w:rPr>
      <w:rFonts w:ascii="Calibri" w:eastAsia="Times New Roman" w:hAnsi="Calibri" w:cs="Times New Roman"/>
      <w:sz w:val="20"/>
      <w:szCs w:val="20"/>
      <w:lang w:bidi="en-US"/>
    </w:rPr>
  </w:style>
  <w:style w:type="paragraph" w:styleId="Header">
    <w:name w:val="header"/>
    <w:basedOn w:val="Normal"/>
    <w:link w:val="HeaderChar"/>
    <w:uiPriority w:val="99"/>
    <w:unhideWhenUsed/>
    <w:rsid w:val="00D1031F"/>
    <w:pPr>
      <w:tabs>
        <w:tab w:val="center" w:pos="4680"/>
        <w:tab w:val="right" w:pos="9360"/>
      </w:tabs>
    </w:pPr>
  </w:style>
  <w:style w:type="character" w:customStyle="1" w:styleId="HeaderChar">
    <w:name w:val="Header Char"/>
    <w:basedOn w:val="DefaultParagraphFont"/>
    <w:link w:val="Header"/>
    <w:uiPriority w:val="99"/>
    <w:rsid w:val="00D103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031F"/>
    <w:pPr>
      <w:tabs>
        <w:tab w:val="center" w:pos="4680"/>
        <w:tab w:val="right" w:pos="9360"/>
      </w:tabs>
    </w:pPr>
  </w:style>
  <w:style w:type="character" w:customStyle="1" w:styleId="FooterChar">
    <w:name w:val="Footer Char"/>
    <w:basedOn w:val="DefaultParagraphFont"/>
    <w:link w:val="Footer"/>
    <w:uiPriority w:val="99"/>
    <w:rsid w:val="00D1031F"/>
    <w:rPr>
      <w:rFonts w:ascii="Times New Roman" w:eastAsia="Times New Roman" w:hAnsi="Times New Roman" w:cs="Times New Roman"/>
      <w:sz w:val="24"/>
      <w:szCs w:val="24"/>
    </w:rPr>
  </w:style>
  <w:style w:type="paragraph" w:styleId="ListParagraph">
    <w:name w:val="List Paragraph"/>
    <w:basedOn w:val="Normal"/>
    <w:uiPriority w:val="34"/>
    <w:qFormat/>
    <w:rsid w:val="0065798F"/>
    <w:pPr>
      <w:ind w:left="720"/>
      <w:contextualSpacing/>
    </w:pPr>
  </w:style>
  <w:style w:type="paragraph" w:styleId="BalloonText">
    <w:name w:val="Balloon Text"/>
    <w:basedOn w:val="Normal"/>
    <w:link w:val="BalloonTextChar"/>
    <w:uiPriority w:val="99"/>
    <w:semiHidden/>
    <w:unhideWhenUsed/>
    <w:rsid w:val="0065798F"/>
    <w:rPr>
      <w:rFonts w:ascii="Tahoma" w:hAnsi="Tahoma" w:cs="Tahoma"/>
      <w:sz w:val="16"/>
      <w:szCs w:val="16"/>
    </w:rPr>
  </w:style>
  <w:style w:type="character" w:customStyle="1" w:styleId="BalloonTextChar">
    <w:name w:val="Balloon Text Char"/>
    <w:basedOn w:val="DefaultParagraphFont"/>
    <w:link w:val="BalloonText"/>
    <w:uiPriority w:val="99"/>
    <w:semiHidden/>
    <w:rsid w:val="006579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22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97BD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97BDB"/>
    <w:rPr>
      <w:rFonts w:asciiTheme="majorHAnsi" w:eastAsiaTheme="majorEastAsia" w:hAnsiTheme="majorHAnsi" w:cstheme="majorBidi"/>
      <w:b/>
      <w:bCs/>
      <w:color w:val="4F81BD" w:themeColor="accent1"/>
      <w:sz w:val="26"/>
      <w:szCs w:val="26"/>
    </w:rPr>
  </w:style>
  <w:style w:type="paragraph" w:customStyle="1" w:styleId="NORCTableSubheading">
    <w:name w:val="NORC Table Subheading"/>
    <w:basedOn w:val="Normal"/>
    <w:rsid w:val="00597BDB"/>
    <w:pPr>
      <w:spacing w:before="60" w:after="60"/>
      <w:jc w:val="center"/>
    </w:pPr>
    <w:rPr>
      <w:rFonts w:ascii="Arial" w:hAnsi="Arial"/>
      <w:b/>
      <w:sz w:val="18"/>
    </w:rPr>
  </w:style>
  <w:style w:type="paragraph" w:customStyle="1" w:styleId="NORCTableText">
    <w:name w:val="NORC Table Text"/>
    <w:rsid w:val="00597BDB"/>
    <w:pPr>
      <w:spacing w:before="40" w:after="40" w:line="240" w:lineRule="auto"/>
    </w:pPr>
    <w:rPr>
      <w:rFonts w:ascii="Arial" w:eastAsia="Times New Roman" w:hAnsi="Arial" w:cs="Times New Roman"/>
      <w:sz w:val="20"/>
      <w:szCs w:val="24"/>
    </w:rPr>
  </w:style>
  <w:style w:type="paragraph" w:customStyle="1" w:styleId="NORCReportRefernceList">
    <w:name w:val="NORC Report Refernce List"/>
    <w:rsid w:val="00597BDB"/>
    <w:pPr>
      <w:spacing w:after="180" w:line="240" w:lineRule="auto"/>
      <w:ind w:left="547" w:hanging="547"/>
    </w:pPr>
    <w:rPr>
      <w:rFonts w:ascii="Calibri" w:eastAsia="Times New Roman" w:hAnsi="Calibri" w:cs="Times New Roman"/>
      <w:sz w:val="20"/>
      <w:szCs w:val="20"/>
      <w:lang w:bidi="en-US"/>
    </w:rPr>
  </w:style>
  <w:style w:type="paragraph" w:styleId="Header">
    <w:name w:val="header"/>
    <w:basedOn w:val="Normal"/>
    <w:link w:val="HeaderChar"/>
    <w:uiPriority w:val="99"/>
    <w:unhideWhenUsed/>
    <w:rsid w:val="00D1031F"/>
    <w:pPr>
      <w:tabs>
        <w:tab w:val="center" w:pos="4680"/>
        <w:tab w:val="right" w:pos="9360"/>
      </w:tabs>
    </w:pPr>
  </w:style>
  <w:style w:type="character" w:customStyle="1" w:styleId="HeaderChar">
    <w:name w:val="Header Char"/>
    <w:basedOn w:val="DefaultParagraphFont"/>
    <w:link w:val="Header"/>
    <w:uiPriority w:val="99"/>
    <w:rsid w:val="00D103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031F"/>
    <w:pPr>
      <w:tabs>
        <w:tab w:val="center" w:pos="4680"/>
        <w:tab w:val="right" w:pos="9360"/>
      </w:tabs>
    </w:pPr>
  </w:style>
  <w:style w:type="character" w:customStyle="1" w:styleId="FooterChar">
    <w:name w:val="Footer Char"/>
    <w:basedOn w:val="DefaultParagraphFont"/>
    <w:link w:val="Footer"/>
    <w:uiPriority w:val="99"/>
    <w:rsid w:val="00D1031F"/>
    <w:rPr>
      <w:rFonts w:ascii="Times New Roman" w:eastAsia="Times New Roman" w:hAnsi="Times New Roman" w:cs="Times New Roman"/>
      <w:sz w:val="24"/>
      <w:szCs w:val="24"/>
    </w:rPr>
  </w:style>
  <w:style w:type="paragraph" w:styleId="ListParagraph">
    <w:name w:val="List Paragraph"/>
    <w:basedOn w:val="Normal"/>
    <w:uiPriority w:val="34"/>
    <w:qFormat/>
    <w:rsid w:val="0065798F"/>
    <w:pPr>
      <w:ind w:left="720"/>
      <w:contextualSpacing/>
    </w:pPr>
  </w:style>
  <w:style w:type="paragraph" w:styleId="BalloonText">
    <w:name w:val="Balloon Text"/>
    <w:basedOn w:val="Normal"/>
    <w:link w:val="BalloonTextChar"/>
    <w:uiPriority w:val="99"/>
    <w:semiHidden/>
    <w:unhideWhenUsed/>
    <w:rsid w:val="0065798F"/>
    <w:rPr>
      <w:rFonts w:ascii="Tahoma" w:hAnsi="Tahoma" w:cs="Tahoma"/>
      <w:sz w:val="16"/>
      <w:szCs w:val="16"/>
    </w:rPr>
  </w:style>
  <w:style w:type="character" w:customStyle="1" w:styleId="BalloonTextChar">
    <w:name w:val="Balloon Text Char"/>
    <w:basedOn w:val="DefaultParagraphFont"/>
    <w:link w:val="BalloonText"/>
    <w:uiPriority w:val="99"/>
    <w:semiHidden/>
    <w:rsid w:val="0065798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AC3D8-3B20-4E6D-8C0D-47F00C54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3058</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NORC at the Univeristy of Chicago</Company>
  <LinksUpToDate>false</LinksUpToDate>
  <CharactersWithSpaces>20449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Lee</dc:creator>
  <cp:keywords/>
  <dc:description/>
  <cp:lastModifiedBy>Feel Good Inc.</cp:lastModifiedBy>
  <cp:revision>19</cp:revision>
  <dcterms:created xsi:type="dcterms:W3CDTF">2011-12-01T03:08:00Z</dcterms:created>
  <dcterms:modified xsi:type="dcterms:W3CDTF">2011-12-07T15:47:00Z</dcterms:modified>
</cp:coreProperties>
</file>