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B4" w:rsidRPr="008E1875" w:rsidRDefault="008E1875" w:rsidP="008E1875">
      <w:pPr>
        <w:pStyle w:val="NormalSS"/>
        <w:jc w:val="center"/>
        <w:rPr>
          <w:b/>
        </w:rPr>
      </w:pPr>
      <w:r w:rsidRPr="008E1875">
        <w:rPr>
          <w:b/>
        </w:rPr>
        <w:t>Response to OMB’s Questions of July 27, 2009</w:t>
      </w:r>
    </w:p>
    <w:p w:rsidR="008E1875" w:rsidRDefault="008E1875" w:rsidP="008E1875">
      <w:pPr>
        <w:pStyle w:val="NormalSS"/>
        <w:jc w:val="center"/>
        <w:rPr>
          <w:b/>
        </w:rPr>
      </w:pPr>
      <w:r w:rsidRPr="008E1875">
        <w:rPr>
          <w:b/>
        </w:rPr>
        <w:t>Evaluation of Secondary Math Teachers from Two Highly Selective Routes to Alternative Certification</w:t>
      </w:r>
    </w:p>
    <w:p w:rsidR="008E1875" w:rsidRDefault="008E1875" w:rsidP="008E1875">
      <w:pPr>
        <w:pStyle w:val="NormalSS"/>
        <w:jc w:val="center"/>
        <w:rPr>
          <w:b/>
        </w:rPr>
      </w:pPr>
    </w:p>
    <w:p w:rsidR="008E1875" w:rsidRDefault="008E1875" w:rsidP="008E1875">
      <w:pPr>
        <w:pStyle w:val="NormalSS"/>
        <w:jc w:val="left"/>
        <w:rPr>
          <w:b/>
        </w:rPr>
      </w:pPr>
    </w:p>
    <w:p w:rsidR="008E1875" w:rsidRDefault="008E1875" w:rsidP="008E1875">
      <w:pPr>
        <w:pStyle w:val="NormalSS"/>
        <w:jc w:val="left"/>
      </w:pPr>
      <w:r>
        <w:t xml:space="preserve">Thank you for your quick response to our memo of July 24, 2009 regarding 200904-1850-004. Below, we present our answers to </w:t>
      </w:r>
      <w:r w:rsidR="00142D47">
        <w:t>your</w:t>
      </w:r>
      <w:r w:rsidR="00B52CE0">
        <w:t xml:space="preserve"> questions of July 27, 2009.</w:t>
      </w:r>
    </w:p>
    <w:p w:rsidR="00B52CE0" w:rsidRDefault="00B52CE0" w:rsidP="008E1875">
      <w:pPr>
        <w:pStyle w:val="NormalSS"/>
        <w:jc w:val="left"/>
      </w:pPr>
    </w:p>
    <w:p w:rsidR="00B52CE0" w:rsidRDefault="00B52CE0" w:rsidP="00B52CE0">
      <w:pPr>
        <w:pStyle w:val="Heading4"/>
      </w:pPr>
      <w:r>
        <w:t>1.</w:t>
      </w:r>
      <w:r>
        <w:tab/>
      </w:r>
      <w:proofErr w:type="gramStart"/>
      <w:r>
        <w:t>To</w:t>
      </w:r>
      <w:proofErr w:type="gramEnd"/>
      <w:r>
        <w:t xml:space="preserve"> be clear, are all students in the study receiving $5 for completing the evaluation? During our conference call, OMB initially raised the concern that 3 incentives (teacher, consent form, evaluation completion) were considered too many.</w:t>
      </w:r>
    </w:p>
    <w:p w:rsidR="00B52CE0" w:rsidRDefault="003929FB" w:rsidP="00081E81">
      <w:pPr>
        <w:pStyle w:val="NormalSS"/>
      </w:pPr>
      <w:r>
        <w:t>Less than one third of all</w:t>
      </w:r>
      <w:r w:rsidR="00B52CE0">
        <w:t xml:space="preserve"> students </w:t>
      </w:r>
      <w:r>
        <w:t>in the study will</w:t>
      </w:r>
      <w:r w:rsidR="00B52CE0">
        <w:t xml:space="preserve"> receiv</w:t>
      </w:r>
      <w:r>
        <w:t>e</w:t>
      </w:r>
      <w:r w:rsidR="00B52CE0">
        <w:t xml:space="preserve"> the three incentives. The class</w:t>
      </w:r>
      <w:r w:rsidR="007C59D4">
        <w:t xml:space="preserve"> incentive (given to the teacher to spend on the class)</w:t>
      </w:r>
      <w:r w:rsidR="00B52CE0">
        <w:t xml:space="preserve"> and </w:t>
      </w:r>
      <w:r w:rsidR="007C59D4">
        <w:t xml:space="preserve">student </w:t>
      </w:r>
      <w:r w:rsidR="00B52CE0">
        <w:t xml:space="preserve">consent form incentives will only be offered in districts </w:t>
      </w:r>
      <w:r w:rsidR="00081E81">
        <w:t>that require</w:t>
      </w:r>
      <w:r w:rsidR="00B52CE0">
        <w:t xml:space="preserve"> active consent. The assessment completion incentive will only be </w:t>
      </w:r>
      <w:r w:rsidR="00637DC5">
        <w:t xml:space="preserve">given to </w:t>
      </w:r>
      <w:r w:rsidR="00B52CE0">
        <w:t xml:space="preserve">students </w:t>
      </w:r>
      <w:r w:rsidR="00637DC5">
        <w:t xml:space="preserve">who participate in the assessment and we are only administering the assessment to </w:t>
      </w:r>
      <w:r w:rsidR="00B52CE0">
        <w:t>high school</w:t>
      </w:r>
      <w:r w:rsidR="00637DC5">
        <w:t xml:space="preserve"> students</w:t>
      </w:r>
      <w:r w:rsidR="00B52CE0">
        <w:t>.</w:t>
      </w:r>
      <w:r w:rsidR="00081E81">
        <w:t xml:space="preserve"> </w:t>
      </w:r>
      <w:r w:rsidR="001070A5">
        <w:t>Table 1</w:t>
      </w:r>
      <w:r w:rsidR="00B52CE0">
        <w:t xml:space="preserve"> shows the expected</w:t>
      </w:r>
      <w:r w:rsidR="00914272">
        <w:t xml:space="preserve"> percentage of students who would</w:t>
      </w:r>
      <w:r w:rsidR="00B52CE0">
        <w:t xml:space="preserve"> be offered </w:t>
      </w:r>
      <w:r w:rsidR="001070A5">
        <w:t xml:space="preserve">each combination of </w:t>
      </w:r>
      <w:r w:rsidR="00B52CE0">
        <w:t>incentives</w:t>
      </w:r>
      <w:r w:rsidR="00914272">
        <w:t xml:space="preserve"> </w:t>
      </w:r>
      <w:r w:rsidR="001070A5">
        <w:t>(</w:t>
      </w:r>
      <w:r w:rsidR="00914272">
        <w:t>in the absence of an experiment</w:t>
      </w:r>
      <w:r w:rsidR="001070A5">
        <w:t>)</w:t>
      </w:r>
      <w:r w:rsidR="00B52CE0">
        <w:t>.</w:t>
      </w:r>
      <w:r w:rsidR="00914272">
        <w:t xml:space="preserve"> </w:t>
      </w:r>
    </w:p>
    <w:p w:rsidR="00914272" w:rsidRDefault="00914272" w:rsidP="00B52CE0"/>
    <w:p w:rsidR="00142D47" w:rsidRPr="00142D47" w:rsidRDefault="00142D47" w:rsidP="00142D47">
      <w:pPr>
        <w:jc w:val="center"/>
        <w:rPr>
          <w:sz w:val="20"/>
          <w:szCs w:val="20"/>
        </w:rPr>
      </w:pPr>
      <w:r w:rsidRPr="00142D47">
        <w:rPr>
          <w:sz w:val="20"/>
          <w:szCs w:val="20"/>
        </w:rPr>
        <w:t xml:space="preserve">Table 1: Percentage of Students </w:t>
      </w:r>
      <w:r w:rsidR="006D0A93">
        <w:rPr>
          <w:sz w:val="20"/>
          <w:szCs w:val="20"/>
        </w:rPr>
        <w:t xml:space="preserve">in Study </w:t>
      </w:r>
      <w:r w:rsidRPr="00142D47">
        <w:rPr>
          <w:sz w:val="20"/>
          <w:szCs w:val="20"/>
        </w:rPr>
        <w:t xml:space="preserve">Who </w:t>
      </w:r>
      <w:r w:rsidR="006D0A93">
        <w:rPr>
          <w:sz w:val="20"/>
          <w:szCs w:val="20"/>
        </w:rPr>
        <w:t xml:space="preserve">Would be Offered </w:t>
      </w:r>
      <w:r w:rsidRPr="00142D47">
        <w:rPr>
          <w:sz w:val="20"/>
          <w:szCs w:val="20"/>
        </w:rPr>
        <w:t>Each Incentive</w:t>
      </w:r>
    </w:p>
    <w:tbl>
      <w:tblPr>
        <w:tblStyle w:val="TableGrid"/>
        <w:tblW w:w="0" w:type="auto"/>
        <w:tblInd w:w="1728" w:type="dxa"/>
        <w:tblLook w:val="04A0"/>
      </w:tblPr>
      <w:tblGrid>
        <w:gridCol w:w="3060"/>
        <w:gridCol w:w="3240"/>
      </w:tblGrid>
      <w:tr w:rsidR="00B52CE0" w:rsidTr="00B32481">
        <w:tc>
          <w:tcPr>
            <w:tcW w:w="3060" w:type="dxa"/>
          </w:tcPr>
          <w:p w:rsidR="00B52CE0" w:rsidRPr="00B32481" w:rsidRDefault="00B52CE0" w:rsidP="00914272">
            <w:pPr>
              <w:pStyle w:val="NormalSS"/>
              <w:ind w:firstLine="0"/>
              <w:jc w:val="left"/>
              <w:rPr>
                <w:sz w:val="20"/>
                <w:szCs w:val="20"/>
              </w:rPr>
            </w:pPr>
            <w:r w:rsidRPr="00B32481">
              <w:rPr>
                <w:sz w:val="20"/>
                <w:szCs w:val="20"/>
              </w:rPr>
              <w:t>Incentives</w:t>
            </w:r>
          </w:p>
        </w:tc>
        <w:tc>
          <w:tcPr>
            <w:tcW w:w="3240" w:type="dxa"/>
          </w:tcPr>
          <w:p w:rsidR="00B52CE0" w:rsidRPr="00B32481" w:rsidRDefault="00B52CE0" w:rsidP="00914272">
            <w:pPr>
              <w:pStyle w:val="NormalSS"/>
              <w:ind w:firstLine="0"/>
              <w:jc w:val="center"/>
              <w:rPr>
                <w:sz w:val="20"/>
                <w:szCs w:val="20"/>
              </w:rPr>
            </w:pPr>
            <w:r w:rsidRPr="00B32481">
              <w:rPr>
                <w:sz w:val="20"/>
                <w:szCs w:val="20"/>
              </w:rPr>
              <w:t>Estimated Percentage of Students</w:t>
            </w:r>
          </w:p>
        </w:tc>
      </w:tr>
      <w:tr w:rsidR="00B52CE0" w:rsidTr="00B32481">
        <w:tc>
          <w:tcPr>
            <w:tcW w:w="3060" w:type="dxa"/>
          </w:tcPr>
          <w:p w:rsidR="006E742F" w:rsidRDefault="00B52CE0">
            <w:pPr>
              <w:pStyle w:val="NormalSS"/>
              <w:ind w:left="144" w:firstLine="0"/>
              <w:jc w:val="left"/>
              <w:rPr>
                <w:sz w:val="20"/>
                <w:szCs w:val="20"/>
              </w:rPr>
            </w:pPr>
            <w:r w:rsidRPr="00B32481">
              <w:rPr>
                <w:sz w:val="20"/>
                <w:szCs w:val="20"/>
              </w:rPr>
              <w:t>Class, consent form, and assessment incentives</w:t>
            </w:r>
            <w:r w:rsidR="00637DC5">
              <w:rPr>
                <w:sz w:val="20"/>
                <w:szCs w:val="20"/>
              </w:rPr>
              <w:t xml:space="preserve"> </w:t>
            </w:r>
          </w:p>
        </w:tc>
        <w:tc>
          <w:tcPr>
            <w:tcW w:w="3240" w:type="dxa"/>
          </w:tcPr>
          <w:p w:rsidR="00B52CE0" w:rsidRPr="00B32481" w:rsidRDefault="00914272" w:rsidP="00914272">
            <w:pPr>
              <w:pStyle w:val="NormalSS"/>
              <w:jc w:val="center"/>
              <w:rPr>
                <w:sz w:val="20"/>
                <w:szCs w:val="20"/>
              </w:rPr>
            </w:pPr>
            <w:r>
              <w:rPr>
                <w:sz w:val="20"/>
                <w:szCs w:val="20"/>
              </w:rPr>
              <w:t>31%</w:t>
            </w:r>
          </w:p>
        </w:tc>
      </w:tr>
      <w:tr w:rsidR="00B52CE0" w:rsidTr="00B32481">
        <w:tc>
          <w:tcPr>
            <w:tcW w:w="3060" w:type="dxa"/>
          </w:tcPr>
          <w:p w:rsidR="006E742F" w:rsidRDefault="00B52CE0" w:rsidP="007C59D4">
            <w:pPr>
              <w:pStyle w:val="NormalSS"/>
              <w:ind w:left="144" w:firstLine="0"/>
              <w:jc w:val="left"/>
              <w:rPr>
                <w:sz w:val="20"/>
                <w:szCs w:val="20"/>
              </w:rPr>
            </w:pPr>
            <w:r w:rsidRPr="00B32481">
              <w:rPr>
                <w:sz w:val="20"/>
                <w:szCs w:val="20"/>
              </w:rPr>
              <w:t>Class and consent form incentives only</w:t>
            </w:r>
            <w:r w:rsidR="007F2DDF">
              <w:rPr>
                <w:sz w:val="20"/>
                <w:szCs w:val="20"/>
              </w:rPr>
              <w:t xml:space="preserve"> </w:t>
            </w:r>
          </w:p>
        </w:tc>
        <w:tc>
          <w:tcPr>
            <w:tcW w:w="3240" w:type="dxa"/>
          </w:tcPr>
          <w:p w:rsidR="00B52CE0" w:rsidRPr="00B32481" w:rsidRDefault="00914272" w:rsidP="00914272">
            <w:pPr>
              <w:pStyle w:val="NormalSS"/>
              <w:jc w:val="center"/>
              <w:rPr>
                <w:sz w:val="20"/>
                <w:szCs w:val="20"/>
              </w:rPr>
            </w:pPr>
            <w:r>
              <w:rPr>
                <w:sz w:val="20"/>
                <w:szCs w:val="20"/>
              </w:rPr>
              <w:t>27%</w:t>
            </w:r>
          </w:p>
        </w:tc>
      </w:tr>
      <w:tr w:rsidR="00B52CE0" w:rsidTr="00B32481">
        <w:tc>
          <w:tcPr>
            <w:tcW w:w="3060" w:type="dxa"/>
          </w:tcPr>
          <w:p w:rsidR="006E742F" w:rsidRDefault="00B52CE0" w:rsidP="007C59D4">
            <w:pPr>
              <w:pStyle w:val="NormalSS"/>
              <w:ind w:left="144" w:firstLine="0"/>
              <w:jc w:val="left"/>
              <w:rPr>
                <w:sz w:val="20"/>
                <w:szCs w:val="20"/>
              </w:rPr>
            </w:pPr>
            <w:r w:rsidRPr="00B32481">
              <w:rPr>
                <w:sz w:val="20"/>
                <w:szCs w:val="20"/>
              </w:rPr>
              <w:t>Assessment incentives only</w:t>
            </w:r>
            <w:r w:rsidR="00DF7725">
              <w:rPr>
                <w:sz w:val="20"/>
                <w:szCs w:val="20"/>
              </w:rPr>
              <w:t xml:space="preserve"> </w:t>
            </w:r>
          </w:p>
        </w:tc>
        <w:tc>
          <w:tcPr>
            <w:tcW w:w="3240" w:type="dxa"/>
          </w:tcPr>
          <w:p w:rsidR="00B52CE0" w:rsidRPr="00B32481" w:rsidRDefault="00914272" w:rsidP="00914272">
            <w:pPr>
              <w:pStyle w:val="NormalSS"/>
              <w:jc w:val="center"/>
              <w:rPr>
                <w:sz w:val="20"/>
                <w:szCs w:val="20"/>
              </w:rPr>
            </w:pPr>
            <w:r>
              <w:rPr>
                <w:sz w:val="20"/>
                <w:szCs w:val="20"/>
              </w:rPr>
              <w:t>20%</w:t>
            </w:r>
          </w:p>
        </w:tc>
      </w:tr>
      <w:tr w:rsidR="00B52CE0" w:rsidTr="00B32481">
        <w:tc>
          <w:tcPr>
            <w:tcW w:w="3060" w:type="dxa"/>
          </w:tcPr>
          <w:p w:rsidR="006E742F" w:rsidRDefault="00B32481">
            <w:pPr>
              <w:pStyle w:val="NormalSS"/>
              <w:ind w:left="144" w:firstLine="0"/>
              <w:jc w:val="left"/>
              <w:rPr>
                <w:sz w:val="20"/>
                <w:szCs w:val="20"/>
              </w:rPr>
            </w:pPr>
            <w:r w:rsidRPr="00B32481">
              <w:rPr>
                <w:sz w:val="20"/>
                <w:szCs w:val="20"/>
              </w:rPr>
              <w:t>No incentive</w:t>
            </w:r>
            <w:r w:rsidR="00637DC5">
              <w:rPr>
                <w:sz w:val="20"/>
                <w:szCs w:val="20"/>
              </w:rPr>
              <w:t xml:space="preserve"> </w:t>
            </w:r>
            <w:r w:rsidR="00DF7725">
              <w:rPr>
                <w:sz w:val="20"/>
                <w:szCs w:val="20"/>
              </w:rPr>
              <w:t xml:space="preserve"> </w:t>
            </w:r>
          </w:p>
        </w:tc>
        <w:tc>
          <w:tcPr>
            <w:tcW w:w="3240" w:type="dxa"/>
          </w:tcPr>
          <w:p w:rsidR="00B52CE0" w:rsidRPr="00B32481" w:rsidRDefault="00914272" w:rsidP="00914272">
            <w:pPr>
              <w:pStyle w:val="NormalSS"/>
              <w:jc w:val="center"/>
              <w:rPr>
                <w:sz w:val="20"/>
                <w:szCs w:val="20"/>
              </w:rPr>
            </w:pPr>
            <w:r>
              <w:rPr>
                <w:sz w:val="20"/>
                <w:szCs w:val="20"/>
              </w:rPr>
              <w:t>21%</w:t>
            </w:r>
          </w:p>
        </w:tc>
      </w:tr>
      <w:tr w:rsidR="00B32481" w:rsidTr="00B32481">
        <w:tc>
          <w:tcPr>
            <w:tcW w:w="3060" w:type="dxa"/>
          </w:tcPr>
          <w:p w:rsidR="00B32481" w:rsidRPr="00B32481" w:rsidRDefault="00B32481" w:rsidP="00914272">
            <w:pPr>
              <w:pStyle w:val="NormalSS"/>
              <w:ind w:firstLine="0"/>
              <w:jc w:val="left"/>
              <w:rPr>
                <w:sz w:val="20"/>
                <w:szCs w:val="20"/>
              </w:rPr>
            </w:pPr>
            <w:r w:rsidRPr="00B32481">
              <w:rPr>
                <w:sz w:val="20"/>
                <w:szCs w:val="20"/>
              </w:rPr>
              <w:t>Total</w:t>
            </w:r>
          </w:p>
        </w:tc>
        <w:tc>
          <w:tcPr>
            <w:tcW w:w="3240" w:type="dxa"/>
          </w:tcPr>
          <w:p w:rsidR="00B32481" w:rsidRPr="00B32481" w:rsidRDefault="00B32481" w:rsidP="00914272">
            <w:pPr>
              <w:pStyle w:val="NormalSS"/>
              <w:jc w:val="center"/>
              <w:rPr>
                <w:sz w:val="20"/>
                <w:szCs w:val="20"/>
              </w:rPr>
            </w:pPr>
            <w:r w:rsidRPr="00B32481">
              <w:rPr>
                <w:sz w:val="20"/>
                <w:szCs w:val="20"/>
              </w:rPr>
              <w:t>100%</w:t>
            </w:r>
          </w:p>
        </w:tc>
      </w:tr>
    </w:tbl>
    <w:p w:rsidR="00B52CE0" w:rsidRDefault="00B52CE0" w:rsidP="00B52CE0"/>
    <w:p w:rsidR="00914272" w:rsidRDefault="00914272" w:rsidP="003929FB">
      <w:pPr>
        <w:pStyle w:val="Heading4"/>
      </w:pPr>
      <w:r w:rsidRPr="003929FB">
        <w:t>2.</w:t>
      </w:r>
      <w:r w:rsidRPr="003929FB">
        <w:tab/>
        <w:t>While OMB appreciates the proposed experiment in Section D of your response, it is unclear to us which of the three groups would be the</w:t>
      </w:r>
      <w:r w:rsidR="003929FB" w:rsidRPr="003929FB">
        <w:t xml:space="preserve"> control group. We recommend using three groups, but having one of those three groups receive no teacher incentive and no consent form incentive. The third group could receive whichever incentive (teacher or consent form) </w:t>
      </w:r>
      <w:proofErr w:type="spellStart"/>
      <w:r w:rsidR="003929FB" w:rsidRPr="003929FB">
        <w:t>IES</w:t>
      </w:r>
      <w:proofErr w:type="spellEnd"/>
      <w:r w:rsidR="003929FB" w:rsidRPr="003929FB">
        <w:t xml:space="preserve"> estimates to be more effective.</w:t>
      </w:r>
    </w:p>
    <w:p w:rsidR="00081E81" w:rsidRDefault="00081E81" w:rsidP="00081E81">
      <w:pPr>
        <w:pStyle w:val="NormalSS"/>
      </w:pPr>
      <w:r>
        <w:t xml:space="preserve">While we would prefer an experiment in which all three groups receive some incentive, we are willing to do an experiment in which there is a control group in which the students receive neither a class </w:t>
      </w:r>
      <w:r w:rsidR="00142D47">
        <w:t>n</w:t>
      </w:r>
      <w:r>
        <w:t xml:space="preserve">or </w:t>
      </w:r>
      <w:r w:rsidR="00142D47">
        <w:t xml:space="preserve">a </w:t>
      </w:r>
      <w:r>
        <w:t>consent form incentive. This experiment would randomly assign schools to one of three groups:</w:t>
      </w:r>
    </w:p>
    <w:p w:rsidR="00081E81" w:rsidRDefault="00081E81" w:rsidP="00081E81">
      <w:pPr>
        <w:pStyle w:val="NormalSS"/>
      </w:pPr>
    </w:p>
    <w:p w:rsidR="00081E81" w:rsidRDefault="00081E81" w:rsidP="00081E81">
      <w:pPr>
        <w:pStyle w:val="NumberedBullet"/>
      </w:pPr>
      <w:r>
        <w:t>Treatment 1: Class receives a $25</w:t>
      </w:r>
      <w:r w:rsidR="00A263DF">
        <w:t xml:space="preserve"> incentive</w:t>
      </w:r>
      <w:r>
        <w:t xml:space="preserve"> if 95 percent or more of the </w:t>
      </w:r>
      <w:r w:rsidR="00A263DF">
        <w:t xml:space="preserve">consent </w:t>
      </w:r>
      <w:r>
        <w:t xml:space="preserve">forms are returned and individual students are offered $5 if they return the </w:t>
      </w:r>
      <w:r w:rsidR="00A263DF">
        <w:t xml:space="preserve">consent </w:t>
      </w:r>
      <w:r>
        <w:t>form.</w:t>
      </w:r>
    </w:p>
    <w:p w:rsidR="00081E81" w:rsidRDefault="00081E81" w:rsidP="00081E81">
      <w:pPr>
        <w:pStyle w:val="NumberedBullet"/>
      </w:pPr>
      <w:r>
        <w:t xml:space="preserve">Treatment 2: There is no class incentive; individual students are offered $5 if they return the </w:t>
      </w:r>
      <w:r w:rsidR="007C59D4">
        <w:t xml:space="preserve">consent </w:t>
      </w:r>
      <w:r>
        <w:t>form.</w:t>
      </w:r>
    </w:p>
    <w:p w:rsidR="00081E81" w:rsidRDefault="00081E81" w:rsidP="00081E81">
      <w:pPr>
        <w:pStyle w:val="NumberedBullet"/>
      </w:pPr>
      <w:r>
        <w:lastRenderedPageBreak/>
        <w:t xml:space="preserve">Control: There is neither a class incentive nor a </w:t>
      </w:r>
      <w:r w:rsidR="007C59D4">
        <w:t xml:space="preserve">student </w:t>
      </w:r>
      <w:r>
        <w:t>financial incentive for returning the form.</w:t>
      </w:r>
    </w:p>
    <w:p w:rsidR="006F038A" w:rsidRDefault="006F038A" w:rsidP="006F038A">
      <w:pPr>
        <w:pStyle w:val="NumberedBullet"/>
        <w:numPr>
          <w:ilvl w:val="0"/>
          <w:numId w:val="0"/>
        </w:numPr>
        <w:ind w:left="720" w:hanging="288"/>
      </w:pPr>
    </w:p>
    <w:p w:rsidR="006F038A" w:rsidRDefault="006F038A" w:rsidP="006F038A">
      <w:pPr>
        <w:pStyle w:val="Heading4"/>
      </w:pPr>
      <w:r>
        <w:t>3.</w:t>
      </w:r>
      <w:r>
        <w:tab/>
        <w:t xml:space="preserve">If </w:t>
      </w:r>
      <w:proofErr w:type="spellStart"/>
      <w:r>
        <w:t>IES</w:t>
      </w:r>
      <w:proofErr w:type="spellEnd"/>
      <w:r>
        <w:t xml:space="preserve"> proposes to pursue the experiment we suggest above, we also request an estimate of power for that experiment.</w:t>
      </w:r>
    </w:p>
    <w:p w:rsidR="003929FB" w:rsidRDefault="00325549" w:rsidP="001070A5">
      <w:pPr>
        <w:pStyle w:val="NormalSS"/>
      </w:pPr>
      <w:r>
        <w:t>Table 2 present</w:t>
      </w:r>
      <w:r w:rsidR="00351D6B">
        <w:t>s</w:t>
      </w:r>
      <w:r>
        <w:t xml:space="preserve"> the minimum detectable difference</w:t>
      </w:r>
      <w:r w:rsidR="00C1780E">
        <w:t xml:space="preserve"> (</w:t>
      </w:r>
      <w:proofErr w:type="spellStart"/>
      <w:r w:rsidR="00C1780E">
        <w:t>MDD</w:t>
      </w:r>
      <w:proofErr w:type="spellEnd"/>
      <w:r w:rsidR="00C1780E">
        <w:t>) in the rate at which consent forms are returned</w:t>
      </w:r>
      <w:r>
        <w:t xml:space="preserve"> for the incentive experiment described above. If we assume an intra-class correlation </w:t>
      </w:r>
      <w:r w:rsidR="001070A5">
        <w:t xml:space="preserve">(ICC) </w:t>
      </w:r>
      <w:r>
        <w:t xml:space="preserve">of 0.10, the </w:t>
      </w:r>
      <w:proofErr w:type="spellStart"/>
      <w:r>
        <w:t>MDD</w:t>
      </w:r>
      <w:proofErr w:type="spellEnd"/>
      <w:r>
        <w:t xml:space="preserve"> is 14</w:t>
      </w:r>
      <w:r w:rsidR="00C1780E">
        <w:t xml:space="preserve"> percentage points</w:t>
      </w:r>
      <w:r>
        <w:t>.</w:t>
      </w:r>
      <w:r w:rsidR="00C1780E">
        <w:t xml:space="preserve"> Based on the evidence that we assembled in our memo of July 24, 2009 (see Table 1 in that memo), we expect that the difference in the consent form response rate between Treatment 1 and Control is likely to be </w:t>
      </w:r>
      <w:r w:rsidR="00781D1D">
        <w:t>about 40</w:t>
      </w:r>
      <w:r w:rsidR="00C1780E">
        <w:t xml:space="preserve"> percentage points (see Thompson 1984). The difference</w:t>
      </w:r>
      <w:r w:rsidR="00351D6B">
        <w:t>s</w:t>
      </w:r>
      <w:r w:rsidR="00C1780E">
        <w:t xml:space="preserve"> </w:t>
      </w:r>
      <w:r w:rsidR="00351D6B">
        <w:t xml:space="preserve">in the form return rate </w:t>
      </w:r>
      <w:r w:rsidR="00C1780E">
        <w:t xml:space="preserve">between Treatment 2 and Control and </w:t>
      </w:r>
      <w:r w:rsidR="00351D6B">
        <w:t>between Treatment 1 and Treatment 2 are</w:t>
      </w:r>
      <w:r w:rsidR="00C1780E">
        <w:t xml:space="preserve"> likely to be smaller but still </w:t>
      </w:r>
      <w:r w:rsidR="00781D1D">
        <w:t xml:space="preserve">much </w:t>
      </w:r>
      <w:r w:rsidR="00C1780E">
        <w:t>larger than 14 percentage points.</w:t>
      </w:r>
    </w:p>
    <w:p w:rsidR="00325549" w:rsidRDefault="00325549" w:rsidP="001070A5">
      <w:pPr>
        <w:pStyle w:val="NormalSS"/>
      </w:pPr>
    </w:p>
    <w:p w:rsidR="001070A5" w:rsidRPr="001070A5" w:rsidRDefault="001070A5" w:rsidP="001070A5">
      <w:pPr>
        <w:pStyle w:val="NormalSS"/>
      </w:pPr>
    </w:p>
    <w:p w:rsidR="00325549" w:rsidRPr="001070A5" w:rsidRDefault="001070A5" w:rsidP="001070A5">
      <w:pPr>
        <w:pStyle w:val="NormalSS"/>
        <w:ind w:firstLine="0"/>
        <w:rPr>
          <w:b/>
        </w:rPr>
      </w:pPr>
      <w:proofErr w:type="gramStart"/>
      <w:r w:rsidRPr="001070A5">
        <w:rPr>
          <w:b/>
        </w:rPr>
        <w:t>Table 2.</w:t>
      </w:r>
      <w:proofErr w:type="gramEnd"/>
      <w:r w:rsidRPr="001070A5">
        <w:rPr>
          <w:b/>
        </w:rPr>
        <w:t xml:space="preserve"> The Minimum Detectable Differences in the Rates at Which Consent Forms are Returned for the Incentive Experiment</w:t>
      </w:r>
    </w:p>
    <w:tbl>
      <w:tblPr>
        <w:tblW w:w="9200" w:type="dxa"/>
        <w:tblInd w:w="91" w:type="dxa"/>
        <w:tblLook w:val="04A0"/>
      </w:tblPr>
      <w:tblGrid>
        <w:gridCol w:w="1700"/>
        <w:gridCol w:w="1500"/>
        <w:gridCol w:w="1500"/>
        <w:gridCol w:w="1500"/>
        <w:gridCol w:w="1500"/>
        <w:gridCol w:w="1500"/>
      </w:tblGrid>
      <w:tr w:rsidR="00325549" w:rsidRPr="0096480F" w:rsidTr="00325549">
        <w:trPr>
          <w:trHeight w:val="1500"/>
        </w:trPr>
        <w:tc>
          <w:tcPr>
            <w:tcW w:w="1700" w:type="dxa"/>
            <w:tcBorders>
              <w:top w:val="single" w:sz="4" w:space="0" w:color="auto"/>
              <w:left w:val="nil"/>
              <w:bottom w:val="single" w:sz="4" w:space="0" w:color="auto"/>
              <w:right w:val="nil"/>
            </w:tcBorders>
            <w:shd w:val="clear" w:color="auto" w:fill="auto"/>
            <w:noWrap/>
            <w:vAlign w:val="bottom"/>
            <w:hideMark/>
          </w:tcPr>
          <w:p w:rsidR="00325549" w:rsidRPr="0096480F" w:rsidRDefault="00D759E9" w:rsidP="00325549">
            <w:pPr>
              <w:tabs>
                <w:tab w:val="clear" w:pos="432"/>
              </w:tabs>
              <w:spacing w:line="240" w:lineRule="auto"/>
              <w:ind w:firstLine="0"/>
              <w:jc w:val="left"/>
              <w:rPr>
                <w:color w:val="000000"/>
                <w:sz w:val="20"/>
                <w:szCs w:val="20"/>
              </w:rPr>
            </w:pPr>
            <w:r w:rsidRPr="00D759E9">
              <w:rPr>
                <w:color w:val="000000"/>
                <w:sz w:val="20"/>
                <w:szCs w:val="20"/>
              </w:rPr>
              <w:t>Districts</w:t>
            </w:r>
          </w:p>
        </w:tc>
        <w:tc>
          <w:tcPr>
            <w:tcW w:w="1500" w:type="dxa"/>
            <w:tcBorders>
              <w:top w:val="single" w:sz="4" w:space="0" w:color="auto"/>
              <w:left w:val="nil"/>
              <w:bottom w:val="single" w:sz="4" w:space="0" w:color="auto"/>
              <w:right w:val="nil"/>
            </w:tcBorders>
            <w:shd w:val="clear" w:color="auto" w:fill="auto"/>
            <w:vAlign w:val="bottom"/>
            <w:hideMark/>
          </w:tcPr>
          <w:p w:rsidR="00325549" w:rsidRPr="0096480F" w:rsidRDefault="00D759E9" w:rsidP="00325549">
            <w:pPr>
              <w:tabs>
                <w:tab w:val="clear" w:pos="432"/>
              </w:tabs>
              <w:spacing w:line="240" w:lineRule="auto"/>
              <w:ind w:firstLine="0"/>
              <w:jc w:val="center"/>
              <w:rPr>
                <w:color w:val="000000"/>
                <w:sz w:val="20"/>
                <w:szCs w:val="20"/>
              </w:rPr>
            </w:pPr>
            <w:r w:rsidRPr="00D759E9">
              <w:rPr>
                <w:color w:val="000000"/>
                <w:sz w:val="20"/>
                <w:szCs w:val="20"/>
              </w:rPr>
              <w:t>Number of Schools</w:t>
            </w:r>
          </w:p>
        </w:tc>
        <w:tc>
          <w:tcPr>
            <w:tcW w:w="1500" w:type="dxa"/>
            <w:tcBorders>
              <w:top w:val="single" w:sz="4" w:space="0" w:color="auto"/>
              <w:left w:val="nil"/>
              <w:bottom w:val="single" w:sz="4" w:space="0" w:color="auto"/>
              <w:right w:val="nil"/>
            </w:tcBorders>
            <w:shd w:val="clear" w:color="auto" w:fill="auto"/>
            <w:vAlign w:val="bottom"/>
            <w:hideMark/>
          </w:tcPr>
          <w:p w:rsidR="00325549" w:rsidRPr="0096480F" w:rsidRDefault="00D759E9" w:rsidP="00325549">
            <w:pPr>
              <w:tabs>
                <w:tab w:val="clear" w:pos="432"/>
              </w:tabs>
              <w:spacing w:line="240" w:lineRule="auto"/>
              <w:ind w:firstLine="0"/>
              <w:jc w:val="center"/>
              <w:rPr>
                <w:color w:val="000000"/>
                <w:sz w:val="20"/>
                <w:szCs w:val="20"/>
              </w:rPr>
            </w:pPr>
            <w:r w:rsidRPr="00D759E9">
              <w:rPr>
                <w:color w:val="000000"/>
                <w:sz w:val="20"/>
                <w:szCs w:val="20"/>
              </w:rPr>
              <w:t>Number of Students per School</w:t>
            </w:r>
          </w:p>
        </w:tc>
        <w:tc>
          <w:tcPr>
            <w:tcW w:w="1500" w:type="dxa"/>
            <w:tcBorders>
              <w:top w:val="single" w:sz="4" w:space="0" w:color="auto"/>
              <w:left w:val="nil"/>
              <w:bottom w:val="single" w:sz="4" w:space="0" w:color="auto"/>
              <w:right w:val="nil"/>
            </w:tcBorders>
            <w:shd w:val="clear" w:color="auto" w:fill="auto"/>
            <w:vAlign w:val="bottom"/>
            <w:hideMark/>
          </w:tcPr>
          <w:p w:rsidR="00325549" w:rsidRPr="0096480F" w:rsidRDefault="00D759E9" w:rsidP="00325549">
            <w:pPr>
              <w:tabs>
                <w:tab w:val="clear" w:pos="432"/>
              </w:tabs>
              <w:spacing w:line="240" w:lineRule="auto"/>
              <w:ind w:firstLine="0"/>
              <w:jc w:val="center"/>
              <w:rPr>
                <w:color w:val="000000"/>
                <w:sz w:val="20"/>
                <w:szCs w:val="20"/>
              </w:rPr>
            </w:pPr>
            <w:r w:rsidRPr="00D759E9">
              <w:rPr>
                <w:color w:val="000000"/>
                <w:sz w:val="20"/>
                <w:szCs w:val="20"/>
              </w:rPr>
              <w:t>ICC</w:t>
            </w:r>
          </w:p>
        </w:tc>
        <w:tc>
          <w:tcPr>
            <w:tcW w:w="1500" w:type="dxa"/>
            <w:tcBorders>
              <w:top w:val="single" w:sz="4" w:space="0" w:color="auto"/>
              <w:left w:val="nil"/>
              <w:bottom w:val="single" w:sz="4" w:space="0" w:color="auto"/>
              <w:right w:val="nil"/>
            </w:tcBorders>
            <w:shd w:val="clear" w:color="auto" w:fill="auto"/>
            <w:vAlign w:val="bottom"/>
            <w:hideMark/>
          </w:tcPr>
          <w:p w:rsidR="00325549" w:rsidRPr="0096480F" w:rsidRDefault="00D759E9" w:rsidP="00351D6B">
            <w:pPr>
              <w:tabs>
                <w:tab w:val="clear" w:pos="432"/>
              </w:tabs>
              <w:spacing w:line="240" w:lineRule="auto"/>
              <w:ind w:firstLine="0"/>
              <w:jc w:val="center"/>
              <w:rPr>
                <w:color w:val="000000"/>
                <w:sz w:val="20"/>
                <w:szCs w:val="20"/>
              </w:rPr>
            </w:pPr>
            <w:r w:rsidRPr="00D759E9">
              <w:rPr>
                <w:color w:val="000000"/>
                <w:sz w:val="20"/>
                <w:szCs w:val="20"/>
              </w:rPr>
              <w:t>Expected Re</w:t>
            </w:r>
            <w:r w:rsidR="00351D6B">
              <w:rPr>
                <w:color w:val="000000"/>
                <w:sz w:val="20"/>
                <w:szCs w:val="20"/>
              </w:rPr>
              <w:t>turn</w:t>
            </w:r>
            <w:r w:rsidRPr="00D759E9">
              <w:rPr>
                <w:color w:val="000000"/>
                <w:sz w:val="20"/>
                <w:szCs w:val="20"/>
              </w:rPr>
              <w:t xml:space="preserve"> Rate with No Incentive</w:t>
            </w:r>
          </w:p>
        </w:tc>
        <w:tc>
          <w:tcPr>
            <w:tcW w:w="1500" w:type="dxa"/>
            <w:tcBorders>
              <w:top w:val="single" w:sz="4" w:space="0" w:color="auto"/>
              <w:left w:val="nil"/>
              <w:bottom w:val="single" w:sz="4" w:space="0" w:color="auto"/>
              <w:right w:val="nil"/>
            </w:tcBorders>
            <w:shd w:val="clear" w:color="auto" w:fill="auto"/>
            <w:vAlign w:val="bottom"/>
            <w:hideMark/>
          </w:tcPr>
          <w:p w:rsidR="00325549" w:rsidRPr="0096480F" w:rsidRDefault="00D759E9" w:rsidP="00325549">
            <w:pPr>
              <w:tabs>
                <w:tab w:val="clear" w:pos="432"/>
              </w:tabs>
              <w:spacing w:line="240" w:lineRule="auto"/>
              <w:ind w:firstLine="0"/>
              <w:jc w:val="center"/>
              <w:rPr>
                <w:color w:val="000000"/>
                <w:sz w:val="20"/>
                <w:szCs w:val="20"/>
              </w:rPr>
            </w:pPr>
            <w:proofErr w:type="spellStart"/>
            <w:r w:rsidRPr="00D759E9">
              <w:rPr>
                <w:color w:val="000000"/>
                <w:sz w:val="20"/>
                <w:szCs w:val="20"/>
              </w:rPr>
              <w:t>MDD</w:t>
            </w:r>
            <w:proofErr w:type="spellEnd"/>
          </w:p>
        </w:tc>
      </w:tr>
      <w:tr w:rsidR="00325549" w:rsidRPr="0096480F" w:rsidTr="00325549">
        <w:trPr>
          <w:trHeight w:val="300"/>
        </w:trPr>
        <w:tc>
          <w:tcPr>
            <w:tcW w:w="1700" w:type="dxa"/>
            <w:tcBorders>
              <w:top w:val="nil"/>
              <w:left w:val="nil"/>
              <w:bottom w:val="nil"/>
              <w:right w:val="nil"/>
            </w:tcBorders>
            <w:shd w:val="clear" w:color="auto" w:fill="auto"/>
            <w:noWrap/>
            <w:vAlign w:val="bottom"/>
            <w:hideMark/>
          </w:tcPr>
          <w:p w:rsidR="00325549" w:rsidRPr="0096480F" w:rsidRDefault="00D759E9" w:rsidP="00325549">
            <w:pPr>
              <w:tabs>
                <w:tab w:val="clear" w:pos="432"/>
              </w:tabs>
              <w:spacing w:line="240" w:lineRule="auto"/>
              <w:ind w:firstLine="0"/>
              <w:jc w:val="left"/>
              <w:rPr>
                <w:color w:val="000000"/>
                <w:sz w:val="20"/>
                <w:szCs w:val="20"/>
              </w:rPr>
            </w:pPr>
            <w:r w:rsidRPr="00D759E9">
              <w:rPr>
                <w:color w:val="000000"/>
                <w:sz w:val="20"/>
                <w:szCs w:val="20"/>
              </w:rPr>
              <w:t>All active consent</w:t>
            </w:r>
          </w:p>
        </w:tc>
        <w:tc>
          <w:tcPr>
            <w:tcW w:w="1500" w:type="dxa"/>
            <w:tcBorders>
              <w:top w:val="nil"/>
              <w:left w:val="nil"/>
              <w:bottom w:val="nil"/>
              <w:right w:val="nil"/>
            </w:tcBorders>
            <w:shd w:val="clear" w:color="auto" w:fill="auto"/>
            <w:noWrap/>
            <w:vAlign w:val="bottom"/>
            <w:hideMark/>
          </w:tcPr>
          <w:p w:rsidR="00325549" w:rsidRPr="0096480F" w:rsidRDefault="00D759E9" w:rsidP="00325549">
            <w:pPr>
              <w:tabs>
                <w:tab w:val="clear" w:pos="432"/>
              </w:tabs>
              <w:spacing w:line="240" w:lineRule="auto"/>
              <w:ind w:firstLine="0"/>
              <w:jc w:val="center"/>
              <w:rPr>
                <w:color w:val="000000"/>
                <w:sz w:val="20"/>
                <w:szCs w:val="20"/>
              </w:rPr>
            </w:pPr>
            <w:r w:rsidRPr="00D759E9">
              <w:rPr>
                <w:color w:val="000000"/>
                <w:sz w:val="20"/>
                <w:szCs w:val="20"/>
              </w:rPr>
              <w:t>65</w:t>
            </w:r>
          </w:p>
        </w:tc>
        <w:tc>
          <w:tcPr>
            <w:tcW w:w="1500" w:type="dxa"/>
            <w:tcBorders>
              <w:top w:val="nil"/>
              <w:left w:val="nil"/>
              <w:bottom w:val="nil"/>
              <w:right w:val="nil"/>
            </w:tcBorders>
            <w:shd w:val="clear" w:color="auto" w:fill="auto"/>
            <w:noWrap/>
            <w:vAlign w:val="bottom"/>
            <w:hideMark/>
          </w:tcPr>
          <w:p w:rsidR="00325549" w:rsidRPr="0096480F" w:rsidRDefault="00D759E9" w:rsidP="00325549">
            <w:pPr>
              <w:tabs>
                <w:tab w:val="clear" w:pos="432"/>
              </w:tabs>
              <w:spacing w:line="240" w:lineRule="auto"/>
              <w:ind w:firstLine="0"/>
              <w:jc w:val="center"/>
              <w:rPr>
                <w:color w:val="000000"/>
                <w:sz w:val="20"/>
                <w:szCs w:val="20"/>
              </w:rPr>
            </w:pPr>
            <w:r w:rsidRPr="00D759E9">
              <w:rPr>
                <w:color w:val="000000"/>
                <w:sz w:val="20"/>
                <w:szCs w:val="20"/>
              </w:rPr>
              <w:t>160</w:t>
            </w:r>
          </w:p>
        </w:tc>
        <w:tc>
          <w:tcPr>
            <w:tcW w:w="1500" w:type="dxa"/>
            <w:tcBorders>
              <w:top w:val="nil"/>
              <w:left w:val="nil"/>
              <w:bottom w:val="nil"/>
              <w:right w:val="nil"/>
            </w:tcBorders>
            <w:shd w:val="clear" w:color="auto" w:fill="auto"/>
            <w:noWrap/>
            <w:vAlign w:val="bottom"/>
            <w:hideMark/>
          </w:tcPr>
          <w:p w:rsidR="00325549" w:rsidRPr="0096480F" w:rsidRDefault="00D759E9" w:rsidP="00325549">
            <w:pPr>
              <w:tabs>
                <w:tab w:val="clear" w:pos="432"/>
              </w:tabs>
              <w:spacing w:line="240" w:lineRule="auto"/>
              <w:ind w:firstLine="0"/>
              <w:jc w:val="center"/>
              <w:rPr>
                <w:color w:val="000000"/>
                <w:sz w:val="20"/>
                <w:szCs w:val="20"/>
              </w:rPr>
            </w:pPr>
            <w:r w:rsidRPr="00D759E9">
              <w:rPr>
                <w:color w:val="000000"/>
                <w:sz w:val="20"/>
                <w:szCs w:val="20"/>
              </w:rPr>
              <w:t>0.10</w:t>
            </w:r>
          </w:p>
        </w:tc>
        <w:tc>
          <w:tcPr>
            <w:tcW w:w="1500" w:type="dxa"/>
            <w:tcBorders>
              <w:top w:val="nil"/>
              <w:left w:val="nil"/>
              <w:bottom w:val="nil"/>
              <w:right w:val="nil"/>
            </w:tcBorders>
            <w:shd w:val="clear" w:color="auto" w:fill="auto"/>
            <w:noWrap/>
            <w:vAlign w:val="bottom"/>
            <w:hideMark/>
          </w:tcPr>
          <w:p w:rsidR="00325549" w:rsidRPr="0096480F" w:rsidRDefault="00D759E9" w:rsidP="00325549">
            <w:pPr>
              <w:tabs>
                <w:tab w:val="clear" w:pos="432"/>
              </w:tabs>
              <w:spacing w:line="240" w:lineRule="auto"/>
              <w:ind w:firstLine="0"/>
              <w:jc w:val="center"/>
              <w:rPr>
                <w:color w:val="000000"/>
                <w:sz w:val="20"/>
                <w:szCs w:val="20"/>
              </w:rPr>
            </w:pPr>
            <w:r w:rsidRPr="00D759E9">
              <w:rPr>
                <w:color w:val="000000"/>
                <w:sz w:val="20"/>
                <w:szCs w:val="20"/>
              </w:rPr>
              <w:t>0.42</w:t>
            </w:r>
          </w:p>
        </w:tc>
        <w:tc>
          <w:tcPr>
            <w:tcW w:w="1500" w:type="dxa"/>
            <w:tcBorders>
              <w:top w:val="nil"/>
              <w:left w:val="nil"/>
              <w:bottom w:val="nil"/>
              <w:right w:val="nil"/>
            </w:tcBorders>
            <w:shd w:val="clear" w:color="auto" w:fill="auto"/>
            <w:noWrap/>
            <w:vAlign w:val="bottom"/>
            <w:hideMark/>
          </w:tcPr>
          <w:p w:rsidR="00325549" w:rsidRPr="0096480F" w:rsidRDefault="00D759E9" w:rsidP="00325549">
            <w:pPr>
              <w:tabs>
                <w:tab w:val="clear" w:pos="432"/>
              </w:tabs>
              <w:spacing w:line="240" w:lineRule="auto"/>
              <w:ind w:firstLine="0"/>
              <w:jc w:val="center"/>
              <w:rPr>
                <w:color w:val="000000"/>
                <w:sz w:val="20"/>
                <w:szCs w:val="20"/>
              </w:rPr>
            </w:pPr>
            <w:r w:rsidRPr="00D759E9">
              <w:rPr>
                <w:color w:val="000000"/>
                <w:sz w:val="20"/>
                <w:szCs w:val="20"/>
              </w:rPr>
              <w:t>0.14</w:t>
            </w:r>
          </w:p>
        </w:tc>
      </w:tr>
      <w:tr w:rsidR="00325549" w:rsidRPr="0096480F" w:rsidTr="00325549">
        <w:trPr>
          <w:trHeight w:val="300"/>
        </w:trPr>
        <w:tc>
          <w:tcPr>
            <w:tcW w:w="1700" w:type="dxa"/>
            <w:tcBorders>
              <w:top w:val="nil"/>
              <w:left w:val="nil"/>
              <w:bottom w:val="single" w:sz="4" w:space="0" w:color="auto"/>
              <w:right w:val="nil"/>
            </w:tcBorders>
            <w:shd w:val="clear" w:color="auto" w:fill="auto"/>
            <w:noWrap/>
            <w:vAlign w:val="bottom"/>
            <w:hideMark/>
          </w:tcPr>
          <w:p w:rsidR="00325549" w:rsidRPr="0096480F" w:rsidRDefault="00D759E9" w:rsidP="00325549">
            <w:pPr>
              <w:tabs>
                <w:tab w:val="clear" w:pos="432"/>
              </w:tabs>
              <w:spacing w:line="240" w:lineRule="auto"/>
              <w:ind w:firstLine="0"/>
              <w:jc w:val="left"/>
              <w:rPr>
                <w:color w:val="000000"/>
                <w:sz w:val="20"/>
                <w:szCs w:val="20"/>
              </w:rPr>
            </w:pPr>
            <w:r w:rsidRPr="00D759E9">
              <w:rPr>
                <w:color w:val="000000"/>
                <w:sz w:val="20"/>
                <w:szCs w:val="20"/>
              </w:rPr>
              <w:t> </w:t>
            </w:r>
          </w:p>
        </w:tc>
        <w:tc>
          <w:tcPr>
            <w:tcW w:w="1500" w:type="dxa"/>
            <w:tcBorders>
              <w:top w:val="nil"/>
              <w:left w:val="nil"/>
              <w:bottom w:val="single" w:sz="4" w:space="0" w:color="auto"/>
              <w:right w:val="nil"/>
            </w:tcBorders>
            <w:shd w:val="clear" w:color="auto" w:fill="auto"/>
            <w:noWrap/>
            <w:vAlign w:val="bottom"/>
            <w:hideMark/>
          </w:tcPr>
          <w:p w:rsidR="00325549" w:rsidRPr="0096480F" w:rsidRDefault="00D759E9" w:rsidP="00325549">
            <w:pPr>
              <w:tabs>
                <w:tab w:val="clear" w:pos="432"/>
              </w:tabs>
              <w:spacing w:line="240" w:lineRule="auto"/>
              <w:ind w:firstLine="0"/>
              <w:jc w:val="left"/>
              <w:rPr>
                <w:color w:val="000000"/>
                <w:sz w:val="20"/>
                <w:szCs w:val="20"/>
              </w:rPr>
            </w:pPr>
            <w:r w:rsidRPr="00D759E9">
              <w:rPr>
                <w:color w:val="000000"/>
                <w:sz w:val="20"/>
                <w:szCs w:val="20"/>
              </w:rPr>
              <w:t> </w:t>
            </w:r>
          </w:p>
        </w:tc>
        <w:tc>
          <w:tcPr>
            <w:tcW w:w="1500" w:type="dxa"/>
            <w:tcBorders>
              <w:top w:val="nil"/>
              <w:left w:val="nil"/>
              <w:bottom w:val="single" w:sz="4" w:space="0" w:color="auto"/>
              <w:right w:val="nil"/>
            </w:tcBorders>
            <w:shd w:val="clear" w:color="auto" w:fill="auto"/>
            <w:noWrap/>
            <w:vAlign w:val="bottom"/>
            <w:hideMark/>
          </w:tcPr>
          <w:p w:rsidR="00325549" w:rsidRPr="0096480F" w:rsidRDefault="00D759E9" w:rsidP="00325549">
            <w:pPr>
              <w:tabs>
                <w:tab w:val="clear" w:pos="432"/>
              </w:tabs>
              <w:spacing w:line="240" w:lineRule="auto"/>
              <w:ind w:firstLine="0"/>
              <w:jc w:val="left"/>
              <w:rPr>
                <w:color w:val="000000"/>
                <w:sz w:val="20"/>
                <w:szCs w:val="20"/>
              </w:rPr>
            </w:pPr>
            <w:r w:rsidRPr="00D759E9">
              <w:rPr>
                <w:color w:val="000000"/>
                <w:sz w:val="20"/>
                <w:szCs w:val="20"/>
              </w:rPr>
              <w:t> </w:t>
            </w:r>
          </w:p>
        </w:tc>
        <w:tc>
          <w:tcPr>
            <w:tcW w:w="1500" w:type="dxa"/>
            <w:tcBorders>
              <w:top w:val="nil"/>
              <w:left w:val="nil"/>
              <w:bottom w:val="single" w:sz="4" w:space="0" w:color="auto"/>
              <w:right w:val="nil"/>
            </w:tcBorders>
            <w:shd w:val="clear" w:color="auto" w:fill="auto"/>
            <w:noWrap/>
            <w:vAlign w:val="bottom"/>
            <w:hideMark/>
          </w:tcPr>
          <w:p w:rsidR="00325549" w:rsidRPr="0096480F" w:rsidRDefault="00D759E9" w:rsidP="00325549">
            <w:pPr>
              <w:tabs>
                <w:tab w:val="clear" w:pos="432"/>
              </w:tabs>
              <w:spacing w:line="240" w:lineRule="auto"/>
              <w:ind w:firstLine="0"/>
              <w:jc w:val="left"/>
              <w:rPr>
                <w:color w:val="000000"/>
                <w:sz w:val="20"/>
                <w:szCs w:val="20"/>
              </w:rPr>
            </w:pPr>
            <w:r w:rsidRPr="00D759E9">
              <w:rPr>
                <w:color w:val="000000"/>
                <w:sz w:val="20"/>
                <w:szCs w:val="20"/>
              </w:rPr>
              <w:t> </w:t>
            </w:r>
          </w:p>
        </w:tc>
        <w:tc>
          <w:tcPr>
            <w:tcW w:w="1500" w:type="dxa"/>
            <w:tcBorders>
              <w:top w:val="nil"/>
              <w:left w:val="nil"/>
              <w:bottom w:val="single" w:sz="4" w:space="0" w:color="auto"/>
              <w:right w:val="nil"/>
            </w:tcBorders>
            <w:shd w:val="clear" w:color="auto" w:fill="auto"/>
            <w:noWrap/>
            <w:vAlign w:val="bottom"/>
            <w:hideMark/>
          </w:tcPr>
          <w:p w:rsidR="00325549" w:rsidRPr="0096480F" w:rsidRDefault="00D759E9" w:rsidP="00325549">
            <w:pPr>
              <w:tabs>
                <w:tab w:val="clear" w:pos="432"/>
              </w:tabs>
              <w:spacing w:line="240" w:lineRule="auto"/>
              <w:ind w:firstLine="0"/>
              <w:jc w:val="left"/>
              <w:rPr>
                <w:color w:val="000000"/>
                <w:sz w:val="20"/>
                <w:szCs w:val="20"/>
              </w:rPr>
            </w:pPr>
            <w:r w:rsidRPr="00D759E9">
              <w:rPr>
                <w:color w:val="000000"/>
                <w:sz w:val="20"/>
                <w:szCs w:val="20"/>
              </w:rPr>
              <w:t> </w:t>
            </w:r>
          </w:p>
        </w:tc>
        <w:tc>
          <w:tcPr>
            <w:tcW w:w="1500" w:type="dxa"/>
            <w:tcBorders>
              <w:top w:val="nil"/>
              <w:left w:val="nil"/>
              <w:bottom w:val="single" w:sz="4" w:space="0" w:color="auto"/>
              <w:right w:val="nil"/>
            </w:tcBorders>
            <w:shd w:val="clear" w:color="auto" w:fill="auto"/>
            <w:noWrap/>
            <w:vAlign w:val="bottom"/>
            <w:hideMark/>
          </w:tcPr>
          <w:p w:rsidR="00325549" w:rsidRPr="0096480F" w:rsidRDefault="00D759E9" w:rsidP="00325549">
            <w:pPr>
              <w:tabs>
                <w:tab w:val="clear" w:pos="432"/>
              </w:tabs>
              <w:spacing w:line="240" w:lineRule="auto"/>
              <w:ind w:firstLine="0"/>
              <w:jc w:val="left"/>
              <w:rPr>
                <w:color w:val="000000"/>
                <w:sz w:val="20"/>
                <w:szCs w:val="20"/>
              </w:rPr>
            </w:pPr>
            <w:r w:rsidRPr="00D759E9">
              <w:rPr>
                <w:color w:val="000000"/>
                <w:sz w:val="20"/>
                <w:szCs w:val="20"/>
              </w:rPr>
              <w:t> </w:t>
            </w:r>
          </w:p>
        </w:tc>
      </w:tr>
      <w:tr w:rsidR="00325549" w:rsidRPr="0096480F" w:rsidTr="00325549">
        <w:trPr>
          <w:trHeight w:val="300"/>
        </w:trPr>
        <w:tc>
          <w:tcPr>
            <w:tcW w:w="7700" w:type="dxa"/>
            <w:gridSpan w:val="5"/>
            <w:tcBorders>
              <w:top w:val="nil"/>
              <w:left w:val="nil"/>
              <w:bottom w:val="nil"/>
              <w:right w:val="nil"/>
            </w:tcBorders>
            <w:shd w:val="clear" w:color="auto" w:fill="auto"/>
            <w:noWrap/>
            <w:vAlign w:val="bottom"/>
            <w:hideMark/>
          </w:tcPr>
          <w:p w:rsidR="00325549" w:rsidRPr="0096480F" w:rsidRDefault="00D759E9" w:rsidP="00781D1D">
            <w:pPr>
              <w:tabs>
                <w:tab w:val="clear" w:pos="432"/>
              </w:tabs>
              <w:spacing w:line="240" w:lineRule="auto"/>
              <w:ind w:firstLine="0"/>
              <w:jc w:val="left"/>
              <w:rPr>
                <w:color w:val="000000"/>
                <w:sz w:val="20"/>
                <w:szCs w:val="20"/>
              </w:rPr>
            </w:pPr>
            <w:r w:rsidRPr="00D759E9">
              <w:rPr>
                <w:color w:val="000000"/>
                <w:sz w:val="20"/>
                <w:szCs w:val="20"/>
              </w:rPr>
              <w:t>Note:  We assume clustering at school level.</w:t>
            </w:r>
          </w:p>
        </w:tc>
        <w:tc>
          <w:tcPr>
            <w:tcW w:w="1500" w:type="dxa"/>
            <w:tcBorders>
              <w:top w:val="nil"/>
              <w:left w:val="nil"/>
              <w:bottom w:val="nil"/>
              <w:right w:val="nil"/>
            </w:tcBorders>
            <w:shd w:val="clear" w:color="auto" w:fill="auto"/>
            <w:noWrap/>
            <w:vAlign w:val="bottom"/>
            <w:hideMark/>
          </w:tcPr>
          <w:p w:rsidR="00325549" w:rsidRPr="0096480F" w:rsidRDefault="00325549" w:rsidP="00325549">
            <w:pPr>
              <w:tabs>
                <w:tab w:val="clear" w:pos="432"/>
              </w:tabs>
              <w:spacing w:line="240" w:lineRule="auto"/>
              <w:ind w:firstLine="0"/>
              <w:jc w:val="left"/>
              <w:rPr>
                <w:color w:val="000000"/>
                <w:sz w:val="20"/>
                <w:szCs w:val="20"/>
              </w:rPr>
            </w:pPr>
          </w:p>
        </w:tc>
      </w:tr>
    </w:tbl>
    <w:p w:rsidR="00325549" w:rsidRPr="0096480F" w:rsidRDefault="00325549" w:rsidP="003929FB"/>
    <w:sectPr w:rsidR="00325549" w:rsidRPr="0096480F" w:rsidSect="003A1506">
      <w:footerReference w:type="default" r:id="rId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27F" w:rsidRDefault="0009627F">
      <w:pPr>
        <w:spacing w:line="240" w:lineRule="auto"/>
        <w:ind w:firstLine="0"/>
      </w:pPr>
    </w:p>
  </w:endnote>
  <w:endnote w:type="continuationSeparator" w:id="0">
    <w:p w:rsidR="0009627F" w:rsidRDefault="0009627F">
      <w:pPr>
        <w:spacing w:line="240" w:lineRule="auto"/>
        <w:ind w:firstLine="0"/>
      </w:pPr>
    </w:p>
  </w:endnote>
  <w:endnote w:type="continuationNotice" w:id="1">
    <w:p w:rsidR="0009627F" w:rsidRDefault="0009627F">
      <w:pPr>
        <w:spacing w:line="240" w:lineRule="auto"/>
        <w:ind w:firstLine="0"/>
      </w:pPr>
    </w:p>
    <w:p w:rsidR="0009627F" w:rsidRDefault="0009627F"/>
    <w:p w:rsidR="0009627F" w:rsidRDefault="0009627F">
      <w:r>
        <w:rPr>
          <w:b/>
          <w:snapToGrid w:val="0"/>
        </w:rPr>
        <w:t>DRAFT</w:t>
      </w:r>
      <w:r>
        <w:rPr>
          <w:snapToGrid w:val="0"/>
          <w:sz w:val="16"/>
        </w:rPr>
        <w:t xml:space="preserve"> </w:t>
      </w:r>
      <w:r w:rsidR="006E742F">
        <w:rPr>
          <w:snapToGrid w:val="0"/>
          <w:sz w:val="16"/>
        </w:rPr>
        <w:fldChar w:fldCharType="begin"/>
      </w:r>
      <w:r>
        <w:rPr>
          <w:snapToGrid w:val="0"/>
          <w:sz w:val="16"/>
        </w:rPr>
        <w:instrText xml:space="preserve"> FILENAME \p </w:instrText>
      </w:r>
      <w:r w:rsidR="006E742F">
        <w:rPr>
          <w:snapToGrid w:val="0"/>
          <w:sz w:val="16"/>
        </w:rPr>
        <w:fldChar w:fldCharType="separate"/>
      </w:r>
      <w:r>
        <w:rPr>
          <w:noProof/>
          <w:snapToGrid w:val="0"/>
          <w:sz w:val="16"/>
        </w:rPr>
        <w:t>C:\Documents and Settings\KSonnenfeld\Local Settings\Temporary Internet Files\Content.Outlook\3164W6JS\Response to OMB.docx</w:t>
      </w:r>
      <w:r w:rsidR="006E742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DF" w:rsidRDefault="007F2DDF">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r w:rsidR="006E742F">
      <w:rPr>
        <w:rStyle w:val="PageNumber"/>
      </w:rPr>
      <w:fldChar w:fldCharType="begin"/>
    </w:r>
    <w:r>
      <w:rPr>
        <w:rStyle w:val="PageNumber"/>
      </w:rPr>
      <w:instrText xml:space="preserve"> PAGE </w:instrText>
    </w:r>
    <w:r w:rsidR="006E742F">
      <w:rPr>
        <w:rStyle w:val="PageNumber"/>
      </w:rPr>
      <w:fldChar w:fldCharType="separate"/>
    </w:r>
    <w:r w:rsidR="00351D6B">
      <w:rPr>
        <w:rStyle w:val="PageNumber"/>
        <w:noProof/>
      </w:rPr>
      <w:t>2</w:t>
    </w:r>
    <w:r w:rsidR="006E742F">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27F" w:rsidRDefault="0009627F">
      <w:pPr>
        <w:spacing w:line="240" w:lineRule="auto"/>
        <w:ind w:firstLine="0"/>
      </w:pPr>
      <w:r>
        <w:separator/>
      </w:r>
    </w:p>
  </w:footnote>
  <w:footnote w:type="continuationSeparator" w:id="0">
    <w:p w:rsidR="0009627F" w:rsidRDefault="0009627F">
      <w:pPr>
        <w:spacing w:line="240" w:lineRule="auto"/>
        <w:ind w:firstLine="0"/>
      </w:pPr>
      <w:r>
        <w:separator/>
      </w:r>
    </w:p>
    <w:p w:rsidR="0009627F" w:rsidRDefault="0009627F">
      <w:pPr>
        <w:spacing w:line="240" w:lineRule="auto"/>
        <w:ind w:firstLine="0"/>
        <w:rPr>
          <w:i/>
        </w:rPr>
      </w:pPr>
      <w:r>
        <w:rPr>
          <w:i/>
        </w:rPr>
        <w:t>(</w:t>
      </w:r>
      <w:proofErr w:type="gramStart"/>
      <w:r>
        <w:rPr>
          <w:i/>
        </w:rPr>
        <w:t>continued</w:t>
      </w:r>
      <w:proofErr w:type="gramEnd"/>
      <w:r>
        <w:rPr>
          <w:i/>
        </w:rPr>
        <w:t>)</w:t>
      </w:r>
    </w:p>
  </w:footnote>
  <w:footnote w:type="continuationNotice" w:id="1">
    <w:p w:rsidR="0009627F" w:rsidRDefault="0009627F">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
  <w:rsids>
    <w:rsidRoot w:val="00B52CE0"/>
    <w:rsid w:val="00037098"/>
    <w:rsid w:val="000812AE"/>
    <w:rsid w:val="00081D47"/>
    <w:rsid w:val="00081E81"/>
    <w:rsid w:val="0009627F"/>
    <w:rsid w:val="0009775A"/>
    <w:rsid w:val="000B3A77"/>
    <w:rsid w:val="000C0118"/>
    <w:rsid w:val="000E6D11"/>
    <w:rsid w:val="00105D23"/>
    <w:rsid w:val="001070A5"/>
    <w:rsid w:val="0013282C"/>
    <w:rsid w:val="00142D47"/>
    <w:rsid w:val="001933B1"/>
    <w:rsid w:val="001A07D4"/>
    <w:rsid w:val="00200B10"/>
    <w:rsid w:val="0020237E"/>
    <w:rsid w:val="002849EE"/>
    <w:rsid w:val="002C413C"/>
    <w:rsid w:val="002F7C83"/>
    <w:rsid w:val="00325549"/>
    <w:rsid w:val="00336A60"/>
    <w:rsid w:val="00342CD8"/>
    <w:rsid w:val="00351D6B"/>
    <w:rsid w:val="003929FB"/>
    <w:rsid w:val="003A1506"/>
    <w:rsid w:val="003A1774"/>
    <w:rsid w:val="003A17E0"/>
    <w:rsid w:val="003A26BB"/>
    <w:rsid w:val="00417B7A"/>
    <w:rsid w:val="00446CE2"/>
    <w:rsid w:val="0047478B"/>
    <w:rsid w:val="004B0D54"/>
    <w:rsid w:val="004D62CD"/>
    <w:rsid w:val="00531424"/>
    <w:rsid w:val="00581EE2"/>
    <w:rsid w:val="00591AE6"/>
    <w:rsid w:val="005A66CB"/>
    <w:rsid w:val="006150A8"/>
    <w:rsid w:val="00635EC3"/>
    <w:rsid w:val="00637DC5"/>
    <w:rsid w:val="00641AC0"/>
    <w:rsid w:val="00690B57"/>
    <w:rsid w:val="006959AF"/>
    <w:rsid w:val="006A7614"/>
    <w:rsid w:val="006D0A93"/>
    <w:rsid w:val="006D51D1"/>
    <w:rsid w:val="006E2AEF"/>
    <w:rsid w:val="006E3DE1"/>
    <w:rsid w:val="006E742F"/>
    <w:rsid w:val="006F038A"/>
    <w:rsid w:val="006F053F"/>
    <w:rsid w:val="006F5BE7"/>
    <w:rsid w:val="00712A21"/>
    <w:rsid w:val="007214EF"/>
    <w:rsid w:val="00726DD4"/>
    <w:rsid w:val="00747B99"/>
    <w:rsid w:val="00770FB8"/>
    <w:rsid w:val="00781D1D"/>
    <w:rsid w:val="007C4167"/>
    <w:rsid w:val="007C59D4"/>
    <w:rsid w:val="007D64C8"/>
    <w:rsid w:val="007E4B90"/>
    <w:rsid w:val="007F1C0F"/>
    <w:rsid w:val="007F2DDF"/>
    <w:rsid w:val="007F686C"/>
    <w:rsid w:val="007F76BA"/>
    <w:rsid w:val="00816DF1"/>
    <w:rsid w:val="0086314C"/>
    <w:rsid w:val="00865157"/>
    <w:rsid w:val="008923DA"/>
    <w:rsid w:val="00893B1D"/>
    <w:rsid w:val="00895A2A"/>
    <w:rsid w:val="008B032B"/>
    <w:rsid w:val="008E1875"/>
    <w:rsid w:val="008E27F1"/>
    <w:rsid w:val="008F5A8F"/>
    <w:rsid w:val="009009D0"/>
    <w:rsid w:val="00902B68"/>
    <w:rsid w:val="00912344"/>
    <w:rsid w:val="00914272"/>
    <w:rsid w:val="00931BDB"/>
    <w:rsid w:val="0095754B"/>
    <w:rsid w:val="0096480F"/>
    <w:rsid w:val="00980DB0"/>
    <w:rsid w:val="00994EDD"/>
    <w:rsid w:val="00997375"/>
    <w:rsid w:val="009B20BD"/>
    <w:rsid w:val="009B61A1"/>
    <w:rsid w:val="00A263DF"/>
    <w:rsid w:val="00A60FFF"/>
    <w:rsid w:val="00A80A4F"/>
    <w:rsid w:val="00B13000"/>
    <w:rsid w:val="00B32481"/>
    <w:rsid w:val="00B52CE0"/>
    <w:rsid w:val="00B714B7"/>
    <w:rsid w:val="00B82E71"/>
    <w:rsid w:val="00B83493"/>
    <w:rsid w:val="00BA65A5"/>
    <w:rsid w:val="00BE3417"/>
    <w:rsid w:val="00C14296"/>
    <w:rsid w:val="00C1780E"/>
    <w:rsid w:val="00C2695D"/>
    <w:rsid w:val="00C450AE"/>
    <w:rsid w:val="00C758F5"/>
    <w:rsid w:val="00C90E85"/>
    <w:rsid w:val="00C92E5D"/>
    <w:rsid w:val="00C93509"/>
    <w:rsid w:val="00C9777C"/>
    <w:rsid w:val="00CA58CB"/>
    <w:rsid w:val="00CB137C"/>
    <w:rsid w:val="00CB4E54"/>
    <w:rsid w:val="00CC602E"/>
    <w:rsid w:val="00CD6F65"/>
    <w:rsid w:val="00CE16E0"/>
    <w:rsid w:val="00D14FDB"/>
    <w:rsid w:val="00D20BD0"/>
    <w:rsid w:val="00D42C39"/>
    <w:rsid w:val="00D451FE"/>
    <w:rsid w:val="00D62AA3"/>
    <w:rsid w:val="00D759E9"/>
    <w:rsid w:val="00D77566"/>
    <w:rsid w:val="00DA39C5"/>
    <w:rsid w:val="00DC05C1"/>
    <w:rsid w:val="00DF7725"/>
    <w:rsid w:val="00E03491"/>
    <w:rsid w:val="00E0544B"/>
    <w:rsid w:val="00E33FB4"/>
    <w:rsid w:val="00E35802"/>
    <w:rsid w:val="00ED47C6"/>
    <w:rsid w:val="00EF776D"/>
    <w:rsid w:val="00F142BF"/>
    <w:rsid w:val="00F40E54"/>
    <w:rsid w:val="00F45261"/>
    <w:rsid w:val="00F5243D"/>
    <w:rsid w:val="00FC5611"/>
    <w:rsid w:val="00FD225C"/>
    <w:rsid w:val="00FD2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B52C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D0A93"/>
    <w:rPr>
      <w:sz w:val="16"/>
      <w:szCs w:val="16"/>
    </w:rPr>
  </w:style>
  <w:style w:type="paragraph" w:styleId="CommentText">
    <w:name w:val="annotation text"/>
    <w:basedOn w:val="Normal"/>
    <w:link w:val="CommentTextChar"/>
    <w:uiPriority w:val="99"/>
    <w:semiHidden/>
    <w:unhideWhenUsed/>
    <w:rsid w:val="006D0A93"/>
    <w:pPr>
      <w:spacing w:line="240" w:lineRule="auto"/>
    </w:pPr>
    <w:rPr>
      <w:sz w:val="20"/>
      <w:szCs w:val="20"/>
    </w:rPr>
  </w:style>
  <w:style w:type="character" w:customStyle="1" w:styleId="CommentTextChar">
    <w:name w:val="Comment Text Char"/>
    <w:basedOn w:val="DefaultParagraphFont"/>
    <w:link w:val="CommentText"/>
    <w:uiPriority w:val="99"/>
    <w:semiHidden/>
    <w:rsid w:val="006D0A93"/>
    <w:rPr>
      <w:sz w:val="20"/>
      <w:szCs w:val="20"/>
    </w:rPr>
  </w:style>
  <w:style w:type="paragraph" w:styleId="CommentSubject">
    <w:name w:val="annotation subject"/>
    <w:basedOn w:val="CommentText"/>
    <w:next w:val="CommentText"/>
    <w:link w:val="CommentSubjectChar"/>
    <w:uiPriority w:val="99"/>
    <w:semiHidden/>
    <w:unhideWhenUsed/>
    <w:rsid w:val="006D0A93"/>
    <w:rPr>
      <w:b/>
      <w:bCs/>
    </w:rPr>
  </w:style>
  <w:style w:type="character" w:customStyle="1" w:styleId="CommentSubjectChar">
    <w:name w:val="Comment Subject Char"/>
    <w:basedOn w:val="CommentTextChar"/>
    <w:link w:val="CommentSubject"/>
    <w:uiPriority w:val="99"/>
    <w:semiHidden/>
    <w:rsid w:val="006D0A93"/>
    <w:rPr>
      <w:b/>
      <w:bCs/>
    </w:rPr>
  </w:style>
</w:styles>
</file>

<file path=word/webSettings.xml><?xml version="1.0" encoding="utf-8"?>
<w:webSettings xmlns:r="http://schemas.openxmlformats.org/officeDocument/2006/relationships" xmlns:w="http://schemas.openxmlformats.org/wordprocessingml/2006/main">
  <w:divs>
    <w:div w:id="59254723">
      <w:bodyDiv w:val="1"/>
      <w:marLeft w:val="0"/>
      <w:marRight w:val="0"/>
      <w:marTop w:val="0"/>
      <w:marBottom w:val="0"/>
      <w:divBdr>
        <w:top w:val="none" w:sz="0" w:space="0" w:color="auto"/>
        <w:left w:val="none" w:sz="0" w:space="0" w:color="auto"/>
        <w:bottom w:val="none" w:sz="0" w:space="0" w:color="auto"/>
        <w:right w:val="none" w:sz="0" w:space="0" w:color="auto"/>
      </w:divBdr>
    </w:div>
    <w:div w:id="180243658">
      <w:bodyDiv w:val="1"/>
      <w:marLeft w:val="0"/>
      <w:marRight w:val="0"/>
      <w:marTop w:val="0"/>
      <w:marBottom w:val="0"/>
      <w:divBdr>
        <w:top w:val="none" w:sz="0" w:space="0" w:color="auto"/>
        <w:left w:val="none" w:sz="0" w:space="0" w:color="auto"/>
        <w:bottom w:val="none" w:sz="0" w:space="0" w:color="auto"/>
        <w:right w:val="none" w:sz="0" w:space="0" w:color="auto"/>
      </w:divBdr>
    </w:div>
    <w:div w:id="1598974927">
      <w:bodyDiv w:val="1"/>
      <w:marLeft w:val="0"/>
      <w:marRight w:val="0"/>
      <w:marTop w:val="0"/>
      <w:marBottom w:val="0"/>
      <w:divBdr>
        <w:top w:val="none" w:sz="0" w:space="0" w:color="auto"/>
        <w:left w:val="none" w:sz="0" w:space="0" w:color="auto"/>
        <w:bottom w:val="none" w:sz="0" w:space="0" w:color="auto"/>
        <w:right w:val="none" w:sz="0" w:space="0" w:color="auto"/>
      </w:divBdr>
    </w:div>
    <w:div w:id="195955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smcconnell</dc:creator>
  <cp:keywords/>
  <dc:description/>
  <cp:lastModifiedBy>smcconnell</cp:lastModifiedBy>
  <cp:revision>2</cp:revision>
  <cp:lastPrinted>2009-07-28T20:34:00Z</cp:lastPrinted>
  <dcterms:created xsi:type="dcterms:W3CDTF">2009-07-28T21:28:00Z</dcterms:created>
  <dcterms:modified xsi:type="dcterms:W3CDTF">2009-07-28T21:28:00Z</dcterms:modified>
</cp:coreProperties>
</file>