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EF" w:rsidRDefault="007A7EEF">
      <w:pPr>
        <w:pStyle w:val="Title"/>
      </w:pPr>
      <w:r>
        <w:t>Paperwork Reduction Act Submission</w:t>
      </w:r>
    </w:p>
    <w:p w:rsidR="007A7EEF" w:rsidRDefault="007A7EEF">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color w:val="000000"/>
                  <w:sz w:val="18"/>
                </w:rPr>
                <w:t>725 Seventeenth St. NW</w:t>
              </w:r>
            </w:smartTag>
          </w:smartTag>
          <w:r>
            <w:rPr>
              <w:color w:val="000000"/>
              <w:sz w:val="18"/>
            </w:rPr>
            <w:t xml:space="preserve">,  </w:t>
          </w:r>
          <w:smartTag w:uri="urn:schemas-microsoft-com:office:smarttags" w:element="City">
            <w:r>
              <w:rPr>
                <w:color w:val="000000"/>
                <w:sz w:val="18"/>
              </w:rPr>
              <w:t>Washington</w:t>
            </w:r>
          </w:smartTag>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smartTag>
      <w:r>
        <w:rPr>
          <w:color w:val="000000"/>
          <w:sz w:val="18"/>
        </w:rPr>
        <w:t>.</w:t>
      </w:r>
    </w:p>
    <w:tbl>
      <w:tblPr>
        <w:tblW w:w="0" w:type="auto"/>
        <w:tblLayout w:type="fixed"/>
        <w:tblLook w:val="0000"/>
      </w:tblPr>
      <w:tblGrid>
        <w:gridCol w:w="5508"/>
        <w:gridCol w:w="1920"/>
        <w:gridCol w:w="1800"/>
        <w:gridCol w:w="1788"/>
      </w:tblGrid>
      <w:tr w:rsidR="007A7EEF">
        <w:tc>
          <w:tcPr>
            <w:tcW w:w="7428" w:type="dxa"/>
            <w:gridSpan w:val="2"/>
            <w:tcBorders>
              <w:top w:val="single" w:sz="6" w:space="0" w:color="auto"/>
            </w:tcBorders>
          </w:tcPr>
          <w:p w:rsidR="007A7EEF" w:rsidRDefault="007A7EEF">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7A7EEF" w:rsidRDefault="007A7EEF">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7A7EEF" w:rsidRDefault="007A7EEF">
            <w:pPr>
              <w:spacing w:before="40" w:after="40"/>
              <w:ind w:left="120"/>
              <w:rPr>
                <w:rFonts w:ascii="Helvetica" w:hAnsi="Helvetica"/>
                <w:color w:val="000000"/>
                <w:sz w:val="18"/>
              </w:rPr>
            </w:pPr>
            <w:r>
              <w:rPr>
                <w:rFonts w:ascii="Helvetica" w:hAnsi="Helvetica"/>
                <w:color w:val="000000"/>
                <w:sz w:val="18"/>
              </w:rPr>
              <w:t>Office of Single Family Asset Management</w:t>
            </w:r>
          </w:p>
          <w:p w:rsidR="007A7EEF" w:rsidRDefault="007A7EEF">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7A7EEF" w:rsidRDefault="007A7EEF">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7A7EEF" w:rsidRDefault="007A7EEF">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2502-0301</w:t>
            </w:r>
          </w:p>
          <w:p w:rsidR="007A7EEF" w:rsidRDefault="007A7EEF">
            <w:pPr>
              <w:ind w:left="-120"/>
              <w:rPr>
                <w:rFonts w:ascii="Helvetica" w:hAnsi="Helvetica"/>
                <w:color w:val="000000"/>
                <w:sz w:val="16"/>
              </w:rPr>
            </w:pPr>
          </w:p>
        </w:tc>
        <w:tc>
          <w:tcPr>
            <w:tcW w:w="1788" w:type="dxa"/>
            <w:tcBorders>
              <w:top w:val="single" w:sz="6" w:space="0" w:color="auto"/>
            </w:tcBorders>
          </w:tcPr>
          <w:p w:rsidR="007A7EEF" w:rsidRDefault="007A7EEF">
            <w:pPr>
              <w:spacing w:before="120"/>
              <w:rPr>
                <w:rFonts w:ascii="Helvetica" w:hAnsi="Helvetica"/>
                <w:color w:val="000000"/>
                <w:sz w:val="18"/>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7A7EEF" w:rsidRDefault="007A7EEF">
            <w:pPr>
              <w:spacing w:before="40" w:after="40"/>
              <w:ind w:left="252"/>
              <w:rPr>
                <w:rFonts w:ascii="Helvetica" w:hAnsi="Helvetica"/>
                <w:color w:val="000000"/>
              </w:rPr>
            </w:pPr>
            <w:r>
              <w:rPr>
                <w:rFonts w:ascii="Helvetica" w:hAnsi="Helvetica"/>
                <w:color w:val="000000"/>
                <w:sz w:val="16"/>
              </w:rPr>
              <w:t xml:space="preserve"> </w:t>
            </w:r>
            <w:bookmarkStart w:id="0" w:name="Text3"/>
            <w:r>
              <w:rPr>
                <w:rFonts w:ascii="Helvetica" w:hAnsi="Helvetica"/>
                <w:b/>
                <w:color w:val="000000"/>
              </w:rPr>
              <w:fldChar w:fldCharType="begin">
                <w:ffData>
                  <w:name w:val="Text3"/>
                  <w:enabled/>
                  <w:calcOnExit w:val="0"/>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0"/>
          </w:p>
        </w:tc>
      </w:tr>
      <w:tr w:rsidR="007A7EEF">
        <w:tc>
          <w:tcPr>
            <w:tcW w:w="5508" w:type="dxa"/>
            <w:tcBorders>
              <w:top w:val="single" w:sz="6" w:space="0" w:color="auto"/>
            </w:tcBorders>
          </w:tcPr>
          <w:p w:rsidR="007A7EEF" w:rsidRDefault="007A7EEF">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7A7EEF" w:rsidRDefault="007A7EEF">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New Collection </w:t>
            </w:r>
          </w:p>
          <w:p w:rsidR="007A7EEF" w:rsidRDefault="007A7EE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Revision of a currently approved collection</w:t>
            </w:r>
          </w:p>
          <w:p w:rsidR="007A7EEF" w:rsidRDefault="007A7EE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Extension of a currently approved collection</w:t>
            </w:r>
          </w:p>
          <w:p w:rsidR="007A7EEF" w:rsidRDefault="007A7EE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without change</w:t>
            </w:r>
            <w:r>
              <w:rPr>
                <w:rFonts w:ascii="Helvetica" w:hAnsi="Helvetica"/>
                <w:color w:val="000000"/>
                <w:sz w:val="16"/>
              </w:rPr>
              <w:t xml:space="preserve">, of previously approved </w:t>
            </w:r>
          </w:p>
          <w:p w:rsidR="007A7EEF" w:rsidRDefault="007A7EEF">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7A7EEF" w:rsidRDefault="007A7EE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7A7EEF" w:rsidRDefault="007A7EEF">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7A7EEF" w:rsidRDefault="007A7EE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7A7EEF" w:rsidRDefault="007A7EEF">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7A7EEF" w:rsidRDefault="007A7EEF">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1" w:name="Check10"/>
          <w:p w:rsidR="007A7EEF" w:rsidRDefault="007A7EE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Pr>
                <w:rFonts w:ascii="Helvetica" w:hAnsi="Helvetica"/>
                <w:b/>
                <w:color w:val="000000"/>
              </w:rPr>
              <w:t xml:space="preserve">  </w:t>
            </w:r>
            <w:r>
              <w:rPr>
                <w:rFonts w:ascii="Helvetica" w:hAnsi="Helvetica"/>
                <w:color w:val="000000"/>
                <w:sz w:val="16"/>
              </w:rPr>
              <w:t>Regular</w:t>
            </w:r>
          </w:p>
          <w:p w:rsidR="007A7EEF" w:rsidRDefault="007A7EE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 xml:space="preserve">Emergency - Approval requested by  </w:t>
            </w:r>
            <w:bookmarkStart w:id="2" w:name="Text4"/>
            <w:r>
              <w:rPr>
                <w:rFonts w:ascii="Helvetica" w:hAnsi="Helvetica"/>
                <w:color w:val="000000"/>
                <w:sz w:val="18"/>
              </w:rPr>
              <w:fldChar w:fldCharType="begin">
                <w:ffData>
                  <w:name w:val="Text4"/>
                  <w:enabled/>
                  <w:calcOnExit w:val="0"/>
                  <w:textInput>
                    <w:type w:val="date"/>
                    <w:format w:val="M/d/yyyy"/>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p w:rsidR="007A7EEF" w:rsidRDefault="007A7EEF">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7A7EEF" w:rsidRDefault="007A7EEF">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7A7EEF" w:rsidRDefault="007A7EEF">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7A7EEF" w:rsidRDefault="007A7EEF">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7A7EEF" w:rsidRDefault="007A7EEF">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7A7EEF" w:rsidRDefault="007A7EEF">
            <w:pPr>
              <w:tabs>
                <w:tab w:val="left" w:pos="3252"/>
              </w:tabs>
              <w:spacing w:after="60"/>
              <w:rPr>
                <w:rFonts w:ascii="Helvetica" w:hAnsi="Helvetica"/>
                <w:color w:val="000000"/>
                <w:sz w:val="16"/>
              </w:rPr>
            </w:pPr>
            <w:r>
              <w:rPr>
                <w:rFonts w:ascii="Helvetica" w:hAnsi="Helvetica"/>
                <w:color w:val="000000"/>
                <w:sz w:val="18"/>
              </w:rPr>
              <w:tab/>
              <w:t xml:space="preserve"> </w:t>
            </w:r>
            <w:bookmarkStart w:id="3" w:name="Text5"/>
            <w:r>
              <w:rPr>
                <w:rFonts w:ascii="Helvetica" w:hAnsi="Helvetica"/>
                <w:color w:val="000000"/>
                <w:sz w:val="18"/>
              </w:rPr>
              <w:fldChar w:fldCharType="begin">
                <w:ffData>
                  <w:name w:val="Text5"/>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3"/>
          </w:p>
        </w:tc>
      </w:tr>
    </w:tbl>
    <w:p w:rsidR="007A7EEF" w:rsidRDefault="007A7EEF">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7A7EEF" w:rsidRDefault="007A7EEF">
      <w:pPr>
        <w:tabs>
          <w:tab w:val="left" w:pos="240"/>
        </w:tabs>
        <w:spacing w:after="40"/>
        <w:ind w:left="120" w:right="-120"/>
        <w:rPr>
          <w:rFonts w:ascii="Helvetica" w:hAnsi="Helvetica"/>
          <w:color w:val="000000"/>
          <w:sz w:val="18"/>
        </w:rPr>
      </w:pPr>
      <w:r>
        <w:rPr>
          <w:rFonts w:ascii="Helvetica" w:hAnsi="Helvetica"/>
          <w:b/>
          <w:color w:val="000000"/>
          <w:sz w:val="18"/>
        </w:rPr>
        <w:t>Deed-in-Lieu of Foreclosure (Corporate Mortgagors or Mortgagors Owning More than One Property)</w:t>
      </w:r>
    </w:p>
    <w:p w:rsidR="007A7EEF" w:rsidRDefault="007A7EEF">
      <w:pPr>
        <w:tabs>
          <w:tab w:val="left" w:pos="240"/>
        </w:tabs>
        <w:spacing w:after="40"/>
        <w:ind w:left="120" w:right="-120"/>
        <w:rPr>
          <w:rFonts w:ascii="Helvetica" w:hAnsi="Helvetica"/>
          <w:color w:val="000000"/>
          <w:sz w:val="18"/>
        </w:rPr>
      </w:pPr>
    </w:p>
    <w:p w:rsidR="007A7EEF" w:rsidRDefault="007A7EEF">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7A7EEF" w:rsidRDefault="007A7EEF">
      <w:pPr>
        <w:spacing w:after="40"/>
        <w:ind w:left="120" w:right="-120"/>
        <w:rPr>
          <w:rFonts w:ascii="Helvetica" w:hAnsi="Helvetica"/>
          <w:color w:val="000000"/>
          <w:sz w:val="18"/>
        </w:rPr>
      </w:pPr>
      <w:r>
        <w:rPr>
          <w:rFonts w:ascii="Helvetica" w:hAnsi="Helvetica"/>
          <w:color w:val="000000"/>
          <w:sz w:val="18"/>
        </w:rPr>
        <w:t>None</w:t>
      </w:r>
    </w:p>
    <w:p w:rsidR="007A7EEF" w:rsidRDefault="007A7EEF">
      <w:pPr>
        <w:spacing w:after="40"/>
        <w:ind w:left="120" w:right="-120"/>
        <w:rPr>
          <w:rFonts w:ascii="Helvetica" w:hAnsi="Helvetica"/>
          <w:color w:val="000000"/>
          <w:sz w:val="18"/>
        </w:rPr>
      </w:pPr>
    </w:p>
    <w:p w:rsidR="007A7EEF" w:rsidRDefault="007A7EE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7A7EEF" w:rsidRDefault="007A7EEF">
      <w:pPr>
        <w:spacing w:after="40"/>
        <w:ind w:left="120" w:right="-120"/>
        <w:rPr>
          <w:rFonts w:ascii="Helvetica" w:hAnsi="Helvetica"/>
          <w:color w:val="000000"/>
          <w:sz w:val="18"/>
        </w:rPr>
      </w:pPr>
      <w:r>
        <w:rPr>
          <w:rFonts w:ascii="Helvetica" w:hAnsi="Helvetica"/>
          <w:color w:val="000000"/>
          <w:sz w:val="18"/>
        </w:rPr>
        <w:t>Housing, Mortgage, Deed-in-Lieu, Foreclosure, Corporate Mortgagors</w:t>
      </w:r>
    </w:p>
    <w:p w:rsidR="007A7EEF" w:rsidRDefault="007A7EEF">
      <w:pPr>
        <w:spacing w:after="40"/>
        <w:ind w:left="120" w:right="-120"/>
        <w:rPr>
          <w:rFonts w:ascii="Helvetica" w:hAnsi="Helvetica"/>
          <w:color w:val="000000"/>
          <w:sz w:val="18"/>
        </w:rPr>
      </w:pPr>
    </w:p>
    <w:p w:rsidR="007A7EEF" w:rsidRDefault="007A7EE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7A7EEF" w:rsidRDefault="007A7EEF">
      <w:pPr>
        <w:pStyle w:val="BlockText"/>
        <w:rPr>
          <w:rFonts w:ascii="Arial" w:hAnsi="Arial" w:cs="Arial"/>
          <w:sz w:val="20"/>
        </w:rPr>
      </w:pPr>
      <w:r>
        <w:rPr>
          <w:rFonts w:ascii="Arial" w:hAnsi="Arial" w:cs="Arial"/>
          <w:sz w:val="20"/>
        </w:rPr>
        <w:t xml:space="preserve">Mortgagees must obtain written consent from HUD’s </w:t>
      </w:r>
      <w:smartTag w:uri="urn:schemas-microsoft-com:office:smarttags" w:element="PlaceName">
        <w:smartTag w:uri="urn:schemas-microsoft-com:office:smarttags" w:element="place">
          <w:smartTag w:uri="urn:schemas-microsoft-com:office:smarttags" w:element="PlaceName">
            <w:r>
              <w:rPr>
                <w:rFonts w:ascii="Arial" w:hAnsi="Arial" w:cs="Arial"/>
                <w:sz w:val="20"/>
              </w:rPr>
              <w:t>National</w:t>
            </w:r>
          </w:smartTag>
          <w:r>
            <w:rPr>
              <w:rFonts w:ascii="Arial" w:hAnsi="Arial" w:cs="Arial"/>
              <w:sz w:val="20"/>
            </w:rPr>
            <w:t xml:space="preserve"> </w:t>
          </w:r>
          <w:smartTag w:uri="urn:schemas-microsoft-com:office:smarttags" w:element="PlaceName">
            <w:r>
              <w:rPr>
                <w:rFonts w:ascii="Arial" w:hAnsi="Arial" w:cs="Arial"/>
                <w:sz w:val="20"/>
              </w:rPr>
              <w:t>Servicing</w:t>
            </w:r>
          </w:smartTag>
          <w:r>
            <w:rPr>
              <w:rFonts w:ascii="Arial" w:hAnsi="Arial" w:cs="Arial"/>
              <w:sz w:val="20"/>
            </w:rPr>
            <w:t xml:space="preserve"> </w:t>
          </w:r>
          <w:smartTag w:uri="urn:schemas-microsoft-com:office:smarttags" w:element="PlaceType">
            <w:r>
              <w:rPr>
                <w:rFonts w:ascii="Arial" w:hAnsi="Arial" w:cs="Arial"/>
                <w:sz w:val="20"/>
              </w:rPr>
              <w:t>Center</w:t>
            </w:r>
          </w:smartTag>
        </w:smartTag>
      </w:smartTag>
      <w:r>
        <w:rPr>
          <w:rFonts w:ascii="Arial" w:hAnsi="Arial" w:cs="Arial"/>
          <w:sz w:val="20"/>
        </w:rPr>
        <w:t xml:space="preserve"> to accept a deed-in-lieu of foreclosure when the mortgagor is a corporate mortgagor or a mortgagor owning more than one property insured by the Department of Housing and Urban Development (HUD).  Mortgagees must provide HUD with specific information.</w:t>
      </w:r>
    </w:p>
    <w:p w:rsidR="007A7EEF" w:rsidRDefault="007A7EEF">
      <w:pPr>
        <w:tabs>
          <w:tab w:val="left" w:pos="240"/>
        </w:tabs>
        <w:spacing w:after="60"/>
        <w:ind w:left="120" w:right="-120"/>
        <w:rPr>
          <w:rFonts w:ascii="Helvetica" w:hAnsi="Helvetica"/>
          <w:color w:val="000000"/>
          <w:sz w:val="16"/>
        </w:rPr>
      </w:pPr>
    </w:p>
    <w:tbl>
      <w:tblPr>
        <w:tblW w:w="0" w:type="auto"/>
        <w:tblLayout w:type="fixed"/>
        <w:tblLook w:val="0000"/>
      </w:tblPr>
      <w:tblGrid>
        <w:gridCol w:w="4908"/>
        <w:gridCol w:w="720"/>
        <w:gridCol w:w="5388"/>
      </w:tblGrid>
      <w:tr w:rsidR="007A7EEF">
        <w:trPr>
          <w:trHeight w:val="1129"/>
        </w:trPr>
        <w:tc>
          <w:tcPr>
            <w:tcW w:w="5628" w:type="dxa"/>
            <w:gridSpan w:val="2"/>
            <w:tcBorders>
              <w:top w:val="single" w:sz="6" w:space="0" w:color="auto"/>
              <w:right w:val="single" w:sz="6" w:space="0" w:color="auto"/>
            </w:tcBorders>
          </w:tcPr>
          <w:p w:rsidR="007A7EEF" w:rsidRDefault="007A7EEF">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7A7EEF" w:rsidRDefault="007A7EE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bookmarkStart w:id="4" w:name="Text17"/>
            <w:r>
              <w:rPr>
                <w:rFonts w:ascii="Helvetica" w:hAnsi="Helvetica"/>
                <w:b/>
                <w:color w:val="000000"/>
                <w:sz w:val="18"/>
              </w:rPr>
              <w:fldChar w:fldCharType="begin">
                <w:ffData>
                  <w:name w:val="Text17"/>
                  <w:enabled/>
                  <w:calcOnExit w:val="0"/>
                  <w:textInput>
                    <w:default w:val="P"/>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P</w:t>
            </w:r>
            <w:r>
              <w:rPr>
                <w:rFonts w:ascii="Helvetica" w:hAnsi="Helvetica"/>
                <w:b/>
                <w:color w:val="000000"/>
                <w:sz w:val="18"/>
              </w:rPr>
              <w:fldChar w:fldCharType="end"/>
            </w:r>
            <w:bookmarkEnd w:id="4"/>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7A7EEF" w:rsidRDefault="007A7EEF">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X</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7A7EEF" w:rsidRDefault="007A7EE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7A7EEF" w:rsidRDefault="007A7EEF">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7A7EEF" w:rsidRDefault="007A7EEF">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bookmarkStart w:id="5" w:name="Text25"/>
            <w:r>
              <w:rPr>
                <w:rFonts w:ascii="Helvetica" w:hAnsi="Helvetica"/>
                <w:b/>
                <w:color w:val="000000"/>
                <w:sz w:val="18"/>
              </w:rPr>
              <w:fldChar w:fldCharType="begin">
                <w:ffData>
                  <w:name w:val="Text25"/>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5"/>
            <w:r>
              <w:rPr>
                <w:rFonts w:ascii="Helvetica" w:hAnsi="Helvetica"/>
                <w:color w:val="000000"/>
                <w:sz w:val="14"/>
              </w:rPr>
              <w:tab/>
            </w:r>
            <w:r>
              <w:rPr>
                <w:rFonts w:ascii="Helvetica" w:hAnsi="Helvetica"/>
                <w:color w:val="000000"/>
                <w:sz w:val="16"/>
              </w:rPr>
              <w:t>Voluntary</w:t>
            </w:r>
          </w:p>
          <w:p w:rsidR="007A7EEF" w:rsidRDefault="007A7EEF">
            <w:pPr>
              <w:tabs>
                <w:tab w:val="left" w:pos="492"/>
                <w:tab w:val="left" w:pos="2520"/>
              </w:tabs>
              <w:ind w:left="120"/>
              <w:rPr>
                <w:rFonts w:ascii="Helvetica" w:hAnsi="Helvetica"/>
                <w:color w:val="000000"/>
                <w:sz w:val="16"/>
              </w:rPr>
            </w:pPr>
            <w:r>
              <w:rPr>
                <w:rFonts w:ascii="Helvetica" w:hAnsi="Helvetica"/>
                <w:color w:val="000000"/>
                <w:sz w:val="16"/>
              </w:rPr>
              <w:t xml:space="preserve">b. </w:t>
            </w:r>
            <w:bookmarkStart w:id="6" w:name="Text26"/>
            <w:r>
              <w:rPr>
                <w:rFonts w:ascii="Helvetica" w:hAnsi="Helvetica"/>
                <w:b/>
                <w:color w:val="000000"/>
                <w:sz w:val="18"/>
              </w:rPr>
              <w:fldChar w:fldCharType="begin">
                <w:ffData>
                  <w:name w:val="Text26"/>
                  <w:enabled/>
                  <w:calcOnExit w:val="0"/>
                  <w:textInput>
                    <w:default w:val="P"/>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P</w:t>
            </w:r>
            <w:r>
              <w:rPr>
                <w:rFonts w:ascii="Helvetica" w:hAnsi="Helvetica"/>
                <w:b/>
                <w:color w:val="000000"/>
                <w:sz w:val="18"/>
              </w:rPr>
              <w:fldChar w:fldCharType="end"/>
            </w:r>
            <w:bookmarkEnd w:id="6"/>
            <w:r>
              <w:rPr>
                <w:rFonts w:ascii="Helvetica" w:hAnsi="Helvetica"/>
                <w:color w:val="000000"/>
                <w:sz w:val="16"/>
              </w:rPr>
              <w:tab/>
              <w:t>Required to obtain or retain benefits</w:t>
            </w:r>
          </w:p>
          <w:p w:rsidR="007A7EEF" w:rsidRDefault="007A7EEF">
            <w:pPr>
              <w:tabs>
                <w:tab w:val="left" w:pos="492"/>
              </w:tabs>
              <w:spacing w:after="60"/>
              <w:ind w:left="120"/>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t xml:space="preserve"> </w:t>
            </w:r>
            <w:r>
              <w:rPr>
                <w:rFonts w:ascii="Helvetica" w:hAnsi="Helvetica"/>
                <w:color w:val="000000"/>
                <w:sz w:val="16"/>
              </w:rPr>
              <w:tab/>
              <w:t>Mandatory</w:t>
            </w:r>
          </w:p>
        </w:tc>
      </w:tr>
      <w:tr w:rsidR="007A7EEF">
        <w:trPr>
          <w:trHeight w:val="2146"/>
        </w:trPr>
        <w:tc>
          <w:tcPr>
            <w:tcW w:w="5628" w:type="dxa"/>
            <w:gridSpan w:val="2"/>
            <w:tcBorders>
              <w:top w:val="single" w:sz="6" w:space="0" w:color="auto"/>
              <w:right w:val="single" w:sz="6" w:space="0" w:color="auto"/>
            </w:tcBorders>
          </w:tcPr>
          <w:p w:rsidR="007A7EEF" w:rsidRDefault="007A7EEF">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7A7EEF" w:rsidRDefault="007A7EEF">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Pr>
                <w:rFonts w:ascii="Helvetica" w:hAnsi="Helvetica"/>
                <w:color w:val="000000"/>
                <w:sz w:val="18"/>
              </w:rPr>
              <w:t>223</w:t>
            </w:r>
          </w:p>
          <w:p w:rsidR="007A7EEF" w:rsidRDefault="007A7EEF">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Pr>
                <w:rFonts w:ascii="Helvetica" w:hAnsi="Helvetica"/>
                <w:color w:val="000000"/>
                <w:sz w:val="18"/>
              </w:rPr>
              <w:t>20</w:t>
            </w:r>
          </w:p>
          <w:p w:rsidR="007A7EEF" w:rsidRDefault="007A7EEF">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0%</w:t>
            </w:r>
          </w:p>
          <w:p w:rsidR="007A7EEF" w:rsidRDefault="007A7EEF">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Pr="00EF62C3">
              <w:rPr>
                <w:rFonts w:ascii="Helvetica" w:hAnsi="Helvetica"/>
                <w:color w:val="000000"/>
                <w:sz w:val="18"/>
                <w:szCs w:val="18"/>
              </w:rPr>
              <w:t>20</w:t>
            </w:r>
          </w:p>
          <w:p w:rsidR="007A7EEF" w:rsidRDefault="007A7EEF">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szCs w:val="18"/>
              </w:rPr>
              <w:t>13</w:t>
            </w:r>
          </w:p>
          <w:p w:rsidR="007A7EEF" w:rsidRPr="00EF62C3" w:rsidRDefault="007A7EEF">
            <w:pPr>
              <w:keepLines/>
              <w:tabs>
                <w:tab w:val="left" w:pos="240"/>
                <w:tab w:val="right" w:pos="5040"/>
              </w:tabs>
              <w:ind w:left="120"/>
              <w:rPr>
                <w:rFonts w:ascii="Helvetica" w:hAnsi="Helvetica"/>
                <w:color w:val="000000"/>
                <w:sz w:val="18"/>
                <w:szCs w:val="18"/>
              </w:rPr>
            </w:pPr>
            <w:r>
              <w:rPr>
                <w:rFonts w:ascii="Helvetica" w:hAnsi="Helvetica"/>
                <w:color w:val="000000"/>
                <w:sz w:val="16"/>
              </w:rPr>
              <w:t>e. Difference (+,-)</w:t>
            </w:r>
            <w:r>
              <w:rPr>
                <w:rFonts w:ascii="Helvetica" w:hAnsi="Helvetica"/>
                <w:color w:val="000000"/>
                <w:sz w:val="16"/>
              </w:rPr>
              <w:tab/>
            </w:r>
            <w:r w:rsidRPr="00EF62C3">
              <w:rPr>
                <w:rFonts w:ascii="Helvetica" w:hAnsi="Helvetica"/>
                <w:color w:val="000000"/>
                <w:sz w:val="18"/>
                <w:szCs w:val="18"/>
              </w:rPr>
              <w:t>+</w:t>
            </w:r>
            <w:r>
              <w:rPr>
                <w:rFonts w:ascii="Helvetica" w:hAnsi="Helvetica"/>
                <w:color w:val="000000"/>
                <w:sz w:val="18"/>
                <w:szCs w:val="18"/>
              </w:rPr>
              <w:t>7</w:t>
            </w:r>
          </w:p>
          <w:p w:rsidR="007A7EEF" w:rsidRDefault="007A7EEF">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7A7EEF" w:rsidRDefault="007A7EEF">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rsidR="007A7EEF" w:rsidRDefault="007A7EEF" w:rsidP="00EF62C3">
            <w:pPr>
              <w:keepLines/>
              <w:numPr>
                <w:ilvl w:val="12"/>
                <w:numId w:val="0"/>
              </w:numPr>
              <w:tabs>
                <w:tab w:val="left" w:pos="240"/>
                <w:tab w:val="right" w:pos="5040"/>
              </w:tabs>
              <w:spacing w:after="60"/>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szCs w:val="18"/>
              </w:rPr>
              <w:t>7</w:t>
            </w:r>
          </w:p>
        </w:tc>
        <w:tc>
          <w:tcPr>
            <w:tcW w:w="5388" w:type="dxa"/>
            <w:tcBorders>
              <w:top w:val="single" w:sz="6" w:space="0" w:color="auto"/>
              <w:left w:val="nil"/>
            </w:tcBorders>
          </w:tcPr>
          <w:p w:rsidR="007A7EEF" w:rsidRDefault="007A7EEF">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7A7EEF" w:rsidRDefault="007A7EEF">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7A7EEF" w:rsidRDefault="007A7EEF">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$0.00</w:t>
            </w:r>
          </w:p>
          <w:p w:rsidR="007A7EEF" w:rsidRDefault="007A7EEF">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$0.00</w:t>
            </w:r>
          </w:p>
          <w:p w:rsidR="007A7EEF" w:rsidRDefault="007A7EEF">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$0.00</w:t>
            </w:r>
          </w:p>
          <w:p w:rsidR="007A7EEF" w:rsidRDefault="007A7EEF">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Pr>
                <w:rFonts w:ascii="Helvetica" w:hAnsi="Helvetica"/>
                <w:color w:val="000000"/>
                <w:sz w:val="18"/>
              </w:rPr>
              <w:t>$0.00</w:t>
            </w:r>
          </w:p>
          <w:p w:rsidR="007A7EEF" w:rsidRDefault="007A7EEF">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Pr>
                <w:rFonts w:ascii="Helvetica" w:hAnsi="Helvetica"/>
                <w:color w:val="000000"/>
                <w:sz w:val="18"/>
              </w:rPr>
              <w:t>$0.00</w:t>
            </w:r>
          </w:p>
          <w:p w:rsidR="007A7EEF" w:rsidRDefault="007A7EEF">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7A7EEF" w:rsidRDefault="007A7EEF">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7A7EEF" w:rsidRDefault="007A7EEF">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tc>
      </w:tr>
      <w:tr w:rsidR="007A7EEF">
        <w:trPr>
          <w:trHeight w:val="1474"/>
        </w:trPr>
        <w:tc>
          <w:tcPr>
            <w:tcW w:w="5628" w:type="dxa"/>
            <w:gridSpan w:val="2"/>
            <w:tcBorders>
              <w:top w:val="single" w:sz="6" w:space="0" w:color="auto"/>
              <w:right w:val="single" w:sz="6" w:space="0" w:color="auto"/>
            </w:tcBorders>
          </w:tcPr>
          <w:p w:rsidR="007A7EEF" w:rsidRDefault="007A7EEF">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7A7EEF" w:rsidRDefault="007A7EEF">
            <w:pPr>
              <w:keepLines/>
              <w:tabs>
                <w:tab w:val="left" w:pos="480"/>
                <w:tab w:val="left" w:pos="2520"/>
                <w:tab w:val="left" w:pos="2880"/>
              </w:tabs>
              <w:ind w:left="120"/>
              <w:rPr>
                <w:rFonts w:ascii="Helvetica" w:hAnsi="Helvetica"/>
                <w:color w:val="000000"/>
                <w:sz w:val="16"/>
              </w:rPr>
            </w:pPr>
            <w:r>
              <w:rPr>
                <w:rFonts w:ascii="Helvetica" w:hAnsi="Helvetica"/>
                <w:color w:val="000000"/>
                <w:sz w:val="16"/>
              </w:rPr>
              <w:t>a</w:t>
            </w:r>
            <w:r>
              <w:rPr>
                <w:rFonts w:ascii="Helvetica" w:hAnsi="Helvetica"/>
                <w:b/>
                <w:bCs/>
                <w:color w:val="000000"/>
                <w:sz w:val="18"/>
              </w:rPr>
              <w:t>. P</w:t>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rsidR="007A7EEF" w:rsidRDefault="007A7EEF">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7A7EEF" w:rsidRDefault="007A7EEF">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Regulatory or compliance</w:t>
            </w:r>
          </w:p>
          <w:p w:rsidR="007A7EEF" w:rsidRDefault="007A7EEF">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7A7EEF" w:rsidRDefault="007A7EEF">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7A7EEF" w:rsidRDefault="007A7EEF">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7A7EEF" w:rsidRDefault="007A7EEF">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7A7EEF" w:rsidRDefault="007A7EE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7A7EEF" w:rsidRDefault="007A7EE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7A7EEF" w:rsidRDefault="007A7EEF">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Biennially</w:t>
            </w:r>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bookmarkStart w:id="7" w:name="Text18"/>
            <w:r>
              <w:rPr>
                <w:rFonts w:ascii="Helvetica" w:hAnsi="Helvetica"/>
                <w:color w:val="000000"/>
                <w:sz w:val="16"/>
              </w:rPr>
              <w:fldChar w:fldCharType="begin">
                <w:ffData>
                  <w:name w:val="Text18"/>
                  <w:enabled/>
                  <w:calcOnExit w:val="0"/>
                  <w:textInput/>
                </w:ffData>
              </w:fldChar>
            </w:r>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7"/>
          </w:p>
          <w:p w:rsidR="007A7EEF" w:rsidRDefault="007A7EEF">
            <w:pPr>
              <w:tabs>
                <w:tab w:val="left" w:pos="240"/>
              </w:tabs>
              <w:rPr>
                <w:rFonts w:ascii="Helvetica" w:hAnsi="Helvetica"/>
                <w:color w:val="000000"/>
                <w:sz w:val="16"/>
              </w:rPr>
            </w:pPr>
          </w:p>
        </w:tc>
      </w:tr>
      <w:tr w:rsidR="007A7EEF">
        <w:tc>
          <w:tcPr>
            <w:tcW w:w="4908" w:type="dxa"/>
            <w:tcBorders>
              <w:top w:val="single" w:sz="6" w:space="0" w:color="auto"/>
              <w:bottom w:val="single" w:sz="6" w:space="0" w:color="auto"/>
            </w:tcBorders>
          </w:tcPr>
          <w:p w:rsidR="007A7EEF" w:rsidRDefault="007A7EEF">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7A7EEF" w:rsidRDefault="007A7EEF">
            <w:pPr>
              <w:keepLines/>
              <w:ind w:left="240"/>
              <w:rPr>
                <w:rFonts w:ascii="Helvetica" w:hAnsi="Helvetica"/>
                <w:color w:val="000000"/>
                <w:sz w:val="16"/>
              </w:rPr>
            </w:pPr>
            <w:r>
              <w:rPr>
                <w:rFonts w:ascii="Helvetica" w:hAnsi="Helvetica"/>
                <w:color w:val="000000"/>
                <w:sz w:val="16"/>
              </w:rPr>
              <w:t>Does this information collection employ statistical methods?</w:t>
            </w:r>
          </w:p>
          <w:p w:rsidR="007A7EEF" w:rsidRDefault="007A7EEF">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7A7EEF" w:rsidRDefault="007A7EEF">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7A7EEF" w:rsidRDefault="007A7EEF">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7A7EEF" w:rsidRDefault="007A7EEF">
            <w:pPr>
              <w:ind w:left="252"/>
              <w:rPr>
                <w:rFonts w:ascii="Helvetica" w:hAnsi="Helvetica"/>
                <w:color w:val="000000"/>
                <w:sz w:val="16"/>
              </w:rPr>
            </w:pPr>
            <w:r>
              <w:rPr>
                <w:rFonts w:ascii="Helvetica" w:hAnsi="Helvetica"/>
                <w:color w:val="000000"/>
                <w:sz w:val="16"/>
              </w:rPr>
              <w:t>Name: Bob Juenger</w:t>
            </w:r>
          </w:p>
          <w:p w:rsidR="007A7EEF" w:rsidRDefault="007A7EEF">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202-402-4966</w:t>
            </w:r>
          </w:p>
          <w:p w:rsidR="007A7EEF" w:rsidRDefault="007A7EEF">
            <w:pPr>
              <w:tabs>
                <w:tab w:val="left" w:pos="240"/>
              </w:tabs>
              <w:rPr>
                <w:rFonts w:ascii="Helvetica" w:hAnsi="Helvetica"/>
                <w:color w:val="000000"/>
                <w:sz w:val="16"/>
              </w:rPr>
            </w:pPr>
          </w:p>
        </w:tc>
      </w:tr>
    </w:tbl>
    <w:p w:rsidR="007A7EEF" w:rsidRDefault="007A7EEF">
      <w:pPr>
        <w:tabs>
          <w:tab w:val="left" w:pos="240"/>
        </w:tabs>
        <w:rPr>
          <w:rFonts w:ascii="Helvetica" w:hAnsi="Helvetica"/>
          <w:color w:val="000000"/>
          <w:sz w:val="16"/>
        </w:rPr>
      </w:pPr>
    </w:p>
    <w:p w:rsidR="007A7EEF" w:rsidRDefault="007A7EEF">
      <w:pPr>
        <w:pBdr>
          <w:top w:val="single" w:sz="6" w:space="1" w:color="auto"/>
        </w:pBdr>
        <w:tabs>
          <w:tab w:val="left" w:pos="240"/>
        </w:tabs>
        <w:jc w:val="center"/>
        <w:rPr>
          <w:rFonts w:ascii="Helvetica" w:hAnsi="Helvetica"/>
          <w:color w:val="000000"/>
          <w:sz w:val="16"/>
        </w:rPr>
        <w:sectPr w:rsidR="007A7EEF">
          <w:footerReference w:type="even" r:id="rId7"/>
          <w:footerReference w:type="default" r:id="rId8"/>
          <w:pgSz w:w="12240" w:h="15840"/>
          <w:pgMar w:top="480" w:right="600" w:bottom="480" w:left="720" w:header="480" w:footer="480" w:gutter="0"/>
          <w:cols w:space="480" w:equalWidth="0">
            <w:col w:w="10920"/>
          </w:cols>
          <w:rtlGutter/>
        </w:sectPr>
      </w:pPr>
    </w:p>
    <w:p w:rsidR="007A7EEF" w:rsidRDefault="007A7EEF">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t>19.</w:t>
      </w:r>
      <w:r>
        <w:rPr>
          <w:rFonts w:ascii="Helvetica" w:hAnsi="Helvetica"/>
          <w:color w:val="000000"/>
          <w:sz w:val="16"/>
        </w:rPr>
        <w:t xml:space="preserve"> </w:t>
      </w:r>
      <w:r>
        <w:rPr>
          <w:rFonts w:ascii="Helvetica" w:hAnsi="Helvetica"/>
          <w:b/>
          <w:color w:val="000000"/>
          <w:sz w:val="28"/>
        </w:rPr>
        <w:t>Certification for Paperwork Reduction Act Submissions</w:t>
      </w:r>
    </w:p>
    <w:p w:rsidR="007A7EEF" w:rsidRDefault="007A7EEF">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7A7EEF" w:rsidRDefault="007A7EEF">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1320/8(b)(3) appears at the end of the instructions.  The certification is to be made with reference to those regulatory provisions as set forth in the instructions.</w:t>
      </w:r>
    </w:p>
    <w:p w:rsidR="007A7EEF" w:rsidRDefault="007A7EEF">
      <w:pPr>
        <w:tabs>
          <w:tab w:val="left" w:pos="240"/>
        </w:tabs>
        <w:spacing w:line="280" w:lineRule="exact"/>
        <w:rPr>
          <w:color w:val="000000"/>
          <w:sz w:val="22"/>
        </w:rPr>
      </w:pPr>
    </w:p>
    <w:p w:rsidR="007A7EEF" w:rsidRDefault="007A7EEF">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7A7EEF" w:rsidRDefault="007A7EEF">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7A7EEF" w:rsidRDefault="007A7EEF">
      <w:pPr>
        <w:numPr>
          <w:ilvl w:val="0"/>
          <w:numId w:val="3"/>
        </w:numPr>
        <w:tabs>
          <w:tab w:val="left" w:pos="720"/>
        </w:tabs>
        <w:spacing w:line="280" w:lineRule="exact"/>
        <w:rPr>
          <w:color w:val="000000"/>
          <w:sz w:val="22"/>
        </w:rPr>
      </w:pPr>
      <w:r>
        <w:rPr>
          <w:color w:val="000000"/>
          <w:sz w:val="22"/>
        </w:rPr>
        <w:t>It avoids unnecessary duplication;</w:t>
      </w:r>
    </w:p>
    <w:p w:rsidR="007A7EEF" w:rsidRDefault="007A7EEF">
      <w:pPr>
        <w:numPr>
          <w:ilvl w:val="0"/>
          <w:numId w:val="3"/>
        </w:numPr>
        <w:tabs>
          <w:tab w:val="left" w:pos="720"/>
        </w:tabs>
        <w:spacing w:line="280" w:lineRule="exact"/>
        <w:rPr>
          <w:color w:val="000000"/>
          <w:sz w:val="22"/>
        </w:rPr>
      </w:pPr>
      <w:r>
        <w:rPr>
          <w:color w:val="000000"/>
          <w:sz w:val="22"/>
        </w:rPr>
        <w:t>It reduces burden on small entities;</w:t>
      </w:r>
    </w:p>
    <w:p w:rsidR="007A7EEF" w:rsidRDefault="007A7EEF">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7A7EEF" w:rsidRDefault="007A7EEF">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7A7EEF" w:rsidRDefault="007A7EEF">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7A7EEF" w:rsidRDefault="007A7EEF">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7A7EEF" w:rsidRDefault="007A7EEF">
      <w:pPr>
        <w:numPr>
          <w:ilvl w:val="0"/>
          <w:numId w:val="4"/>
        </w:numPr>
        <w:tabs>
          <w:tab w:val="left" w:pos="720"/>
        </w:tabs>
        <w:spacing w:line="280" w:lineRule="exact"/>
        <w:rPr>
          <w:color w:val="000000"/>
          <w:sz w:val="22"/>
        </w:rPr>
      </w:pPr>
      <w:r>
        <w:rPr>
          <w:color w:val="000000"/>
          <w:sz w:val="22"/>
        </w:rPr>
        <w:t>Why the information is being collected;</w:t>
      </w:r>
    </w:p>
    <w:p w:rsidR="007A7EEF" w:rsidRDefault="007A7EEF">
      <w:pPr>
        <w:numPr>
          <w:ilvl w:val="0"/>
          <w:numId w:val="4"/>
        </w:numPr>
        <w:tabs>
          <w:tab w:val="left" w:pos="720"/>
        </w:tabs>
        <w:spacing w:line="280" w:lineRule="exact"/>
        <w:rPr>
          <w:color w:val="000000"/>
          <w:sz w:val="22"/>
        </w:rPr>
      </w:pPr>
      <w:r>
        <w:rPr>
          <w:color w:val="000000"/>
          <w:sz w:val="22"/>
        </w:rPr>
        <w:t>Use of the information;</w:t>
      </w:r>
    </w:p>
    <w:p w:rsidR="007A7EEF" w:rsidRDefault="007A7EEF">
      <w:pPr>
        <w:numPr>
          <w:ilvl w:val="0"/>
          <w:numId w:val="4"/>
        </w:numPr>
        <w:tabs>
          <w:tab w:val="left" w:pos="720"/>
        </w:tabs>
        <w:spacing w:line="280" w:lineRule="exact"/>
        <w:rPr>
          <w:color w:val="000000"/>
          <w:sz w:val="22"/>
        </w:rPr>
      </w:pPr>
      <w:r>
        <w:rPr>
          <w:color w:val="000000"/>
          <w:sz w:val="22"/>
        </w:rPr>
        <w:t>Burden estimate;</w:t>
      </w:r>
    </w:p>
    <w:p w:rsidR="007A7EEF" w:rsidRDefault="007A7EEF">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7A7EEF" w:rsidRDefault="007A7EEF">
      <w:pPr>
        <w:numPr>
          <w:ilvl w:val="0"/>
          <w:numId w:val="4"/>
        </w:numPr>
        <w:tabs>
          <w:tab w:val="left" w:pos="720"/>
        </w:tabs>
        <w:spacing w:line="280" w:lineRule="exact"/>
        <w:rPr>
          <w:color w:val="000000"/>
          <w:sz w:val="22"/>
        </w:rPr>
      </w:pPr>
      <w:r>
        <w:rPr>
          <w:color w:val="000000"/>
          <w:sz w:val="22"/>
        </w:rPr>
        <w:t>Nature and extent of confidentiality; and</w:t>
      </w:r>
    </w:p>
    <w:p w:rsidR="007A7EEF" w:rsidRDefault="007A7EEF">
      <w:pPr>
        <w:numPr>
          <w:ilvl w:val="0"/>
          <w:numId w:val="4"/>
        </w:numPr>
        <w:tabs>
          <w:tab w:val="left" w:pos="720"/>
        </w:tabs>
        <w:spacing w:line="280" w:lineRule="exact"/>
        <w:rPr>
          <w:color w:val="000000"/>
          <w:sz w:val="22"/>
        </w:rPr>
      </w:pPr>
      <w:r>
        <w:rPr>
          <w:color w:val="000000"/>
          <w:sz w:val="22"/>
        </w:rPr>
        <w:t>Need to display currently valid OMB control number;</w:t>
      </w:r>
    </w:p>
    <w:p w:rsidR="007A7EEF" w:rsidRDefault="007A7EEF">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7A7EEF" w:rsidRDefault="007A7EEF">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7A7EEF" w:rsidRDefault="007A7EEF">
      <w:pPr>
        <w:numPr>
          <w:ilvl w:val="0"/>
          <w:numId w:val="6"/>
        </w:numPr>
        <w:tabs>
          <w:tab w:val="left" w:pos="720"/>
        </w:tabs>
        <w:spacing w:line="280" w:lineRule="exact"/>
        <w:rPr>
          <w:color w:val="000000"/>
          <w:sz w:val="22"/>
        </w:rPr>
      </w:pPr>
      <w:r>
        <w:rPr>
          <w:color w:val="000000"/>
          <w:sz w:val="22"/>
        </w:rPr>
        <w:t>It makes appropriate use of information technology.</w:t>
      </w:r>
    </w:p>
    <w:p w:rsidR="007A7EEF" w:rsidRDefault="007A7EEF">
      <w:pPr>
        <w:tabs>
          <w:tab w:val="left" w:pos="600"/>
        </w:tabs>
        <w:spacing w:line="280" w:lineRule="exact"/>
        <w:rPr>
          <w:color w:val="000000"/>
          <w:sz w:val="22"/>
        </w:rPr>
      </w:pPr>
    </w:p>
    <w:p w:rsidR="007A7EEF" w:rsidRDefault="007A7EEF">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bookmarkStart w:id="8" w:name="Text20"/>
    <w:p w:rsidR="007A7EEF" w:rsidRDefault="007A7EEF">
      <w:pPr>
        <w:tabs>
          <w:tab w:val="left" w:pos="240"/>
        </w:tabs>
        <w:ind w:left="240"/>
        <w:rPr>
          <w:color w:val="000000"/>
        </w:rPr>
      </w:pPr>
      <w:r>
        <w:rPr>
          <w:color w:val="000000"/>
        </w:rPr>
        <w:fldChar w:fldCharType="begin">
          <w:ffData>
            <w:name w:val="Text2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8"/>
    </w:p>
    <w:p w:rsidR="007A7EEF" w:rsidRDefault="007A7EEF">
      <w:pPr>
        <w:tabs>
          <w:tab w:val="left" w:pos="240"/>
        </w:tabs>
        <w:rPr>
          <w:color w:val="000000"/>
        </w:rPr>
      </w:pPr>
    </w:p>
    <w:tbl>
      <w:tblPr>
        <w:tblW w:w="0" w:type="auto"/>
        <w:tblLayout w:type="fixed"/>
        <w:tblLook w:val="0000"/>
      </w:tblPr>
      <w:tblGrid>
        <w:gridCol w:w="8388"/>
        <w:gridCol w:w="2628"/>
      </w:tblGrid>
      <w:tr w:rsidR="007A7EEF">
        <w:tc>
          <w:tcPr>
            <w:tcW w:w="8388" w:type="dxa"/>
            <w:tcBorders>
              <w:top w:val="single" w:sz="6" w:space="0" w:color="auto"/>
              <w:bottom w:val="single" w:sz="6" w:space="0" w:color="auto"/>
            </w:tcBorders>
          </w:tcPr>
          <w:p w:rsidR="007A7EEF" w:rsidRDefault="007A7EEF">
            <w:pPr>
              <w:tabs>
                <w:tab w:val="left" w:pos="240"/>
              </w:tabs>
              <w:rPr>
                <w:rFonts w:ascii="Helvetica" w:hAnsi="Helvetica"/>
                <w:color w:val="000000"/>
                <w:sz w:val="16"/>
              </w:rPr>
            </w:pPr>
            <w:r>
              <w:rPr>
                <w:rFonts w:ascii="Helvetica" w:hAnsi="Helvetica"/>
                <w:color w:val="000000"/>
                <w:sz w:val="16"/>
              </w:rPr>
              <w:t>Signature of Program Official:</w:t>
            </w:r>
          </w:p>
          <w:p w:rsidR="007A7EEF" w:rsidRDefault="007A7EEF">
            <w:pPr>
              <w:tabs>
                <w:tab w:val="left" w:pos="240"/>
              </w:tabs>
              <w:rPr>
                <w:rFonts w:ascii="Helvetica" w:hAnsi="Helvetica"/>
                <w:color w:val="000000"/>
                <w:sz w:val="16"/>
              </w:rPr>
            </w:pPr>
          </w:p>
          <w:p w:rsidR="007A7EEF" w:rsidRDefault="007A7EEF">
            <w:pPr>
              <w:tabs>
                <w:tab w:val="left" w:pos="240"/>
              </w:tabs>
              <w:rPr>
                <w:rFonts w:ascii="Helvetica" w:hAnsi="Helvetica"/>
                <w:color w:val="000000"/>
                <w:sz w:val="16"/>
              </w:rPr>
            </w:pPr>
          </w:p>
          <w:p w:rsidR="007A7EEF" w:rsidRDefault="007A7EEF">
            <w:pPr>
              <w:tabs>
                <w:tab w:val="left" w:pos="240"/>
              </w:tabs>
              <w:rPr>
                <w:rFonts w:ascii="Helvetica" w:hAnsi="Helvetica"/>
                <w:color w:val="000000"/>
                <w:sz w:val="16"/>
              </w:rPr>
            </w:pPr>
          </w:p>
          <w:p w:rsidR="007A7EEF" w:rsidRDefault="007A7EEF">
            <w:pPr>
              <w:tabs>
                <w:tab w:val="left" w:pos="240"/>
              </w:tabs>
              <w:rPr>
                <w:rFonts w:ascii="Helvetica" w:hAnsi="Helvetica"/>
                <w:color w:val="000000"/>
                <w:sz w:val="16"/>
              </w:rPr>
            </w:pPr>
            <w:r>
              <w:rPr>
                <w:rFonts w:ascii="Helvetica" w:hAnsi="Helvetica"/>
                <w:color w:val="000000"/>
                <w:sz w:val="16"/>
              </w:rPr>
              <w:t>X</w:t>
            </w:r>
          </w:p>
          <w:p w:rsidR="007A7EEF" w:rsidRDefault="007A7EEF">
            <w:pPr>
              <w:tabs>
                <w:tab w:val="left" w:pos="240"/>
              </w:tabs>
              <w:rPr>
                <w:rFonts w:ascii="Helvetica" w:hAnsi="Helvetica"/>
                <w:color w:val="000000"/>
                <w:sz w:val="16"/>
              </w:rPr>
            </w:pPr>
            <w:r>
              <w:rPr>
                <w:rFonts w:ascii="Helvetica" w:hAnsi="Helvetica"/>
                <w:color w:val="000000"/>
                <w:sz w:val="16"/>
              </w:rPr>
              <w:t>Kevin B. Perkins, Director, Organizational Policy, Planning and Analysis Division, HROA</w:t>
            </w:r>
          </w:p>
        </w:tc>
        <w:tc>
          <w:tcPr>
            <w:tcW w:w="2628" w:type="dxa"/>
            <w:tcBorders>
              <w:top w:val="single" w:sz="6" w:space="0" w:color="auto"/>
              <w:left w:val="single" w:sz="6" w:space="0" w:color="auto"/>
              <w:bottom w:val="single" w:sz="6" w:space="0" w:color="auto"/>
            </w:tcBorders>
          </w:tcPr>
          <w:p w:rsidR="007A7EEF" w:rsidRDefault="007A7EEF">
            <w:pPr>
              <w:tabs>
                <w:tab w:val="left" w:pos="240"/>
              </w:tabs>
              <w:rPr>
                <w:rFonts w:ascii="Helvetica" w:hAnsi="Helvetica"/>
                <w:color w:val="000000"/>
                <w:sz w:val="16"/>
              </w:rPr>
            </w:pPr>
            <w:r>
              <w:rPr>
                <w:rFonts w:ascii="Helvetica" w:hAnsi="Helvetica"/>
                <w:color w:val="000000"/>
                <w:sz w:val="16"/>
              </w:rPr>
              <w:t>Date:</w:t>
            </w:r>
          </w:p>
        </w:tc>
      </w:tr>
    </w:tbl>
    <w:p w:rsidR="007A7EEF" w:rsidRDefault="007A7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t>Supporting Statement for Paperwork Reduction Act Submissions</w:t>
      </w:r>
    </w:p>
    <w:p w:rsidR="007A7EEF" w:rsidRDefault="007A7E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7A7EEF" w:rsidRDefault="007A7EEF">
      <w:pPr>
        <w:pStyle w:val="Heading1"/>
        <w:rPr>
          <w:color w:val="000000"/>
        </w:rPr>
      </w:pPr>
      <w:r>
        <w:rPr>
          <w:color w:val="000000"/>
        </w:rPr>
        <w:t>Deed-in-Lieu of Foreclosure (Corporate Mortgagors or</w:t>
      </w:r>
    </w:p>
    <w:p w:rsidR="007A7EEF" w:rsidRDefault="007A7E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Pr>
          <w:rFonts w:ascii="Helvetica" w:hAnsi="Helvetica"/>
          <w:b/>
          <w:color w:val="000000"/>
          <w:sz w:val="24"/>
        </w:rPr>
        <w:t>Mortgagors Owning More than One Property)</w:t>
      </w:r>
    </w:p>
    <w:p w:rsidR="007A7EEF" w:rsidRDefault="007A7E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Pr>
          <w:rFonts w:ascii="Helvetica" w:hAnsi="Helvetica"/>
          <w:b/>
          <w:color w:val="000000"/>
          <w:sz w:val="24"/>
        </w:rPr>
        <w:t>OMB Control Number 2502-0301</w:t>
      </w:r>
    </w:p>
    <w:p w:rsidR="007A7EEF" w:rsidRDefault="007A7E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p>
    <w:p w:rsidR="007A7EEF" w:rsidRDefault="007A7E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A. </w:t>
      </w:r>
      <w:r>
        <w:rPr>
          <w:b/>
          <w:color w:val="000000"/>
          <w:sz w:val="24"/>
        </w:rPr>
        <w:tab/>
        <w:t>Justification</w:t>
      </w:r>
    </w:p>
    <w:p w:rsidR="007A7EEF" w:rsidRDefault="007A7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7A7EEF" w:rsidRDefault="007A7EEF">
      <w:pPr>
        <w:pStyle w:val="BodyTextIndent"/>
        <w:keepLines/>
        <w:spacing w:after="80"/>
        <w:rPr>
          <w:color w:val="000000"/>
        </w:rPr>
      </w:pPr>
      <w:r>
        <w:rPr>
          <w:color w:val="000000"/>
        </w:rPr>
        <w:t>1.</w:t>
      </w:r>
      <w:r>
        <w:rPr>
          <w:color w:val="000000"/>
        </w:rPr>
        <w:tab/>
        <w:t xml:space="preserve">Mortgagees must obtain prior approval from HUD’s </w:t>
      </w:r>
      <w:smartTag w:uri="urn:schemas-microsoft-com:office:smarttags" w:element="PlaceName">
        <w:smartTag w:uri="urn:schemas-microsoft-com:office:smarttags" w:element="place">
          <w:smartTag w:uri="urn:schemas-microsoft-com:office:smarttags" w:element="PlaceName">
            <w:r>
              <w:rPr>
                <w:color w:val="000000"/>
              </w:rPr>
              <w:t>National</w:t>
            </w:r>
          </w:smartTag>
          <w:r>
            <w:rPr>
              <w:color w:val="000000"/>
            </w:rPr>
            <w:t xml:space="preserve"> </w:t>
          </w:r>
          <w:smartTag w:uri="urn:schemas-microsoft-com:office:smarttags" w:element="PlaceName">
            <w:r>
              <w:rPr>
                <w:color w:val="000000"/>
              </w:rPr>
              <w:t>Servicing</w:t>
            </w:r>
          </w:smartTag>
          <w:r>
            <w:rPr>
              <w:color w:val="000000"/>
            </w:rPr>
            <w:t xml:space="preserve"> </w:t>
          </w:r>
          <w:smartTag w:uri="urn:schemas-microsoft-com:office:smarttags" w:element="PlaceType">
            <w:r>
              <w:rPr>
                <w:color w:val="000000"/>
              </w:rPr>
              <w:t>Center</w:t>
            </w:r>
          </w:smartTag>
        </w:smartTag>
      </w:smartTag>
      <w:r>
        <w:rPr>
          <w:color w:val="000000"/>
        </w:rPr>
        <w:t xml:space="preserve"> when they are considering accepting a deed-in-lieu of foreclosure from corporate mortgagors or mortgagors owning more than one property.  Section 204 of the National Housing Act (P. L. 479, 48 Stat. 1246, 12 U.S.C. 1701 et seq.), 24 CFR 203.357, and HUD Handbook 4330.1 Rev.-5, Administration of Insured Home Mortgages, identify the legal and administration requirements that necessitate the information collection.</w:t>
      </w:r>
    </w:p>
    <w:p w:rsidR="007A7EEF" w:rsidRDefault="007A7EEF">
      <w:pPr>
        <w:tabs>
          <w:tab w:val="left" w:pos="360"/>
        </w:tabs>
        <w:rPr>
          <w:color w:val="000000"/>
          <w:sz w:val="24"/>
        </w:rPr>
      </w:pP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cs="Times New Roman"/>
          <w:color w:val="000000"/>
          <w:sz w:val="24"/>
        </w:rPr>
      </w:pPr>
      <w:r>
        <w:rPr>
          <w:rFonts w:ascii="Times New Roman" w:hAnsi="Times New Roman" w:cs="Times New Roman"/>
          <w:color w:val="000000"/>
          <w:sz w:val="24"/>
        </w:rPr>
        <w:t>2.</w:t>
      </w:r>
      <w:r>
        <w:rPr>
          <w:rFonts w:ascii="Times New Roman" w:hAnsi="Times New Roman" w:cs="Times New Roman"/>
          <w:color w:val="000000"/>
          <w:sz w:val="24"/>
        </w:rPr>
        <w:tab/>
        <w:t>Mortgagees, who are also the respondents, accept deeds-in-lieu of foreclosure from mortgagors and convey title to HUD in return for insurance benefits.  Prior to accepting a deed-in-lieu of foreclosure from corporate mortgagors or mortgagors owning more than one property, mortgagees must first obtain prior written consent from HUD.</w:t>
      </w: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cs="Times New Roman"/>
          <w:color w:val="000000"/>
          <w:sz w:val="24"/>
        </w:rPr>
      </w:pP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color w:val="000000"/>
          <w:sz w:val="24"/>
        </w:rPr>
        <w:t xml:space="preserve">Mortgagees are empowered to decide whether or not the mortgagor qualifies.  The </w:t>
      </w:r>
      <w:r>
        <w:rPr>
          <w:rFonts w:ascii="Times New Roman" w:hAnsi="Times New Roman" w:cs="Times New Roman"/>
          <w:sz w:val="24"/>
        </w:rPr>
        <w:t>Credit Alert Interactive Response Systems (CAIVRS) system must be used when pre-screening mortgagors' eligibility for deeds-in-lieu.  Mortgagees must use CAIVRS to find out if the mortgagor has another FHA-insured mortgage in default or if a claim for insurance benefits has been paid for another FHA-insured mortgage executed by the mortgagor.  If the system indicates that the mortgagor does have another FHA-insured mortgage in default or a claim has been filed or paid, then the case must be forwarded to HUD for approval to accept a deed-in-lieu.</w:t>
      </w:r>
      <w:r>
        <w:rPr>
          <w:rFonts w:ascii="Times New Roman" w:hAnsi="Times New Roman" w:cs="Times New Roman"/>
          <w:sz w:val="24"/>
        </w:rPr>
        <w:br/>
      </w:r>
      <w:r>
        <w:rPr>
          <w:rFonts w:ascii="Times New Roman" w:hAnsi="Times New Roman" w:cs="Times New Roman"/>
          <w:sz w:val="24"/>
        </w:rPr>
        <w:br/>
        <w:t>HUD may approve acceptance of a deed from a corporation/partnership mortgagor or from one owning more than one property subject to an insured mortgage or one held by HUD.  Requests for approval are submitted to HUD and must be accompanied by:</w:t>
      </w: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sz w:val="24"/>
        </w:rPr>
      </w:pP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statement of the cause of default;</w:t>
      </w: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an accounting of the assets of the mortgagor other than the mortgaged property and a statement as to the disposition of income, if any, from those assets; </w:t>
      </w: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any other information that might assist in the proper consideration of the request; and</w:t>
      </w: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any other information that HUD may request.</w:t>
      </w:r>
    </w:p>
    <w:p w:rsidR="007A7EEF" w:rsidRDefault="007A7E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sz w:val="24"/>
        </w:rPr>
      </w:pPr>
    </w:p>
    <w:p w:rsidR="007A7EEF" w:rsidRDefault="007A7EEF">
      <w:pPr>
        <w:pStyle w:val="BodyTextIndent2"/>
      </w:pPr>
      <w:r>
        <w:t>3.</w:t>
      </w:r>
      <w:r>
        <w:tab/>
        <w:t>HUD has not received any requests to accept deeds-in-lieu of foreclosure from corporate mortgagors or mortgagors owning more than one property for several years.  Due to the infrequency in the use of this loss mitigation option by corporate mortgagors or mortgagors who own more than one property insured by FHA, the Department has no immediate plans to develop other technological collection techniques.</w:t>
      </w:r>
    </w:p>
    <w:p w:rsidR="007A7EEF" w:rsidRDefault="007A7EEF">
      <w:pPr>
        <w:tabs>
          <w:tab w:val="left" w:pos="360"/>
        </w:tabs>
        <w:ind w:left="360" w:hanging="360"/>
        <w:rPr>
          <w:color w:val="000000"/>
          <w:sz w:val="24"/>
        </w:rPr>
      </w:pPr>
    </w:p>
    <w:p w:rsidR="007A7EEF" w:rsidRDefault="007A7EEF">
      <w:pPr>
        <w:keepLines/>
        <w:tabs>
          <w:tab w:val="left" w:pos="360"/>
        </w:tabs>
        <w:spacing w:after="80"/>
        <w:ind w:left="360" w:hanging="360"/>
        <w:rPr>
          <w:color w:val="000000"/>
          <w:sz w:val="24"/>
        </w:rPr>
      </w:pPr>
      <w:r>
        <w:rPr>
          <w:color w:val="000000"/>
          <w:sz w:val="24"/>
        </w:rPr>
        <w:t>4.</w:t>
      </w:r>
      <w:r>
        <w:rPr>
          <w:color w:val="000000"/>
          <w:sz w:val="24"/>
        </w:rPr>
        <w:tab/>
        <w:t>There is no duplication.  A review of the Office of Single Family Housing’s procedures confirms that no other procedures provide this particular information.</w:t>
      </w:r>
    </w:p>
    <w:p w:rsidR="007A7EEF" w:rsidRDefault="007A7EEF">
      <w:pPr>
        <w:tabs>
          <w:tab w:val="left" w:pos="360"/>
        </w:tabs>
        <w:ind w:left="360" w:hanging="360"/>
        <w:rPr>
          <w:color w:val="000000"/>
          <w:sz w:val="24"/>
        </w:rPr>
      </w:pPr>
    </w:p>
    <w:p w:rsidR="007A7EEF" w:rsidRDefault="007A7EEF">
      <w:pPr>
        <w:keepLines/>
        <w:tabs>
          <w:tab w:val="left" w:pos="360"/>
        </w:tabs>
        <w:spacing w:after="80"/>
        <w:ind w:left="360" w:hanging="360"/>
        <w:rPr>
          <w:color w:val="000000"/>
          <w:sz w:val="24"/>
        </w:rPr>
      </w:pPr>
      <w:r>
        <w:rPr>
          <w:color w:val="000000"/>
          <w:sz w:val="24"/>
        </w:rPr>
        <w:t>5.</w:t>
      </w:r>
      <w:r>
        <w:rPr>
          <w:color w:val="000000"/>
          <w:sz w:val="24"/>
        </w:rPr>
        <w:tab/>
        <w:t>The collection of this information will not have a significant impact on a substantial number of small businesses or other small entities.</w:t>
      </w:r>
    </w:p>
    <w:p w:rsidR="007A7EEF" w:rsidRDefault="007A7EEF">
      <w:pPr>
        <w:tabs>
          <w:tab w:val="left" w:pos="360"/>
        </w:tabs>
        <w:ind w:left="360" w:hanging="360"/>
        <w:rPr>
          <w:color w:val="000000"/>
          <w:sz w:val="24"/>
        </w:rPr>
      </w:pPr>
    </w:p>
    <w:p w:rsidR="007A7EEF" w:rsidRDefault="007A7EEF">
      <w:pPr>
        <w:keepLines/>
        <w:tabs>
          <w:tab w:val="left" w:pos="360"/>
        </w:tabs>
        <w:spacing w:after="80"/>
        <w:ind w:left="360" w:hanging="360"/>
        <w:rPr>
          <w:color w:val="000000"/>
          <w:sz w:val="24"/>
        </w:rPr>
      </w:pPr>
      <w:r>
        <w:rPr>
          <w:color w:val="000000"/>
          <w:sz w:val="24"/>
        </w:rPr>
        <w:t>6.</w:t>
      </w:r>
      <w:r>
        <w:rPr>
          <w:color w:val="000000"/>
          <w:sz w:val="24"/>
        </w:rPr>
        <w:tab/>
        <w:t>If HUD did not collect this information, the consequence could possibly result in the Department paying claims, which may not be in the best interest of the Secretary.  In addition, not requiring the information may encourage mortgagors to use deed-in-lieu methods as a means of disposing of troublesome mortgages/cases.</w:t>
      </w:r>
    </w:p>
    <w:p w:rsidR="007A7EEF" w:rsidRDefault="007A7EEF">
      <w:pPr>
        <w:keepLines/>
        <w:tabs>
          <w:tab w:val="left" w:pos="360"/>
        </w:tabs>
        <w:spacing w:after="80"/>
        <w:rPr>
          <w:color w:val="000000"/>
          <w:sz w:val="24"/>
        </w:rPr>
      </w:pPr>
    </w:p>
    <w:p w:rsidR="007A7EEF" w:rsidRDefault="007A7EEF">
      <w:pPr>
        <w:keepLines/>
        <w:tabs>
          <w:tab w:val="left" w:pos="360"/>
        </w:tabs>
        <w:spacing w:after="80"/>
        <w:rPr>
          <w:color w:val="000000"/>
          <w:sz w:val="24"/>
        </w:rPr>
      </w:pPr>
      <w:r>
        <w:rPr>
          <w:color w:val="000000"/>
          <w:sz w:val="24"/>
        </w:rPr>
        <w:t>7.</w:t>
      </w:r>
      <w:r>
        <w:rPr>
          <w:color w:val="000000"/>
          <w:sz w:val="24"/>
        </w:rPr>
        <w:tab/>
        <w:t>There are no special circumstances associated with this information collection.</w:t>
      </w:r>
    </w:p>
    <w:p w:rsidR="007A7EEF" w:rsidRDefault="007A7EEF">
      <w:pPr>
        <w:tabs>
          <w:tab w:val="left" w:pos="360"/>
        </w:tabs>
        <w:rPr>
          <w:color w:val="000000"/>
          <w:sz w:val="24"/>
        </w:rPr>
      </w:pPr>
    </w:p>
    <w:p w:rsidR="007A7EEF" w:rsidRDefault="007A7EEF">
      <w:pPr>
        <w:tabs>
          <w:tab w:val="left" w:pos="360"/>
        </w:tabs>
        <w:ind w:left="360" w:hanging="360"/>
        <w:rPr>
          <w:color w:val="000000"/>
          <w:sz w:val="24"/>
        </w:rPr>
      </w:pPr>
      <w:r>
        <w:rPr>
          <w:color w:val="000000"/>
          <w:sz w:val="24"/>
        </w:rPr>
        <w:t>8.</w:t>
      </w:r>
      <w:r>
        <w:rPr>
          <w:color w:val="000000"/>
          <w:sz w:val="24"/>
        </w:rPr>
        <w:tab/>
        <w:t xml:space="preserve">In accordance with 5 CFR 1320.8(d), the agency’s notice soliciting public comments was announced in the </w:t>
      </w:r>
      <w:r>
        <w:rPr>
          <w:i/>
          <w:iCs/>
          <w:color w:val="000000"/>
          <w:sz w:val="24"/>
        </w:rPr>
        <w:t>Federal Register</w:t>
      </w:r>
      <w:r>
        <w:rPr>
          <w:color w:val="000000"/>
          <w:sz w:val="24"/>
        </w:rPr>
        <w:t xml:space="preserve"> on November 26, 2008 (Vol. 73, No. 229, pages 72073).  No comments were received.</w:t>
      </w:r>
    </w:p>
    <w:p w:rsidR="007A7EEF" w:rsidRDefault="007A7EEF">
      <w:pPr>
        <w:pStyle w:val="BodyTextIndent"/>
        <w:rPr>
          <w:color w:val="000000"/>
        </w:rPr>
      </w:pPr>
    </w:p>
    <w:p w:rsidR="007A7EEF" w:rsidRDefault="007A7EEF">
      <w:pPr>
        <w:pStyle w:val="BodyTextIndent"/>
        <w:rPr>
          <w:color w:val="000000"/>
        </w:rPr>
      </w:pPr>
      <w:r>
        <w:rPr>
          <w:color w:val="000000"/>
        </w:rPr>
        <w:tab/>
        <w:t xml:space="preserve">Any consultation with outside entities regarding this process is conducted during the on-site reviews of the lending institutions’ loan servicing operations.  Staff at HUD’s National Servicing Center (NSC) in Tulsa, Oklahoma, verified that deeds-in-lieu of foreclosure from corporate mortgagors or mortgagors owning more than one property had not been utilized for several years.  However, given the recent influx of foreclosures in the mortgage industry, HUD could potentially receive approximately 20 submissions annually. </w:t>
      </w:r>
    </w:p>
    <w:p w:rsidR="007A7EEF" w:rsidRDefault="007A7EEF">
      <w:pPr>
        <w:tabs>
          <w:tab w:val="left" w:pos="360"/>
        </w:tabs>
        <w:ind w:left="360" w:hanging="360"/>
        <w:rPr>
          <w:color w:val="000000"/>
          <w:sz w:val="24"/>
        </w:rPr>
      </w:pPr>
    </w:p>
    <w:p w:rsidR="007A7EEF" w:rsidRDefault="007A7EEF">
      <w:pPr>
        <w:tabs>
          <w:tab w:val="left" w:pos="360"/>
        </w:tabs>
        <w:ind w:left="360" w:hanging="360"/>
        <w:rPr>
          <w:color w:val="000000"/>
          <w:sz w:val="24"/>
        </w:rPr>
      </w:pPr>
      <w:r>
        <w:rPr>
          <w:color w:val="000000"/>
          <w:sz w:val="24"/>
        </w:rPr>
        <w:t>9.</w:t>
      </w:r>
      <w:r>
        <w:rPr>
          <w:color w:val="000000"/>
          <w:sz w:val="24"/>
        </w:rPr>
        <w:tab/>
        <w:t>The collection of this information does not provide for any payment or gifts to respondents other than the insurance benefits to which they are entitled.</w:t>
      </w:r>
    </w:p>
    <w:p w:rsidR="007A7EEF" w:rsidRDefault="007A7EEF">
      <w:pPr>
        <w:tabs>
          <w:tab w:val="left" w:pos="360"/>
        </w:tabs>
        <w:ind w:left="360" w:hanging="360"/>
        <w:rPr>
          <w:color w:val="000000"/>
          <w:sz w:val="24"/>
        </w:rPr>
      </w:pPr>
    </w:p>
    <w:p w:rsidR="007A7EEF" w:rsidRDefault="007A7EEF">
      <w:pPr>
        <w:tabs>
          <w:tab w:val="left" w:pos="360"/>
        </w:tabs>
        <w:ind w:left="360" w:hanging="360"/>
        <w:rPr>
          <w:color w:val="000000"/>
          <w:sz w:val="24"/>
        </w:rPr>
      </w:pPr>
      <w:r>
        <w:rPr>
          <w:color w:val="000000"/>
          <w:sz w:val="24"/>
        </w:rPr>
        <w:t>10.</w:t>
      </w:r>
      <w:r>
        <w:rPr>
          <w:color w:val="000000"/>
          <w:sz w:val="24"/>
        </w:rPr>
        <w:tab/>
        <w:t>No assurances of confidentiality are provided.</w:t>
      </w:r>
    </w:p>
    <w:p w:rsidR="007A7EEF" w:rsidRDefault="007A7EEF">
      <w:pPr>
        <w:tabs>
          <w:tab w:val="left" w:pos="360"/>
        </w:tabs>
        <w:ind w:left="360" w:hanging="360"/>
        <w:rPr>
          <w:color w:val="000000"/>
          <w:sz w:val="24"/>
        </w:rPr>
      </w:pPr>
    </w:p>
    <w:p w:rsidR="007A7EEF" w:rsidRDefault="007A7EEF">
      <w:pPr>
        <w:tabs>
          <w:tab w:val="left" w:pos="360"/>
        </w:tabs>
        <w:ind w:left="360" w:hanging="360"/>
        <w:rPr>
          <w:color w:val="000000"/>
          <w:sz w:val="24"/>
        </w:rPr>
      </w:pPr>
      <w:r>
        <w:rPr>
          <w:color w:val="000000"/>
          <w:sz w:val="24"/>
        </w:rPr>
        <w:t>11.</w:t>
      </w:r>
      <w:r>
        <w:rPr>
          <w:color w:val="000000"/>
          <w:sz w:val="24"/>
        </w:rPr>
        <w:tab/>
        <w:t>The information collection contains no questions of a sensitive nature.</w:t>
      </w:r>
    </w:p>
    <w:p w:rsidR="007A7EEF" w:rsidRDefault="007A7EEF">
      <w:pPr>
        <w:tabs>
          <w:tab w:val="left" w:pos="360"/>
        </w:tabs>
        <w:rPr>
          <w:color w:val="000000"/>
          <w:sz w:val="24"/>
        </w:rPr>
      </w:pPr>
    </w:p>
    <w:p w:rsidR="007A7EEF" w:rsidRDefault="007A7EEF">
      <w:pPr>
        <w:keepNext/>
        <w:tabs>
          <w:tab w:val="left" w:pos="360"/>
        </w:tabs>
        <w:rPr>
          <w:color w:val="000000"/>
          <w:sz w:val="24"/>
        </w:rPr>
      </w:pPr>
      <w:r>
        <w:rPr>
          <w:color w:val="000000"/>
          <w:sz w:val="24"/>
        </w:rPr>
        <w:t>12.</w:t>
      </w:r>
      <w:r>
        <w:rPr>
          <w:color w:val="000000"/>
          <w:sz w:val="24"/>
        </w:rPr>
        <w:tab/>
        <w:t>Estimated Burden and Cost to the Respondents:</w:t>
      </w:r>
    </w:p>
    <w:p w:rsidR="007A7EEF" w:rsidRDefault="007A7EEF">
      <w:pPr>
        <w:keepNext/>
        <w:tabs>
          <w:tab w:val="left" w:pos="360"/>
        </w:tabs>
        <w:rPr>
          <w:color w:val="000000"/>
          <w:sz w:val="24"/>
        </w:rPr>
      </w:pPr>
    </w:p>
    <w:p w:rsidR="007A7EEF" w:rsidRDefault="007A7EEF">
      <w:pPr>
        <w:pStyle w:val="BodyTextIndent3"/>
      </w:pPr>
      <w:r>
        <w:t xml:space="preserve">There are approximately 223 mortgagees or respondents who service HUD-insured loans and could potentially request approval from HUD to accept deed-in-lieu of foreclosure from corporate mortgagors or mortgagors owning more than one property.  However, HUD has received no such requests for several years.  Given the recent influx of foreclosures in the mortgage industry, HUD could potentially receive approximately 20 submissions annually. </w:t>
      </w:r>
    </w:p>
    <w:p w:rsidR="007A7EEF" w:rsidRDefault="007A7EEF">
      <w:pPr>
        <w:pStyle w:val="OmniPage267"/>
        <w:keepNext/>
        <w:ind w:left="0"/>
        <w:rPr>
          <w:color w:val="000000"/>
          <w:sz w:val="24"/>
        </w:rPr>
      </w:pP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6"/>
        <w:gridCol w:w="1350"/>
        <w:gridCol w:w="1260"/>
        <w:gridCol w:w="1260"/>
        <w:gridCol w:w="1440"/>
        <w:gridCol w:w="1440"/>
        <w:gridCol w:w="991"/>
        <w:gridCol w:w="1277"/>
      </w:tblGrid>
      <w:tr w:rsidR="007A7EEF">
        <w:tc>
          <w:tcPr>
            <w:tcW w:w="1546" w:type="dxa"/>
          </w:tcPr>
          <w:p w:rsidR="007A7EEF" w:rsidRDefault="007A7EEF">
            <w:pPr>
              <w:keepNext/>
              <w:jc w:val="center"/>
              <w:rPr>
                <w:rFonts w:ascii="Arial" w:hAnsi="Arial" w:cs="Arial"/>
                <w:color w:val="000000"/>
                <w:sz w:val="18"/>
              </w:rPr>
            </w:pPr>
            <w:r>
              <w:rPr>
                <w:rFonts w:ascii="Arial" w:hAnsi="Arial" w:cs="Arial"/>
                <w:color w:val="000000"/>
                <w:sz w:val="18"/>
              </w:rPr>
              <w:t>Information Collection</w:t>
            </w:r>
          </w:p>
        </w:tc>
        <w:tc>
          <w:tcPr>
            <w:tcW w:w="1350" w:type="dxa"/>
          </w:tcPr>
          <w:p w:rsidR="007A7EEF" w:rsidRDefault="007A7EEF">
            <w:pPr>
              <w:keepNext/>
              <w:jc w:val="center"/>
              <w:rPr>
                <w:rFonts w:ascii="Arial" w:hAnsi="Arial" w:cs="Arial"/>
                <w:color w:val="000000"/>
                <w:sz w:val="18"/>
              </w:rPr>
            </w:pPr>
            <w:r>
              <w:rPr>
                <w:rFonts w:ascii="Arial" w:hAnsi="Arial" w:cs="Arial"/>
                <w:color w:val="000000"/>
                <w:sz w:val="18"/>
              </w:rPr>
              <w:t>Number of Respondents</w:t>
            </w:r>
          </w:p>
        </w:tc>
        <w:tc>
          <w:tcPr>
            <w:tcW w:w="1260" w:type="dxa"/>
          </w:tcPr>
          <w:p w:rsidR="007A7EEF" w:rsidRDefault="007A7EEF">
            <w:pPr>
              <w:keepNext/>
              <w:jc w:val="center"/>
              <w:rPr>
                <w:rFonts w:ascii="Arial" w:hAnsi="Arial" w:cs="Arial"/>
                <w:color w:val="000000"/>
                <w:sz w:val="18"/>
              </w:rPr>
            </w:pPr>
            <w:r>
              <w:rPr>
                <w:rFonts w:ascii="Arial" w:hAnsi="Arial" w:cs="Arial"/>
                <w:color w:val="000000"/>
                <w:sz w:val="18"/>
              </w:rPr>
              <w:t>Frequency of Response</w:t>
            </w:r>
          </w:p>
        </w:tc>
        <w:tc>
          <w:tcPr>
            <w:tcW w:w="1260" w:type="dxa"/>
          </w:tcPr>
          <w:p w:rsidR="007A7EEF" w:rsidRDefault="007A7EEF">
            <w:pPr>
              <w:keepNext/>
              <w:jc w:val="center"/>
              <w:rPr>
                <w:rFonts w:ascii="Arial" w:hAnsi="Arial" w:cs="Arial"/>
                <w:color w:val="000000"/>
                <w:sz w:val="18"/>
              </w:rPr>
            </w:pPr>
            <w:r>
              <w:rPr>
                <w:rFonts w:ascii="Arial" w:hAnsi="Arial" w:cs="Arial"/>
                <w:color w:val="000000"/>
                <w:sz w:val="18"/>
              </w:rPr>
              <w:t>Responses Per Annum</w:t>
            </w:r>
          </w:p>
        </w:tc>
        <w:tc>
          <w:tcPr>
            <w:tcW w:w="1440" w:type="dxa"/>
          </w:tcPr>
          <w:p w:rsidR="007A7EEF" w:rsidRDefault="007A7EEF">
            <w:pPr>
              <w:keepNext/>
              <w:jc w:val="center"/>
              <w:rPr>
                <w:rFonts w:ascii="Arial" w:hAnsi="Arial" w:cs="Arial"/>
                <w:color w:val="000000"/>
                <w:sz w:val="18"/>
              </w:rPr>
            </w:pPr>
            <w:r>
              <w:rPr>
                <w:rFonts w:ascii="Arial" w:hAnsi="Arial" w:cs="Arial"/>
                <w:color w:val="000000"/>
                <w:sz w:val="18"/>
              </w:rPr>
              <w:t>Burden Hour Per Response</w:t>
            </w:r>
          </w:p>
        </w:tc>
        <w:tc>
          <w:tcPr>
            <w:tcW w:w="1440" w:type="dxa"/>
          </w:tcPr>
          <w:p w:rsidR="007A7EEF" w:rsidRDefault="007A7EEF">
            <w:pPr>
              <w:keepNext/>
              <w:jc w:val="center"/>
              <w:rPr>
                <w:rFonts w:ascii="Arial" w:hAnsi="Arial" w:cs="Arial"/>
                <w:color w:val="000000"/>
                <w:sz w:val="18"/>
              </w:rPr>
            </w:pPr>
            <w:r>
              <w:rPr>
                <w:rFonts w:ascii="Arial" w:hAnsi="Arial" w:cs="Arial"/>
                <w:color w:val="000000"/>
                <w:sz w:val="18"/>
              </w:rPr>
              <w:t>Annual Burden Hours</w:t>
            </w:r>
          </w:p>
        </w:tc>
        <w:tc>
          <w:tcPr>
            <w:tcW w:w="991" w:type="dxa"/>
          </w:tcPr>
          <w:p w:rsidR="007A7EEF" w:rsidRDefault="007A7EEF">
            <w:pPr>
              <w:keepNext/>
              <w:jc w:val="center"/>
              <w:rPr>
                <w:rFonts w:ascii="Arial" w:hAnsi="Arial" w:cs="Arial"/>
                <w:color w:val="000000"/>
                <w:sz w:val="18"/>
              </w:rPr>
            </w:pPr>
            <w:r>
              <w:rPr>
                <w:rFonts w:ascii="Arial" w:hAnsi="Arial" w:cs="Arial"/>
                <w:color w:val="000000"/>
                <w:sz w:val="18"/>
              </w:rPr>
              <w:t xml:space="preserve">Hourly Cost </w:t>
            </w:r>
          </w:p>
        </w:tc>
        <w:tc>
          <w:tcPr>
            <w:tcW w:w="1277" w:type="dxa"/>
          </w:tcPr>
          <w:p w:rsidR="007A7EEF" w:rsidRDefault="007A7EEF">
            <w:pPr>
              <w:keepNext/>
              <w:jc w:val="center"/>
              <w:rPr>
                <w:rFonts w:ascii="Arial" w:hAnsi="Arial" w:cs="Arial"/>
                <w:color w:val="000000"/>
                <w:sz w:val="18"/>
              </w:rPr>
            </w:pPr>
            <w:r>
              <w:rPr>
                <w:rFonts w:ascii="Arial" w:hAnsi="Arial" w:cs="Arial"/>
                <w:color w:val="000000"/>
                <w:sz w:val="18"/>
              </w:rPr>
              <w:t>Annual Cost</w:t>
            </w:r>
          </w:p>
          <w:p w:rsidR="007A7EEF" w:rsidRDefault="007A7EEF">
            <w:pPr>
              <w:keepNext/>
              <w:jc w:val="center"/>
              <w:rPr>
                <w:rFonts w:ascii="Arial" w:hAnsi="Arial" w:cs="Arial"/>
                <w:color w:val="000000"/>
                <w:sz w:val="18"/>
              </w:rPr>
            </w:pPr>
          </w:p>
        </w:tc>
      </w:tr>
      <w:tr w:rsidR="007A7EEF">
        <w:tc>
          <w:tcPr>
            <w:tcW w:w="1546" w:type="dxa"/>
            <w:vAlign w:val="center"/>
          </w:tcPr>
          <w:p w:rsidR="007A7EEF" w:rsidRDefault="007A7EEF">
            <w:pPr>
              <w:keepNext/>
              <w:rPr>
                <w:rFonts w:ascii="Arial" w:hAnsi="Arial" w:cs="Arial"/>
                <w:color w:val="000000"/>
                <w:sz w:val="18"/>
              </w:rPr>
            </w:pPr>
            <w:r>
              <w:rPr>
                <w:rFonts w:ascii="Arial" w:hAnsi="Arial" w:cs="Arial"/>
                <w:color w:val="000000"/>
                <w:sz w:val="18"/>
              </w:rPr>
              <w:t>Request for DIL</w:t>
            </w:r>
          </w:p>
        </w:tc>
        <w:tc>
          <w:tcPr>
            <w:tcW w:w="1350" w:type="dxa"/>
            <w:vAlign w:val="center"/>
          </w:tcPr>
          <w:p w:rsidR="007A7EEF" w:rsidRDefault="007A7EEF">
            <w:pPr>
              <w:keepNext/>
              <w:jc w:val="center"/>
              <w:rPr>
                <w:rFonts w:ascii="Arial" w:hAnsi="Arial" w:cs="Arial"/>
                <w:color w:val="000000"/>
                <w:sz w:val="18"/>
              </w:rPr>
            </w:pPr>
            <w:r>
              <w:rPr>
                <w:rFonts w:ascii="Arial" w:hAnsi="Arial" w:cs="Arial"/>
                <w:color w:val="000000"/>
                <w:sz w:val="18"/>
              </w:rPr>
              <w:t>223</w:t>
            </w:r>
          </w:p>
        </w:tc>
        <w:tc>
          <w:tcPr>
            <w:tcW w:w="1260" w:type="dxa"/>
            <w:vAlign w:val="center"/>
          </w:tcPr>
          <w:p w:rsidR="007A7EEF" w:rsidRDefault="007A7EEF">
            <w:pPr>
              <w:keepNext/>
              <w:jc w:val="center"/>
              <w:rPr>
                <w:rFonts w:ascii="Arial" w:hAnsi="Arial" w:cs="Arial"/>
                <w:color w:val="000000"/>
                <w:sz w:val="18"/>
              </w:rPr>
            </w:pPr>
            <w:r>
              <w:rPr>
                <w:rFonts w:ascii="Arial" w:hAnsi="Arial" w:cs="Arial"/>
                <w:color w:val="000000"/>
                <w:sz w:val="18"/>
              </w:rPr>
              <w:t>&gt;1</w:t>
            </w:r>
          </w:p>
        </w:tc>
        <w:tc>
          <w:tcPr>
            <w:tcW w:w="1260" w:type="dxa"/>
            <w:vAlign w:val="center"/>
          </w:tcPr>
          <w:p w:rsidR="007A7EEF" w:rsidRDefault="007A7EEF">
            <w:pPr>
              <w:keepNext/>
              <w:jc w:val="center"/>
              <w:rPr>
                <w:rFonts w:ascii="Arial" w:hAnsi="Arial" w:cs="Arial"/>
                <w:color w:val="000000"/>
                <w:sz w:val="18"/>
              </w:rPr>
            </w:pPr>
            <w:r>
              <w:rPr>
                <w:rFonts w:ascii="Arial" w:hAnsi="Arial" w:cs="Arial"/>
                <w:color w:val="000000"/>
                <w:sz w:val="18"/>
              </w:rPr>
              <w:t>20</w:t>
            </w:r>
          </w:p>
        </w:tc>
        <w:tc>
          <w:tcPr>
            <w:tcW w:w="1440" w:type="dxa"/>
            <w:vAlign w:val="center"/>
          </w:tcPr>
          <w:p w:rsidR="007A7EEF" w:rsidRDefault="007A7EEF">
            <w:pPr>
              <w:keepNext/>
              <w:jc w:val="center"/>
              <w:rPr>
                <w:rFonts w:ascii="Arial" w:hAnsi="Arial" w:cs="Arial"/>
                <w:color w:val="000000"/>
                <w:sz w:val="18"/>
              </w:rPr>
            </w:pPr>
            <w:r>
              <w:rPr>
                <w:rFonts w:ascii="Arial" w:hAnsi="Arial" w:cs="Arial"/>
                <w:color w:val="000000"/>
                <w:sz w:val="18"/>
              </w:rPr>
              <w:t>1.0</w:t>
            </w:r>
          </w:p>
        </w:tc>
        <w:tc>
          <w:tcPr>
            <w:tcW w:w="1440" w:type="dxa"/>
            <w:vAlign w:val="center"/>
          </w:tcPr>
          <w:p w:rsidR="007A7EEF" w:rsidRDefault="007A7EEF">
            <w:pPr>
              <w:keepNext/>
              <w:jc w:val="center"/>
              <w:rPr>
                <w:rFonts w:ascii="Arial" w:hAnsi="Arial" w:cs="Arial"/>
                <w:color w:val="000000"/>
                <w:sz w:val="18"/>
              </w:rPr>
            </w:pPr>
            <w:r>
              <w:rPr>
                <w:rFonts w:ascii="Arial" w:hAnsi="Arial" w:cs="Arial"/>
                <w:color w:val="000000"/>
                <w:sz w:val="18"/>
              </w:rPr>
              <w:t>20</w:t>
            </w:r>
          </w:p>
        </w:tc>
        <w:tc>
          <w:tcPr>
            <w:tcW w:w="991" w:type="dxa"/>
            <w:vAlign w:val="center"/>
          </w:tcPr>
          <w:p w:rsidR="007A7EEF" w:rsidRDefault="007A7EEF">
            <w:pPr>
              <w:keepNext/>
              <w:jc w:val="center"/>
              <w:rPr>
                <w:rFonts w:ascii="Arial" w:hAnsi="Arial" w:cs="Arial"/>
                <w:color w:val="000000"/>
                <w:sz w:val="18"/>
              </w:rPr>
            </w:pPr>
            <w:r>
              <w:rPr>
                <w:rFonts w:ascii="Arial" w:hAnsi="Arial" w:cs="Arial"/>
                <w:color w:val="000000"/>
                <w:sz w:val="18"/>
              </w:rPr>
              <w:t>$25.00</w:t>
            </w:r>
          </w:p>
        </w:tc>
        <w:tc>
          <w:tcPr>
            <w:tcW w:w="1277" w:type="dxa"/>
            <w:vAlign w:val="center"/>
          </w:tcPr>
          <w:p w:rsidR="007A7EEF" w:rsidRDefault="007A7EEF" w:rsidP="0029298D">
            <w:pPr>
              <w:keepNext/>
              <w:jc w:val="center"/>
              <w:rPr>
                <w:rFonts w:ascii="Arial" w:hAnsi="Arial" w:cs="Arial"/>
                <w:color w:val="000000"/>
                <w:sz w:val="18"/>
              </w:rPr>
            </w:pPr>
            <w:r>
              <w:rPr>
                <w:rFonts w:ascii="Arial" w:hAnsi="Arial" w:cs="Arial"/>
                <w:color w:val="000000"/>
                <w:sz w:val="18"/>
              </w:rPr>
              <w:t>$500</w:t>
            </w:r>
          </w:p>
        </w:tc>
      </w:tr>
    </w:tbl>
    <w:p w:rsidR="007A7EEF" w:rsidRDefault="007A7EEF">
      <w:pPr>
        <w:pStyle w:val="OmniPage269"/>
        <w:ind w:left="360"/>
        <w:rPr>
          <w:color w:val="000000"/>
        </w:rPr>
      </w:pPr>
      <w:r>
        <w:rPr>
          <w:color w:val="000000"/>
        </w:rPr>
        <w:t>The hourly cost per response reflects the average hourly wage paid by the mortgage industry for a specialist.</w:t>
      </w:r>
    </w:p>
    <w:p w:rsidR="007A7EEF" w:rsidRDefault="007A7EEF">
      <w:pPr>
        <w:pStyle w:val="OmniPage269"/>
        <w:ind w:left="0"/>
        <w:rPr>
          <w:color w:val="000000"/>
          <w:sz w:val="24"/>
        </w:rPr>
      </w:pPr>
    </w:p>
    <w:p w:rsidR="007A7EEF" w:rsidRDefault="007A7EEF">
      <w:pPr>
        <w:tabs>
          <w:tab w:val="left" w:pos="360"/>
        </w:tabs>
        <w:ind w:left="360" w:hanging="360"/>
        <w:rPr>
          <w:color w:val="000000"/>
          <w:sz w:val="24"/>
        </w:rPr>
      </w:pPr>
      <w:r>
        <w:rPr>
          <w:color w:val="000000"/>
          <w:sz w:val="24"/>
        </w:rPr>
        <w:t>13.</w:t>
      </w:r>
      <w:r>
        <w:rPr>
          <w:color w:val="000000"/>
          <w:sz w:val="24"/>
        </w:rPr>
        <w:tab/>
        <w:t xml:space="preserve">There are no additional costs to the respondents.  </w:t>
      </w:r>
    </w:p>
    <w:p w:rsidR="007A7EEF" w:rsidRDefault="007A7EEF">
      <w:pPr>
        <w:tabs>
          <w:tab w:val="right" w:pos="8349"/>
        </w:tabs>
        <w:rPr>
          <w:color w:val="000000"/>
          <w:sz w:val="24"/>
        </w:rPr>
      </w:pPr>
    </w:p>
    <w:p w:rsidR="007A7EEF" w:rsidRDefault="007A7EEF">
      <w:pPr>
        <w:keepNext/>
        <w:tabs>
          <w:tab w:val="right" w:pos="8349"/>
        </w:tabs>
        <w:ind w:left="360" w:hanging="360"/>
        <w:rPr>
          <w:color w:val="000000"/>
          <w:sz w:val="24"/>
        </w:rPr>
      </w:pPr>
      <w:r>
        <w:rPr>
          <w:color w:val="000000"/>
          <w:sz w:val="24"/>
        </w:rPr>
        <w:t>14.</w:t>
      </w:r>
      <w:r>
        <w:rPr>
          <w:color w:val="000000"/>
          <w:sz w:val="24"/>
        </w:rPr>
        <w:tab/>
        <w:t>Estimated Burden and Annual Cost to the Federal Government:</w:t>
      </w:r>
    </w:p>
    <w:p w:rsidR="007A7EEF" w:rsidRDefault="007A7EEF">
      <w:pPr>
        <w:keepNext/>
        <w:rPr>
          <w:color w:val="00000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1755"/>
        <w:gridCol w:w="1755"/>
        <w:gridCol w:w="1755"/>
        <w:gridCol w:w="1755"/>
        <w:gridCol w:w="1755"/>
      </w:tblGrid>
      <w:tr w:rsidR="007A7EEF">
        <w:tc>
          <w:tcPr>
            <w:tcW w:w="1755" w:type="dxa"/>
          </w:tcPr>
          <w:p w:rsidR="007A7EEF" w:rsidRDefault="007A7EEF">
            <w:pPr>
              <w:keepNext/>
              <w:jc w:val="center"/>
              <w:rPr>
                <w:rFonts w:ascii="Arial" w:hAnsi="Arial" w:cs="Arial"/>
                <w:color w:val="000000"/>
                <w:sz w:val="18"/>
              </w:rPr>
            </w:pPr>
            <w:r>
              <w:rPr>
                <w:rFonts w:ascii="Arial" w:hAnsi="Arial" w:cs="Arial"/>
                <w:color w:val="000000"/>
                <w:sz w:val="18"/>
              </w:rPr>
              <w:t>Information Collection</w:t>
            </w:r>
          </w:p>
        </w:tc>
        <w:tc>
          <w:tcPr>
            <w:tcW w:w="1755" w:type="dxa"/>
          </w:tcPr>
          <w:p w:rsidR="007A7EEF" w:rsidRDefault="007A7EEF">
            <w:pPr>
              <w:keepNext/>
              <w:jc w:val="center"/>
              <w:rPr>
                <w:rFonts w:ascii="Arial" w:hAnsi="Arial" w:cs="Arial"/>
                <w:color w:val="000000"/>
                <w:sz w:val="18"/>
              </w:rPr>
            </w:pPr>
            <w:r>
              <w:rPr>
                <w:rFonts w:ascii="Arial" w:hAnsi="Arial" w:cs="Arial"/>
                <w:color w:val="000000"/>
                <w:sz w:val="18"/>
              </w:rPr>
              <w:t>Responses Per Annum</w:t>
            </w:r>
          </w:p>
        </w:tc>
        <w:tc>
          <w:tcPr>
            <w:tcW w:w="1755" w:type="dxa"/>
          </w:tcPr>
          <w:p w:rsidR="007A7EEF" w:rsidRDefault="007A7EEF">
            <w:pPr>
              <w:keepNext/>
              <w:jc w:val="center"/>
              <w:rPr>
                <w:rFonts w:ascii="Arial" w:hAnsi="Arial" w:cs="Arial"/>
                <w:color w:val="000000"/>
                <w:sz w:val="18"/>
              </w:rPr>
            </w:pPr>
            <w:r>
              <w:rPr>
                <w:rFonts w:ascii="Arial" w:hAnsi="Arial" w:cs="Arial"/>
                <w:color w:val="000000"/>
                <w:sz w:val="18"/>
              </w:rPr>
              <w:t>Burden Hour Per Response</w:t>
            </w:r>
          </w:p>
        </w:tc>
        <w:tc>
          <w:tcPr>
            <w:tcW w:w="1755" w:type="dxa"/>
          </w:tcPr>
          <w:p w:rsidR="007A7EEF" w:rsidRDefault="007A7EEF">
            <w:pPr>
              <w:keepNext/>
              <w:jc w:val="center"/>
              <w:rPr>
                <w:rFonts w:ascii="Arial" w:hAnsi="Arial" w:cs="Arial"/>
                <w:color w:val="000000"/>
                <w:sz w:val="18"/>
              </w:rPr>
            </w:pPr>
            <w:r>
              <w:rPr>
                <w:rFonts w:ascii="Arial" w:hAnsi="Arial" w:cs="Arial"/>
                <w:color w:val="000000"/>
                <w:sz w:val="18"/>
              </w:rPr>
              <w:t>Annual Burden Hours</w:t>
            </w:r>
          </w:p>
        </w:tc>
        <w:tc>
          <w:tcPr>
            <w:tcW w:w="1755" w:type="dxa"/>
          </w:tcPr>
          <w:p w:rsidR="007A7EEF" w:rsidRDefault="007A7EEF">
            <w:pPr>
              <w:keepNext/>
              <w:jc w:val="center"/>
              <w:rPr>
                <w:rFonts w:ascii="Arial" w:hAnsi="Arial" w:cs="Arial"/>
                <w:color w:val="000000"/>
                <w:sz w:val="18"/>
              </w:rPr>
            </w:pPr>
            <w:r>
              <w:rPr>
                <w:rFonts w:ascii="Arial" w:hAnsi="Arial" w:cs="Arial"/>
                <w:color w:val="000000"/>
                <w:sz w:val="18"/>
              </w:rPr>
              <w:t xml:space="preserve">Hourly Cost </w:t>
            </w:r>
          </w:p>
        </w:tc>
        <w:tc>
          <w:tcPr>
            <w:tcW w:w="1755" w:type="dxa"/>
          </w:tcPr>
          <w:p w:rsidR="007A7EEF" w:rsidRDefault="007A7EEF">
            <w:pPr>
              <w:keepNext/>
              <w:jc w:val="center"/>
              <w:rPr>
                <w:rFonts w:ascii="Arial" w:hAnsi="Arial" w:cs="Arial"/>
                <w:color w:val="000000"/>
                <w:sz w:val="18"/>
              </w:rPr>
            </w:pPr>
            <w:r>
              <w:rPr>
                <w:rFonts w:ascii="Arial" w:hAnsi="Arial" w:cs="Arial"/>
                <w:color w:val="000000"/>
                <w:sz w:val="18"/>
              </w:rPr>
              <w:t>Annual Cost</w:t>
            </w:r>
          </w:p>
          <w:p w:rsidR="007A7EEF" w:rsidRDefault="007A7EEF">
            <w:pPr>
              <w:keepNext/>
              <w:jc w:val="center"/>
              <w:rPr>
                <w:rFonts w:ascii="Arial" w:hAnsi="Arial" w:cs="Arial"/>
                <w:color w:val="000000"/>
                <w:sz w:val="18"/>
              </w:rPr>
            </w:pPr>
          </w:p>
        </w:tc>
      </w:tr>
      <w:tr w:rsidR="007A7EEF">
        <w:tc>
          <w:tcPr>
            <w:tcW w:w="1755" w:type="dxa"/>
          </w:tcPr>
          <w:p w:rsidR="007A7EEF" w:rsidRDefault="007A7EEF">
            <w:pPr>
              <w:keepNext/>
              <w:rPr>
                <w:rFonts w:ascii="Arial" w:hAnsi="Arial" w:cs="Arial"/>
                <w:color w:val="000000"/>
                <w:sz w:val="18"/>
              </w:rPr>
            </w:pPr>
            <w:r>
              <w:rPr>
                <w:rFonts w:ascii="Arial" w:hAnsi="Arial" w:cs="Arial"/>
                <w:color w:val="000000"/>
                <w:sz w:val="18"/>
              </w:rPr>
              <w:t>Request for DIL</w:t>
            </w:r>
          </w:p>
        </w:tc>
        <w:tc>
          <w:tcPr>
            <w:tcW w:w="1755" w:type="dxa"/>
            <w:vAlign w:val="center"/>
          </w:tcPr>
          <w:p w:rsidR="007A7EEF" w:rsidRDefault="007A7EEF">
            <w:pPr>
              <w:keepNext/>
              <w:jc w:val="center"/>
              <w:rPr>
                <w:rFonts w:ascii="Arial" w:hAnsi="Arial" w:cs="Arial"/>
                <w:color w:val="000000"/>
                <w:sz w:val="18"/>
              </w:rPr>
            </w:pPr>
            <w:r>
              <w:rPr>
                <w:rFonts w:ascii="Arial" w:hAnsi="Arial" w:cs="Arial"/>
                <w:color w:val="000000"/>
                <w:sz w:val="18"/>
              </w:rPr>
              <w:t>20</w:t>
            </w:r>
          </w:p>
        </w:tc>
        <w:tc>
          <w:tcPr>
            <w:tcW w:w="1755" w:type="dxa"/>
            <w:vAlign w:val="center"/>
          </w:tcPr>
          <w:p w:rsidR="007A7EEF" w:rsidRDefault="007A7EEF">
            <w:pPr>
              <w:keepNext/>
              <w:jc w:val="center"/>
              <w:rPr>
                <w:rFonts w:ascii="Arial" w:hAnsi="Arial" w:cs="Arial"/>
                <w:color w:val="000000"/>
                <w:sz w:val="18"/>
              </w:rPr>
            </w:pPr>
            <w:r>
              <w:rPr>
                <w:rFonts w:ascii="Arial" w:hAnsi="Arial" w:cs="Arial"/>
                <w:color w:val="000000"/>
                <w:sz w:val="18"/>
              </w:rPr>
              <w:t>1</w:t>
            </w:r>
          </w:p>
        </w:tc>
        <w:tc>
          <w:tcPr>
            <w:tcW w:w="1755" w:type="dxa"/>
            <w:vAlign w:val="center"/>
          </w:tcPr>
          <w:p w:rsidR="007A7EEF" w:rsidRDefault="007A7EEF">
            <w:pPr>
              <w:keepNext/>
              <w:jc w:val="center"/>
              <w:rPr>
                <w:rFonts w:ascii="Arial" w:hAnsi="Arial" w:cs="Arial"/>
                <w:color w:val="000000"/>
                <w:sz w:val="18"/>
              </w:rPr>
            </w:pPr>
            <w:r>
              <w:rPr>
                <w:rFonts w:ascii="Arial" w:hAnsi="Arial" w:cs="Arial"/>
                <w:color w:val="000000"/>
                <w:sz w:val="18"/>
              </w:rPr>
              <w:t>20</w:t>
            </w:r>
          </w:p>
        </w:tc>
        <w:tc>
          <w:tcPr>
            <w:tcW w:w="1755" w:type="dxa"/>
            <w:vAlign w:val="center"/>
          </w:tcPr>
          <w:p w:rsidR="007A7EEF" w:rsidRDefault="007A7EEF">
            <w:pPr>
              <w:keepNext/>
              <w:jc w:val="center"/>
              <w:rPr>
                <w:rFonts w:ascii="Arial" w:hAnsi="Arial" w:cs="Arial"/>
                <w:color w:val="000000"/>
                <w:sz w:val="18"/>
              </w:rPr>
            </w:pPr>
            <w:r>
              <w:rPr>
                <w:rFonts w:ascii="Arial" w:hAnsi="Arial" w:cs="Arial"/>
                <w:color w:val="000000"/>
                <w:sz w:val="18"/>
              </w:rPr>
              <w:t>$31.00</w:t>
            </w:r>
          </w:p>
        </w:tc>
        <w:tc>
          <w:tcPr>
            <w:tcW w:w="1755" w:type="dxa"/>
            <w:vAlign w:val="center"/>
          </w:tcPr>
          <w:p w:rsidR="007A7EEF" w:rsidRDefault="007A7EEF">
            <w:pPr>
              <w:keepNext/>
              <w:jc w:val="center"/>
              <w:rPr>
                <w:rFonts w:ascii="Arial" w:hAnsi="Arial" w:cs="Arial"/>
                <w:color w:val="000000"/>
                <w:sz w:val="18"/>
              </w:rPr>
            </w:pPr>
            <w:r>
              <w:rPr>
                <w:rFonts w:ascii="Arial" w:hAnsi="Arial" w:cs="Arial"/>
                <w:color w:val="000000"/>
                <w:sz w:val="18"/>
              </w:rPr>
              <w:t>$620</w:t>
            </w:r>
          </w:p>
        </w:tc>
      </w:tr>
    </w:tbl>
    <w:p w:rsidR="007A7EEF" w:rsidRDefault="007A7EEF">
      <w:pPr>
        <w:pStyle w:val="OmniPage517"/>
        <w:ind w:left="360" w:right="29"/>
        <w:rPr>
          <w:color w:val="000000"/>
        </w:rPr>
      </w:pPr>
      <w:r>
        <w:rPr>
          <w:color w:val="000000"/>
        </w:rPr>
        <w:t>The hourly cost per response reflects the average hourly wage paid for a federal employee who is typically a GS12 in the state of Oklahoma where HUD’s National Servicing Center is located.</w:t>
      </w:r>
    </w:p>
    <w:p w:rsidR="007A7EEF" w:rsidRDefault="007A7EEF">
      <w:pPr>
        <w:pStyle w:val="OmniPage517"/>
        <w:ind w:left="360" w:right="29"/>
        <w:rPr>
          <w:color w:val="000000"/>
        </w:rPr>
      </w:pPr>
    </w:p>
    <w:p w:rsidR="007A7EEF" w:rsidRDefault="007A7EEF" w:rsidP="00901966">
      <w:pPr>
        <w:keepLines/>
        <w:tabs>
          <w:tab w:val="left" w:pos="0"/>
        </w:tabs>
        <w:spacing w:after="80"/>
        <w:ind w:left="360" w:hanging="360"/>
        <w:rPr>
          <w:color w:val="000000"/>
          <w:sz w:val="24"/>
        </w:rPr>
      </w:pPr>
      <w:r>
        <w:rPr>
          <w:sz w:val="24"/>
        </w:rPr>
        <w:t>15.</w:t>
      </w:r>
      <w:r>
        <w:rPr>
          <w:sz w:val="24"/>
        </w:rPr>
        <w:tab/>
        <w:t xml:space="preserve">This is an extension of a currently approved collection.  </w:t>
      </w:r>
      <w:r>
        <w:rPr>
          <w:color w:val="000000"/>
          <w:sz w:val="24"/>
        </w:rPr>
        <w:t xml:space="preserve">HUD has received no request to accept deeds-in-lieu of foreclosure from corporate mortgagors or mortgagors owning more than one property for the past several years.   The adjustment to the burden hours reflects a more accurate response time for respondents to complete the request for deeds-in-lieu.  </w:t>
      </w:r>
    </w:p>
    <w:p w:rsidR="007A7EEF" w:rsidRDefault="007A7EEF">
      <w:pPr>
        <w:keepLines/>
        <w:tabs>
          <w:tab w:val="left" w:pos="360"/>
          <w:tab w:val="left" w:pos="720"/>
        </w:tabs>
        <w:ind w:left="360" w:hanging="360"/>
        <w:rPr>
          <w:color w:val="000000"/>
          <w:sz w:val="24"/>
        </w:rPr>
      </w:pPr>
      <w:r>
        <w:rPr>
          <w:color w:val="000000"/>
          <w:sz w:val="24"/>
        </w:rPr>
        <w:t>16.</w:t>
      </w:r>
      <w:r>
        <w:rPr>
          <w:color w:val="000000"/>
          <w:sz w:val="24"/>
        </w:rPr>
        <w:tab/>
        <w:t xml:space="preserve">There are no plans to publish this information collection for statistical use.  </w:t>
      </w:r>
    </w:p>
    <w:p w:rsidR="007A7EEF" w:rsidRDefault="007A7EEF">
      <w:pPr>
        <w:tabs>
          <w:tab w:val="left" w:pos="360"/>
        </w:tabs>
        <w:ind w:left="360" w:hanging="360"/>
        <w:rPr>
          <w:color w:val="000000"/>
          <w:sz w:val="24"/>
        </w:rPr>
      </w:pPr>
    </w:p>
    <w:p w:rsidR="007A7EEF" w:rsidRDefault="007A7EEF">
      <w:pPr>
        <w:keepLines/>
        <w:tabs>
          <w:tab w:val="left" w:pos="360"/>
          <w:tab w:val="left" w:pos="720"/>
        </w:tabs>
        <w:ind w:left="360" w:hanging="360"/>
        <w:rPr>
          <w:color w:val="000000"/>
          <w:sz w:val="24"/>
        </w:rPr>
      </w:pPr>
      <w:r>
        <w:rPr>
          <w:color w:val="000000"/>
          <w:sz w:val="24"/>
        </w:rPr>
        <w:t>17.</w:t>
      </w:r>
      <w:r>
        <w:rPr>
          <w:color w:val="000000"/>
          <w:sz w:val="24"/>
        </w:rPr>
        <w:tab/>
        <w:t>HUD is not seeking approval to avoid displaying the expiration date.</w:t>
      </w:r>
    </w:p>
    <w:p w:rsidR="007A7EEF" w:rsidRDefault="007A7EEF">
      <w:pPr>
        <w:tabs>
          <w:tab w:val="left" w:pos="360"/>
        </w:tabs>
        <w:ind w:left="360" w:hanging="360"/>
        <w:rPr>
          <w:color w:val="000000"/>
          <w:sz w:val="24"/>
        </w:rPr>
      </w:pPr>
    </w:p>
    <w:p w:rsidR="007A7EEF" w:rsidRDefault="007A7EEF">
      <w:pPr>
        <w:keepLines/>
        <w:tabs>
          <w:tab w:val="left" w:pos="360"/>
        </w:tabs>
        <w:spacing w:after="80"/>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7A7EEF" w:rsidRDefault="007A7EEF">
      <w:pPr>
        <w:tabs>
          <w:tab w:val="left" w:pos="360"/>
          <w:tab w:val="left" w:pos="720"/>
        </w:tabs>
        <w:rPr>
          <w:color w:val="000000"/>
          <w:sz w:val="24"/>
        </w:rPr>
      </w:pPr>
    </w:p>
    <w:p w:rsidR="007A7EEF" w:rsidRDefault="007A7EEF">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7A7EEF" w:rsidRDefault="007A7EE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7A7EEF" w:rsidRDefault="007A7EEF">
      <w:pPr>
        <w:keepLines/>
        <w:tabs>
          <w:tab w:val="left" w:pos="360"/>
          <w:tab w:val="left" w:pos="720"/>
        </w:tabs>
        <w:ind w:left="360"/>
        <w:rPr>
          <w:color w:val="000000"/>
          <w:sz w:val="24"/>
        </w:rPr>
      </w:pPr>
      <w:r>
        <w:rPr>
          <w:color w:val="000000"/>
          <w:sz w:val="24"/>
        </w:rPr>
        <w:t>This collection of information does not employ statistical methods.</w:t>
      </w:r>
    </w:p>
    <w:p w:rsidR="007A7EEF" w:rsidRDefault="007A7EEF">
      <w:pPr>
        <w:keepLines/>
        <w:tabs>
          <w:tab w:val="left" w:pos="360"/>
          <w:tab w:val="left" w:pos="720"/>
        </w:tabs>
        <w:rPr>
          <w:color w:val="000000"/>
          <w:sz w:val="24"/>
        </w:rPr>
      </w:pPr>
    </w:p>
    <w:sectPr w:rsidR="007A7EEF" w:rsidSect="00873E6A">
      <w:headerReference w:type="default" r:id="rId9"/>
      <w:footerReference w:type="default" r:id="rId10"/>
      <w:footerReference w:type="first" r:id="rId11"/>
      <w:pgSz w:w="12240" w:h="15840"/>
      <w:pgMar w:top="480" w:right="720" w:bottom="480" w:left="600" w:header="480" w:footer="480" w:gutter="0"/>
      <w:cols w:space="480" w:equalWidth="0">
        <w:col w:w="10800"/>
      </w:cols>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EEF" w:rsidRDefault="007A7EEF">
      <w:r>
        <w:separator/>
      </w:r>
    </w:p>
  </w:endnote>
  <w:endnote w:type="continuationSeparator" w:id="1">
    <w:p w:rsidR="007A7EEF" w:rsidRDefault="007A7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EF" w:rsidRDefault="007A7E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7EEF" w:rsidRDefault="007A7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EF" w:rsidRDefault="007A7EE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EF" w:rsidRDefault="007A7E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A7EEF" w:rsidRDefault="007A7EE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280"/>
      <w:gridCol w:w="2748"/>
    </w:tblGrid>
    <w:tr w:rsidR="007A7EEF">
      <w:tc>
        <w:tcPr>
          <w:tcW w:w="8388" w:type="dxa"/>
          <w:tcBorders>
            <w:top w:val="single" w:sz="6" w:space="0" w:color="auto"/>
            <w:left w:val="nil"/>
            <w:right w:val="single" w:sz="6" w:space="0" w:color="auto"/>
          </w:tcBorders>
        </w:tcPr>
        <w:p w:rsidR="007A7EEF" w:rsidRDefault="007A7EEF">
          <w:pPr>
            <w:pStyle w:val="Footer"/>
            <w:rPr>
              <w:rFonts w:ascii="Helvetica" w:hAnsi="Helvetica"/>
              <w:sz w:val="16"/>
            </w:rPr>
          </w:pPr>
          <w:r>
            <w:rPr>
              <w:rFonts w:ascii="Helvetica" w:hAnsi="Helvetica"/>
              <w:sz w:val="16"/>
            </w:rPr>
            <w:t>Signature of Senior Officer or Designee:</w:t>
          </w:r>
        </w:p>
        <w:p w:rsidR="007A7EEF" w:rsidRDefault="007A7EEF">
          <w:pPr>
            <w:pStyle w:val="Footer"/>
            <w:rPr>
              <w:rFonts w:ascii="Helvetica" w:hAnsi="Helvetica"/>
              <w:sz w:val="16"/>
            </w:rPr>
          </w:pPr>
        </w:p>
        <w:p w:rsidR="007A7EEF" w:rsidRDefault="007A7EEF">
          <w:pPr>
            <w:pStyle w:val="Footer"/>
            <w:rPr>
              <w:rFonts w:ascii="Helvetica" w:hAnsi="Helvetica"/>
              <w:sz w:val="16"/>
            </w:rPr>
          </w:pPr>
        </w:p>
        <w:p w:rsidR="007A7EEF" w:rsidRDefault="007A7EEF">
          <w:pPr>
            <w:pStyle w:val="Footer"/>
            <w:rPr>
              <w:rFonts w:ascii="Helvetica" w:hAnsi="Helvetica"/>
              <w:sz w:val="16"/>
            </w:rPr>
          </w:pPr>
          <w:r>
            <w:rPr>
              <w:rFonts w:ascii="Helvetica" w:hAnsi="Helvetica"/>
              <w:sz w:val="16"/>
            </w:rPr>
            <w:t>X</w:t>
          </w:r>
        </w:p>
        <w:p w:rsidR="007A7EEF" w:rsidRDefault="007A7EEF">
          <w:pPr>
            <w:pStyle w:val="Footer"/>
            <w:rPr>
              <w:rFonts w:ascii="Helvetica" w:hAnsi="Helvetica"/>
              <w:sz w:val="16"/>
            </w:rPr>
          </w:pPr>
          <w:r>
            <w:rPr>
              <w:rFonts w:ascii="Helvetica" w:hAnsi="Helvetica"/>
              <w:sz w:val="16"/>
            </w:rPr>
            <w:t>Lillian Deitzer, Departmental Reports Management Officer,</w:t>
          </w:r>
        </w:p>
        <w:p w:rsidR="007A7EEF" w:rsidRDefault="007A7EEF">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tcBorders>
        </w:tcPr>
        <w:p w:rsidR="007A7EEF" w:rsidRDefault="007A7EEF">
          <w:pPr>
            <w:pStyle w:val="Footer"/>
            <w:rPr>
              <w:rFonts w:ascii="Helvetica" w:hAnsi="Helvetica"/>
              <w:sz w:val="16"/>
            </w:rPr>
          </w:pPr>
          <w:r>
            <w:rPr>
              <w:rFonts w:ascii="Helvetica" w:hAnsi="Helvetica"/>
              <w:sz w:val="16"/>
            </w:rPr>
            <w:t xml:space="preserve">Date: </w:t>
          </w:r>
        </w:p>
      </w:tc>
    </w:tr>
  </w:tbl>
  <w:p w:rsidR="007A7EEF" w:rsidRDefault="007A7EE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EEF" w:rsidRDefault="007A7EEF">
      <w:r>
        <w:separator/>
      </w:r>
    </w:p>
  </w:footnote>
  <w:footnote w:type="continuationSeparator" w:id="1">
    <w:p w:rsidR="007A7EEF" w:rsidRDefault="007A7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EF" w:rsidRDefault="007A7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rPr>
        <w:rFonts w:cs="Times New Roman"/>
      </w:rPr>
    </w:lvl>
  </w:abstractNum>
  <w:abstractNum w:abstractNumId="1">
    <w:nsid w:val="0885786C"/>
    <w:multiLevelType w:val="hybridMultilevel"/>
    <w:tmpl w:val="E42299B4"/>
    <w:lvl w:ilvl="0" w:tplc="C4AEF580">
      <w:start w:val="7"/>
      <w:numFmt w:val="decimal"/>
      <w:lvlText w:val="%1."/>
      <w:lvlJc w:val="left"/>
      <w:pPr>
        <w:tabs>
          <w:tab w:val="num" w:pos="720"/>
        </w:tabs>
        <w:ind w:left="720" w:hanging="360"/>
      </w:pPr>
      <w:rPr>
        <w:rFonts w:cs="Times New Roman" w:hint="default"/>
        <w:b w:val="0"/>
        <w:color w:val="auto"/>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
    <w:nsid w:val="0E14402F"/>
    <w:multiLevelType w:val="hybridMultilevel"/>
    <w:tmpl w:val="6C76757C"/>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cs="Times New Roman" w:hint="default"/>
        <w:color w:val="auto"/>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F1C53BB"/>
    <w:multiLevelType w:val="hybridMultilevel"/>
    <w:tmpl w:val="40960D86"/>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abstractNumId w:val="4"/>
  </w:num>
  <w:num w:numId="2">
    <w:abstractNumId w:val="10"/>
  </w:num>
  <w:num w:numId="3">
    <w:abstractNumId w:val="2"/>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1"/>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724"/>
    <w:rsid w:val="00090BBB"/>
    <w:rsid w:val="00184134"/>
    <w:rsid w:val="00251724"/>
    <w:rsid w:val="0029298D"/>
    <w:rsid w:val="0029775A"/>
    <w:rsid w:val="00451588"/>
    <w:rsid w:val="00496791"/>
    <w:rsid w:val="005A36C2"/>
    <w:rsid w:val="006237BF"/>
    <w:rsid w:val="0075425D"/>
    <w:rsid w:val="007A7EEF"/>
    <w:rsid w:val="007F6883"/>
    <w:rsid w:val="00873E6A"/>
    <w:rsid w:val="008949C3"/>
    <w:rsid w:val="008B4039"/>
    <w:rsid w:val="008B7C3A"/>
    <w:rsid w:val="00901966"/>
    <w:rsid w:val="00A929C8"/>
    <w:rsid w:val="00A9443D"/>
    <w:rsid w:val="00B73E2C"/>
    <w:rsid w:val="00BB2330"/>
    <w:rsid w:val="00CE533B"/>
    <w:rsid w:val="00D12A18"/>
    <w:rsid w:val="00D75CE5"/>
    <w:rsid w:val="00D92DF3"/>
    <w:rsid w:val="00E27AFD"/>
    <w:rsid w:val="00E569DF"/>
    <w:rsid w:val="00EF62C3"/>
    <w:rsid w:val="00F352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6A"/>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873E6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uiPriority w:val="99"/>
    <w:qFormat/>
    <w:rsid w:val="00873E6A"/>
    <w:pPr>
      <w:keepNext/>
      <w:keepLines/>
      <w:tabs>
        <w:tab w:val="left" w:pos="360"/>
      </w:tabs>
      <w:spacing w:after="80"/>
      <w:ind w:left="360" w:hanging="360"/>
      <w:outlineLvl w:val="1"/>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D4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87D48"/>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873E6A"/>
    <w:pPr>
      <w:tabs>
        <w:tab w:val="center" w:pos="4320"/>
        <w:tab w:val="right" w:pos="8640"/>
      </w:tabs>
    </w:pPr>
  </w:style>
  <w:style w:type="character" w:customStyle="1" w:styleId="HeaderChar">
    <w:name w:val="Header Char"/>
    <w:basedOn w:val="DefaultParagraphFont"/>
    <w:link w:val="Header"/>
    <w:uiPriority w:val="99"/>
    <w:semiHidden/>
    <w:rsid w:val="00C87D48"/>
    <w:rPr>
      <w:sz w:val="20"/>
      <w:szCs w:val="20"/>
    </w:rPr>
  </w:style>
  <w:style w:type="paragraph" w:styleId="Footer">
    <w:name w:val="footer"/>
    <w:basedOn w:val="Normal"/>
    <w:link w:val="FooterChar"/>
    <w:uiPriority w:val="99"/>
    <w:rsid w:val="00873E6A"/>
    <w:pPr>
      <w:tabs>
        <w:tab w:val="center" w:pos="4320"/>
        <w:tab w:val="right" w:pos="8640"/>
      </w:tabs>
    </w:pPr>
  </w:style>
  <w:style w:type="character" w:customStyle="1" w:styleId="FooterChar">
    <w:name w:val="Footer Char"/>
    <w:basedOn w:val="DefaultParagraphFont"/>
    <w:link w:val="Footer"/>
    <w:uiPriority w:val="99"/>
    <w:semiHidden/>
    <w:rsid w:val="00C87D48"/>
    <w:rPr>
      <w:sz w:val="20"/>
      <w:szCs w:val="20"/>
    </w:rPr>
  </w:style>
  <w:style w:type="paragraph" w:styleId="BodyTextIndent">
    <w:name w:val="Body Text Indent"/>
    <w:basedOn w:val="Normal"/>
    <w:link w:val="BodyTextIndentChar"/>
    <w:uiPriority w:val="99"/>
    <w:rsid w:val="00873E6A"/>
    <w:pPr>
      <w:tabs>
        <w:tab w:val="left" w:pos="360"/>
      </w:tabs>
      <w:ind w:left="360" w:hanging="360"/>
    </w:pPr>
    <w:rPr>
      <w:sz w:val="24"/>
    </w:rPr>
  </w:style>
  <w:style w:type="character" w:customStyle="1" w:styleId="BodyTextIndentChar">
    <w:name w:val="Body Text Indent Char"/>
    <w:basedOn w:val="DefaultParagraphFont"/>
    <w:link w:val="BodyTextIndent"/>
    <w:uiPriority w:val="99"/>
    <w:semiHidden/>
    <w:rsid w:val="00C87D48"/>
    <w:rPr>
      <w:sz w:val="20"/>
      <w:szCs w:val="20"/>
    </w:rPr>
  </w:style>
  <w:style w:type="paragraph" w:customStyle="1" w:styleId="OmniPage267">
    <w:name w:val="OmniPage #267"/>
    <w:basedOn w:val="Normal"/>
    <w:uiPriority w:val="99"/>
    <w:rsid w:val="00873E6A"/>
    <w:pPr>
      <w:tabs>
        <w:tab w:val="left" w:pos="1420"/>
        <w:tab w:val="right" w:pos="2840"/>
      </w:tabs>
      <w:ind w:left="2411" w:right="6180"/>
    </w:pPr>
    <w:rPr>
      <w:noProof/>
    </w:rPr>
  </w:style>
  <w:style w:type="paragraph" w:customStyle="1" w:styleId="OmniPage269">
    <w:name w:val="OmniPage #269"/>
    <w:basedOn w:val="Normal"/>
    <w:uiPriority w:val="99"/>
    <w:rsid w:val="00873E6A"/>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uiPriority w:val="99"/>
    <w:rsid w:val="00873E6A"/>
    <w:pPr>
      <w:tabs>
        <w:tab w:val="left" w:pos="1972"/>
        <w:tab w:val="right" w:pos="4256"/>
      </w:tabs>
      <w:ind w:left="2628" w:right="4728"/>
    </w:pPr>
    <w:rPr>
      <w:noProof/>
    </w:rPr>
  </w:style>
  <w:style w:type="character" w:styleId="PageNumber">
    <w:name w:val="page number"/>
    <w:basedOn w:val="DefaultParagraphFont"/>
    <w:uiPriority w:val="99"/>
    <w:rsid w:val="00873E6A"/>
    <w:rPr>
      <w:rFonts w:cs="Times New Roman"/>
    </w:rPr>
  </w:style>
  <w:style w:type="paragraph" w:styleId="BlockText">
    <w:name w:val="Block Text"/>
    <w:basedOn w:val="Normal"/>
    <w:uiPriority w:val="99"/>
    <w:rsid w:val="00873E6A"/>
    <w:pPr>
      <w:tabs>
        <w:tab w:val="left" w:pos="240"/>
      </w:tabs>
      <w:spacing w:after="60"/>
      <w:ind w:left="120" w:right="-120"/>
    </w:pPr>
    <w:rPr>
      <w:color w:val="000000"/>
      <w:sz w:val="22"/>
    </w:rPr>
  </w:style>
  <w:style w:type="paragraph" w:styleId="Title">
    <w:name w:val="Title"/>
    <w:basedOn w:val="Normal"/>
    <w:link w:val="TitleChar"/>
    <w:uiPriority w:val="99"/>
    <w:qFormat/>
    <w:rsid w:val="00873E6A"/>
    <w:pPr>
      <w:jc w:val="center"/>
    </w:pPr>
    <w:rPr>
      <w:rFonts w:ascii="Helvetica" w:hAnsi="Helvetica"/>
      <w:b/>
      <w:color w:val="000000"/>
      <w:sz w:val="28"/>
    </w:rPr>
  </w:style>
  <w:style w:type="character" w:customStyle="1" w:styleId="TitleChar">
    <w:name w:val="Title Char"/>
    <w:basedOn w:val="DefaultParagraphFont"/>
    <w:link w:val="Title"/>
    <w:uiPriority w:val="10"/>
    <w:rsid w:val="00C87D48"/>
    <w:rPr>
      <w:rFonts w:asciiTheme="majorHAnsi" w:eastAsiaTheme="majorEastAsia" w:hAnsiTheme="majorHAnsi" w:cstheme="majorBidi"/>
      <w:b/>
      <w:bCs/>
      <w:kern w:val="28"/>
      <w:sz w:val="32"/>
      <w:szCs w:val="32"/>
    </w:rPr>
  </w:style>
  <w:style w:type="paragraph" w:styleId="HTMLPreformatted">
    <w:name w:val="HTML Preformatted"/>
    <w:basedOn w:val="Normal"/>
    <w:link w:val="HTMLPreformattedChar"/>
    <w:uiPriority w:val="99"/>
    <w:rsid w:val="0087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87D48"/>
    <w:rPr>
      <w:rFonts w:ascii="Courier New" w:hAnsi="Courier New" w:cs="Courier New"/>
      <w:sz w:val="20"/>
      <w:szCs w:val="20"/>
    </w:rPr>
  </w:style>
  <w:style w:type="paragraph" w:styleId="BodyTextIndent2">
    <w:name w:val="Body Text Indent 2"/>
    <w:basedOn w:val="Normal"/>
    <w:link w:val="BodyTextIndent2Char"/>
    <w:uiPriority w:val="99"/>
    <w:rsid w:val="00873E6A"/>
    <w:pPr>
      <w:keepLines/>
      <w:tabs>
        <w:tab w:val="left" w:pos="360"/>
      </w:tabs>
      <w:spacing w:after="80"/>
      <w:ind w:left="360" w:hanging="360"/>
    </w:pPr>
    <w:rPr>
      <w:color w:val="000000"/>
      <w:sz w:val="24"/>
    </w:rPr>
  </w:style>
  <w:style w:type="character" w:customStyle="1" w:styleId="BodyTextIndent2Char">
    <w:name w:val="Body Text Indent 2 Char"/>
    <w:basedOn w:val="DefaultParagraphFont"/>
    <w:link w:val="BodyTextIndent2"/>
    <w:uiPriority w:val="99"/>
    <w:semiHidden/>
    <w:rsid w:val="00C87D48"/>
    <w:rPr>
      <w:sz w:val="20"/>
      <w:szCs w:val="20"/>
    </w:rPr>
  </w:style>
  <w:style w:type="paragraph" w:styleId="BodyTextIndent3">
    <w:name w:val="Body Text Indent 3"/>
    <w:basedOn w:val="Normal"/>
    <w:link w:val="BodyTextIndent3Char"/>
    <w:uiPriority w:val="99"/>
    <w:rsid w:val="00873E6A"/>
    <w:pPr>
      <w:keepNext/>
      <w:tabs>
        <w:tab w:val="left" w:pos="360"/>
      </w:tabs>
      <w:ind w:left="360"/>
    </w:pPr>
    <w:rPr>
      <w:color w:val="000000"/>
      <w:sz w:val="24"/>
    </w:rPr>
  </w:style>
  <w:style w:type="character" w:customStyle="1" w:styleId="BodyTextIndent3Char">
    <w:name w:val="Body Text Indent 3 Char"/>
    <w:basedOn w:val="DefaultParagraphFont"/>
    <w:link w:val="BodyTextIndent3"/>
    <w:uiPriority w:val="99"/>
    <w:semiHidden/>
    <w:rsid w:val="00C87D48"/>
    <w:rPr>
      <w:sz w:val="16"/>
      <w:szCs w:val="16"/>
    </w:rPr>
  </w:style>
  <w:style w:type="paragraph" w:styleId="BalloonText">
    <w:name w:val="Balloon Text"/>
    <w:basedOn w:val="Normal"/>
    <w:link w:val="BalloonTextChar"/>
    <w:uiPriority w:val="99"/>
    <w:semiHidden/>
    <w:rsid w:val="008B4039"/>
    <w:rPr>
      <w:rFonts w:ascii="Tahoma" w:hAnsi="Tahoma" w:cs="Tahoma"/>
      <w:sz w:val="16"/>
      <w:szCs w:val="16"/>
    </w:rPr>
  </w:style>
  <w:style w:type="character" w:customStyle="1" w:styleId="BalloonTextChar">
    <w:name w:val="Balloon Text Char"/>
    <w:basedOn w:val="DefaultParagraphFont"/>
    <w:link w:val="BalloonText"/>
    <w:uiPriority w:val="99"/>
    <w:semiHidden/>
    <w:rsid w:val="00C87D48"/>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1955</Words>
  <Characters>11144</Characters>
  <Application>Microsoft Office Outlook</Application>
  <DocSecurity>0</DocSecurity>
  <Lines>0</Lines>
  <Paragraphs>0</Paragraphs>
  <ScaleCrop>false</ScaleCrop>
  <Company>HUD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5</cp:revision>
  <cp:lastPrinted>2008-10-29T14:49:00Z</cp:lastPrinted>
  <dcterms:created xsi:type="dcterms:W3CDTF">2009-04-02T17:39:00Z</dcterms:created>
  <dcterms:modified xsi:type="dcterms:W3CDTF">2009-04-03T12:49:00Z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-1014648584</vt:i4>
  </property>
  <property fmtid="{D5CDD505-2E9C-101B-9397-08002B2CF9AE}" pid="3" name="_NewReviewCycle">
    <vt:lpwstr/>
  </property>
  <property fmtid="{D5CDD505-2E9C-101B-9397-08002B2CF9AE}" pid="4" name="_EmailSubject">
    <vt:lpwstr>Dept Review for 2502-0301 </vt:lpwstr>
  </property>
  <property fmtid="{D5CDD505-2E9C-101B-9397-08002B2CF9AE}" pid="5" name="_AuthorEmail">
    <vt:lpwstr>Robert.L.Juenger@hud.gov</vt:lpwstr>
  </property>
  <property fmtid="{D5CDD505-2E9C-101B-9397-08002B2CF9AE}" pid="6" name="_AuthorEmailDisplayName">
    <vt:lpwstr>Juenger, Robert L</vt:lpwstr>
  </property>
  <property fmtid="{D5CDD505-2E9C-101B-9397-08002B2CF9AE}" pid="7" name="_PreviousAdHocReviewCycleID">
    <vt:i4>557036887</vt:i4>
  </property>
  <property fmtid="{D5CDD505-2E9C-101B-9397-08002B2CF9AE}" pid="8" name="_ReviewingToolsShownOnce">
    <vt:lpwstr/>
  </property>
</Properties>
</file>