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F5" w:rsidRPr="00A9110F" w:rsidRDefault="00AA1DF5" w:rsidP="00E71AD1">
      <w:pPr>
        <w:pBdr>
          <w:top w:val="thinThickThinSmallGap" w:sz="24" w:space="1" w:color="auto"/>
          <w:left w:val="thinThickThinSmallGap" w:sz="24" w:space="0" w:color="auto"/>
          <w:bottom w:val="thinThickThinSmallGap" w:sz="24" w:space="1" w:color="auto"/>
          <w:right w:val="thinThickThinSmallGap" w:sz="24" w:space="0" w:color="auto"/>
        </w:pBdr>
        <w:shd w:val="clear" w:color="auto" w:fill="000000"/>
        <w:jc w:val="center"/>
        <w:rPr>
          <w:rFonts w:ascii="Arial" w:hAnsi="Arial" w:cs="Arial"/>
          <w:bCs/>
          <w:color w:val="FFFFFF"/>
          <w:szCs w:val="24"/>
        </w:rPr>
      </w:pPr>
      <w:r w:rsidRPr="00A9110F">
        <w:rPr>
          <w:rFonts w:ascii="Arial" w:hAnsi="Arial" w:cs="Arial"/>
          <w:bCs/>
          <w:color w:val="FFFFFF"/>
          <w:szCs w:val="24"/>
        </w:rPr>
        <w:t>OBSERVER INSTRUCTIONS</w:t>
      </w:r>
    </w:p>
    <w:p w:rsidR="00AA1DF5" w:rsidRPr="00A9110F" w:rsidRDefault="00AA1DF5" w:rsidP="00E71AD1">
      <w:pPr>
        <w:pBdr>
          <w:top w:val="thinThickThinSmallGap" w:sz="24" w:space="1" w:color="auto"/>
          <w:left w:val="thinThickThinSmallGap" w:sz="24" w:space="0" w:color="auto"/>
          <w:bottom w:val="thinThickThinSmallGap" w:sz="24" w:space="1" w:color="auto"/>
          <w:right w:val="thinThickThinSmallGap" w:sz="24" w:space="0" w:color="auto"/>
        </w:pBdr>
        <w:shd w:val="clear" w:color="auto" w:fill="000000"/>
        <w:jc w:val="center"/>
        <w:rPr>
          <w:rFonts w:ascii="Arial" w:hAnsi="Arial" w:cs="Arial"/>
          <w:szCs w:val="24"/>
        </w:rPr>
      </w:pPr>
      <w:r w:rsidRPr="00A9110F">
        <w:rPr>
          <w:rFonts w:ascii="Arial" w:hAnsi="Arial" w:cs="Arial"/>
          <w:color w:val="FFFFFF"/>
          <w:szCs w:val="24"/>
        </w:rPr>
        <w:t xml:space="preserve">AND </w:t>
      </w:r>
      <w:r w:rsidR="00D3073E">
        <w:rPr>
          <w:rFonts w:ascii="Arial" w:hAnsi="Arial" w:cs="Arial"/>
          <w:color w:val="FFFFFF"/>
          <w:szCs w:val="24"/>
        </w:rPr>
        <w:t>PRIVACY SAFEGUARDS</w:t>
      </w:r>
    </w:p>
    <w:p w:rsidR="00AA1DF5" w:rsidRPr="00A9110F" w:rsidRDefault="00AA1DF5" w:rsidP="00AA1DF5">
      <w:pPr>
        <w:spacing w:line="57" w:lineRule="exact"/>
        <w:jc w:val="both"/>
        <w:rPr>
          <w:rFonts w:ascii="Arial" w:hAnsi="Arial" w:cs="Arial"/>
          <w:szCs w:val="24"/>
        </w:rPr>
      </w:pPr>
    </w:p>
    <w:p w:rsidR="00AA1DF5" w:rsidRPr="00A9110F" w:rsidRDefault="00AA1DF5" w:rsidP="00AA1DF5">
      <w:pPr>
        <w:jc w:val="both"/>
        <w:rPr>
          <w:rFonts w:ascii="Arial" w:hAnsi="Arial" w:cs="Arial"/>
          <w:szCs w:val="24"/>
        </w:rPr>
      </w:pPr>
    </w:p>
    <w:p w:rsidR="00961A0A" w:rsidRPr="00A9110F" w:rsidRDefault="00961A0A" w:rsidP="00961A0A">
      <w:pPr>
        <w:rPr>
          <w:rFonts w:ascii="Arial" w:hAnsi="Arial" w:cs="Arial"/>
          <w:szCs w:val="24"/>
        </w:rPr>
      </w:pPr>
      <w:r w:rsidRPr="00A9110F">
        <w:rPr>
          <w:rFonts w:ascii="Arial" w:hAnsi="Arial" w:cs="Arial"/>
          <w:szCs w:val="24"/>
        </w:rPr>
        <w:t xml:space="preserve">ICF Macro is conducting focus groups on behalf of the Centers for Disease Control and Prevention (CDC) in </w:t>
      </w:r>
      <w:r w:rsidR="00A9110F">
        <w:rPr>
          <w:rFonts w:ascii="Arial" w:hAnsi="Arial" w:cs="Arial"/>
          <w:szCs w:val="24"/>
        </w:rPr>
        <w:t>[INSERT CITY]</w:t>
      </w:r>
      <w:r w:rsidRPr="00A9110F">
        <w:rPr>
          <w:rFonts w:ascii="Arial" w:hAnsi="Arial" w:cs="Arial"/>
          <w:szCs w:val="24"/>
        </w:rPr>
        <w:t xml:space="preserve">, </w:t>
      </w:r>
      <w:r w:rsidR="00A9110F">
        <w:rPr>
          <w:rFonts w:ascii="Arial" w:hAnsi="Arial" w:cs="Arial"/>
          <w:szCs w:val="24"/>
        </w:rPr>
        <w:t>North Carolina</w:t>
      </w:r>
      <w:r w:rsidRPr="00A9110F">
        <w:rPr>
          <w:rFonts w:ascii="Arial" w:hAnsi="Arial" w:cs="Arial"/>
          <w:szCs w:val="24"/>
        </w:rPr>
        <w:t xml:space="preserve">. The focus groups are to help the CDC develop more effective health promotion and communication campaigns aimed at African American women aged 40-64 who qualify for free breast cancer screening. </w:t>
      </w:r>
    </w:p>
    <w:p w:rsidR="00961A0A" w:rsidRPr="00A9110F" w:rsidRDefault="00961A0A" w:rsidP="00961A0A">
      <w:pPr>
        <w:rPr>
          <w:rFonts w:ascii="Arial" w:hAnsi="Arial" w:cs="Arial"/>
          <w:szCs w:val="24"/>
        </w:rPr>
      </w:pPr>
    </w:p>
    <w:p w:rsidR="00961A0A" w:rsidRPr="00A9110F" w:rsidRDefault="00961A0A" w:rsidP="00961A0A">
      <w:pPr>
        <w:rPr>
          <w:rFonts w:ascii="Arial" w:hAnsi="Arial" w:cs="Arial"/>
          <w:szCs w:val="24"/>
        </w:rPr>
      </w:pPr>
      <w:r w:rsidRPr="00A9110F">
        <w:rPr>
          <w:rFonts w:ascii="Arial" w:hAnsi="Arial" w:cs="Arial"/>
          <w:szCs w:val="24"/>
          <w:lang w:val="en-CA"/>
        </w:rPr>
        <w:fldChar w:fldCharType="begin"/>
      </w:r>
      <w:r w:rsidRPr="00A9110F">
        <w:rPr>
          <w:rFonts w:ascii="Arial" w:hAnsi="Arial" w:cs="Arial"/>
          <w:szCs w:val="24"/>
          <w:lang w:val="en-CA"/>
        </w:rPr>
        <w:instrText xml:space="preserve"> SEQ CHAPTER \h \r 1</w:instrText>
      </w:r>
      <w:r w:rsidRPr="00A9110F">
        <w:rPr>
          <w:rFonts w:ascii="Arial" w:hAnsi="Arial" w:cs="Arial"/>
          <w:szCs w:val="24"/>
          <w:lang w:val="en-CA"/>
        </w:rPr>
        <w:fldChar w:fldCharType="end"/>
      </w:r>
      <w:r w:rsidRPr="00A9110F">
        <w:rPr>
          <w:rFonts w:ascii="Arial" w:hAnsi="Arial" w:cs="Arial"/>
          <w:szCs w:val="24"/>
        </w:rPr>
        <w:t xml:space="preserve">Because of concerns about protecting participant </w:t>
      </w:r>
      <w:r w:rsidR="00D3073E">
        <w:rPr>
          <w:rFonts w:ascii="Arial" w:hAnsi="Arial" w:cs="Arial"/>
          <w:szCs w:val="24"/>
        </w:rPr>
        <w:t>privacy</w:t>
      </w:r>
      <w:r w:rsidRPr="00A9110F">
        <w:rPr>
          <w:rFonts w:ascii="Arial" w:hAnsi="Arial" w:cs="Arial"/>
          <w:szCs w:val="24"/>
        </w:rPr>
        <w:t xml:space="preserve"> and fostering an atmosphere of respect for the participants, it is important for all persons who intend to observe the focus groups to accept the following:</w:t>
      </w:r>
    </w:p>
    <w:p w:rsidR="00961A0A" w:rsidRPr="00A9110F" w:rsidRDefault="00961A0A" w:rsidP="00961A0A">
      <w:pPr>
        <w:rPr>
          <w:rFonts w:ascii="Arial" w:hAnsi="Arial" w:cs="Arial"/>
          <w:szCs w:val="24"/>
        </w:rPr>
      </w:pPr>
    </w:p>
    <w:p w:rsidR="00961A0A" w:rsidRPr="00A9110F" w:rsidRDefault="00961A0A" w:rsidP="00961A0A">
      <w:pPr>
        <w:pStyle w:val="Bullets1"/>
        <w:rPr>
          <w:rFonts w:cs="Arial"/>
          <w:sz w:val="24"/>
        </w:rPr>
      </w:pPr>
      <w:r w:rsidRPr="00A9110F">
        <w:rPr>
          <w:rFonts w:cs="Arial"/>
          <w:sz w:val="24"/>
        </w:rPr>
        <w:t>Observers should refrain from any conduct that will disrupt the discussion or interfere with the focus group process.</w:t>
      </w:r>
    </w:p>
    <w:p w:rsidR="00961A0A" w:rsidRPr="00A9110F" w:rsidRDefault="00961A0A" w:rsidP="00961A0A">
      <w:pPr>
        <w:tabs>
          <w:tab w:val="num" w:pos="504"/>
        </w:tabs>
        <w:rPr>
          <w:rFonts w:ascii="Arial" w:hAnsi="Arial" w:cs="Arial"/>
          <w:szCs w:val="24"/>
        </w:rPr>
      </w:pPr>
    </w:p>
    <w:p w:rsidR="00961A0A" w:rsidRPr="00A9110F" w:rsidRDefault="00961A0A" w:rsidP="00961A0A">
      <w:pPr>
        <w:pStyle w:val="Bullets1"/>
        <w:rPr>
          <w:rFonts w:cs="Arial"/>
          <w:sz w:val="24"/>
        </w:rPr>
      </w:pPr>
      <w:r w:rsidRPr="00A9110F">
        <w:rPr>
          <w:rFonts w:cs="Arial"/>
          <w:sz w:val="24"/>
        </w:rPr>
        <w:t>Observers are present to observe only and not to take part in the discussion process.</w:t>
      </w:r>
    </w:p>
    <w:p w:rsidR="00961A0A" w:rsidRPr="00A9110F" w:rsidRDefault="00961A0A" w:rsidP="00961A0A">
      <w:pPr>
        <w:tabs>
          <w:tab w:val="num" w:pos="504"/>
        </w:tabs>
        <w:rPr>
          <w:rFonts w:ascii="Arial" w:hAnsi="Arial" w:cs="Arial"/>
          <w:szCs w:val="24"/>
        </w:rPr>
      </w:pPr>
    </w:p>
    <w:p w:rsidR="00961A0A" w:rsidRPr="00A9110F" w:rsidRDefault="00961A0A" w:rsidP="00961A0A">
      <w:pPr>
        <w:pStyle w:val="Bullets1"/>
        <w:rPr>
          <w:rFonts w:cs="Arial"/>
          <w:sz w:val="24"/>
        </w:rPr>
      </w:pPr>
      <w:r w:rsidRPr="00A9110F">
        <w:rPr>
          <w:rFonts w:cs="Arial"/>
          <w:sz w:val="24"/>
        </w:rPr>
        <w:t>Observers may enter the discussion room at the end of the session only upon the participants’ request.</w:t>
      </w:r>
    </w:p>
    <w:p w:rsidR="00961A0A" w:rsidRPr="00A9110F" w:rsidRDefault="00961A0A" w:rsidP="00961A0A">
      <w:pPr>
        <w:tabs>
          <w:tab w:val="num" w:pos="504"/>
        </w:tabs>
        <w:rPr>
          <w:rFonts w:ascii="Arial" w:hAnsi="Arial" w:cs="Arial"/>
          <w:szCs w:val="24"/>
        </w:rPr>
      </w:pPr>
    </w:p>
    <w:p w:rsidR="00961A0A" w:rsidRPr="00A9110F" w:rsidRDefault="00961A0A" w:rsidP="00961A0A">
      <w:pPr>
        <w:pStyle w:val="Bullets1"/>
        <w:rPr>
          <w:rFonts w:cs="Arial"/>
          <w:sz w:val="24"/>
        </w:rPr>
      </w:pPr>
      <w:r w:rsidRPr="00A9110F">
        <w:rPr>
          <w:rFonts w:cs="Arial"/>
          <w:sz w:val="24"/>
        </w:rPr>
        <w:t>After leaving the observation room, observers should not discuss who participated in the group discussion.  Observers should not discuss what was said by individual participants with others who were not also observers.</w:t>
      </w:r>
    </w:p>
    <w:p w:rsidR="00961A0A" w:rsidRPr="00A9110F" w:rsidRDefault="00961A0A" w:rsidP="00961A0A">
      <w:pPr>
        <w:tabs>
          <w:tab w:val="num" w:pos="504"/>
        </w:tabs>
        <w:rPr>
          <w:rFonts w:ascii="Arial" w:hAnsi="Arial" w:cs="Arial"/>
          <w:szCs w:val="24"/>
        </w:rPr>
      </w:pPr>
    </w:p>
    <w:p w:rsidR="00961A0A" w:rsidRPr="00A9110F" w:rsidRDefault="00961A0A" w:rsidP="00961A0A">
      <w:pPr>
        <w:pStyle w:val="Bullets1"/>
        <w:rPr>
          <w:rFonts w:cs="Arial"/>
          <w:sz w:val="24"/>
        </w:rPr>
      </w:pPr>
      <w:r w:rsidRPr="00A9110F">
        <w:rPr>
          <w:rFonts w:cs="Arial"/>
          <w:sz w:val="24"/>
        </w:rPr>
        <w:lastRenderedPageBreak/>
        <w:t>After leaving the observation room, observers should only have discussions about the session that are general and not specific in nature.</w:t>
      </w:r>
    </w:p>
    <w:p w:rsidR="00961A0A" w:rsidRPr="00A9110F" w:rsidRDefault="00961A0A" w:rsidP="00961A0A">
      <w:pPr>
        <w:tabs>
          <w:tab w:val="num" w:pos="504"/>
        </w:tabs>
        <w:rPr>
          <w:rFonts w:ascii="Arial" w:hAnsi="Arial" w:cs="Arial"/>
          <w:szCs w:val="24"/>
        </w:rPr>
      </w:pPr>
    </w:p>
    <w:p w:rsidR="00961A0A" w:rsidRPr="00A9110F" w:rsidRDefault="00961A0A" w:rsidP="00961A0A">
      <w:pPr>
        <w:pStyle w:val="Bullets1"/>
        <w:rPr>
          <w:rFonts w:cs="Arial"/>
          <w:sz w:val="24"/>
        </w:rPr>
      </w:pPr>
      <w:r w:rsidRPr="00A9110F">
        <w:rPr>
          <w:rFonts w:cs="Arial"/>
          <w:sz w:val="24"/>
        </w:rPr>
        <w:t>Observers should refrain from engaging in conversations while the focus group is in session so as not to disturb the process of moderating or notetaking of the focus groups.</w:t>
      </w:r>
    </w:p>
    <w:p w:rsidR="00961A0A" w:rsidRPr="00A9110F" w:rsidRDefault="00961A0A" w:rsidP="00961A0A">
      <w:pPr>
        <w:rPr>
          <w:rFonts w:ascii="Arial" w:hAnsi="Arial" w:cs="Arial"/>
          <w:szCs w:val="24"/>
        </w:rPr>
      </w:pPr>
    </w:p>
    <w:p w:rsidR="00961A0A" w:rsidRPr="00A9110F" w:rsidRDefault="00961A0A" w:rsidP="00961A0A">
      <w:pPr>
        <w:rPr>
          <w:rFonts w:ascii="Arial" w:hAnsi="Arial" w:cs="Arial"/>
          <w:szCs w:val="24"/>
        </w:rPr>
      </w:pPr>
    </w:p>
    <w:p w:rsidR="00961A0A" w:rsidRPr="00A9110F" w:rsidRDefault="00961A0A" w:rsidP="00961A0A">
      <w:pPr>
        <w:rPr>
          <w:rFonts w:ascii="Arial" w:hAnsi="Arial" w:cs="Arial"/>
          <w:b/>
          <w:bCs/>
          <w:szCs w:val="24"/>
        </w:rPr>
      </w:pPr>
      <w:r w:rsidRPr="00A9110F">
        <w:rPr>
          <w:rFonts w:ascii="Arial" w:hAnsi="Arial" w:cs="Arial"/>
          <w:b/>
          <w:bCs/>
          <w:szCs w:val="24"/>
          <w:lang w:val="en-CA"/>
        </w:rPr>
        <w:fldChar w:fldCharType="begin"/>
      </w:r>
      <w:r w:rsidRPr="00A9110F">
        <w:rPr>
          <w:rFonts w:ascii="Arial" w:hAnsi="Arial" w:cs="Arial"/>
          <w:b/>
          <w:bCs/>
          <w:szCs w:val="24"/>
          <w:lang w:val="en-CA"/>
        </w:rPr>
        <w:instrText xml:space="preserve"> SEQ CHAPTER \h \r 1</w:instrText>
      </w:r>
      <w:r w:rsidRPr="00A9110F">
        <w:rPr>
          <w:rFonts w:ascii="Arial" w:hAnsi="Arial" w:cs="Arial"/>
          <w:b/>
          <w:bCs/>
          <w:szCs w:val="24"/>
          <w:lang w:val="en-CA"/>
        </w:rPr>
        <w:fldChar w:fldCharType="end"/>
      </w:r>
      <w:r w:rsidRPr="00A9110F">
        <w:rPr>
          <w:rFonts w:ascii="Arial" w:hAnsi="Arial" w:cs="Arial"/>
          <w:b/>
          <w:bCs/>
          <w:szCs w:val="24"/>
        </w:rPr>
        <w:t>Your signature below indicates that you understand and accept these conditions.</w:t>
      </w:r>
    </w:p>
    <w:p w:rsidR="00961A0A" w:rsidRPr="00A9110F" w:rsidRDefault="00961A0A" w:rsidP="00961A0A">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
        <w:gridCol w:w="4801"/>
        <w:gridCol w:w="817"/>
        <w:gridCol w:w="2382"/>
      </w:tblGrid>
      <w:tr w:rsidR="00961A0A" w:rsidRPr="00A9110F" w:rsidTr="00961A0A">
        <w:trPr>
          <w:trHeight w:val="485"/>
        </w:trPr>
        <w:tc>
          <w:tcPr>
            <w:tcW w:w="1468" w:type="dxa"/>
            <w:shd w:val="clear" w:color="auto" w:fill="B3B3B3"/>
            <w:vAlign w:val="center"/>
          </w:tcPr>
          <w:p w:rsidR="00961A0A" w:rsidRPr="00A9110F" w:rsidRDefault="00961A0A" w:rsidP="00872BBE">
            <w:pPr>
              <w:rPr>
                <w:rFonts w:ascii="Arial" w:hAnsi="Arial" w:cs="Arial"/>
                <w:b/>
                <w:snapToGrid w:val="0"/>
                <w:szCs w:val="24"/>
              </w:rPr>
            </w:pPr>
            <w:r w:rsidRPr="00A9110F">
              <w:rPr>
                <w:rFonts w:ascii="Arial" w:hAnsi="Arial" w:cs="Arial"/>
                <w:b/>
                <w:snapToGrid w:val="0"/>
                <w:szCs w:val="24"/>
              </w:rPr>
              <w:t>Signature:</w:t>
            </w:r>
          </w:p>
        </w:tc>
        <w:tc>
          <w:tcPr>
            <w:tcW w:w="4827" w:type="dxa"/>
            <w:vAlign w:val="center"/>
          </w:tcPr>
          <w:p w:rsidR="00961A0A" w:rsidRPr="00A9110F" w:rsidRDefault="00961A0A" w:rsidP="00872BBE">
            <w:pPr>
              <w:rPr>
                <w:rFonts w:ascii="Arial" w:hAnsi="Arial" w:cs="Arial"/>
                <w:b/>
                <w:snapToGrid w:val="0"/>
                <w:szCs w:val="24"/>
              </w:rPr>
            </w:pPr>
          </w:p>
        </w:tc>
        <w:tc>
          <w:tcPr>
            <w:tcW w:w="779" w:type="dxa"/>
            <w:shd w:val="clear" w:color="auto" w:fill="B3B3B3"/>
            <w:vAlign w:val="center"/>
          </w:tcPr>
          <w:p w:rsidR="00961A0A" w:rsidRPr="00A9110F" w:rsidRDefault="00961A0A" w:rsidP="00872BBE">
            <w:pPr>
              <w:rPr>
                <w:rFonts w:ascii="Arial" w:hAnsi="Arial" w:cs="Arial"/>
                <w:b/>
                <w:snapToGrid w:val="0"/>
                <w:szCs w:val="24"/>
              </w:rPr>
            </w:pPr>
            <w:r w:rsidRPr="00A9110F">
              <w:rPr>
                <w:rFonts w:ascii="Arial" w:hAnsi="Arial" w:cs="Arial"/>
                <w:b/>
                <w:snapToGrid w:val="0"/>
                <w:szCs w:val="24"/>
              </w:rPr>
              <w:t>Date:</w:t>
            </w:r>
          </w:p>
        </w:tc>
        <w:tc>
          <w:tcPr>
            <w:tcW w:w="2394" w:type="dxa"/>
            <w:vAlign w:val="center"/>
          </w:tcPr>
          <w:p w:rsidR="00961A0A" w:rsidRPr="00A9110F" w:rsidRDefault="00961A0A" w:rsidP="00872BBE">
            <w:pPr>
              <w:rPr>
                <w:rFonts w:ascii="Arial" w:hAnsi="Arial" w:cs="Arial"/>
                <w:b/>
                <w:snapToGrid w:val="0"/>
                <w:szCs w:val="24"/>
              </w:rPr>
            </w:pPr>
          </w:p>
        </w:tc>
      </w:tr>
    </w:tbl>
    <w:p w:rsidR="00961A0A" w:rsidRPr="00A9110F" w:rsidRDefault="00961A0A" w:rsidP="00961A0A">
      <w:pPr>
        <w:rPr>
          <w:rFonts w:ascii="Arial" w:hAnsi="Arial" w:cs="Arial"/>
          <w:szCs w:val="24"/>
        </w:rPr>
      </w:pPr>
    </w:p>
    <w:p w:rsidR="002D5FF8" w:rsidRPr="00A9110F" w:rsidRDefault="002D5FF8">
      <w:pPr>
        <w:rPr>
          <w:rFonts w:ascii="Arial" w:hAnsi="Arial" w:cs="Arial"/>
          <w:szCs w:val="24"/>
        </w:rPr>
      </w:pPr>
    </w:p>
    <w:sectPr w:rsidR="002D5FF8" w:rsidRPr="00A9110F" w:rsidSect="00623DD9">
      <w:footerReference w:type="default" r:id="rId7"/>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4D" w:rsidRDefault="00043E4D" w:rsidP="00197497">
      <w:r>
        <w:separator/>
      </w:r>
    </w:p>
  </w:endnote>
  <w:endnote w:type="continuationSeparator" w:id="0">
    <w:p w:rsidR="00043E4D" w:rsidRDefault="00043E4D" w:rsidP="00197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05" w:rsidRPr="00892B55" w:rsidRDefault="000318F0" w:rsidP="00892B55">
    <w:pPr>
      <w:pStyle w:val="Footer"/>
      <w:pBdr>
        <w:top w:val="single" w:sz="4" w:space="1" w:color="auto"/>
      </w:pBdr>
      <w:tabs>
        <w:tab w:val="right" w:pos="9360"/>
      </w:tabs>
      <w:jc w:val="right"/>
      <w:rPr>
        <w:rFonts w:ascii="Cambria" w:hAnsi="Cambria"/>
        <w:b/>
      </w:rPr>
    </w:pPr>
    <w:r w:rsidRPr="00892B55">
      <w:rPr>
        <w:rFonts w:ascii="Cambria" w:hAnsi="Cambria"/>
        <w:b/>
      </w:rPr>
      <w:t xml:space="preserve">Page </w:t>
    </w:r>
    <w:r w:rsidRPr="00892B55">
      <w:rPr>
        <w:rFonts w:ascii="Cambria" w:hAnsi="Cambria"/>
        <w:b/>
      </w:rPr>
      <w:fldChar w:fldCharType="begin"/>
    </w:r>
    <w:r w:rsidRPr="00892B55">
      <w:rPr>
        <w:rFonts w:ascii="Cambria" w:hAnsi="Cambria"/>
        <w:b/>
      </w:rPr>
      <w:instrText xml:space="preserve"> PAGE </w:instrText>
    </w:r>
    <w:r w:rsidRPr="00892B55">
      <w:rPr>
        <w:rFonts w:ascii="Cambria" w:hAnsi="Cambria"/>
        <w:b/>
      </w:rPr>
      <w:fldChar w:fldCharType="separate"/>
    </w:r>
    <w:r w:rsidR="00AB5B22">
      <w:rPr>
        <w:rFonts w:ascii="Cambria" w:hAnsi="Cambria"/>
        <w:b/>
        <w:noProof/>
      </w:rPr>
      <w:t>1</w:t>
    </w:r>
    <w:r w:rsidRPr="00892B55">
      <w:rPr>
        <w:rFonts w:ascii="Cambria" w:hAnsi="Cambria"/>
        <w:b/>
      </w:rPr>
      <w:fldChar w:fldCharType="end"/>
    </w:r>
    <w:r w:rsidRPr="00892B55">
      <w:rPr>
        <w:rFonts w:ascii="Cambria" w:hAnsi="Cambria"/>
        <w:b/>
      </w:rPr>
      <w:t xml:space="preserve"> of </w:t>
    </w:r>
    <w:r w:rsidRPr="00892B55">
      <w:rPr>
        <w:rFonts w:ascii="Cambria" w:hAnsi="Cambria"/>
        <w:b/>
      </w:rPr>
      <w:fldChar w:fldCharType="begin"/>
    </w:r>
    <w:r w:rsidRPr="00892B55">
      <w:rPr>
        <w:rFonts w:ascii="Cambria" w:hAnsi="Cambria"/>
        <w:b/>
      </w:rPr>
      <w:instrText xml:space="preserve"> NUMPAGES </w:instrText>
    </w:r>
    <w:r w:rsidRPr="00892B55">
      <w:rPr>
        <w:rFonts w:ascii="Cambria" w:hAnsi="Cambria"/>
        <w:b/>
      </w:rPr>
      <w:fldChar w:fldCharType="separate"/>
    </w:r>
    <w:r w:rsidR="00AB5B22">
      <w:rPr>
        <w:rFonts w:ascii="Cambria" w:hAnsi="Cambria"/>
        <w:b/>
        <w:noProof/>
      </w:rPr>
      <w:t>1</w:t>
    </w:r>
    <w:r w:rsidRPr="00892B55">
      <w:rPr>
        <w:rFonts w:ascii="Cambria" w:hAnsi="Cambria"/>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4D" w:rsidRDefault="00043E4D" w:rsidP="00197497">
      <w:r>
        <w:separator/>
      </w:r>
    </w:p>
  </w:footnote>
  <w:footnote w:type="continuationSeparator" w:id="0">
    <w:p w:rsidR="00043E4D" w:rsidRDefault="00043E4D" w:rsidP="00197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2741766"/>
    <w:lvl w:ilvl="0">
      <w:start w:val="1"/>
      <w:numFmt w:val="bullet"/>
      <w:lvlText w:val=""/>
      <w:lvlJc w:val="left"/>
      <w:pPr>
        <w:tabs>
          <w:tab w:val="num" w:pos="360"/>
        </w:tabs>
        <w:ind w:left="360" w:hanging="360"/>
      </w:pPr>
      <w:rPr>
        <w:rFonts w:ascii="Symbol" w:hAnsi="Symbol" w:hint="default"/>
      </w:rPr>
    </w:lvl>
  </w:abstractNum>
  <w:abstractNum w:abstractNumId="1">
    <w:nsid w:val="45FE55F5"/>
    <w:multiLevelType w:val="hybridMultilevel"/>
    <w:tmpl w:val="E22E8878"/>
    <w:lvl w:ilvl="0" w:tplc="C8505176">
      <w:start w:val="1"/>
      <w:numFmt w:val="bullet"/>
      <w:pStyle w:val="Bullets1"/>
      <w:lvlText w:val=""/>
      <w:lvlJc w:val="left"/>
      <w:pPr>
        <w:tabs>
          <w:tab w:val="num" w:pos="504"/>
        </w:tabs>
        <w:ind w:left="504" w:hanging="504"/>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4E0EF2"/>
    <w:rsid w:val="000271A7"/>
    <w:rsid w:val="000318F0"/>
    <w:rsid w:val="00043E4D"/>
    <w:rsid w:val="00167334"/>
    <w:rsid w:val="001740E7"/>
    <w:rsid w:val="00197497"/>
    <w:rsid w:val="001D3595"/>
    <w:rsid w:val="00210557"/>
    <w:rsid w:val="002D5FF8"/>
    <w:rsid w:val="002E6071"/>
    <w:rsid w:val="002E7F6E"/>
    <w:rsid w:val="00311DFB"/>
    <w:rsid w:val="00365396"/>
    <w:rsid w:val="00381E88"/>
    <w:rsid w:val="003B7915"/>
    <w:rsid w:val="00450F3F"/>
    <w:rsid w:val="004C72AE"/>
    <w:rsid w:val="004E0EF2"/>
    <w:rsid w:val="004F06D5"/>
    <w:rsid w:val="00550FDF"/>
    <w:rsid w:val="005C4CF4"/>
    <w:rsid w:val="00623DD9"/>
    <w:rsid w:val="00670955"/>
    <w:rsid w:val="00672A71"/>
    <w:rsid w:val="006F471C"/>
    <w:rsid w:val="007B7020"/>
    <w:rsid w:val="007C6DC5"/>
    <w:rsid w:val="007F7928"/>
    <w:rsid w:val="00832E50"/>
    <w:rsid w:val="0086594D"/>
    <w:rsid w:val="00872BBE"/>
    <w:rsid w:val="00886D5D"/>
    <w:rsid w:val="00892B55"/>
    <w:rsid w:val="00961A0A"/>
    <w:rsid w:val="00976227"/>
    <w:rsid w:val="00A55C05"/>
    <w:rsid w:val="00A9110F"/>
    <w:rsid w:val="00AA1DF5"/>
    <w:rsid w:val="00AB5B22"/>
    <w:rsid w:val="00AC3E48"/>
    <w:rsid w:val="00AE1CB6"/>
    <w:rsid w:val="00B841AD"/>
    <w:rsid w:val="00BF7679"/>
    <w:rsid w:val="00C25734"/>
    <w:rsid w:val="00C42501"/>
    <w:rsid w:val="00CE4505"/>
    <w:rsid w:val="00CF2DCB"/>
    <w:rsid w:val="00D02DB9"/>
    <w:rsid w:val="00D0487A"/>
    <w:rsid w:val="00D07B47"/>
    <w:rsid w:val="00D3073E"/>
    <w:rsid w:val="00DE394C"/>
    <w:rsid w:val="00DE4E48"/>
    <w:rsid w:val="00E71AD1"/>
    <w:rsid w:val="00E71BE3"/>
    <w:rsid w:val="00EC0CFF"/>
    <w:rsid w:val="00F00AB4"/>
    <w:rsid w:val="00F31958"/>
    <w:rsid w:val="00F90BBD"/>
    <w:rsid w:val="00FD3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DF5"/>
    <w:rPr>
      <w:sz w:val="24"/>
    </w:rPr>
  </w:style>
  <w:style w:type="paragraph" w:styleId="Heading4">
    <w:name w:val="heading 4"/>
    <w:basedOn w:val="Normal"/>
    <w:next w:val="Normal"/>
    <w:qFormat/>
    <w:rsid w:val="00AA1DF5"/>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AA1DF5"/>
    <w:pPr>
      <w:widowControl w:val="0"/>
      <w:tabs>
        <w:tab w:val="center" w:pos="4320"/>
        <w:tab w:val="right" w:pos="8640"/>
      </w:tabs>
      <w:autoSpaceDE w:val="0"/>
      <w:autoSpaceDN w:val="0"/>
    </w:pPr>
    <w:rPr>
      <w:sz w:val="20"/>
    </w:rPr>
  </w:style>
  <w:style w:type="paragraph" w:styleId="Header">
    <w:name w:val="header"/>
    <w:basedOn w:val="Normal"/>
    <w:rsid w:val="00AA1DF5"/>
    <w:pPr>
      <w:tabs>
        <w:tab w:val="center" w:pos="4320"/>
        <w:tab w:val="right" w:pos="8640"/>
      </w:tabs>
    </w:pPr>
  </w:style>
  <w:style w:type="paragraph" w:customStyle="1" w:styleId="attachmentdividerpage">
    <w:name w:val="attachment divider page"/>
    <w:basedOn w:val="Heading4"/>
    <w:rsid w:val="00AA1DF5"/>
    <w:pPr>
      <w:spacing w:before="5000" w:after="120"/>
      <w:jc w:val="center"/>
    </w:pPr>
    <w:rPr>
      <w:rFonts w:ascii="Arial Black" w:hAnsi="Arial Black"/>
      <w:b w:val="0"/>
      <w:bCs w:val="0"/>
      <w:szCs w:val="24"/>
      <w:lang w:val="fr-FR"/>
    </w:rPr>
  </w:style>
  <w:style w:type="paragraph" w:customStyle="1" w:styleId="Bullets1">
    <w:name w:val="Bullets 1"/>
    <w:basedOn w:val="Normal"/>
    <w:rsid w:val="00AA1DF5"/>
    <w:pPr>
      <w:numPr>
        <w:numId w:val="1"/>
      </w:numPr>
      <w:jc w:val="both"/>
    </w:pPr>
    <w:rPr>
      <w:rFonts w:ascii="Arial" w:hAnsi="Arial"/>
      <w:sz w:val="22"/>
      <w:szCs w:val="24"/>
    </w:rPr>
  </w:style>
  <w:style w:type="paragraph" w:customStyle="1" w:styleId="SLFlLftSg">
    <w:name w:val="SLFl Lft Sg"/>
    <w:rsid w:val="00AA1DF5"/>
    <w:pPr>
      <w:jc w:val="both"/>
    </w:pPr>
    <w:rPr>
      <w:snapToGrid w:val="0"/>
      <w:sz w:val="22"/>
    </w:rPr>
  </w:style>
  <w:style w:type="character" w:styleId="PageNumber">
    <w:name w:val="page number"/>
    <w:basedOn w:val="DefaultParagraphFont"/>
    <w:rsid w:val="00AA1DF5"/>
  </w:style>
  <w:style w:type="paragraph" w:styleId="BodyText2">
    <w:name w:val="Body Text 2"/>
    <w:basedOn w:val="Normal"/>
    <w:rsid w:val="002E7F6E"/>
    <w:pPr>
      <w:jc w:val="both"/>
    </w:pPr>
  </w:style>
  <w:style w:type="paragraph" w:styleId="BalloonText">
    <w:name w:val="Balloon Text"/>
    <w:basedOn w:val="Normal"/>
    <w:semiHidden/>
    <w:rsid w:val="00D07B47"/>
    <w:rPr>
      <w:rFonts w:ascii="Tahoma" w:hAnsi="Tahoma" w:cs="Tahoma"/>
      <w:sz w:val="16"/>
      <w:szCs w:val="16"/>
    </w:rPr>
  </w:style>
  <w:style w:type="character" w:customStyle="1" w:styleId="FooterChar">
    <w:name w:val="Footer Char"/>
    <w:basedOn w:val="DefaultParagraphFont"/>
    <w:link w:val="Footer"/>
    <w:rsid w:val="000318F0"/>
  </w:style>
  <w:style w:type="table" w:styleId="TableGrid">
    <w:name w:val="Table Grid"/>
    <w:basedOn w:val="TableNormal"/>
    <w:rsid w:val="00961A0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ATTACHMENT K </vt:lpstr>
    </vt:vector>
  </TitlesOfParts>
  <Company>ORC Macro</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K </dc:title>
  <dc:subject/>
  <dc:creator>Akanke.Rasheed</dc:creator>
  <cp:keywords/>
  <dc:description/>
  <cp:lastModifiedBy>Centers for Disease Control &amp; Prevention</cp:lastModifiedBy>
  <cp:revision>3</cp:revision>
  <cp:lastPrinted>2011-10-27T13:02:00Z</cp:lastPrinted>
  <dcterms:created xsi:type="dcterms:W3CDTF">2011-10-27T13:02:00Z</dcterms:created>
  <dcterms:modified xsi:type="dcterms:W3CDTF">2011-10-27T13:02:00Z</dcterms:modified>
</cp:coreProperties>
</file>