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75" w:rsidRDefault="009D0475">
      <w:pPr>
        <w:outlineLvl w:val="0"/>
        <w:rPr>
          <w:rFonts w:ascii="Arial" w:hAnsi="Arial"/>
          <w:b/>
          <w:sz w:val="22"/>
        </w:rPr>
      </w:pPr>
      <w:r>
        <w:rPr>
          <w:rFonts w:ascii="Arial" w:hAnsi="Arial"/>
          <w:b/>
          <w:sz w:val="22"/>
        </w:rPr>
        <w:t>Revisions to 2</w:t>
      </w:r>
      <w:r>
        <w:rPr>
          <w:rFonts w:ascii="Arial" w:hAnsi="Arial"/>
          <w:b/>
          <w:sz w:val="22"/>
          <w:vertAlign w:val="superscript"/>
        </w:rPr>
        <w:t>nd</w:t>
      </w:r>
      <w:r>
        <w:rPr>
          <w:rFonts w:ascii="Arial" w:hAnsi="Arial"/>
          <w:b/>
          <w:sz w:val="22"/>
        </w:rPr>
        <w:t xml:space="preserve"> Draft of CY2010 Part D Reporting Requirements </w:t>
      </w:r>
    </w:p>
    <w:p w:rsidR="009D0475" w:rsidRDefault="009D0475">
      <w:pPr>
        <w:outlineLvl w:val="0"/>
        <w:rPr>
          <w:rFonts w:ascii="Arial" w:hAnsi="Arial"/>
          <w:sz w:val="22"/>
        </w:rPr>
      </w:pPr>
      <w:r>
        <w:rPr>
          <w:rFonts w:ascii="Arial" w:hAnsi="Arial"/>
          <w:sz w:val="22"/>
        </w:rPr>
        <w:t xml:space="preserve"> </w:t>
      </w:r>
    </w:p>
    <w:p w:rsidR="009D0475" w:rsidRDefault="009D0475">
      <w:pPr>
        <w:rPr>
          <w:rFonts w:ascii="Arial" w:hAnsi="Arial"/>
          <w:sz w:val="22"/>
        </w:rPr>
      </w:pPr>
      <w:r>
        <w:rPr>
          <w:rFonts w:ascii="Arial" w:hAnsi="Arial"/>
          <w:sz w:val="22"/>
        </w:rPr>
        <w:t>Thirteen organizations submitted 116 comments to the 1</w:t>
      </w:r>
      <w:r>
        <w:rPr>
          <w:rFonts w:ascii="Arial" w:hAnsi="Arial"/>
          <w:sz w:val="22"/>
          <w:vertAlign w:val="superscript"/>
        </w:rPr>
        <w:t>st</w:t>
      </w:r>
      <w:r>
        <w:rPr>
          <w:rFonts w:ascii="Arial" w:hAnsi="Arial"/>
          <w:sz w:val="22"/>
        </w:rPr>
        <w:t xml:space="preserve"> draft of the Part D CY2010 Reporting Requirements.  The table below summarizes the revisions made for the 2</w:t>
      </w:r>
      <w:r>
        <w:rPr>
          <w:rFonts w:ascii="Arial" w:hAnsi="Arial"/>
          <w:sz w:val="22"/>
          <w:vertAlign w:val="superscript"/>
        </w:rPr>
        <w:t>nd</w:t>
      </w:r>
      <w:r>
        <w:rPr>
          <w:rFonts w:ascii="Arial" w:hAnsi="Arial"/>
          <w:sz w:val="22"/>
        </w:rPr>
        <w:t xml:space="preserve"> draft of the CY2010 Part D reporting requirements. </w:t>
      </w:r>
    </w:p>
    <w:p w:rsidR="009D0475" w:rsidRDefault="009D0475">
      <w:pPr>
        <w:ind w:right="48"/>
        <w:rPr>
          <w:rFonts w:ascii="Arial" w:hAnsi="Arial"/>
          <w:sz w:val="22"/>
        </w:rPr>
      </w:pPr>
    </w:p>
    <w:p w:rsidR="009D0475" w:rsidRDefault="009D0475">
      <w:pPr>
        <w:ind w:right="48"/>
        <w:rPr>
          <w:rFonts w:ascii="Arial" w:hAnsi="Arial"/>
          <w:sz w:val="22"/>
        </w:rPr>
      </w:pPr>
      <w:r>
        <w:rPr>
          <w:rFonts w:ascii="Arial" w:hAnsi="Arial"/>
          <w:sz w:val="22"/>
        </w:rPr>
        <w:t>The revised package also includes burden estimates for Plans’ collection of documentation necessary for Plan</w:t>
      </w:r>
      <w:r w:rsidR="00946BBF">
        <w:rPr>
          <w:rFonts w:ascii="Arial" w:hAnsi="Arial"/>
          <w:sz w:val="22"/>
        </w:rPr>
        <w:t>s’</w:t>
      </w:r>
      <w:r>
        <w:rPr>
          <w:rFonts w:ascii="Arial" w:hAnsi="Arial"/>
          <w:sz w:val="22"/>
        </w:rPr>
        <w:t xml:space="preserve"> </w:t>
      </w:r>
      <w:r w:rsidR="00A01A1D">
        <w:rPr>
          <w:rFonts w:ascii="Arial" w:hAnsi="Arial"/>
          <w:sz w:val="22"/>
        </w:rPr>
        <w:t>self-</w:t>
      </w:r>
      <w:r>
        <w:rPr>
          <w:rFonts w:ascii="Arial" w:hAnsi="Arial"/>
          <w:sz w:val="22"/>
        </w:rPr>
        <w:t>auditing</w:t>
      </w:r>
      <w:r w:rsidR="00A01A1D">
        <w:rPr>
          <w:rFonts w:ascii="Arial" w:hAnsi="Arial"/>
          <w:sz w:val="22"/>
        </w:rPr>
        <w:t xml:space="preserve"> of reported data</w:t>
      </w:r>
      <w:r>
        <w:rPr>
          <w:rFonts w:ascii="Arial" w:hAnsi="Arial"/>
          <w:sz w:val="22"/>
        </w:rPr>
        <w:t xml:space="preserve">.  The requirements for plan auditing will be introduced as a phased-in approach over the next three years; in total, seventeen reporting sections will be impacted, with an additional reporting burden of 30 minutes per section, or a total of 8.5 hours annually.  Since plan auditing requirements will be phased in, this burden will not be fully realized until all requirements have been issued by CMS.  Further, the reporting burden applies to new Part D plans; plans that continue to offer the Part D benefit will have a diminished reporting burden as audit and reporting requirements remain fixed.  The following reporting sections are excluded from Plan auditing requirements because the data are already audited via other means: Generic drug utilization; Licensure and Solvency; Pharmaceutical Rebates; and Fraud, Waste, and Abuse Compliance Programs.  </w:t>
      </w:r>
    </w:p>
    <w:p w:rsidR="009D0475" w:rsidRDefault="009D0475">
      <w:pPr>
        <w:ind w:right="48"/>
        <w:rPr>
          <w:rFonts w:ascii="Arial" w:hAnsi="Arial"/>
          <w:sz w:val="22"/>
        </w:rPr>
      </w:pPr>
    </w:p>
    <w:p w:rsidR="009D0475" w:rsidRDefault="009D0475">
      <w:pPr>
        <w:ind w:right="48"/>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216"/>
        <w:gridCol w:w="2246"/>
        <w:gridCol w:w="6840"/>
        <w:gridCol w:w="2138"/>
      </w:tblGrid>
      <w:tr w:rsidR="009D0475">
        <w:tblPrEx>
          <w:tblCellMar>
            <w:top w:w="0" w:type="dxa"/>
            <w:bottom w:w="0" w:type="dxa"/>
          </w:tblCellMar>
        </w:tblPrEx>
        <w:trPr>
          <w:tblHeader/>
        </w:trPr>
        <w:tc>
          <w:tcPr>
            <w:tcW w:w="708" w:type="dxa"/>
          </w:tcPr>
          <w:p w:rsidR="009D0475" w:rsidRDefault="009D0475">
            <w:pPr>
              <w:jc w:val="center"/>
              <w:rPr>
                <w:rFonts w:ascii="Arial" w:hAnsi="Arial"/>
                <w:b/>
                <w:sz w:val="22"/>
              </w:rPr>
            </w:pPr>
            <w:r>
              <w:rPr>
                <w:rFonts w:ascii="Arial" w:hAnsi="Arial"/>
                <w:b/>
                <w:sz w:val="22"/>
              </w:rPr>
              <w:t>#</w:t>
            </w:r>
          </w:p>
        </w:tc>
        <w:tc>
          <w:tcPr>
            <w:tcW w:w="2216" w:type="dxa"/>
          </w:tcPr>
          <w:p w:rsidR="009D0475" w:rsidRDefault="009D0475">
            <w:pPr>
              <w:rPr>
                <w:rFonts w:ascii="Arial" w:hAnsi="Arial"/>
                <w:b/>
                <w:sz w:val="22"/>
              </w:rPr>
            </w:pPr>
            <w:r>
              <w:rPr>
                <w:rFonts w:ascii="Arial" w:hAnsi="Arial"/>
                <w:b/>
                <w:sz w:val="22"/>
              </w:rPr>
              <w:t>Category</w:t>
            </w:r>
          </w:p>
        </w:tc>
        <w:tc>
          <w:tcPr>
            <w:tcW w:w="2246" w:type="dxa"/>
          </w:tcPr>
          <w:p w:rsidR="009D0475" w:rsidRDefault="009D0475">
            <w:pPr>
              <w:rPr>
                <w:rFonts w:ascii="Arial" w:hAnsi="Arial"/>
                <w:b/>
                <w:sz w:val="22"/>
              </w:rPr>
            </w:pPr>
            <w:r>
              <w:rPr>
                <w:rFonts w:ascii="Arial" w:hAnsi="Arial"/>
                <w:b/>
                <w:sz w:val="22"/>
              </w:rPr>
              <w:t>Section</w:t>
            </w:r>
          </w:p>
        </w:tc>
        <w:tc>
          <w:tcPr>
            <w:tcW w:w="6840" w:type="dxa"/>
          </w:tcPr>
          <w:p w:rsidR="009D0475" w:rsidRDefault="009D0475">
            <w:pPr>
              <w:rPr>
                <w:rFonts w:ascii="Arial" w:hAnsi="Arial"/>
                <w:b/>
                <w:sz w:val="22"/>
              </w:rPr>
            </w:pPr>
            <w:r>
              <w:rPr>
                <w:rFonts w:ascii="Arial" w:hAnsi="Arial"/>
                <w:b/>
                <w:sz w:val="22"/>
              </w:rPr>
              <w:t>Change/Reason</w:t>
            </w:r>
          </w:p>
        </w:tc>
        <w:tc>
          <w:tcPr>
            <w:tcW w:w="2138" w:type="dxa"/>
          </w:tcPr>
          <w:p w:rsidR="009D0475" w:rsidRDefault="009D0475">
            <w:pPr>
              <w:rPr>
                <w:rFonts w:ascii="Arial" w:hAnsi="Arial"/>
                <w:b/>
                <w:sz w:val="22"/>
              </w:rPr>
            </w:pPr>
            <w:r>
              <w:rPr>
                <w:rFonts w:ascii="Arial" w:hAnsi="Arial"/>
                <w:b/>
                <w:sz w:val="22"/>
              </w:rPr>
              <w:t>Effect to reporting burden</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Enrollment</w:t>
            </w:r>
          </w:p>
        </w:tc>
        <w:tc>
          <w:tcPr>
            <w:tcW w:w="6840" w:type="dxa"/>
          </w:tcPr>
          <w:p w:rsidR="009D0475" w:rsidRDefault="009D0475">
            <w:pPr>
              <w:rPr>
                <w:rFonts w:ascii="Arial" w:hAnsi="Arial"/>
                <w:sz w:val="22"/>
              </w:rPr>
            </w:pPr>
            <w:r>
              <w:rPr>
                <w:rFonts w:ascii="Arial" w:hAnsi="Arial"/>
                <w:sz w:val="22"/>
              </w:rPr>
              <w:t xml:space="preserve">Clarification provided to data elements, including inclusion and exclusion criteria for data to be reported.  </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2</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Retail, Home Infusion, and Long-term Care Pharmacy Access</w:t>
            </w:r>
          </w:p>
        </w:tc>
        <w:tc>
          <w:tcPr>
            <w:tcW w:w="6840" w:type="dxa"/>
          </w:tcPr>
          <w:p w:rsidR="009D0475" w:rsidRDefault="009D0475">
            <w:pPr>
              <w:rPr>
                <w:rFonts w:ascii="Arial" w:hAnsi="Arial"/>
                <w:sz w:val="22"/>
              </w:rPr>
            </w:pPr>
            <w:r>
              <w:rPr>
                <w:rFonts w:ascii="Arial" w:hAnsi="Arial"/>
                <w:sz w:val="22"/>
              </w:rPr>
              <w:t>Subsection numbering errors were corrected.</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3</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Retail, Home Infusion, and Long-term Care Pharmacy Access</w:t>
            </w:r>
          </w:p>
        </w:tc>
        <w:tc>
          <w:tcPr>
            <w:tcW w:w="6840" w:type="dxa"/>
          </w:tcPr>
          <w:p w:rsidR="009D0475" w:rsidRDefault="009D0475">
            <w:pPr>
              <w:rPr>
                <w:rFonts w:ascii="Arial" w:hAnsi="Arial"/>
                <w:sz w:val="22"/>
              </w:rPr>
            </w:pPr>
            <w:r>
              <w:rPr>
                <w:rFonts w:ascii="Arial" w:hAnsi="Arial"/>
                <w:sz w:val="22"/>
              </w:rPr>
              <w:t>A statement was added to subsection D to clarify that plans receiving waivers for retail pharmacy convenient access standards would no longer be exempt from submitting data elements A1-A4.   The 1</w:t>
            </w:r>
            <w:r>
              <w:rPr>
                <w:rFonts w:ascii="Arial" w:hAnsi="Arial"/>
                <w:sz w:val="22"/>
                <w:vertAlign w:val="superscript"/>
              </w:rPr>
              <w:t>st</w:t>
            </w:r>
            <w:r>
              <w:rPr>
                <w:rFonts w:ascii="Arial" w:hAnsi="Arial"/>
                <w:sz w:val="22"/>
              </w:rPr>
              <w:t xml:space="preserve"> draft had only struck the statement that these plans were exempt from reporting.  It is </w:t>
            </w:r>
            <w:proofErr w:type="gramStart"/>
            <w:r>
              <w:rPr>
                <w:rFonts w:ascii="Arial" w:hAnsi="Arial"/>
                <w:sz w:val="22"/>
              </w:rPr>
              <w:t>more clear</w:t>
            </w:r>
            <w:proofErr w:type="gramEnd"/>
            <w:r>
              <w:rPr>
                <w:rFonts w:ascii="Arial" w:hAnsi="Arial"/>
                <w:sz w:val="22"/>
              </w:rPr>
              <w:t xml:space="preserve"> to state this change in reporting. </w:t>
            </w:r>
          </w:p>
        </w:tc>
        <w:tc>
          <w:tcPr>
            <w:tcW w:w="2138" w:type="dxa"/>
          </w:tcPr>
          <w:p w:rsidR="009D0475" w:rsidRDefault="009D0475">
            <w:pPr>
              <w:rPr>
                <w:rFonts w:ascii="Arial" w:hAnsi="Arial"/>
                <w:sz w:val="22"/>
              </w:rPr>
            </w:pPr>
            <w:r>
              <w:rPr>
                <w:rFonts w:ascii="Arial" w:hAnsi="Arial"/>
                <w:sz w:val="22"/>
              </w:rPr>
              <w:t>Increase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4</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bookmarkStart w:id="0" w:name="_Toc228163927"/>
            <w:bookmarkStart w:id="1" w:name="_Toc216744390"/>
            <w:r>
              <w:rPr>
                <w:rFonts w:ascii="Arial" w:hAnsi="Arial"/>
                <w:sz w:val="22"/>
              </w:rPr>
              <w:t>Access to Extended Day Supplies at Retail Pharmacies</w:t>
            </w:r>
            <w:bookmarkEnd w:id="0"/>
            <w:bookmarkEnd w:id="1"/>
          </w:p>
          <w:p w:rsidR="009D0475" w:rsidRDefault="009D0475">
            <w:pPr>
              <w:rPr>
                <w:rFonts w:ascii="Arial" w:hAnsi="Arial"/>
                <w:sz w:val="22"/>
              </w:rPr>
            </w:pPr>
          </w:p>
        </w:tc>
        <w:tc>
          <w:tcPr>
            <w:tcW w:w="6840" w:type="dxa"/>
          </w:tcPr>
          <w:p w:rsidR="009D0475" w:rsidRDefault="009D0475">
            <w:pPr>
              <w:rPr>
                <w:rFonts w:ascii="Arial" w:hAnsi="Arial"/>
                <w:sz w:val="22"/>
              </w:rPr>
            </w:pPr>
            <w:r>
              <w:rPr>
                <w:rFonts w:ascii="Arial" w:hAnsi="Arial"/>
                <w:sz w:val="22"/>
              </w:rPr>
              <w:t>Data element B, the number of contracted retail pharmacies in a Contract’s service area, was deleted, and a statement was inserted that data reported in the Retail, Home Infusion, and Long-term Care Pharmacy Access section would be used instead.   This will avoid duplicative reporting.</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5</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Vaccines</w:t>
            </w:r>
          </w:p>
        </w:tc>
        <w:tc>
          <w:tcPr>
            <w:tcW w:w="6840" w:type="dxa"/>
          </w:tcPr>
          <w:p w:rsidR="009D0475" w:rsidRDefault="009D0475">
            <w:pPr>
              <w:rPr>
                <w:rFonts w:ascii="Arial" w:hAnsi="Arial"/>
                <w:sz w:val="22"/>
              </w:rPr>
            </w:pPr>
            <w:r>
              <w:rPr>
                <w:rFonts w:ascii="Arial" w:hAnsi="Arial"/>
                <w:sz w:val="22"/>
              </w:rPr>
              <w:t>The 2</w:t>
            </w:r>
            <w:r>
              <w:rPr>
                <w:rFonts w:ascii="Arial" w:hAnsi="Arial"/>
                <w:sz w:val="22"/>
                <w:vertAlign w:val="superscript"/>
              </w:rPr>
              <w:t>nd</w:t>
            </w:r>
            <w:r>
              <w:rPr>
                <w:rFonts w:ascii="Arial" w:hAnsi="Arial"/>
                <w:sz w:val="22"/>
              </w:rPr>
              <w:t xml:space="preserve"> reporting period was revised to a 12 month year-to-date (YTD) period from a 6 month period.  This change addresses concerns that some vaccine claims would fall between 6 month </w:t>
            </w:r>
            <w:r>
              <w:rPr>
                <w:rFonts w:ascii="Arial" w:hAnsi="Arial"/>
                <w:sz w:val="22"/>
              </w:rPr>
              <w:lastRenderedPageBreak/>
              <w:t>reporting periods due to differences between vaccine administration and adjudication dates.   Plans report vaccines based on administration dates within a reporting time period; lags in adjudication time could result in plans receiving claims after submitting data for the 1</w:t>
            </w:r>
            <w:r>
              <w:rPr>
                <w:rFonts w:ascii="Arial" w:hAnsi="Arial"/>
                <w:sz w:val="22"/>
                <w:vertAlign w:val="superscript"/>
              </w:rPr>
              <w:t>st</w:t>
            </w:r>
            <w:r>
              <w:rPr>
                <w:rFonts w:ascii="Arial" w:hAnsi="Arial"/>
                <w:sz w:val="22"/>
              </w:rPr>
              <w:t xml:space="preserve"> 6 month reporting period.   It would be inaccurate to include those claims in the 2</w:t>
            </w:r>
            <w:r>
              <w:rPr>
                <w:rFonts w:ascii="Arial" w:hAnsi="Arial"/>
                <w:sz w:val="22"/>
                <w:vertAlign w:val="superscript"/>
              </w:rPr>
              <w:t>nd</w:t>
            </w:r>
            <w:r>
              <w:rPr>
                <w:rFonts w:ascii="Arial" w:hAnsi="Arial"/>
                <w:sz w:val="22"/>
              </w:rPr>
              <w:t xml:space="preserve"> 6 month reporting period.  The 12 month YTD period will allow Plans to adjust these data to accurately reflect vaccine administrations.</w:t>
            </w:r>
          </w:p>
        </w:tc>
        <w:tc>
          <w:tcPr>
            <w:tcW w:w="2138" w:type="dxa"/>
          </w:tcPr>
          <w:p w:rsidR="009D0475" w:rsidRDefault="009D0475">
            <w:pPr>
              <w:rPr>
                <w:rFonts w:ascii="Arial" w:hAnsi="Arial"/>
                <w:sz w:val="22"/>
              </w:rPr>
            </w:pPr>
            <w:r>
              <w:rPr>
                <w:rFonts w:ascii="Arial" w:hAnsi="Arial"/>
                <w:sz w:val="22"/>
              </w:rPr>
              <w:lastRenderedPageBreak/>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lastRenderedPageBreak/>
              <w:t>6</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Medication Therapy Management Programs</w:t>
            </w:r>
          </w:p>
        </w:tc>
        <w:tc>
          <w:tcPr>
            <w:tcW w:w="6840" w:type="dxa"/>
          </w:tcPr>
          <w:p w:rsidR="009D0475" w:rsidRDefault="009D0475">
            <w:pPr>
              <w:rPr>
                <w:rFonts w:ascii="Arial" w:hAnsi="Arial"/>
                <w:sz w:val="22"/>
              </w:rPr>
            </w:pPr>
            <w:r>
              <w:rPr>
                <w:rFonts w:ascii="Arial" w:hAnsi="Arial"/>
                <w:sz w:val="22"/>
              </w:rPr>
              <w:t>Subsection I, data element K, the average amount of time spent to complete an annual comprehensive medication review per MTMP enrollee, was deleted to reduce unnecessary reporting burden.</w:t>
            </w:r>
            <w:r>
              <w:t xml:space="preserve"> </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7</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Medication Therapy Management Programs</w:t>
            </w:r>
          </w:p>
        </w:tc>
        <w:tc>
          <w:tcPr>
            <w:tcW w:w="6840" w:type="dxa"/>
          </w:tcPr>
          <w:p w:rsidR="009D0475" w:rsidRDefault="009D0475">
            <w:r>
              <w:rPr>
                <w:rFonts w:ascii="Arial" w:hAnsi="Arial"/>
                <w:sz w:val="22"/>
              </w:rPr>
              <w:t>Subsection II, data element N, the term provider was replaced with prescriber.  This terminology is consistent with other CMS issued guidance.</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8</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Medication Therapy Management Programs</w:t>
            </w:r>
          </w:p>
        </w:tc>
        <w:tc>
          <w:tcPr>
            <w:tcW w:w="6840" w:type="dxa"/>
          </w:tcPr>
          <w:p w:rsidR="009D0475" w:rsidRDefault="009D0475">
            <w:pPr>
              <w:rPr>
                <w:rFonts w:ascii="Arial" w:hAnsi="Arial"/>
                <w:sz w:val="22"/>
              </w:rPr>
            </w:pPr>
            <w:r>
              <w:rPr>
                <w:rFonts w:ascii="Arial" w:hAnsi="Arial"/>
                <w:sz w:val="22"/>
              </w:rPr>
              <w:t>Subsection II, data elements O-T were combined into a revised data element O, the number of changes to drug therapy made as a result of MTM interventions, in order to reduce errors or inconsistency in data.</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9</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Medication Therapy Management Programs</w:t>
            </w:r>
          </w:p>
        </w:tc>
        <w:tc>
          <w:tcPr>
            <w:tcW w:w="6840" w:type="dxa"/>
          </w:tcPr>
          <w:p w:rsidR="009D0475" w:rsidRDefault="009D0475">
            <w:pPr>
              <w:rPr>
                <w:rFonts w:ascii="Arial" w:hAnsi="Arial"/>
                <w:sz w:val="22"/>
              </w:rPr>
            </w:pPr>
            <w:r>
              <w:rPr>
                <w:rFonts w:ascii="Arial" w:hAnsi="Arial"/>
                <w:sz w:val="22"/>
              </w:rPr>
              <w:t xml:space="preserve">In subsection II, the term “direct result” was revised to “result”. </w:t>
            </w:r>
            <w:proofErr w:type="gramStart"/>
            <w:r>
              <w:rPr>
                <w:rFonts w:ascii="Arial" w:hAnsi="Arial"/>
                <w:sz w:val="22"/>
              </w:rPr>
              <w:t>Comments indicated the term direct was</w:t>
            </w:r>
            <w:proofErr w:type="gramEnd"/>
            <w:r>
              <w:rPr>
                <w:rFonts w:ascii="Arial" w:hAnsi="Arial"/>
                <w:sz w:val="22"/>
              </w:rPr>
              <w:t xml:space="preserve"> difficult to interpret.</w:t>
            </w:r>
          </w:p>
          <w:p w:rsidR="009D0475" w:rsidRDefault="009D0475">
            <w:pPr>
              <w:rPr>
                <w:rFonts w:ascii="Arial" w:hAnsi="Arial"/>
                <w:sz w:val="22"/>
              </w:rPr>
            </w:pP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10</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Prompt Payment by Part D Sponsors</w:t>
            </w:r>
          </w:p>
        </w:tc>
        <w:tc>
          <w:tcPr>
            <w:tcW w:w="6840" w:type="dxa"/>
          </w:tcPr>
          <w:p w:rsidR="009D0475" w:rsidRDefault="009D0475">
            <w:pPr>
              <w:rPr>
                <w:rFonts w:ascii="Arial" w:hAnsi="Arial"/>
                <w:sz w:val="22"/>
              </w:rPr>
            </w:pPr>
            <w:r>
              <w:rPr>
                <w:rFonts w:ascii="Arial" w:hAnsi="Arial"/>
                <w:sz w:val="22"/>
              </w:rPr>
              <w:t>Clarification was made to the term “days” to refer to calendar days, and non-electronic claims included paper claims.</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11</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bookmarkStart w:id="2" w:name="_Toc228163931"/>
            <w:bookmarkStart w:id="3" w:name="_Toc216744394"/>
            <w:r>
              <w:rPr>
                <w:rFonts w:ascii="Arial" w:hAnsi="Arial"/>
                <w:sz w:val="22"/>
              </w:rPr>
              <w:t>Pharmacy Support of Electronic Prescribing</w:t>
            </w:r>
            <w:bookmarkEnd w:id="2"/>
            <w:bookmarkEnd w:id="3"/>
          </w:p>
          <w:p w:rsidR="009D0475" w:rsidRDefault="009D0475">
            <w:pPr>
              <w:rPr>
                <w:rFonts w:ascii="Arial" w:hAnsi="Arial"/>
                <w:sz w:val="22"/>
              </w:rPr>
            </w:pPr>
          </w:p>
        </w:tc>
        <w:tc>
          <w:tcPr>
            <w:tcW w:w="6840" w:type="dxa"/>
          </w:tcPr>
          <w:p w:rsidR="009D0475" w:rsidRDefault="009D0475">
            <w:pPr>
              <w:rPr>
                <w:rFonts w:ascii="Arial" w:hAnsi="Arial"/>
                <w:sz w:val="22"/>
              </w:rPr>
            </w:pPr>
            <w:r>
              <w:rPr>
                <w:rFonts w:ascii="Arial" w:hAnsi="Arial"/>
                <w:sz w:val="22"/>
              </w:rPr>
              <w:t>Data elements A and C, the numbers of retail pharmacies and non-retail pharmacies in a contract’s service area, were deleted.  Instead, a statement was inserted that the data reported in the Retail, Home Infusion, and Long-term Care Pharmacy Access section would be used instead to evaluate these data. This will avoid duplicative reporting.</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12</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Generic Drug Utilization</w:t>
            </w:r>
          </w:p>
        </w:tc>
        <w:tc>
          <w:tcPr>
            <w:tcW w:w="6840" w:type="dxa"/>
          </w:tcPr>
          <w:p w:rsidR="009D0475" w:rsidRDefault="009D0475">
            <w:pPr>
              <w:rPr>
                <w:rFonts w:ascii="Arial" w:hAnsi="Arial"/>
                <w:sz w:val="22"/>
              </w:rPr>
            </w:pPr>
            <w:r>
              <w:rPr>
                <w:rFonts w:ascii="Arial" w:hAnsi="Arial"/>
                <w:sz w:val="22"/>
              </w:rPr>
              <w:t xml:space="preserve">Clarification was made that claims for non-drug products (e.g. alcohol pads) should be excluded. </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13</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Grievances</w:t>
            </w:r>
          </w:p>
        </w:tc>
        <w:tc>
          <w:tcPr>
            <w:tcW w:w="6840" w:type="dxa"/>
          </w:tcPr>
          <w:p w:rsidR="009D0475" w:rsidRDefault="009D0475">
            <w:pPr>
              <w:autoSpaceDE w:val="0"/>
              <w:autoSpaceDN w:val="0"/>
              <w:adjustRightInd w:val="0"/>
              <w:rPr>
                <w:rFonts w:ascii="Arial" w:hAnsi="Arial"/>
                <w:sz w:val="22"/>
              </w:rPr>
            </w:pPr>
            <w:r>
              <w:rPr>
                <w:rFonts w:ascii="Arial" w:hAnsi="Arial"/>
                <w:sz w:val="22"/>
              </w:rPr>
              <w:t xml:space="preserve">For improved clarity, the data elements were reformatted.  </w:t>
            </w:r>
          </w:p>
        </w:tc>
        <w:tc>
          <w:tcPr>
            <w:tcW w:w="2138" w:type="dxa"/>
          </w:tcPr>
          <w:p w:rsidR="009D0475" w:rsidRDefault="009D0475">
            <w:pPr>
              <w:autoSpaceDE w:val="0"/>
              <w:autoSpaceDN w:val="0"/>
              <w:adjustRightInd w:val="0"/>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14</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Grievances</w:t>
            </w:r>
          </w:p>
        </w:tc>
        <w:tc>
          <w:tcPr>
            <w:tcW w:w="6840" w:type="dxa"/>
          </w:tcPr>
          <w:p w:rsidR="009D0475" w:rsidRDefault="009D0475">
            <w:pPr>
              <w:rPr>
                <w:rFonts w:ascii="Arial" w:hAnsi="Arial"/>
                <w:sz w:val="22"/>
              </w:rPr>
            </w:pPr>
            <w:r>
              <w:rPr>
                <w:rFonts w:ascii="Arial" w:hAnsi="Arial"/>
                <w:sz w:val="22"/>
              </w:rPr>
              <w:t xml:space="preserve">To reduce burden, the core category of fraud, waste, and abuse grievances was removed, as these are included in the Fraud, </w:t>
            </w:r>
            <w:r>
              <w:rPr>
                <w:rFonts w:ascii="Arial" w:hAnsi="Arial"/>
                <w:sz w:val="22"/>
              </w:rPr>
              <w:lastRenderedPageBreak/>
              <w:t>Waste, and Abuse Compliance Programs reporting section.  In this reporting section, those types of grievances will be counted in the “Other” category.</w:t>
            </w:r>
          </w:p>
        </w:tc>
        <w:tc>
          <w:tcPr>
            <w:tcW w:w="2138" w:type="dxa"/>
          </w:tcPr>
          <w:p w:rsidR="009D0475" w:rsidRDefault="009D0475">
            <w:pPr>
              <w:rPr>
                <w:rFonts w:ascii="Arial" w:hAnsi="Arial"/>
                <w:sz w:val="22"/>
              </w:rPr>
            </w:pPr>
            <w:r>
              <w:rPr>
                <w:rFonts w:ascii="Arial" w:hAnsi="Arial"/>
                <w:sz w:val="22"/>
              </w:rPr>
              <w:lastRenderedPageBreak/>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lastRenderedPageBreak/>
              <w:t>15</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Grievances</w:t>
            </w:r>
          </w:p>
        </w:tc>
        <w:tc>
          <w:tcPr>
            <w:tcW w:w="6840" w:type="dxa"/>
          </w:tcPr>
          <w:p w:rsidR="009D0475" w:rsidRDefault="009D0475">
            <w:pPr>
              <w:rPr>
                <w:rFonts w:ascii="Arial" w:hAnsi="Arial"/>
                <w:sz w:val="22"/>
              </w:rPr>
            </w:pPr>
            <w:r>
              <w:rPr>
                <w:rFonts w:ascii="Arial" w:hAnsi="Arial"/>
                <w:sz w:val="22"/>
              </w:rPr>
              <w:t xml:space="preserve">Collecting the number of grievances that did not have timely notification were removed, as Plans already report the total number of grievances and the number that did receive timely notification.  The number of grievances that did not have timely notification can be calculated from the plan reported data.  </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16</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Coverage determinations and Exceptions</w:t>
            </w:r>
          </w:p>
        </w:tc>
        <w:tc>
          <w:tcPr>
            <w:tcW w:w="6840" w:type="dxa"/>
          </w:tcPr>
          <w:p w:rsidR="009D0475" w:rsidRDefault="009D0475">
            <w:pPr>
              <w:rPr>
                <w:rFonts w:ascii="Arial" w:hAnsi="Arial"/>
                <w:sz w:val="22"/>
              </w:rPr>
            </w:pPr>
            <w:r>
              <w:rPr>
                <w:rFonts w:ascii="Arial" w:hAnsi="Arial"/>
                <w:sz w:val="22"/>
              </w:rPr>
              <w:t xml:space="preserve">Data elements were revised to clarify if certain data elements were subsets of total(s).  </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17</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Coverage determinations and Exceptions</w:t>
            </w:r>
          </w:p>
        </w:tc>
        <w:tc>
          <w:tcPr>
            <w:tcW w:w="6840" w:type="dxa"/>
          </w:tcPr>
          <w:p w:rsidR="009D0475" w:rsidRDefault="009D0475">
            <w:pPr>
              <w:rPr>
                <w:rFonts w:ascii="Arial" w:hAnsi="Arial"/>
                <w:sz w:val="22"/>
              </w:rPr>
            </w:pPr>
            <w:r>
              <w:rPr>
                <w:rFonts w:ascii="Arial" w:hAnsi="Arial"/>
                <w:sz w:val="22"/>
              </w:rPr>
              <w:t xml:space="preserve">Data elements E and F, total number of non-prior authorization coverage determinations requested and approved in the time period, were deleted, as comments indicated that these could be interpreted as being included in other data elements (G-L).    </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18</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Appeals</w:t>
            </w:r>
          </w:p>
        </w:tc>
        <w:tc>
          <w:tcPr>
            <w:tcW w:w="6840" w:type="dxa"/>
          </w:tcPr>
          <w:p w:rsidR="009D0475" w:rsidRDefault="009D0475">
            <w:pPr>
              <w:rPr>
                <w:rFonts w:ascii="Arial" w:hAnsi="Arial"/>
                <w:sz w:val="22"/>
              </w:rPr>
            </w:pPr>
            <w:r>
              <w:rPr>
                <w:rFonts w:ascii="Arial" w:hAnsi="Arial"/>
                <w:sz w:val="22"/>
              </w:rPr>
              <w:t>Data element B, the number of requests for redeterminations dismissed by the Plan, was deleted as Plans rarely dismiss redetermination requests.  Data element A was revised to state the total number of redeterminations processed in the time period.</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19</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bookmarkStart w:id="4" w:name="_Toc228163938"/>
            <w:bookmarkStart w:id="5" w:name="_Toc216744401"/>
            <w:r>
              <w:rPr>
                <w:rFonts w:ascii="Arial" w:hAnsi="Arial"/>
                <w:sz w:val="22"/>
              </w:rPr>
              <w:t>Pharmaceutical Manufacturer Rebates, Discounts, and Other Price Concessions</w:t>
            </w:r>
            <w:bookmarkEnd w:id="4"/>
            <w:bookmarkEnd w:id="5"/>
          </w:p>
          <w:p w:rsidR="009D0475" w:rsidRDefault="009D0475">
            <w:pPr>
              <w:rPr>
                <w:rFonts w:ascii="Arial" w:hAnsi="Arial"/>
                <w:sz w:val="22"/>
              </w:rPr>
            </w:pPr>
          </w:p>
        </w:tc>
        <w:tc>
          <w:tcPr>
            <w:tcW w:w="6840" w:type="dxa"/>
          </w:tcPr>
          <w:p w:rsidR="009D0475" w:rsidRDefault="009D0475">
            <w:pPr>
              <w:rPr>
                <w:rFonts w:ascii="Arial" w:hAnsi="Arial"/>
                <w:sz w:val="22"/>
              </w:rPr>
            </w:pPr>
            <w:r>
              <w:rPr>
                <w:rFonts w:ascii="Arial" w:hAnsi="Arial"/>
                <w:sz w:val="22"/>
              </w:rPr>
              <w:t>A sentence was struck in the introduction of this section that referred to the previous quarterly reporting; data for this section is now reported annually.</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20</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Long-term Care Utilization</w:t>
            </w:r>
          </w:p>
        </w:tc>
        <w:tc>
          <w:tcPr>
            <w:tcW w:w="6840" w:type="dxa"/>
          </w:tcPr>
          <w:p w:rsidR="009D0475" w:rsidRDefault="009D0475">
            <w:pPr>
              <w:rPr>
                <w:rFonts w:ascii="Arial" w:hAnsi="Arial"/>
                <w:sz w:val="22"/>
              </w:rPr>
            </w:pPr>
            <w:r>
              <w:rPr>
                <w:rFonts w:ascii="Arial" w:hAnsi="Arial"/>
                <w:sz w:val="22"/>
              </w:rPr>
              <w:t xml:space="preserve">Definitions were provided to clarify terms.  For consistency, the terms “licensed to serve” were deleted, and the term “contracted” was replaced with network.  The method of data submission was changed to upload into HPMS instead of data entry.   </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21</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Long-term Care Utilization</w:t>
            </w:r>
          </w:p>
        </w:tc>
        <w:tc>
          <w:tcPr>
            <w:tcW w:w="6840" w:type="dxa"/>
          </w:tcPr>
          <w:p w:rsidR="009D0475" w:rsidRDefault="009D0475">
            <w:pPr>
              <w:rPr>
                <w:rFonts w:ascii="Arial" w:hAnsi="Arial"/>
                <w:sz w:val="22"/>
              </w:rPr>
            </w:pPr>
            <w:r>
              <w:rPr>
                <w:rFonts w:ascii="Arial" w:hAnsi="Arial"/>
                <w:sz w:val="22"/>
              </w:rPr>
              <w:t>The term “non-LTC” was replaced with retail, as comments indicated this term was not clear.</w:t>
            </w:r>
          </w:p>
        </w:tc>
        <w:tc>
          <w:tcPr>
            <w:tcW w:w="2138" w:type="dxa"/>
          </w:tcPr>
          <w:p w:rsidR="009D0475" w:rsidRDefault="009D0475">
            <w:pPr>
              <w:rPr>
                <w:rFonts w:ascii="Arial" w:hAnsi="Arial"/>
                <w:sz w:val="22"/>
              </w:rPr>
            </w:pPr>
            <w:r>
              <w:rPr>
                <w:rFonts w:ascii="Arial" w:hAnsi="Arial"/>
                <w:sz w:val="22"/>
              </w:rPr>
              <w:t xml:space="preserve">None </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22</w:t>
            </w:r>
          </w:p>
        </w:tc>
        <w:tc>
          <w:tcPr>
            <w:tcW w:w="2216" w:type="dxa"/>
          </w:tcPr>
          <w:p w:rsidR="009D0475" w:rsidRDefault="009D0475">
            <w:pPr>
              <w:rPr>
                <w:rFonts w:ascii="Arial" w:hAnsi="Arial"/>
                <w:sz w:val="22"/>
              </w:rPr>
            </w:pPr>
            <w:r>
              <w:rPr>
                <w:rFonts w:ascii="Arial" w:hAnsi="Arial"/>
                <w:sz w:val="22"/>
              </w:rPr>
              <w:t>Correction</w:t>
            </w:r>
          </w:p>
        </w:tc>
        <w:tc>
          <w:tcPr>
            <w:tcW w:w="2246" w:type="dxa"/>
          </w:tcPr>
          <w:p w:rsidR="009D0475" w:rsidRDefault="009D0475">
            <w:pPr>
              <w:rPr>
                <w:rFonts w:ascii="Arial" w:hAnsi="Arial"/>
                <w:sz w:val="22"/>
              </w:rPr>
            </w:pPr>
            <w:r>
              <w:rPr>
                <w:rFonts w:ascii="Arial" w:hAnsi="Arial"/>
                <w:sz w:val="22"/>
              </w:rPr>
              <w:t>Licensure and Solvency</w:t>
            </w:r>
          </w:p>
        </w:tc>
        <w:tc>
          <w:tcPr>
            <w:tcW w:w="6840" w:type="dxa"/>
          </w:tcPr>
          <w:p w:rsidR="009D0475" w:rsidRDefault="009D0475">
            <w:pPr>
              <w:rPr>
                <w:rFonts w:ascii="Arial" w:hAnsi="Arial"/>
                <w:sz w:val="22"/>
              </w:rPr>
            </w:pPr>
            <w:r>
              <w:rPr>
                <w:rFonts w:ascii="Arial" w:hAnsi="Arial"/>
                <w:sz w:val="22"/>
              </w:rPr>
              <w:t xml:space="preserve">Revisions were made to update this section to include the non-material changes approved by OMB to the CY2009 reporting requirements.  The basis for these changes was that data would no longer be mailed to CMS, or entered into the Plan reporting module </w:t>
            </w:r>
            <w:r>
              <w:rPr>
                <w:rFonts w:ascii="Arial" w:hAnsi="Arial"/>
                <w:sz w:val="22"/>
              </w:rPr>
              <w:lastRenderedPageBreak/>
              <w:t>in HPMS.  Instead, these data are uploaded or entered into the Fiscal Soundness module in HPMS.</w:t>
            </w:r>
          </w:p>
        </w:tc>
        <w:tc>
          <w:tcPr>
            <w:tcW w:w="2138" w:type="dxa"/>
          </w:tcPr>
          <w:p w:rsidR="009D0475" w:rsidRDefault="009D0475">
            <w:pPr>
              <w:rPr>
                <w:rFonts w:ascii="Arial" w:hAnsi="Arial"/>
                <w:sz w:val="22"/>
              </w:rPr>
            </w:pPr>
            <w:r>
              <w:rPr>
                <w:rFonts w:ascii="Arial" w:hAnsi="Arial"/>
                <w:sz w:val="22"/>
              </w:rPr>
              <w:lastRenderedPageBreak/>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lastRenderedPageBreak/>
              <w:t>23</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r>
              <w:rPr>
                <w:rFonts w:ascii="Arial" w:hAnsi="Arial"/>
                <w:sz w:val="22"/>
              </w:rPr>
              <w:t>Fraud, Waste and Abuse Compliance Programs</w:t>
            </w:r>
          </w:p>
        </w:tc>
        <w:tc>
          <w:tcPr>
            <w:tcW w:w="6840" w:type="dxa"/>
          </w:tcPr>
          <w:p w:rsidR="009D0475" w:rsidRDefault="009D0475">
            <w:pPr>
              <w:rPr>
                <w:rFonts w:ascii="Arial" w:hAnsi="Arial"/>
                <w:sz w:val="22"/>
              </w:rPr>
            </w:pPr>
            <w:r w:rsidRPr="00C04927">
              <w:rPr>
                <w:rFonts w:ascii="Arial" w:hAnsi="Arial"/>
                <w:sz w:val="22"/>
              </w:rPr>
              <w:t>Reporting for this section was revised to be voluntary.</w:t>
            </w:r>
            <w:r>
              <w:rPr>
                <w:rFonts w:ascii="Arial" w:hAnsi="Arial"/>
                <w:sz w:val="22"/>
              </w:rPr>
              <w:t xml:space="preserve">  Clarification was added that CMS is collecting aggregate data.  </w:t>
            </w:r>
            <w:proofErr w:type="gramStart"/>
            <w:r>
              <w:rPr>
                <w:rFonts w:ascii="Arial" w:hAnsi="Arial"/>
                <w:sz w:val="22"/>
              </w:rPr>
              <w:t>Clarification, including examples, were</w:t>
            </w:r>
            <w:proofErr w:type="gramEnd"/>
            <w:r>
              <w:rPr>
                <w:rFonts w:ascii="Arial" w:hAnsi="Arial"/>
                <w:sz w:val="22"/>
              </w:rPr>
              <w:t xml:space="preserve"> also provided for some data elements.</w:t>
            </w:r>
          </w:p>
        </w:tc>
        <w:tc>
          <w:tcPr>
            <w:tcW w:w="2138" w:type="dxa"/>
          </w:tcPr>
          <w:p w:rsidR="009D0475" w:rsidRDefault="009D0475">
            <w:pPr>
              <w:rPr>
                <w:rFonts w:ascii="Arial" w:hAnsi="Arial"/>
                <w:sz w:val="22"/>
              </w:rPr>
            </w:pPr>
            <w:r>
              <w:rPr>
                <w:rFonts w:ascii="Arial" w:hAnsi="Arial"/>
                <w:sz w:val="22"/>
              </w:rPr>
              <w:t>Decrease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24</w:t>
            </w:r>
          </w:p>
        </w:tc>
        <w:tc>
          <w:tcPr>
            <w:tcW w:w="2216" w:type="dxa"/>
          </w:tcPr>
          <w:p w:rsidR="009D0475" w:rsidRDefault="009D0475">
            <w:pPr>
              <w:rPr>
                <w:rFonts w:ascii="Arial" w:hAnsi="Arial"/>
                <w:sz w:val="22"/>
              </w:rPr>
            </w:pPr>
            <w:r>
              <w:rPr>
                <w:rFonts w:ascii="Arial" w:hAnsi="Arial"/>
                <w:sz w:val="22"/>
              </w:rPr>
              <w:t>Response to Public Comments</w:t>
            </w:r>
          </w:p>
        </w:tc>
        <w:tc>
          <w:tcPr>
            <w:tcW w:w="2246" w:type="dxa"/>
          </w:tcPr>
          <w:p w:rsidR="009D0475" w:rsidRDefault="009D0475">
            <w:pPr>
              <w:rPr>
                <w:rFonts w:ascii="Arial" w:hAnsi="Arial"/>
                <w:sz w:val="22"/>
              </w:rPr>
            </w:pPr>
            <w:bookmarkStart w:id="6" w:name="_Toc228163943"/>
            <w:bookmarkStart w:id="7" w:name="_Toc216744406"/>
            <w:r>
              <w:rPr>
                <w:rFonts w:ascii="Arial" w:hAnsi="Arial"/>
                <w:sz w:val="22"/>
              </w:rPr>
              <w:t>Employer/Union-Sponsored Group Health Plan Sponsors</w:t>
            </w:r>
            <w:bookmarkEnd w:id="6"/>
            <w:bookmarkEnd w:id="7"/>
          </w:p>
          <w:p w:rsidR="009D0475" w:rsidRDefault="009D0475">
            <w:pPr>
              <w:rPr>
                <w:rFonts w:ascii="Arial" w:hAnsi="Arial"/>
                <w:sz w:val="22"/>
              </w:rPr>
            </w:pPr>
          </w:p>
        </w:tc>
        <w:tc>
          <w:tcPr>
            <w:tcW w:w="6840" w:type="dxa"/>
          </w:tcPr>
          <w:p w:rsidR="009D0475" w:rsidRDefault="009D0475">
            <w:pPr>
              <w:rPr>
                <w:rFonts w:ascii="Arial" w:hAnsi="Arial"/>
                <w:sz w:val="22"/>
              </w:rPr>
            </w:pPr>
            <w:r>
              <w:rPr>
                <w:rFonts w:ascii="Arial" w:hAnsi="Arial"/>
                <w:sz w:val="22"/>
              </w:rPr>
              <w:t>For consistency with the Part C reporting section, two data elements, Contract ID and Plan ID, were deleted, and clarification was added to some data elements.   The HPMS will already electronically map the data submissions to the submitting contract and plan.</w:t>
            </w:r>
          </w:p>
        </w:tc>
        <w:tc>
          <w:tcPr>
            <w:tcW w:w="2138" w:type="dxa"/>
          </w:tcPr>
          <w:p w:rsidR="009D0475" w:rsidRDefault="009D0475">
            <w:pPr>
              <w:rPr>
                <w:rFonts w:ascii="Arial" w:hAnsi="Arial"/>
                <w:sz w:val="22"/>
              </w:rPr>
            </w:pPr>
            <w:r>
              <w:rPr>
                <w:rFonts w:ascii="Arial" w:hAnsi="Arial"/>
                <w:sz w:val="22"/>
              </w:rPr>
              <w:t>None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25</w:t>
            </w:r>
          </w:p>
        </w:tc>
        <w:tc>
          <w:tcPr>
            <w:tcW w:w="2216" w:type="dxa"/>
          </w:tcPr>
          <w:p w:rsidR="009D0475" w:rsidRDefault="009D0475">
            <w:r>
              <w:rPr>
                <w:rFonts w:ascii="Arial" w:hAnsi="Arial"/>
                <w:sz w:val="22"/>
              </w:rPr>
              <w:t>Correction</w:t>
            </w:r>
          </w:p>
        </w:tc>
        <w:tc>
          <w:tcPr>
            <w:tcW w:w="2246" w:type="dxa"/>
          </w:tcPr>
          <w:p w:rsidR="009D0475" w:rsidRDefault="009D0475">
            <w:pPr>
              <w:rPr>
                <w:rFonts w:ascii="Arial" w:hAnsi="Arial"/>
                <w:sz w:val="22"/>
              </w:rPr>
            </w:pPr>
            <w:r>
              <w:rPr>
                <w:rFonts w:ascii="Arial" w:hAnsi="Arial"/>
                <w:sz w:val="22"/>
              </w:rPr>
              <w:t>Agent Training and Testing</w:t>
            </w:r>
          </w:p>
        </w:tc>
        <w:tc>
          <w:tcPr>
            <w:tcW w:w="6840" w:type="dxa"/>
          </w:tcPr>
          <w:p w:rsidR="009D0475" w:rsidRDefault="009D0475">
            <w:pPr>
              <w:rPr>
                <w:rFonts w:ascii="Arial" w:hAnsi="Arial"/>
                <w:sz w:val="22"/>
              </w:rPr>
            </w:pPr>
            <w:r>
              <w:rPr>
                <w:rFonts w:ascii="Arial" w:hAnsi="Arial"/>
                <w:sz w:val="22"/>
              </w:rPr>
              <w:t>Section added, per previous notice in Part C Reporting Requirements.</w:t>
            </w:r>
          </w:p>
        </w:tc>
        <w:tc>
          <w:tcPr>
            <w:tcW w:w="2138" w:type="dxa"/>
          </w:tcPr>
          <w:p w:rsidR="009D0475" w:rsidRDefault="009D0475">
            <w:pPr>
              <w:rPr>
                <w:rFonts w:ascii="Arial" w:hAnsi="Arial"/>
                <w:sz w:val="22"/>
              </w:rPr>
            </w:pPr>
            <w:r>
              <w:rPr>
                <w:rFonts w:ascii="Arial" w:hAnsi="Arial"/>
                <w:sz w:val="22"/>
              </w:rPr>
              <w:t>Increase</w:t>
            </w:r>
          </w:p>
        </w:tc>
      </w:tr>
      <w:tr w:rsidR="009D0475">
        <w:tblPrEx>
          <w:tblCellMar>
            <w:top w:w="0" w:type="dxa"/>
            <w:bottom w:w="0" w:type="dxa"/>
          </w:tblCellMar>
        </w:tblPrEx>
        <w:tc>
          <w:tcPr>
            <w:tcW w:w="708" w:type="dxa"/>
          </w:tcPr>
          <w:p w:rsidR="009D0475" w:rsidRDefault="009D0475">
            <w:pPr>
              <w:jc w:val="center"/>
              <w:rPr>
                <w:rFonts w:ascii="Arial" w:hAnsi="Arial"/>
                <w:sz w:val="22"/>
              </w:rPr>
            </w:pPr>
            <w:r>
              <w:rPr>
                <w:rFonts w:ascii="Arial" w:hAnsi="Arial"/>
                <w:sz w:val="22"/>
              </w:rPr>
              <w:t>26</w:t>
            </w:r>
          </w:p>
        </w:tc>
        <w:tc>
          <w:tcPr>
            <w:tcW w:w="2216" w:type="dxa"/>
          </w:tcPr>
          <w:p w:rsidR="009D0475" w:rsidRDefault="009D0475">
            <w:r>
              <w:rPr>
                <w:rFonts w:ascii="Arial" w:hAnsi="Arial"/>
                <w:sz w:val="22"/>
              </w:rPr>
              <w:t>Correction</w:t>
            </w:r>
          </w:p>
        </w:tc>
        <w:tc>
          <w:tcPr>
            <w:tcW w:w="2246" w:type="dxa"/>
          </w:tcPr>
          <w:p w:rsidR="009D0475" w:rsidRDefault="009D0475">
            <w:pPr>
              <w:rPr>
                <w:rFonts w:ascii="Arial" w:hAnsi="Arial"/>
                <w:sz w:val="22"/>
              </w:rPr>
            </w:pPr>
            <w:r>
              <w:rPr>
                <w:rFonts w:ascii="Arial" w:hAnsi="Arial"/>
                <w:sz w:val="22"/>
              </w:rPr>
              <w:t>Plan Oversight of Agents</w:t>
            </w:r>
          </w:p>
        </w:tc>
        <w:tc>
          <w:tcPr>
            <w:tcW w:w="6840" w:type="dxa"/>
          </w:tcPr>
          <w:p w:rsidR="009D0475" w:rsidRDefault="009D0475">
            <w:pPr>
              <w:rPr>
                <w:rFonts w:ascii="Arial" w:hAnsi="Arial"/>
                <w:sz w:val="22"/>
              </w:rPr>
            </w:pPr>
            <w:r>
              <w:rPr>
                <w:rFonts w:ascii="Arial" w:hAnsi="Arial"/>
                <w:sz w:val="22"/>
              </w:rPr>
              <w:t>Section added, per previous notice in Part C Reporting Requirements.</w:t>
            </w:r>
          </w:p>
        </w:tc>
        <w:tc>
          <w:tcPr>
            <w:tcW w:w="2138" w:type="dxa"/>
          </w:tcPr>
          <w:p w:rsidR="009D0475" w:rsidRDefault="009D0475">
            <w:pPr>
              <w:rPr>
                <w:rFonts w:ascii="Arial" w:hAnsi="Arial"/>
                <w:sz w:val="22"/>
              </w:rPr>
            </w:pPr>
            <w:r>
              <w:rPr>
                <w:rFonts w:ascii="Arial" w:hAnsi="Arial"/>
                <w:sz w:val="22"/>
              </w:rPr>
              <w:t>Increase</w:t>
            </w:r>
          </w:p>
        </w:tc>
      </w:tr>
    </w:tbl>
    <w:p w:rsidR="009D0475" w:rsidRDefault="009D0475">
      <w:pPr>
        <w:rPr>
          <w:rFonts w:ascii="Arial" w:hAnsi="Arial"/>
          <w:sz w:val="22"/>
        </w:rPr>
      </w:pPr>
    </w:p>
    <w:sectPr w:rsidR="009D0475">
      <w:footerReference w:type="even" r:id="rId7"/>
      <w:footerReference w:type="default" r:id="rId8"/>
      <w:pgSz w:w="15840" w:h="12240" w:orient="landscape" w:code="1"/>
      <w:pgMar w:top="1296" w:right="1296" w:bottom="1296" w:left="1296" w:header="144"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D54" w:rsidRDefault="00EB6D54">
      <w:r>
        <w:separator/>
      </w:r>
    </w:p>
  </w:endnote>
  <w:endnote w:type="continuationSeparator" w:id="1">
    <w:p w:rsidR="00EB6D54" w:rsidRDefault="00EB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75" w:rsidRDefault="009D0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0475" w:rsidRDefault="009D04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75" w:rsidRDefault="009D0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BBF">
      <w:rPr>
        <w:rStyle w:val="PageNumber"/>
        <w:noProof/>
      </w:rPr>
      <w:t>1</w:t>
    </w:r>
    <w:r>
      <w:rPr>
        <w:rStyle w:val="PageNumber"/>
      </w:rPr>
      <w:fldChar w:fldCharType="end"/>
    </w:r>
  </w:p>
  <w:p w:rsidR="009D0475" w:rsidRDefault="009D0475">
    <w:pPr>
      <w:pStyle w:val="PlainText"/>
      <w:jc w:val="center"/>
      <w:rPr>
        <w:rFonts w:ascii="Arial" w:hAnsi="Arial"/>
        <w:sz w:val="16"/>
      </w:rPr>
    </w:pPr>
    <w:r>
      <w:rPr>
        <w:rFonts w:ascii="Arial" w:hAnsi="Arial"/>
        <w:sz w:val="16"/>
      </w:rPr>
      <w:t>INFORMATION NOT RELEASABLE TO THE PUBLIC UNLESS AUTHORIZED BY LAW:</w:t>
    </w:r>
  </w:p>
  <w:p w:rsidR="009D0475" w:rsidRDefault="009D0475">
    <w:pPr>
      <w:pStyle w:val="PlainText"/>
      <w:ind w:left="432" w:right="432"/>
      <w:jc w:val="center"/>
    </w:pPr>
    <w:r>
      <w:rPr>
        <w:rFonts w:ascii="Arial" w:hAnsi="Arial"/>
        <w:sz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9D0475" w:rsidRDefault="009D04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D54" w:rsidRDefault="00EB6D54">
      <w:r>
        <w:separator/>
      </w:r>
    </w:p>
  </w:footnote>
  <w:footnote w:type="continuationSeparator" w:id="1">
    <w:p w:rsidR="00EB6D54" w:rsidRDefault="00EB6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72A"/>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D332F"/>
    <w:multiLevelType w:val="hybridMultilevel"/>
    <w:tmpl w:val="8CB696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574C3F"/>
    <w:multiLevelType w:val="hybridMultilevel"/>
    <w:tmpl w:val="B89A954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E243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4A70CD"/>
    <w:multiLevelType w:val="hybridMultilevel"/>
    <w:tmpl w:val="5B7C3A48"/>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B5551E9"/>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D7221"/>
    <w:multiLevelType w:val="hybridMultilevel"/>
    <w:tmpl w:val="18FE0946"/>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36E69F3"/>
    <w:multiLevelType w:val="hybridMultilevel"/>
    <w:tmpl w:val="DB304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5B13F47"/>
    <w:multiLevelType w:val="hybridMultilevel"/>
    <w:tmpl w:val="9282EE8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89F0F33"/>
    <w:multiLevelType w:val="multilevel"/>
    <w:tmpl w:val="D8F27096"/>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1">
    <w:nsid w:val="2E617B10"/>
    <w:multiLevelType w:val="hybridMultilevel"/>
    <w:tmpl w:val="E38E61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720D1B"/>
    <w:multiLevelType w:val="hybridMultilevel"/>
    <w:tmpl w:val="0B46EAD4"/>
    <w:lvl w:ilvl="0">
      <w:start w:val="1"/>
      <w:numFmt w:val="decimal"/>
      <w:lvlText w:val="%1."/>
      <w:lvlJc w:val="left"/>
      <w:pPr>
        <w:tabs>
          <w:tab w:val="num" w:pos="144"/>
        </w:tabs>
        <w:ind w:left="432" w:hanging="432"/>
      </w:pPr>
      <w:rPr>
        <w:rFonts w:hint="default"/>
      </w:rPr>
    </w:lvl>
    <w:lvl w:ilvl="1">
      <w:start w:val="1"/>
      <w:numFmt w:val="bullet"/>
      <w:lvlText w:val=""/>
      <w:lvlJc w:val="left"/>
      <w:pPr>
        <w:tabs>
          <w:tab w:val="num" w:pos="600"/>
        </w:tabs>
        <w:ind w:left="600" w:hanging="360"/>
      </w:pPr>
      <w:rPr>
        <w:rFonts w:ascii="Symbol" w:hAnsi="Symbol" w:hint="default"/>
      </w:r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rPr>
        <w:rFonts w:hint="default"/>
      </w:rPr>
    </w:lvl>
    <w:lvl w:ilvl="4" w:tentative="1">
      <w:start w:val="1"/>
      <w:numFmt w:val="lowerLetter"/>
      <w:lvlText w:val="%5."/>
      <w:lvlJc w:val="left"/>
      <w:pPr>
        <w:tabs>
          <w:tab w:val="num" w:pos="2760"/>
        </w:tabs>
        <w:ind w:left="2760" w:hanging="360"/>
      </w:pPr>
    </w:lvl>
    <w:lvl w:ilvl="5" w:tentative="1">
      <w:start w:val="1"/>
      <w:numFmt w:val="lowerRoman"/>
      <w:lvlText w:val="%6."/>
      <w:lvlJc w:val="right"/>
      <w:pPr>
        <w:tabs>
          <w:tab w:val="num" w:pos="3480"/>
        </w:tabs>
        <w:ind w:left="3480" w:hanging="180"/>
      </w:pPr>
    </w:lvl>
    <w:lvl w:ilvl="6" w:tentative="1">
      <w:start w:val="1"/>
      <w:numFmt w:val="decimal"/>
      <w:lvlText w:val="%7."/>
      <w:lvlJc w:val="left"/>
      <w:pPr>
        <w:tabs>
          <w:tab w:val="num" w:pos="4200"/>
        </w:tabs>
        <w:ind w:left="4200" w:hanging="360"/>
      </w:pPr>
    </w:lvl>
    <w:lvl w:ilvl="7" w:tentative="1">
      <w:start w:val="1"/>
      <w:numFmt w:val="lowerLetter"/>
      <w:lvlText w:val="%8."/>
      <w:lvlJc w:val="left"/>
      <w:pPr>
        <w:tabs>
          <w:tab w:val="num" w:pos="4920"/>
        </w:tabs>
        <w:ind w:left="4920" w:hanging="360"/>
      </w:pPr>
    </w:lvl>
    <w:lvl w:ilvl="8" w:tentative="1">
      <w:start w:val="1"/>
      <w:numFmt w:val="lowerRoman"/>
      <w:lvlText w:val="%9."/>
      <w:lvlJc w:val="right"/>
      <w:pPr>
        <w:tabs>
          <w:tab w:val="num" w:pos="5640"/>
        </w:tabs>
        <w:ind w:left="5640" w:hanging="180"/>
      </w:pPr>
    </w:lvl>
  </w:abstractNum>
  <w:abstractNum w:abstractNumId="13">
    <w:nsid w:val="3861322D"/>
    <w:multiLevelType w:val="hybridMultilevel"/>
    <w:tmpl w:val="6744F544"/>
    <w:lvl w:ilvl="0">
      <w:start w:val="1"/>
      <w:numFmt w:val="decimal"/>
      <w:lvlText w:val="%1."/>
      <w:lvlJc w:val="left"/>
      <w:pPr>
        <w:tabs>
          <w:tab w:val="num" w:pos="432"/>
        </w:tabs>
        <w:ind w:left="720"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9D3261E"/>
    <w:multiLevelType w:val="hybridMultilevel"/>
    <w:tmpl w:val="F4E81C6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C705E84"/>
    <w:multiLevelType w:val="hybridMultilevel"/>
    <w:tmpl w:val="56708BC4"/>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D1052D9"/>
    <w:multiLevelType w:val="hybridMultilevel"/>
    <w:tmpl w:val="1F2A12E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2545D14"/>
    <w:multiLevelType w:val="hybridMultilevel"/>
    <w:tmpl w:val="383600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3CF2415"/>
    <w:multiLevelType w:val="hybridMultilevel"/>
    <w:tmpl w:val="D4F8F00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49C44E3"/>
    <w:multiLevelType w:val="hybridMultilevel"/>
    <w:tmpl w:val="1A80028A"/>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BF946D4"/>
    <w:multiLevelType w:val="hybridMultilevel"/>
    <w:tmpl w:val="F4C85E88"/>
    <w:lvl w:ilvl="0">
      <w:start w:val="4"/>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FDF7314"/>
    <w:multiLevelType w:val="hybridMultilevel"/>
    <w:tmpl w:val="D41495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F43880"/>
    <w:multiLevelType w:val="multilevel"/>
    <w:tmpl w:val="6A3E4CD4"/>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263D57"/>
    <w:multiLevelType w:val="hybridMultilevel"/>
    <w:tmpl w:val="DFA2D81E"/>
    <w:lvl w:ilvl="0">
      <w:start w:val="1"/>
      <w:numFmt w:val="decimal"/>
      <w:lvlText w:val="%1."/>
      <w:lvlJc w:val="left"/>
      <w:pPr>
        <w:tabs>
          <w:tab w:val="num" w:pos="432"/>
        </w:tabs>
        <w:ind w:left="720" w:hanging="432"/>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4E351B8"/>
    <w:multiLevelType w:val="hybridMultilevel"/>
    <w:tmpl w:val="7E18EEF2"/>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6845CC0"/>
    <w:multiLevelType w:val="multilevel"/>
    <w:tmpl w:val="FABEF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BB1EDF"/>
    <w:multiLevelType w:val="hybridMultilevel"/>
    <w:tmpl w:val="50FEA0B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15C5557"/>
    <w:multiLevelType w:val="hybridMultilevel"/>
    <w:tmpl w:val="57A4BB5C"/>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643E6C4B"/>
    <w:multiLevelType w:val="hybridMultilevel"/>
    <w:tmpl w:val="A9523C5E"/>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6A6566A3"/>
    <w:multiLevelType w:val="hybridMultilevel"/>
    <w:tmpl w:val="A77A6B88"/>
    <w:lvl w:ilvl="0">
      <w:start w:val="1"/>
      <w:numFmt w:val="decimal"/>
      <w:lvlText w:val="%1."/>
      <w:lvlJc w:val="left"/>
      <w:pPr>
        <w:tabs>
          <w:tab w:val="num" w:pos="372"/>
        </w:tabs>
        <w:ind w:left="372" w:hanging="360"/>
      </w:p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num w:numId="1">
    <w:abstractNumId w:val="20"/>
  </w:num>
  <w:num w:numId="2">
    <w:abstractNumId w:val="21"/>
  </w:num>
  <w:num w:numId="3">
    <w:abstractNumId w:val="25"/>
  </w:num>
  <w:num w:numId="4">
    <w:abstractNumId w:val="12"/>
  </w:num>
  <w:num w:numId="5">
    <w:abstractNumId w:val="5"/>
  </w:num>
  <w:num w:numId="6">
    <w:abstractNumId w:val="0"/>
  </w:num>
  <w:num w:numId="7">
    <w:abstractNumId w:val="22"/>
  </w:num>
  <w:num w:numId="8">
    <w:abstractNumId w:val="24"/>
  </w:num>
  <w:num w:numId="9">
    <w:abstractNumId w:val="14"/>
  </w:num>
  <w:num w:numId="10">
    <w:abstractNumId w:val="13"/>
  </w:num>
  <w:num w:numId="11">
    <w:abstractNumId w:val="9"/>
  </w:num>
  <w:num w:numId="12">
    <w:abstractNumId w:val="26"/>
  </w:num>
  <w:num w:numId="13">
    <w:abstractNumId w:val="4"/>
  </w:num>
  <w:num w:numId="14">
    <w:abstractNumId w:val="16"/>
  </w:num>
  <w:num w:numId="15">
    <w:abstractNumId w:val="8"/>
  </w:num>
  <w:num w:numId="16">
    <w:abstractNumId w:val="18"/>
  </w:num>
  <w:num w:numId="17">
    <w:abstractNumId w:val="29"/>
  </w:num>
  <w:num w:numId="18">
    <w:abstractNumId w:val="6"/>
  </w:num>
  <w:num w:numId="19">
    <w:abstractNumId w:val="19"/>
  </w:num>
  <w:num w:numId="20">
    <w:abstractNumId w:val="23"/>
  </w:num>
  <w:num w:numId="21">
    <w:abstractNumId w:val="17"/>
  </w:num>
  <w:num w:numId="22">
    <w:abstractNumId w:val="11"/>
  </w:num>
  <w:num w:numId="23">
    <w:abstractNumId w:val="7"/>
  </w:num>
  <w:num w:numId="24">
    <w:abstractNumId w:val="1"/>
  </w:num>
  <w:num w:numId="25">
    <w:abstractNumId w:val="10"/>
  </w:num>
  <w:num w:numId="26">
    <w:abstractNumId w:val="27"/>
  </w:num>
  <w:num w:numId="27">
    <w:abstractNumId w:val="28"/>
  </w:num>
  <w:num w:numId="28">
    <w:abstractNumId w:val="15"/>
  </w:num>
  <w:num w:numId="29">
    <w:abstractNumId w:val="3"/>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3A7589"/>
    <w:rsid w:val="003A7589"/>
    <w:rsid w:val="00946BBF"/>
    <w:rsid w:val="009D0475"/>
    <w:rsid w:val="00A01A1D"/>
    <w:rsid w:val="00C04927"/>
    <w:rsid w:val="00EB6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Cs w:val="28"/>
    </w:rPr>
  </w:style>
  <w:style w:type="paragraph" w:styleId="Heading3">
    <w:name w:val="heading 3"/>
    <w:basedOn w:val="Normal"/>
    <w:next w:val="Normal"/>
    <w:qFormat/>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5"/>
      </w:numPr>
      <w:spacing w:before="240" w:after="60"/>
      <w:outlineLvl w:val="3"/>
    </w:pPr>
    <w:rPr>
      <w:rFonts w:ascii="Arial" w:hAnsi="Arial"/>
      <w:b/>
      <w:bCs/>
      <w:sz w:val="28"/>
      <w:szCs w:val="28"/>
    </w:rPr>
  </w:style>
  <w:style w:type="paragraph" w:styleId="Heading5">
    <w:name w:val="heading 5"/>
    <w:basedOn w:val="Normal"/>
    <w:next w:val="Normal"/>
    <w:qFormat/>
    <w:pPr>
      <w:numPr>
        <w:ilvl w:val="4"/>
        <w:numId w:val="25"/>
      </w:numPr>
      <w:spacing w:before="240" w:after="60"/>
      <w:outlineLvl w:val="4"/>
    </w:pPr>
    <w:rPr>
      <w:rFonts w:ascii="Arial" w:hAnsi="Arial"/>
      <w:b/>
      <w:bCs/>
      <w:i/>
      <w:iCs/>
      <w:sz w:val="26"/>
      <w:szCs w:val="26"/>
    </w:rPr>
  </w:style>
  <w:style w:type="paragraph" w:styleId="Heading6">
    <w:name w:val="heading 6"/>
    <w:basedOn w:val="Normal"/>
    <w:next w:val="Normal"/>
    <w:qFormat/>
    <w:pPr>
      <w:numPr>
        <w:ilvl w:val="5"/>
        <w:numId w:val="25"/>
      </w:numPr>
      <w:spacing w:before="240" w:after="60"/>
      <w:outlineLvl w:val="5"/>
    </w:pPr>
    <w:rPr>
      <w:rFonts w:ascii="Arial" w:hAnsi="Arial"/>
      <w:b/>
      <w:bCs/>
      <w:sz w:val="22"/>
      <w:szCs w:val="22"/>
    </w:rPr>
  </w:style>
  <w:style w:type="paragraph" w:styleId="Heading7">
    <w:name w:val="heading 7"/>
    <w:basedOn w:val="Normal"/>
    <w:next w:val="Normal"/>
    <w:qFormat/>
    <w:pPr>
      <w:numPr>
        <w:ilvl w:val="6"/>
        <w:numId w:val="25"/>
      </w:numPr>
      <w:spacing w:before="240" w:after="60"/>
      <w:outlineLvl w:val="6"/>
    </w:pPr>
    <w:rPr>
      <w:rFonts w:ascii="Arial" w:hAnsi="Arial"/>
    </w:rPr>
  </w:style>
  <w:style w:type="paragraph" w:styleId="Heading8">
    <w:name w:val="heading 8"/>
    <w:basedOn w:val="Normal"/>
    <w:next w:val="Normal"/>
    <w:qFormat/>
    <w:pPr>
      <w:numPr>
        <w:ilvl w:val="7"/>
        <w:numId w:val="25"/>
      </w:numPr>
      <w:spacing w:before="240" w:after="60"/>
      <w:outlineLvl w:val="7"/>
    </w:pPr>
    <w:rPr>
      <w:rFonts w:ascii="Arial" w:hAnsi="Arial"/>
      <w:i/>
      <w:iCs/>
    </w:rPr>
  </w:style>
  <w:style w:type="paragraph" w:styleId="Heading9">
    <w:name w:val="heading 9"/>
    <w:basedOn w:val="Normal"/>
    <w:next w:val="Normal"/>
    <w:qFormat/>
    <w:pPr>
      <w:numPr>
        <w:ilvl w:val="8"/>
        <w:numId w:val="25"/>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cs="Tahoma"/>
      <w:sz w:val="20"/>
      <w:szCs w:val="20"/>
    </w:rPr>
  </w:style>
  <w:style w:type="character" w:styleId="Strong">
    <w:name w:val="Strong"/>
    <w:basedOn w:val="DefaultParagraphFont"/>
    <w:qFormat/>
    <w:rPr>
      <w:b/>
      <w:bCs/>
    </w:rPr>
  </w:style>
  <w:style w:type="paragraph" w:styleId="TOC3">
    <w:name w:val="toc 3"/>
    <w:basedOn w:val="Normal"/>
    <w:next w:val="Normal"/>
    <w:autoRedefine/>
    <w:semiHidden/>
    <w:pPr>
      <w:ind w:left="480"/>
    </w:pPr>
    <w:rPr>
      <w:rFonts w:ascii="Arial" w:hAnsi="Arial"/>
    </w:rPr>
  </w:style>
  <w:style w:type="paragraph" w:styleId="Header">
    <w:name w:val="header"/>
    <w:basedOn w:val="Normal"/>
    <w:semiHidden/>
    <w:pPr>
      <w:tabs>
        <w:tab w:val="center" w:pos="4320"/>
        <w:tab w:val="right" w:pos="8640"/>
      </w:tabs>
    </w:pPr>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Issue #</vt:lpstr>
    </vt:vector>
  </TitlesOfParts>
  <Company>CMS</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dc:title>
  <dc:subject/>
  <dc:creator>CMS</dc:creator>
  <cp:keywords/>
  <dc:description/>
  <cp:lastModifiedBy>CMS</cp:lastModifiedBy>
  <cp:revision>3</cp:revision>
  <cp:lastPrinted>2009-04-24T14:24:00Z</cp:lastPrinted>
  <dcterms:created xsi:type="dcterms:W3CDTF">2009-05-07T15:05:00Z</dcterms:created>
  <dcterms:modified xsi:type="dcterms:W3CDTF">2009-05-07T15:05:00Z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1249460908</vt:i4>
  </property>
  <property fmtid="{D5CDD505-2E9C-101B-9397-08002B2CF9AE}" pid="3" name="_NewReviewCycle">
    <vt:lpwstr/>
  </property>
  <property fmtid="{D5CDD505-2E9C-101B-9397-08002B2CF9AE}" pid="4" name="_EmailSubject">
    <vt:lpwstr>Revised document</vt:lpwstr>
  </property>
  <property fmtid="{D5CDD505-2E9C-101B-9397-08002B2CF9AE}" pid="5" name="_AuthorEmail">
    <vt:lpwstr>alice.leemartin@cms.hhs.gov</vt:lpwstr>
  </property>
  <property fmtid="{D5CDD505-2E9C-101B-9397-08002B2CF9AE}" pid="6" name="_AuthorEmailDisplayName">
    <vt:lpwstr>LEE-MARTIN, ALICE C. (CMS/CPC)</vt:lpwstr>
  </property>
</Properties>
</file>