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25" w:rsidRPr="006E68E0" w:rsidRDefault="005F7125" w:rsidP="005F7125">
      <w:pPr>
        <w:jc w:val="right"/>
      </w:pPr>
      <w:r w:rsidRPr="006E68E0">
        <w:rPr>
          <w:rStyle w:val="Strong"/>
        </w:rPr>
        <w:t>Schedule 2</w:t>
      </w:r>
      <w:r>
        <w:rPr>
          <w:rStyle w:val="Strong"/>
        </w:rPr>
        <w:t>-C</w:t>
      </w:r>
    </w:p>
    <w:p w:rsidR="005F7125" w:rsidRPr="006E68E0" w:rsidRDefault="005F7125" w:rsidP="005F7125">
      <w:pPr>
        <w:jc w:val="right"/>
      </w:pPr>
      <w:r w:rsidRPr="006E68E0">
        <w:rPr>
          <w:b/>
        </w:rPr>
        <w:t>BEA Awardee:</w:t>
      </w:r>
    </w:p>
    <w:p w:rsidR="005F7125" w:rsidRPr="006E68E0" w:rsidRDefault="005F7125" w:rsidP="005F7125">
      <w:pPr>
        <w:jc w:val="right"/>
        <w:rPr>
          <w:bCs/>
        </w:rPr>
      </w:pPr>
      <w:r w:rsidRPr="006E68E0">
        <w:rPr>
          <w:b/>
        </w:rPr>
        <w:t>Award No.:</w:t>
      </w:r>
    </w:p>
    <w:p w:rsidR="005F7125" w:rsidRPr="006E68E0" w:rsidRDefault="005F7125" w:rsidP="005F7125">
      <w:pPr>
        <w:jc w:val="center"/>
        <w:rPr>
          <w:b/>
        </w:rPr>
      </w:pPr>
      <w:r w:rsidRPr="006E68E0">
        <w:rPr>
          <w:rStyle w:val="Strong"/>
          <w:u w:val="single"/>
        </w:rPr>
        <w:t>USES OF BEA PROGRAM  AWARD REPORT</w:t>
      </w:r>
    </w:p>
    <w:p w:rsidR="005F7125" w:rsidRPr="006E68E0" w:rsidRDefault="005F7125" w:rsidP="005F7125">
      <w:pPr>
        <w:jc w:val="center"/>
      </w:pPr>
    </w:p>
    <w:p w:rsidR="005F7125" w:rsidRPr="006E68E0" w:rsidRDefault="005F7125" w:rsidP="005F7125">
      <w:r w:rsidRPr="006E68E0">
        <w:t>If the Awardee receives a Bank Enterprise Award over $50,000, the Awardee is required to submit the Uses of BEA Program Award Report to the Fund</w:t>
      </w:r>
      <w:r>
        <w:t xml:space="preserve"> to demonstrate it has met its Performance Goal</w:t>
      </w:r>
      <w:r w:rsidRPr="006E68E0">
        <w:t>.  Using the chart below, the Awardee must report on its uses of the Bank Enterprise Award (or an amount equivalent) for its full Reporting Period.</w:t>
      </w:r>
    </w:p>
    <w:p w:rsidR="005F7125" w:rsidRPr="006E68E0" w:rsidRDefault="005F7125" w:rsidP="005F7125">
      <w:r w:rsidRPr="006E68E0">
        <w:t> </w:t>
      </w:r>
    </w:p>
    <w:p w:rsidR="005F7125" w:rsidRPr="006E68E0" w:rsidRDefault="005F7125" w:rsidP="005F7125">
      <w:r w:rsidRPr="006E68E0">
        <w:rPr>
          <w:rStyle w:val="Strong"/>
          <w:u w:val="single"/>
        </w:rPr>
        <w:t>Total BEA Award</w:t>
      </w:r>
      <w:r w:rsidRPr="006E68E0">
        <w:rPr>
          <w:rStyle w:val="Strong"/>
        </w:rPr>
        <w:t xml:space="preserve">: $  </w:t>
      </w:r>
      <w:r w:rsidRPr="006E68E0">
        <w:rPr>
          <w:rStyle w:val="Strong"/>
        </w:rPr>
        <w:tab/>
      </w:r>
      <w:r w:rsidRPr="006E68E0">
        <w:rPr>
          <w:rStyle w:val="Strong"/>
        </w:rPr>
        <w:tab/>
      </w:r>
      <w:r w:rsidRPr="006E68E0">
        <w:rPr>
          <w:rStyle w:val="Strong"/>
        </w:rPr>
        <w:tab/>
      </w:r>
      <w:r w:rsidRPr="006E68E0">
        <w:rPr>
          <w:rStyle w:val="Strong"/>
        </w:rPr>
        <w:tab/>
      </w:r>
      <w:r>
        <w:rPr>
          <w:rStyle w:val="Strong"/>
        </w:rPr>
        <w:br/>
      </w:r>
      <w:r w:rsidRPr="006E68E0">
        <w:rPr>
          <w:rStyle w:val="Strong"/>
        </w:rPr>
        <w:t>Report Due Date: 6/30/20XX</w:t>
      </w:r>
    </w:p>
    <w:p w:rsidR="005F7125" w:rsidRPr="006E68E0" w:rsidRDefault="005F7125" w:rsidP="005F7125">
      <w:r>
        <w:rPr>
          <w:rStyle w:val="Strong"/>
        </w:rPr>
        <w:t>Performance</w:t>
      </w:r>
      <w:r w:rsidRPr="006E68E0">
        <w:rPr>
          <w:rStyle w:val="Strong"/>
        </w:rPr>
        <w:t xml:space="preserve"> Period: </w:t>
      </w:r>
      <w:r>
        <w:rPr>
          <w:rStyle w:val="Strong"/>
        </w:rPr>
        <w:t>Effective Date</w:t>
      </w:r>
      <w:r w:rsidRPr="006E68E0">
        <w:rPr>
          <w:rStyle w:val="Strong"/>
        </w:rPr>
        <w:t xml:space="preserve"> – 12/31/20XX</w:t>
      </w:r>
    </w:p>
    <w:p w:rsidR="005F7125" w:rsidRPr="006E68E0" w:rsidRDefault="005F7125" w:rsidP="005F7125">
      <w:r w:rsidRPr="006E68E0">
        <w:t>  </w:t>
      </w:r>
    </w:p>
    <w:tbl>
      <w:tblPr>
        <w:tblStyle w:val="TableGrid"/>
        <w:tblW w:w="10440" w:type="dxa"/>
        <w:tblInd w:w="-612" w:type="dxa"/>
        <w:tblLayout w:type="fixed"/>
        <w:tblLook w:val="01E0"/>
      </w:tblPr>
      <w:tblGrid>
        <w:gridCol w:w="4140"/>
        <w:gridCol w:w="1440"/>
        <w:gridCol w:w="1620"/>
        <w:gridCol w:w="2160"/>
        <w:gridCol w:w="1080"/>
      </w:tblGrid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pPr>
              <w:rPr>
                <w:b/>
                <w:bCs/>
              </w:rPr>
            </w:pPr>
            <w:r w:rsidRPr="00BE16BF">
              <w:rPr>
                <w:b/>
                <w:bCs/>
              </w:rPr>
              <w:t>Description Of Authorized Use</w:t>
            </w:r>
          </w:p>
        </w:tc>
        <w:tc>
          <w:tcPr>
            <w:tcW w:w="1440" w:type="dxa"/>
            <w:vAlign w:val="center"/>
          </w:tcPr>
          <w:p w:rsidR="005F7125" w:rsidRPr="00BE16BF" w:rsidRDefault="005F7125" w:rsidP="00447316">
            <w:pPr>
              <w:jc w:val="center"/>
              <w:rPr>
                <w:b/>
                <w:bCs/>
              </w:rPr>
            </w:pPr>
            <w:r w:rsidRPr="00BE16BF">
              <w:rPr>
                <w:b/>
                <w:bCs/>
              </w:rPr>
              <w:t>Total Dollar Amount ($)</w:t>
            </w:r>
          </w:p>
        </w:tc>
        <w:tc>
          <w:tcPr>
            <w:tcW w:w="1620" w:type="dxa"/>
          </w:tcPr>
          <w:p w:rsidR="005F7125" w:rsidRPr="00BE16BF" w:rsidRDefault="005F7125" w:rsidP="00447316">
            <w:pPr>
              <w:jc w:val="center"/>
              <w:rPr>
                <w:b/>
                <w:bCs/>
              </w:rPr>
            </w:pPr>
          </w:p>
          <w:p w:rsidR="005F7125" w:rsidRPr="00BE16BF" w:rsidRDefault="005F7125" w:rsidP="00447316">
            <w:pPr>
              <w:jc w:val="center"/>
              <w:rPr>
                <w:b/>
                <w:bCs/>
              </w:rPr>
            </w:pPr>
            <w:r w:rsidRPr="00BE16BF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No. of </w:t>
            </w:r>
            <w:r w:rsidRPr="00BE16BF">
              <w:rPr>
                <w:b/>
                <w:bCs/>
              </w:rPr>
              <w:t>Transactions</w:t>
            </w:r>
          </w:p>
        </w:tc>
        <w:tc>
          <w:tcPr>
            <w:tcW w:w="2160" w:type="dxa"/>
          </w:tcPr>
          <w:p w:rsidR="005F7125" w:rsidRPr="00BE16BF" w:rsidRDefault="005F7125" w:rsidP="00447316">
            <w:pPr>
              <w:jc w:val="center"/>
              <w:rPr>
                <w:b/>
                <w:bCs/>
              </w:rPr>
            </w:pPr>
            <w:r w:rsidRPr="00BE16BF">
              <w:rPr>
                <w:b/>
                <w:bCs/>
              </w:rPr>
              <w:t xml:space="preserve">CDFI Partner(s) </w:t>
            </w:r>
            <w:r>
              <w:rPr>
                <w:b/>
                <w:bCs/>
              </w:rPr>
              <w:br/>
            </w:r>
            <w:r w:rsidRPr="00BE16BF">
              <w:rPr>
                <w:b/>
                <w:bCs/>
              </w:rPr>
              <w:t>Or Designated Distressed Community(ies)</w:t>
            </w:r>
          </w:p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  <w:rPr>
                <w:b/>
                <w:bCs/>
              </w:rPr>
            </w:pPr>
          </w:p>
          <w:p w:rsidR="005F7125" w:rsidRPr="00BE16BF" w:rsidRDefault="005F7125" w:rsidP="00447316">
            <w:pPr>
              <w:jc w:val="center"/>
              <w:rPr>
                <w:b/>
                <w:bCs/>
              </w:rPr>
            </w:pPr>
            <w:r w:rsidRPr="00BE16BF">
              <w:rPr>
                <w:b/>
                <w:bCs/>
              </w:rPr>
              <w:t>Impact</w:t>
            </w:r>
          </w:p>
        </w:tc>
      </w:tr>
      <w:tr w:rsidR="005F7125" w:rsidRPr="00BE16BF" w:rsidTr="00447316">
        <w:tc>
          <w:tcPr>
            <w:tcW w:w="5580" w:type="dxa"/>
            <w:gridSpan w:val="2"/>
          </w:tcPr>
          <w:p w:rsidR="005F7125" w:rsidRPr="00BE16BF" w:rsidRDefault="005F7125" w:rsidP="00447316">
            <w:r w:rsidRPr="00BE16BF">
              <w:rPr>
                <w:b/>
              </w:rPr>
              <w:t>CDFI Related Support</w:t>
            </w:r>
          </w:p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pPr>
              <w:rPr>
                <w:b/>
                <w:bCs/>
              </w:rPr>
            </w:pPr>
            <w:r w:rsidRPr="00BE16BF">
              <w:t>Equity Investments / Equity-Like Loans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  <w:r w:rsidRPr="00BE16BF">
              <w:t>N/A</w:t>
            </w: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>CDFI Support Activities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  <w:r w:rsidRPr="00BE16BF">
              <w:t>N/A</w:t>
            </w:r>
          </w:p>
        </w:tc>
      </w:tr>
      <w:tr w:rsidR="005F7125" w:rsidRPr="00BE16BF" w:rsidTr="00447316">
        <w:tc>
          <w:tcPr>
            <w:tcW w:w="9360" w:type="dxa"/>
            <w:gridSpan w:val="4"/>
          </w:tcPr>
          <w:p w:rsidR="005F7125" w:rsidRPr="00BE16BF" w:rsidRDefault="005F7125" w:rsidP="00447316">
            <w:r w:rsidRPr="00BE16BF">
              <w:rPr>
                <w:b/>
              </w:rPr>
              <w:t>Distressed Community Financing Activities</w:t>
            </w:r>
          </w:p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>Affordable Home Mortgage Loans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  <w:r w:rsidRPr="00BE16BF">
              <w:t>N/A</w:t>
            </w: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 xml:space="preserve">Affordable Housing Development Loans </w:t>
            </w:r>
            <w:r>
              <w:t>and</w:t>
            </w:r>
            <w:r w:rsidRPr="00BE16BF">
              <w:t xml:space="preserve"> Project Investments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 xml:space="preserve">Small Business Loans </w:t>
            </w:r>
            <w:r>
              <w:t>and</w:t>
            </w:r>
            <w:r w:rsidRPr="00BE16BF">
              <w:t xml:space="preserve"> Project Investments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>Home Improvement Loans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  <w:r w:rsidRPr="00BE16BF">
              <w:t>N/A</w:t>
            </w: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>Education Loans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  <w:r w:rsidRPr="00BE16BF">
              <w:t>N/A</w:t>
            </w: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 xml:space="preserve">Commercial Real Estate Loans </w:t>
            </w:r>
            <w:r>
              <w:t>and</w:t>
            </w:r>
            <w:r w:rsidRPr="00BE16BF">
              <w:t xml:space="preserve"> Project Investments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</w:p>
        </w:tc>
      </w:tr>
      <w:tr w:rsidR="005F7125" w:rsidRPr="00BE16BF" w:rsidTr="00447316">
        <w:tc>
          <w:tcPr>
            <w:tcW w:w="4140" w:type="dxa"/>
          </w:tcPr>
          <w:p w:rsidR="005F7125" w:rsidRPr="00BE16BF" w:rsidRDefault="005F7125" w:rsidP="00447316">
            <w:pPr>
              <w:rPr>
                <w:b/>
              </w:rPr>
            </w:pPr>
            <w:r w:rsidRPr="00BE16BF">
              <w:rPr>
                <w:b/>
              </w:rPr>
              <w:t>Service Activities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>Deposits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  <w:r w:rsidRPr="00BE16BF">
              <w:t>N/A</w:t>
            </w: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>Community Services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>Financial Services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>Targeted Financial Services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</w:p>
        </w:tc>
      </w:tr>
      <w:tr w:rsidR="005F7125" w:rsidRPr="00BE16BF" w:rsidTr="00447316">
        <w:tc>
          <w:tcPr>
            <w:tcW w:w="4140" w:type="dxa"/>
            <w:vAlign w:val="center"/>
          </w:tcPr>
          <w:p w:rsidR="005F7125" w:rsidRPr="00BE16BF" w:rsidRDefault="005F7125" w:rsidP="00447316">
            <w:r w:rsidRPr="00BE16BF">
              <w:t>Targeted Retail Savings/</w:t>
            </w:r>
            <w:r>
              <w:br/>
            </w:r>
            <w:r w:rsidRPr="00BE16BF">
              <w:t>Investment Products</w:t>
            </w:r>
          </w:p>
        </w:tc>
        <w:tc>
          <w:tcPr>
            <w:tcW w:w="1440" w:type="dxa"/>
          </w:tcPr>
          <w:p w:rsidR="005F7125" w:rsidRPr="00BE16BF" w:rsidRDefault="005F7125" w:rsidP="00447316"/>
        </w:tc>
        <w:tc>
          <w:tcPr>
            <w:tcW w:w="1620" w:type="dxa"/>
          </w:tcPr>
          <w:p w:rsidR="005F7125" w:rsidRPr="00BE16BF" w:rsidRDefault="005F7125" w:rsidP="00447316"/>
        </w:tc>
        <w:tc>
          <w:tcPr>
            <w:tcW w:w="2160" w:type="dxa"/>
          </w:tcPr>
          <w:p w:rsidR="005F7125" w:rsidRPr="00BE16BF" w:rsidRDefault="005F7125" w:rsidP="00447316"/>
        </w:tc>
        <w:tc>
          <w:tcPr>
            <w:tcW w:w="1080" w:type="dxa"/>
          </w:tcPr>
          <w:p w:rsidR="005F7125" w:rsidRPr="00BE16BF" w:rsidRDefault="005F7125" w:rsidP="00447316">
            <w:pPr>
              <w:jc w:val="center"/>
            </w:pPr>
          </w:p>
        </w:tc>
      </w:tr>
    </w:tbl>
    <w:p w:rsidR="005F7125" w:rsidRDefault="005F7125" w:rsidP="005F7125">
      <w:pPr>
        <w:rPr>
          <w:b/>
          <w:bCs/>
        </w:rPr>
      </w:pPr>
    </w:p>
    <w:p w:rsidR="005F7125" w:rsidRDefault="005F7125" w:rsidP="005F7125">
      <w:pPr>
        <w:rPr>
          <w:b/>
          <w:bCs/>
        </w:rPr>
      </w:pPr>
    </w:p>
    <w:p w:rsidR="005F7125" w:rsidRDefault="005F7125" w:rsidP="005F7125">
      <w:pPr>
        <w:rPr>
          <w:b/>
          <w:bCs/>
        </w:rPr>
      </w:pPr>
    </w:p>
    <w:p w:rsidR="005F7125" w:rsidRDefault="005F7125" w:rsidP="005F7125">
      <w:pPr>
        <w:rPr>
          <w:b/>
          <w:bCs/>
        </w:rPr>
      </w:pPr>
    </w:p>
    <w:p w:rsidR="005F7125" w:rsidRDefault="005F7125" w:rsidP="005F7125">
      <w:pPr>
        <w:rPr>
          <w:b/>
          <w:bCs/>
        </w:rPr>
      </w:pPr>
    </w:p>
    <w:p w:rsidR="005F7125" w:rsidRDefault="005F7125" w:rsidP="005F7125">
      <w:pPr>
        <w:rPr>
          <w:b/>
          <w:bCs/>
        </w:rPr>
      </w:pPr>
    </w:p>
    <w:p w:rsidR="005F7125" w:rsidRDefault="005F7125" w:rsidP="005F7125">
      <w:pPr>
        <w:rPr>
          <w:b/>
          <w:bCs/>
        </w:rPr>
      </w:pPr>
    </w:p>
    <w:p w:rsidR="005F7125" w:rsidRDefault="005F7125" w:rsidP="005F7125">
      <w:pPr>
        <w:rPr>
          <w:b/>
          <w:bCs/>
        </w:rPr>
      </w:pPr>
    </w:p>
    <w:p w:rsidR="005F7125" w:rsidRPr="00402BB5" w:rsidRDefault="005F7125" w:rsidP="005F7125">
      <w:r w:rsidRPr="00402BB5">
        <w:rPr>
          <w:b/>
          <w:bCs/>
        </w:rPr>
        <w:lastRenderedPageBreak/>
        <w:t>Directions for completing the Use of Award Report:</w:t>
      </w:r>
    </w:p>
    <w:p w:rsidR="005F7125" w:rsidRPr="00607F1B" w:rsidRDefault="005F7125" w:rsidP="005F7125">
      <w:pPr>
        <w:pStyle w:val="NormalSmall"/>
        <w:spacing w:before="60" w:after="60"/>
        <w:rPr>
          <w:rFonts w:ascii="Times New Roman" w:hAnsi="Times New Roman"/>
          <w:bCs/>
          <w:color w:val="auto"/>
          <w:sz w:val="24"/>
        </w:rPr>
      </w:pPr>
      <w:r w:rsidRPr="00C13119">
        <w:rPr>
          <w:rFonts w:ascii="Times New Roman" w:hAnsi="Times New Roman"/>
          <w:b/>
          <w:bCs/>
          <w:color w:val="auto"/>
          <w:sz w:val="24"/>
        </w:rPr>
        <w:t>Total Dollar Amount:</w:t>
      </w:r>
      <w:r w:rsidRPr="00402BB5">
        <w:rPr>
          <w:b/>
          <w:bCs/>
        </w:rPr>
        <w:br/>
      </w:r>
      <w:r w:rsidRPr="00607F1B">
        <w:rPr>
          <w:rFonts w:ascii="Times New Roman" w:hAnsi="Times New Roman"/>
          <w:bCs/>
          <w:color w:val="auto"/>
          <w:sz w:val="24"/>
        </w:rPr>
        <w:t>Report the total original dollar amount for all transactions funded in each category as applicable.</w:t>
      </w:r>
    </w:p>
    <w:p w:rsidR="005F7125" w:rsidRDefault="005F7125" w:rsidP="005F7125">
      <w:pPr>
        <w:ind w:left="193"/>
        <w:rPr>
          <w:b/>
          <w:bCs/>
        </w:rPr>
      </w:pPr>
    </w:p>
    <w:p w:rsidR="005F7125" w:rsidRPr="00607F1B" w:rsidRDefault="005F7125" w:rsidP="005F7125">
      <w:pPr>
        <w:pStyle w:val="NormalSmall"/>
        <w:spacing w:before="60" w:after="60"/>
        <w:rPr>
          <w:rFonts w:ascii="Times New Roman" w:hAnsi="Times New Roman"/>
          <w:bCs/>
          <w:color w:val="auto"/>
          <w:sz w:val="24"/>
        </w:rPr>
      </w:pPr>
      <w:r w:rsidRPr="00C13119">
        <w:rPr>
          <w:rFonts w:ascii="Times New Roman" w:hAnsi="Times New Roman"/>
          <w:b/>
          <w:bCs/>
          <w:color w:val="auto"/>
          <w:sz w:val="24"/>
        </w:rPr>
        <w:t xml:space="preserve">Total </w:t>
      </w:r>
      <w:r>
        <w:rPr>
          <w:rFonts w:ascii="Times New Roman" w:hAnsi="Times New Roman"/>
          <w:b/>
          <w:bCs/>
          <w:color w:val="auto"/>
          <w:sz w:val="24"/>
        </w:rPr>
        <w:t>No. of Transactions</w:t>
      </w:r>
      <w:r w:rsidRPr="00C13119">
        <w:rPr>
          <w:rFonts w:ascii="Times New Roman" w:hAnsi="Times New Roman"/>
          <w:b/>
          <w:bCs/>
          <w:color w:val="auto"/>
          <w:sz w:val="24"/>
        </w:rPr>
        <w:t>:</w:t>
      </w:r>
      <w:r w:rsidRPr="00402BB5">
        <w:rPr>
          <w:b/>
          <w:bCs/>
        </w:rPr>
        <w:br/>
      </w:r>
      <w:r w:rsidRPr="00607F1B">
        <w:rPr>
          <w:rFonts w:ascii="Times New Roman" w:hAnsi="Times New Roman"/>
          <w:bCs/>
          <w:color w:val="auto"/>
          <w:sz w:val="24"/>
        </w:rPr>
        <w:t xml:space="preserve">Report the total </w:t>
      </w:r>
      <w:r>
        <w:rPr>
          <w:rFonts w:ascii="Times New Roman" w:hAnsi="Times New Roman"/>
          <w:bCs/>
          <w:color w:val="auto"/>
          <w:sz w:val="24"/>
        </w:rPr>
        <w:t xml:space="preserve">number of transactions </w:t>
      </w:r>
      <w:r w:rsidRPr="00607F1B">
        <w:rPr>
          <w:rFonts w:ascii="Times New Roman" w:hAnsi="Times New Roman"/>
          <w:bCs/>
          <w:color w:val="auto"/>
          <w:sz w:val="24"/>
        </w:rPr>
        <w:t>funded in each category as applicable.</w:t>
      </w:r>
    </w:p>
    <w:p w:rsidR="005F7125" w:rsidRDefault="005F7125" w:rsidP="005F7125">
      <w:pPr>
        <w:ind w:left="193"/>
        <w:rPr>
          <w:b/>
          <w:bCs/>
        </w:rPr>
      </w:pPr>
    </w:p>
    <w:p w:rsidR="005F7125" w:rsidRPr="00402BB5" w:rsidRDefault="005F7125" w:rsidP="005F7125">
      <w:pPr>
        <w:rPr>
          <w:b/>
          <w:bCs/>
        </w:rPr>
      </w:pPr>
      <w:r w:rsidRPr="00FB5B37">
        <w:rPr>
          <w:b/>
          <w:bCs/>
        </w:rPr>
        <w:t>CDFI Partner(s) Or Designated Distressed Community(ies)</w:t>
      </w:r>
      <w:r w:rsidRPr="00402BB5">
        <w:rPr>
          <w:b/>
          <w:bCs/>
        </w:rPr>
        <w:t>:</w:t>
      </w:r>
      <w:r w:rsidRPr="00402BB5">
        <w:rPr>
          <w:b/>
          <w:bCs/>
        </w:rPr>
        <w:br/>
      </w:r>
      <w:r w:rsidRPr="00C13119">
        <w:rPr>
          <w:bCs/>
        </w:rPr>
        <w:t xml:space="preserve">For CDFI Related Activities, list all </w:t>
      </w:r>
      <w:r w:rsidRPr="00C13119">
        <w:rPr>
          <w:rFonts w:cs="Arial"/>
          <w:szCs w:val="36"/>
        </w:rPr>
        <w:t>CDFIs</w:t>
      </w:r>
      <w:r>
        <w:rPr>
          <w:rFonts w:cs="Arial"/>
          <w:szCs w:val="36"/>
        </w:rPr>
        <w:t xml:space="preserve"> that received a loan, technical assistance, or qualifying deposit</w:t>
      </w:r>
      <w:r>
        <w:rPr>
          <w:rFonts w:cs="Arial"/>
        </w:rPr>
        <w:t>s defined in the FY 2009 NOFA and BEA Program Interim Rule</w:t>
      </w:r>
      <w:r>
        <w:rPr>
          <w:rFonts w:cs="Arial"/>
          <w:szCs w:val="36"/>
        </w:rPr>
        <w:t xml:space="preserve">.  For </w:t>
      </w:r>
      <w:r w:rsidRPr="00402BB5">
        <w:t xml:space="preserve">Distressed </w:t>
      </w:r>
      <w:r>
        <w:t xml:space="preserve">Community </w:t>
      </w:r>
      <w:r w:rsidRPr="00402BB5">
        <w:t>Financing Activities</w:t>
      </w:r>
      <w:r>
        <w:t xml:space="preserve"> and Service Activities, indicate the </w:t>
      </w:r>
      <w:r>
        <w:rPr>
          <w:rFonts w:cs="Arial"/>
        </w:rPr>
        <w:t>Distressed Community as defined in the FY 2009 NOFA and BEA Program Interim Rule in which the funds were deployed.</w:t>
      </w:r>
    </w:p>
    <w:p w:rsidR="005F7125" w:rsidRDefault="005F7125" w:rsidP="005F7125">
      <w:pPr>
        <w:adjustRightInd w:val="0"/>
        <w:ind w:left="167"/>
      </w:pPr>
    </w:p>
    <w:p w:rsidR="005F7125" w:rsidRPr="00402BB5" w:rsidRDefault="005F7125" w:rsidP="005F7125">
      <w:pPr>
        <w:adjustRightInd w:val="0"/>
      </w:pPr>
      <w:r>
        <w:rPr>
          <w:b/>
          <w:bCs/>
        </w:rPr>
        <w:t>Impact</w:t>
      </w:r>
      <w:r w:rsidRPr="00402BB5">
        <w:rPr>
          <w:b/>
          <w:bCs/>
        </w:rPr>
        <w:t>:</w:t>
      </w:r>
      <w:r w:rsidRPr="00402BB5">
        <w:rPr>
          <w:b/>
          <w:bCs/>
        </w:rPr>
        <w:br/>
      </w:r>
      <w:r w:rsidRPr="00402BB5">
        <w:t xml:space="preserve">For Distressed </w:t>
      </w:r>
      <w:r>
        <w:t xml:space="preserve">Community </w:t>
      </w:r>
      <w:r w:rsidRPr="00402BB5">
        <w:t>Financing Activities</w:t>
      </w:r>
      <w:r>
        <w:t xml:space="preserve"> and Service Activities listed below</w:t>
      </w:r>
      <w:r w:rsidRPr="00402BB5">
        <w:t>, provide the number</w:t>
      </w:r>
      <w:r>
        <w:t xml:space="preserve"> of the appropriate measure in aggregate for all </w:t>
      </w:r>
      <w:r w:rsidRPr="00402BB5">
        <w:t>transaction</w:t>
      </w:r>
      <w:r>
        <w:t>s funded within the category</w:t>
      </w:r>
      <w:r w:rsidRPr="00402BB5">
        <w:t>:</w:t>
      </w:r>
    </w:p>
    <w:p w:rsidR="005F7125" w:rsidRPr="00AB17FC" w:rsidRDefault="005F7125" w:rsidP="005F7125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 w:rsidRPr="00AB17FC">
        <w:rPr>
          <w:rFonts w:ascii="Times New Roman" w:hAnsi="Times New Roman" w:cs="Times New Roman"/>
          <w:color w:val="auto"/>
          <w:sz w:val="24"/>
          <w:szCs w:val="24"/>
        </w:rPr>
        <w:t>Affordable Housing Development:  Total number of units developed or rehabilitated as part of the transaction.</w:t>
      </w:r>
    </w:p>
    <w:p w:rsidR="005F7125" w:rsidRPr="00AB17FC" w:rsidRDefault="005F7125" w:rsidP="005F7125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 w:rsidRPr="00AB17FC">
        <w:rPr>
          <w:rFonts w:ascii="Times New Roman" w:hAnsi="Times New Roman" w:cs="Times New Roman"/>
          <w:color w:val="auto"/>
          <w:sz w:val="24"/>
          <w:szCs w:val="24"/>
        </w:rPr>
        <w:t>Small Business:  Total number of full-time equivalent jobs created or maintained by borrower.</w:t>
      </w:r>
    </w:p>
    <w:p w:rsidR="005F7125" w:rsidRPr="00AB17FC" w:rsidRDefault="005F7125" w:rsidP="005F7125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 w:rsidRPr="00AB17FC">
        <w:rPr>
          <w:rFonts w:ascii="Times New Roman" w:hAnsi="Times New Roman" w:cs="Times New Roman"/>
          <w:color w:val="auto"/>
          <w:sz w:val="24"/>
          <w:szCs w:val="24"/>
        </w:rPr>
        <w:t>Commercial Real Estate:  Total number of commercial real estate properties acquired, developed or rehabilitated.</w:t>
      </w:r>
    </w:p>
    <w:p w:rsidR="005F7125" w:rsidRPr="00AB17FC" w:rsidRDefault="005F7125" w:rsidP="005F7125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 w:rsidRPr="00AB17FC">
        <w:rPr>
          <w:rFonts w:ascii="Times New Roman" w:hAnsi="Times New Roman" w:cs="Times New Roman"/>
          <w:color w:val="auto"/>
          <w:sz w:val="24"/>
          <w:szCs w:val="24"/>
        </w:rPr>
        <w:t>Community Services:  Number of individuals who received the identified service funded with the Award.</w:t>
      </w:r>
    </w:p>
    <w:p w:rsidR="005F7125" w:rsidRPr="00AB17FC" w:rsidRDefault="005F7125" w:rsidP="005F7125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 w:rsidRPr="00AB17FC">
        <w:rPr>
          <w:rFonts w:ascii="Times New Roman" w:hAnsi="Times New Roman" w:cs="Times New Roman"/>
          <w:color w:val="auto"/>
          <w:sz w:val="24"/>
          <w:szCs w:val="24"/>
        </w:rPr>
        <w:t>Financial Services and Targeted Financial Services:  Number of accounts opened, checks cashed, etc. as a result of  the related program funded with the Award</w:t>
      </w:r>
    </w:p>
    <w:p w:rsidR="005F7125" w:rsidRPr="00AB17FC" w:rsidRDefault="005F7125" w:rsidP="005F7125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 w:rsidRPr="00AB17FC">
        <w:rPr>
          <w:rFonts w:ascii="Times New Roman" w:hAnsi="Times New Roman" w:cs="Times New Roman"/>
          <w:color w:val="auto"/>
          <w:sz w:val="24"/>
          <w:szCs w:val="24"/>
        </w:rPr>
        <w:t>Targeted Retail Savings/Investment Products:  Number of products developed with funds from the Award sold or opened.</w:t>
      </w:r>
    </w:p>
    <w:p w:rsidR="00872F39" w:rsidRDefault="00872F39"/>
    <w:sectPr w:rsidR="00872F39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397" w:rsidRDefault="00CE5397" w:rsidP="00447316">
      <w:pPr/>
      <w:r>
        <w:separator/>
      </w:r>
    </w:p>
  </w:endnote>
  <w:endnote w:type="continuationSeparator" w:id="1">
    <w:p w:rsidR="00CE5397" w:rsidRDefault="00CE5397" w:rsidP="00447316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125" w:rsidRDefault="005F7125" w:rsidP="004473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7125" w:rsidRDefault="005F7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125" w:rsidRPr="005F7125" w:rsidRDefault="005F7125" w:rsidP="00447316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 xml:space="preserve">Page </w:t>
    </w:r>
    <w:r w:rsidRPr="005F7125">
      <w:rPr>
        <w:rStyle w:val="PageNumber"/>
        <w:sz w:val="18"/>
        <w:szCs w:val="18"/>
      </w:rPr>
      <w:fldChar w:fldCharType="begin"/>
    </w:r>
    <w:r w:rsidRPr="005F7125">
      <w:rPr>
        <w:rStyle w:val="PageNumber"/>
        <w:sz w:val="18"/>
        <w:szCs w:val="18"/>
      </w:rPr>
      <w:instrText xml:space="preserve">PAGE  </w:instrText>
    </w:r>
    <w:r w:rsidRPr="005F7125">
      <w:rPr>
        <w:rStyle w:val="PageNumber"/>
        <w:sz w:val="18"/>
        <w:szCs w:val="18"/>
      </w:rPr>
      <w:fldChar w:fldCharType="separate"/>
    </w:r>
    <w:r w:rsidR="003B14AD">
      <w:rPr>
        <w:rStyle w:val="PageNumber"/>
        <w:noProof/>
        <w:sz w:val="18"/>
        <w:szCs w:val="18"/>
      </w:rPr>
      <w:t>1</w:t>
    </w:r>
    <w:r w:rsidRPr="005F7125">
      <w:rPr>
        <w:rStyle w:val="PageNumber"/>
        <w:sz w:val="18"/>
        <w:szCs w:val="18"/>
      </w:rPr>
      <w:fldChar w:fldCharType="end"/>
    </w:r>
  </w:p>
  <w:p w:rsidR="005F7125" w:rsidRDefault="005F7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397" w:rsidRDefault="00CE5397" w:rsidP="00447316">
      <w:pPr/>
      <w:r>
        <w:separator/>
      </w:r>
    </w:p>
  </w:footnote>
  <w:footnote w:type="continuationSeparator" w:id="1">
    <w:p w:rsidR="00CE5397" w:rsidRDefault="00CE5397" w:rsidP="00447316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125" w:rsidRPr="005F7125" w:rsidRDefault="005F7125">
    <w:pPr>
      <w:pStyle w:val="Header"/>
      <w:rPr>
        <w:b/>
        <w:sz w:val="18"/>
        <w:szCs w:val="18"/>
      </w:rPr>
    </w:pPr>
    <w:r w:rsidRPr="005F7125">
      <w:rPr>
        <w:rFonts w:ascii="Courier New" w:hAnsi="Courier New" w:cs="Courier New"/>
        <w:b/>
        <w:sz w:val="18"/>
        <w:szCs w:val="18"/>
      </w:rPr>
      <w:t xml:space="preserve">2009 Bank </w:t>
    </w:r>
    <w:smartTag w:uri="urn:schemas-microsoft-com:office:smarttags" w:element="City">
      <w:smartTag w:uri="urn:schemas-microsoft-com:office:smarttags" w:element="place">
        <w:r w:rsidRPr="005F7125">
          <w:rPr>
            <w:rFonts w:ascii="Courier New" w:hAnsi="Courier New" w:cs="Courier New"/>
            <w:b/>
            <w:sz w:val="18"/>
            <w:szCs w:val="18"/>
          </w:rPr>
          <w:t>Enterprise</w:t>
        </w:r>
      </w:smartTag>
    </w:smartTag>
    <w:r w:rsidRPr="005F7125">
      <w:rPr>
        <w:rFonts w:ascii="Courier New" w:hAnsi="Courier New" w:cs="Courier New"/>
        <w:b/>
        <w:sz w:val="18"/>
        <w:szCs w:val="18"/>
      </w:rPr>
      <w:t xml:space="preserve"> Award Program Reporting Form for OMB Emergency Clearance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D0F33"/>
    <w:multiLevelType w:val="hybridMultilevel"/>
    <w:tmpl w:val="89424D76"/>
    <w:lvl w:ilvl="0" w:tplc="4080FA56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125"/>
    <w:rsid w:val="003B14AD"/>
    <w:rsid w:val="00443A13"/>
    <w:rsid w:val="00447316"/>
    <w:rsid w:val="005F7125"/>
    <w:rsid w:val="00872F39"/>
    <w:rsid w:val="00CE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12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5F7125"/>
    <w:rPr>
      <w:b/>
      <w:bCs/>
    </w:rPr>
  </w:style>
  <w:style w:type="table" w:styleId="TableGrid">
    <w:name w:val="Table Grid"/>
    <w:basedOn w:val="TableNormal"/>
    <w:rsid w:val="005F7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5F7125"/>
    <w:pPr>
      <w:numPr>
        <w:numId w:val="1"/>
      </w:numPr>
      <w:spacing w:before="120"/>
    </w:pPr>
    <w:rPr>
      <w:rFonts w:ascii="Arial" w:hAnsi="Arial" w:cs="Microsoft Sans Serif"/>
      <w:bCs/>
      <w:color w:val="333399"/>
      <w:sz w:val="22"/>
      <w:szCs w:val="20"/>
    </w:rPr>
  </w:style>
  <w:style w:type="paragraph" w:customStyle="1" w:styleId="NormalSmall">
    <w:name w:val="Normal Small"/>
    <w:basedOn w:val="Normal"/>
    <w:rsid w:val="005F7125"/>
    <w:pPr>
      <w:autoSpaceDE w:val="0"/>
      <w:autoSpaceDN w:val="0"/>
      <w:adjustRightInd w:val="0"/>
      <w:spacing w:before="20"/>
    </w:pPr>
    <w:rPr>
      <w:rFonts w:ascii="Arial" w:hAnsi="Arial"/>
      <w:color w:val="333399"/>
      <w:sz w:val="18"/>
    </w:rPr>
  </w:style>
  <w:style w:type="paragraph" w:styleId="Header">
    <w:name w:val="header"/>
    <w:basedOn w:val="Normal"/>
    <w:rsid w:val="005F71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71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7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2-C</vt:lpstr>
    </vt:vector>
  </TitlesOfParts>
  <Company>CDFI Fund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2-C</dc:title>
  <dc:subject/>
  <dc:creator>harrisj</dc:creator>
  <cp:keywords/>
  <dc:description/>
  <cp:lastModifiedBy>US Department of Treasury</cp:lastModifiedBy>
  <cp:revision>2</cp:revision>
  <dcterms:created xsi:type="dcterms:W3CDTF">2009-07-31T12:49:00Z</dcterms:created>
  <dcterms:modified xsi:type="dcterms:W3CDTF">2009-07-31T12:49:00Z</dcterms:modified>
</cp:coreProperties>
</file>