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E83" w:rsidRDefault="00C81E83">
      <w:pPr>
        <w:framePr w:w="4903" w:h="2302" w:wrap="auto" w:vAnchor="page" w:hAnchor="page" w:x="2017" w:y="1873"/>
        <w:rPr>
          <w:spacing w:val="-5"/>
          <w:sz w:val="2"/>
          <w:szCs w:val="2"/>
        </w:rPr>
      </w:pPr>
      <w:r w:rsidRPr="00A905F6">
        <w:rPr>
          <w:b/>
          <w:bCs/>
          <w:noProof/>
          <w:spacing w:val="-5"/>
          <w:sz w:val="56"/>
          <w:szCs w:val="5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HES_Logo_b" style="width:245.25pt;height:138pt;visibility:visible">
            <v:imagedata r:id="rId7" o:title=""/>
          </v:shape>
        </w:pict>
      </w:r>
    </w:p>
    <w:p w:rsidR="00C81E83" w:rsidRDefault="00C81E83">
      <w:pPr>
        <w:tabs>
          <w:tab w:val="left" w:pos="-1440"/>
          <w:tab w:val="left" w:pos="2093"/>
        </w:tabs>
        <w:ind w:left="2093" w:hanging="2093"/>
        <w:rPr>
          <w:b/>
          <w:bCs/>
          <w:spacing w:val="-5"/>
          <w:sz w:val="56"/>
          <w:szCs w:val="56"/>
        </w:rPr>
      </w:pPr>
    </w:p>
    <w:p w:rsidR="00C81E83" w:rsidRDefault="00C81E83">
      <w:pPr>
        <w:tabs>
          <w:tab w:val="left" w:pos="-1440"/>
          <w:tab w:val="left" w:pos="2093"/>
        </w:tabs>
        <w:ind w:left="2093" w:hanging="2093"/>
        <w:rPr>
          <w:b/>
          <w:bCs/>
          <w:spacing w:val="-5"/>
          <w:sz w:val="56"/>
          <w:szCs w:val="56"/>
        </w:rPr>
      </w:pPr>
    </w:p>
    <w:p w:rsidR="00C81E83" w:rsidRDefault="00C81E83">
      <w:pPr>
        <w:tabs>
          <w:tab w:val="left" w:pos="-1440"/>
          <w:tab w:val="left" w:pos="2093"/>
        </w:tabs>
        <w:ind w:left="2093" w:hanging="2093"/>
        <w:rPr>
          <w:b/>
          <w:bCs/>
          <w:spacing w:val="-5"/>
          <w:sz w:val="56"/>
          <w:szCs w:val="56"/>
        </w:rPr>
      </w:pPr>
    </w:p>
    <w:p w:rsidR="00C81E83" w:rsidRDefault="00C81E83">
      <w:pPr>
        <w:tabs>
          <w:tab w:val="left" w:pos="-1440"/>
          <w:tab w:val="left" w:pos="2093"/>
        </w:tabs>
        <w:ind w:left="2093" w:hanging="2093"/>
        <w:rPr>
          <w:b/>
          <w:bCs/>
          <w:spacing w:val="-5"/>
          <w:sz w:val="56"/>
          <w:szCs w:val="56"/>
        </w:rPr>
      </w:pPr>
    </w:p>
    <w:p w:rsidR="00C81E83" w:rsidRDefault="00C81E83">
      <w:pPr>
        <w:tabs>
          <w:tab w:val="left" w:pos="-1440"/>
          <w:tab w:val="left" w:pos="2093"/>
        </w:tabs>
        <w:ind w:left="2093" w:hanging="2093"/>
        <w:rPr>
          <w:b/>
          <w:bCs/>
          <w:spacing w:val="-5"/>
          <w:sz w:val="56"/>
          <w:szCs w:val="56"/>
        </w:rPr>
      </w:pPr>
    </w:p>
    <w:p w:rsidR="00C81E83" w:rsidRDefault="00C81E83">
      <w:pPr>
        <w:tabs>
          <w:tab w:val="left" w:pos="-1440"/>
          <w:tab w:val="left" w:pos="2093"/>
        </w:tabs>
        <w:ind w:left="2093" w:hanging="2093"/>
        <w:rPr>
          <w:b/>
          <w:bCs/>
          <w:spacing w:val="-5"/>
          <w:sz w:val="56"/>
          <w:szCs w:val="56"/>
        </w:rPr>
      </w:pPr>
    </w:p>
    <w:p w:rsidR="00C81E83" w:rsidRDefault="00C81E83">
      <w:pPr>
        <w:tabs>
          <w:tab w:val="left" w:pos="-1440"/>
          <w:tab w:val="left" w:pos="2093"/>
        </w:tabs>
        <w:ind w:left="2093" w:hanging="2093"/>
        <w:rPr>
          <w:b/>
          <w:bCs/>
          <w:spacing w:val="-5"/>
          <w:sz w:val="56"/>
          <w:szCs w:val="56"/>
        </w:rPr>
      </w:pPr>
    </w:p>
    <w:p w:rsidR="00C81E83" w:rsidRDefault="00C81E83">
      <w:pPr>
        <w:tabs>
          <w:tab w:val="left" w:pos="-1440"/>
          <w:tab w:val="left" w:pos="2093"/>
        </w:tabs>
        <w:ind w:left="2093" w:hanging="2093"/>
        <w:rPr>
          <w:b/>
          <w:bCs/>
          <w:spacing w:val="-5"/>
          <w:sz w:val="56"/>
          <w:szCs w:val="56"/>
        </w:rPr>
      </w:pPr>
    </w:p>
    <w:p w:rsidR="00C81E83" w:rsidRDefault="00C81E83">
      <w:pPr>
        <w:tabs>
          <w:tab w:val="left" w:pos="-1440"/>
          <w:tab w:val="left" w:pos="2093"/>
        </w:tabs>
        <w:jc w:val="center"/>
        <w:outlineLvl w:val="0"/>
        <w:rPr>
          <w:b/>
          <w:bCs/>
          <w:spacing w:val="-5"/>
          <w:sz w:val="56"/>
          <w:szCs w:val="56"/>
        </w:rPr>
      </w:pPr>
      <w:r>
        <w:rPr>
          <w:b/>
          <w:bCs/>
          <w:spacing w:val="-5"/>
          <w:sz w:val="56"/>
          <w:szCs w:val="56"/>
        </w:rPr>
        <w:t>NHES:2009 Pilot Test</w:t>
      </w:r>
    </w:p>
    <w:p w:rsidR="00C81E83" w:rsidRDefault="00C81E83">
      <w:pPr>
        <w:tabs>
          <w:tab w:val="left" w:pos="-1440"/>
          <w:tab w:val="left" w:pos="2093"/>
        </w:tabs>
        <w:jc w:val="center"/>
        <w:outlineLvl w:val="0"/>
        <w:rPr>
          <w:b/>
          <w:bCs/>
          <w:spacing w:val="-5"/>
          <w:sz w:val="56"/>
          <w:szCs w:val="56"/>
        </w:rPr>
      </w:pPr>
      <w:r>
        <w:rPr>
          <w:b/>
          <w:bCs/>
          <w:spacing w:val="-5"/>
          <w:sz w:val="56"/>
          <w:szCs w:val="56"/>
        </w:rPr>
        <w:t>Request for</w:t>
      </w:r>
    </w:p>
    <w:p w:rsidR="00C81E83" w:rsidRDefault="00C81E83">
      <w:pPr>
        <w:tabs>
          <w:tab w:val="left" w:pos="-1440"/>
          <w:tab w:val="left" w:pos="2093"/>
        </w:tabs>
        <w:jc w:val="center"/>
        <w:outlineLvl w:val="0"/>
        <w:rPr>
          <w:b/>
          <w:bCs/>
          <w:spacing w:val="-5"/>
          <w:sz w:val="56"/>
          <w:szCs w:val="56"/>
        </w:rPr>
      </w:pPr>
      <w:r>
        <w:rPr>
          <w:b/>
          <w:bCs/>
          <w:spacing w:val="-5"/>
          <w:sz w:val="56"/>
          <w:szCs w:val="56"/>
        </w:rPr>
        <w:t>IMT/OMB Review</w:t>
      </w:r>
    </w:p>
    <w:p w:rsidR="00C81E83" w:rsidRDefault="00C81E83">
      <w:pPr>
        <w:tabs>
          <w:tab w:val="left" w:pos="-1440"/>
          <w:tab w:val="left" w:pos="2093"/>
        </w:tabs>
        <w:rPr>
          <w:b/>
          <w:bCs/>
          <w:spacing w:val="-5"/>
          <w:sz w:val="28"/>
          <w:szCs w:val="28"/>
        </w:rPr>
      </w:pPr>
      <w:r>
        <w:rPr>
          <w:b/>
          <w:bCs/>
          <w:spacing w:val="-5"/>
          <w:sz w:val="28"/>
          <w:szCs w:val="28"/>
        </w:rPr>
        <w:t>Part A</w:t>
      </w:r>
    </w:p>
    <w:p w:rsidR="00C81E83" w:rsidRDefault="00C81E83">
      <w:pPr>
        <w:tabs>
          <w:tab w:val="left" w:pos="-1440"/>
          <w:tab w:val="left" w:pos="2093"/>
        </w:tabs>
        <w:rPr>
          <w:b/>
          <w:bCs/>
          <w:spacing w:val="-5"/>
          <w:sz w:val="28"/>
          <w:szCs w:val="28"/>
        </w:rPr>
      </w:pPr>
    </w:p>
    <w:p w:rsidR="00C81E83" w:rsidRDefault="00C81E83">
      <w:pPr>
        <w:tabs>
          <w:tab w:val="left" w:pos="-1440"/>
          <w:tab w:val="left" w:pos="2093"/>
        </w:tabs>
        <w:rPr>
          <w:b/>
          <w:bCs/>
          <w:spacing w:val="-5"/>
          <w:sz w:val="28"/>
          <w:szCs w:val="28"/>
        </w:rPr>
      </w:pPr>
    </w:p>
    <w:p w:rsidR="00C81E83" w:rsidRDefault="00C81E83">
      <w:pPr>
        <w:tabs>
          <w:tab w:val="left" w:pos="-1440"/>
          <w:tab w:val="left" w:pos="2093"/>
        </w:tabs>
        <w:rPr>
          <w:b/>
          <w:bCs/>
          <w:spacing w:val="-5"/>
          <w:sz w:val="28"/>
          <w:szCs w:val="28"/>
        </w:rPr>
      </w:pPr>
    </w:p>
    <w:p w:rsidR="00C81E83" w:rsidRDefault="00C81E83">
      <w:pPr>
        <w:tabs>
          <w:tab w:val="left" w:pos="-1440"/>
          <w:tab w:val="left" w:pos="2093"/>
        </w:tabs>
        <w:rPr>
          <w:b/>
          <w:bCs/>
          <w:spacing w:val="-5"/>
          <w:sz w:val="28"/>
          <w:szCs w:val="28"/>
        </w:rPr>
      </w:pPr>
    </w:p>
    <w:p w:rsidR="00C81E83" w:rsidRDefault="00C81E83">
      <w:pPr>
        <w:tabs>
          <w:tab w:val="left" w:pos="-1440"/>
          <w:tab w:val="left" w:pos="2093"/>
        </w:tabs>
        <w:rPr>
          <w:b/>
          <w:bCs/>
          <w:spacing w:val="-5"/>
          <w:sz w:val="28"/>
          <w:szCs w:val="28"/>
        </w:rPr>
      </w:pPr>
    </w:p>
    <w:p w:rsidR="00C81E83" w:rsidRDefault="00C81E83">
      <w:pPr>
        <w:tabs>
          <w:tab w:val="left" w:pos="-1440"/>
          <w:tab w:val="left" w:pos="2093"/>
        </w:tabs>
        <w:rPr>
          <w:b/>
          <w:bCs/>
          <w:spacing w:val="-5"/>
          <w:sz w:val="28"/>
          <w:szCs w:val="28"/>
        </w:rPr>
      </w:pPr>
    </w:p>
    <w:p w:rsidR="00C81E83" w:rsidRDefault="00C81E83">
      <w:pPr>
        <w:tabs>
          <w:tab w:val="left" w:pos="-1440"/>
          <w:tab w:val="left" w:pos="2093"/>
        </w:tabs>
        <w:rPr>
          <w:b/>
          <w:bCs/>
          <w:spacing w:val="-5"/>
          <w:sz w:val="28"/>
          <w:szCs w:val="28"/>
        </w:rPr>
      </w:pPr>
    </w:p>
    <w:p w:rsidR="00C81E83" w:rsidRDefault="00C81E83">
      <w:pPr>
        <w:tabs>
          <w:tab w:val="left" w:pos="-1440"/>
          <w:tab w:val="left" w:pos="2093"/>
        </w:tabs>
        <w:rPr>
          <w:b/>
          <w:bCs/>
          <w:spacing w:val="-5"/>
          <w:sz w:val="28"/>
          <w:szCs w:val="28"/>
        </w:rPr>
      </w:pPr>
    </w:p>
    <w:p w:rsidR="00C81E83" w:rsidRDefault="00C81E83">
      <w:pPr>
        <w:tabs>
          <w:tab w:val="left" w:pos="-1440"/>
          <w:tab w:val="left" w:pos="2093"/>
        </w:tabs>
        <w:rPr>
          <w:b/>
          <w:bCs/>
          <w:spacing w:val="-5"/>
          <w:sz w:val="28"/>
          <w:szCs w:val="28"/>
        </w:rPr>
      </w:pPr>
    </w:p>
    <w:p w:rsidR="00C81E83" w:rsidRDefault="00C81E83">
      <w:pPr>
        <w:tabs>
          <w:tab w:val="left" w:pos="-1440"/>
          <w:tab w:val="left" w:pos="2093"/>
        </w:tabs>
        <w:rPr>
          <w:b/>
          <w:bCs/>
          <w:spacing w:val="-5"/>
          <w:sz w:val="28"/>
          <w:szCs w:val="28"/>
        </w:rPr>
      </w:pPr>
    </w:p>
    <w:p w:rsidR="00C81E83" w:rsidRDefault="00C81E83">
      <w:pPr>
        <w:tabs>
          <w:tab w:val="left" w:pos="-1440"/>
          <w:tab w:val="left" w:pos="2093"/>
        </w:tabs>
        <w:rPr>
          <w:b/>
          <w:bCs/>
          <w:spacing w:val="-5"/>
          <w:sz w:val="28"/>
          <w:szCs w:val="28"/>
        </w:rPr>
      </w:pPr>
    </w:p>
    <w:p w:rsidR="00C81E83" w:rsidRDefault="00C81E83">
      <w:pPr>
        <w:tabs>
          <w:tab w:val="left" w:pos="-1440"/>
          <w:tab w:val="left" w:pos="2093"/>
        </w:tabs>
        <w:rPr>
          <w:b/>
          <w:bCs/>
          <w:spacing w:val="-5"/>
          <w:sz w:val="28"/>
          <w:szCs w:val="28"/>
        </w:rPr>
      </w:pPr>
    </w:p>
    <w:p w:rsidR="00C81E83" w:rsidRDefault="00C81E83">
      <w:pPr>
        <w:tabs>
          <w:tab w:val="left" w:pos="-1440"/>
          <w:tab w:val="left" w:pos="2093"/>
        </w:tabs>
        <w:rPr>
          <w:b/>
          <w:bCs/>
          <w:spacing w:val="-5"/>
          <w:sz w:val="28"/>
          <w:szCs w:val="28"/>
        </w:rPr>
      </w:pPr>
    </w:p>
    <w:p w:rsidR="00C81E83" w:rsidRDefault="00C81E83">
      <w:pPr>
        <w:tabs>
          <w:tab w:val="left" w:pos="-1440"/>
          <w:tab w:val="left" w:pos="2093"/>
        </w:tabs>
        <w:rPr>
          <w:b/>
          <w:bCs/>
          <w:spacing w:val="-5"/>
          <w:sz w:val="28"/>
          <w:szCs w:val="28"/>
        </w:rPr>
      </w:pPr>
    </w:p>
    <w:p w:rsidR="00C81E83" w:rsidRDefault="00C81E83">
      <w:pPr>
        <w:tabs>
          <w:tab w:val="left" w:pos="-1440"/>
          <w:tab w:val="left" w:pos="2093"/>
        </w:tabs>
        <w:rPr>
          <w:b/>
          <w:bCs/>
          <w:spacing w:val="-5"/>
          <w:sz w:val="28"/>
          <w:szCs w:val="28"/>
        </w:rPr>
      </w:pPr>
    </w:p>
    <w:p w:rsidR="00C81E83" w:rsidRDefault="00C81E83">
      <w:pPr>
        <w:tabs>
          <w:tab w:val="left" w:pos="-1440"/>
          <w:tab w:val="left" w:pos="2093"/>
        </w:tabs>
        <w:jc w:val="center"/>
        <w:outlineLvl w:val="0"/>
        <w:rPr>
          <w:b/>
          <w:bCs/>
          <w:spacing w:val="-5"/>
          <w:sz w:val="28"/>
          <w:szCs w:val="28"/>
        </w:rPr>
      </w:pPr>
      <w:smartTag w:uri="urn:schemas-microsoft-com:office:smarttags" w:element="date">
        <w:smartTagPr>
          <w:attr w:name="Year" w:val="2009"/>
          <w:attr w:name="Day" w:val="20"/>
          <w:attr w:name="Month" w:val="2"/>
        </w:smartTagPr>
        <w:r>
          <w:rPr>
            <w:b/>
            <w:bCs/>
            <w:spacing w:val="-5"/>
            <w:sz w:val="28"/>
            <w:szCs w:val="28"/>
          </w:rPr>
          <w:t>February 20, 2009</w:t>
        </w:r>
      </w:smartTag>
    </w:p>
    <w:p w:rsidR="00C81E83" w:rsidRDefault="00C81E83">
      <w:pPr>
        <w:tabs>
          <w:tab w:val="left" w:pos="-1440"/>
          <w:tab w:val="left" w:pos="2093"/>
        </w:tabs>
        <w:rPr>
          <w:spacing w:val="-5"/>
          <w:sz w:val="28"/>
          <w:szCs w:val="28"/>
        </w:rPr>
      </w:pPr>
    </w:p>
    <w:p w:rsidR="00C81E83" w:rsidRDefault="00C81E83">
      <w:pPr>
        <w:rPr>
          <w:sz w:val="28"/>
          <w:szCs w:val="28"/>
        </w:rPr>
        <w:sectPr w:rsidR="00C81E83">
          <w:footerReference w:type="even" r:id="rId8"/>
          <w:footerReference w:type="first" r:id="rId9"/>
          <w:type w:val="oddPage"/>
          <w:pgSz w:w="12240" w:h="15840" w:code="1"/>
          <w:pgMar w:top="1440" w:right="1440" w:bottom="1440" w:left="1440" w:header="864" w:footer="864" w:gutter="0"/>
          <w:pgBorders>
            <w:top w:val="single" w:sz="4" w:space="12" w:color="auto"/>
            <w:left w:val="single" w:sz="4" w:space="12" w:color="auto"/>
            <w:bottom w:val="single" w:sz="4" w:space="12" w:color="auto"/>
            <w:right w:val="thinThickMediumGap" w:sz="48" w:space="12" w:color="000000"/>
          </w:pgBorders>
          <w:cols w:space="720"/>
          <w:noEndnote/>
        </w:sectPr>
      </w:pPr>
    </w:p>
    <w:p w:rsidR="00C81E83" w:rsidRDefault="00C81E83">
      <w:pPr>
        <w:pStyle w:val="C3-CtrSp12"/>
        <w:rPr>
          <w:b/>
          <w:bCs/>
          <w:sz w:val="24"/>
          <w:szCs w:val="24"/>
        </w:rPr>
      </w:pPr>
      <w:bookmarkStart w:id="0" w:name="_Toc474654492"/>
      <w:bookmarkStart w:id="1" w:name="_Toc474809904"/>
      <w:r>
        <w:rPr>
          <w:b/>
          <w:bCs/>
          <w:sz w:val="24"/>
          <w:szCs w:val="24"/>
        </w:rPr>
        <w:t>TABLE OF CONTENTS</w:t>
      </w:r>
      <w:bookmarkEnd w:id="0"/>
      <w:bookmarkEnd w:id="1"/>
    </w:p>
    <w:p w:rsidR="00C81E83" w:rsidRDefault="00C81E83">
      <w:pPr>
        <w:pStyle w:val="SH-SglSpHead"/>
        <w:tabs>
          <w:tab w:val="right" w:pos="9360"/>
        </w:tabs>
        <w:spacing w:after="240"/>
      </w:pPr>
      <w:r>
        <w:t>Section</w:t>
      </w:r>
      <w:r>
        <w:tab/>
        <w:t>Page</w:t>
      </w:r>
    </w:p>
    <w:p w:rsidR="00C81E83" w:rsidRDefault="00C81E83">
      <w:pPr>
        <w:pStyle w:val="TOC1"/>
        <w:rPr>
          <w:noProof/>
        </w:rPr>
      </w:pPr>
      <w:r>
        <w:rPr>
          <w:noProof/>
        </w:rPr>
        <w:t>PART A:  JUSTIFICATION</w:t>
      </w:r>
      <w:r>
        <w:rPr>
          <w:noProof/>
        </w:rPr>
        <w:tab/>
        <w:t>1</w:t>
      </w:r>
    </w:p>
    <w:p w:rsidR="00C81E83" w:rsidRDefault="00C81E83">
      <w:pPr>
        <w:pStyle w:val="TOC1"/>
        <w:rPr>
          <w:noProof/>
        </w:rPr>
      </w:pPr>
    </w:p>
    <w:p w:rsidR="00C81E83" w:rsidRDefault="00C81E83">
      <w:pPr>
        <w:pStyle w:val="TOC2"/>
        <w:rPr>
          <w:noProof/>
        </w:rPr>
      </w:pPr>
      <w:r>
        <w:rPr>
          <w:noProof/>
        </w:rPr>
        <w:t>Request for Clearance</w:t>
      </w:r>
      <w:r>
        <w:rPr>
          <w:noProof/>
        </w:rPr>
        <w:tab/>
        <w:t>1</w:t>
      </w:r>
    </w:p>
    <w:p w:rsidR="00C81E83" w:rsidRDefault="00C81E83">
      <w:pPr>
        <w:pStyle w:val="TOC2"/>
        <w:rPr>
          <w:noProof/>
        </w:rPr>
      </w:pPr>
    </w:p>
    <w:p w:rsidR="00C81E83" w:rsidRDefault="00C81E83">
      <w:pPr>
        <w:pStyle w:val="TOC2"/>
        <w:rPr>
          <w:noProof/>
        </w:rPr>
      </w:pPr>
      <w:r>
        <w:rPr>
          <w:noProof/>
        </w:rPr>
        <w:t>A.1.</w:t>
      </w:r>
      <w:r>
        <w:rPr>
          <w:noProof/>
        </w:rPr>
        <w:tab/>
        <w:t>Circumstances Necessitating Collection of Information</w:t>
      </w:r>
      <w:r>
        <w:rPr>
          <w:noProof/>
        </w:rPr>
        <w:tab/>
        <w:t>7</w:t>
      </w:r>
    </w:p>
    <w:p w:rsidR="00C81E83" w:rsidRDefault="00C81E83">
      <w:pPr>
        <w:pStyle w:val="TOC2"/>
        <w:rPr>
          <w:noProof/>
        </w:rPr>
      </w:pPr>
      <w:r>
        <w:rPr>
          <w:noProof/>
        </w:rPr>
        <w:t>A.2.</w:t>
      </w:r>
      <w:r>
        <w:rPr>
          <w:noProof/>
        </w:rPr>
        <w:tab/>
        <w:t>Purposes and Uses of the Data</w:t>
      </w:r>
      <w:r>
        <w:rPr>
          <w:noProof/>
        </w:rPr>
        <w:tab/>
        <w:t>8</w:t>
      </w:r>
    </w:p>
    <w:p w:rsidR="00C81E83" w:rsidRDefault="00C81E83">
      <w:pPr>
        <w:pStyle w:val="TOC2"/>
        <w:rPr>
          <w:noProof/>
        </w:rPr>
      </w:pPr>
      <w:r>
        <w:rPr>
          <w:noProof/>
        </w:rPr>
        <w:t>A.3.</w:t>
      </w:r>
      <w:r>
        <w:rPr>
          <w:noProof/>
        </w:rPr>
        <w:tab/>
        <w:t>Use of Improved Information Technology</w:t>
      </w:r>
      <w:r>
        <w:rPr>
          <w:noProof/>
        </w:rPr>
        <w:tab/>
        <w:t>8</w:t>
      </w:r>
    </w:p>
    <w:p w:rsidR="00C81E83" w:rsidRDefault="00C81E83">
      <w:pPr>
        <w:pStyle w:val="TOC2"/>
        <w:rPr>
          <w:noProof/>
        </w:rPr>
      </w:pPr>
      <w:r>
        <w:rPr>
          <w:noProof/>
        </w:rPr>
        <w:t>A.4.</w:t>
      </w:r>
      <w:r>
        <w:rPr>
          <w:noProof/>
        </w:rPr>
        <w:tab/>
        <w:t>Efforts to Identify Duplication</w:t>
      </w:r>
      <w:r>
        <w:rPr>
          <w:noProof/>
        </w:rPr>
        <w:tab/>
        <w:t>9</w:t>
      </w:r>
    </w:p>
    <w:p w:rsidR="00C81E83" w:rsidRDefault="00C81E83">
      <w:pPr>
        <w:pStyle w:val="TOC2"/>
        <w:rPr>
          <w:noProof/>
        </w:rPr>
      </w:pPr>
      <w:r>
        <w:rPr>
          <w:noProof/>
        </w:rPr>
        <w:t>A.5.</w:t>
      </w:r>
      <w:r>
        <w:rPr>
          <w:noProof/>
        </w:rPr>
        <w:tab/>
        <w:t>Collection of Data from Small Businesses</w:t>
      </w:r>
      <w:r>
        <w:rPr>
          <w:noProof/>
        </w:rPr>
        <w:tab/>
        <w:t>11</w:t>
      </w:r>
    </w:p>
    <w:p w:rsidR="00C81E83" w:rsidRDefault="00C81E83">
      <w:pPr>
        <w:pStyle w:val="TOC2"/>
        <w:rPr>
          <w:noProof/>
        </w:rPr>
      </w:pPr>
      <w:r>
        <w:rPr>
          <w:noProof/>
        </w:rPr>
        <w:t>A.6.</w:t>
      </w:r>
      <w:r>
        <w:rPr>
          <w:noProof/>
        </w:rPr>
        <w:tab/>
        <w:t>Consequences of Less Frequent Data Collection</w:t>
      </w:r>
      <w:r>
        <w:rPr>
          <w:noProof/>
        </w:rPr>
        <w:tab/>
        <w:t>11</w:t>
      </w:r>
    </w:p>
    <w:p w:rsidR="00C81E83" w:rsidRDefault="00C81E83">
      <w:pPr>
        <w:pStyle w:val="TOC2"/>
        <w:rPr>
          <w:noProof/>
        </w:rPr>
      </w:pPr>
      <w:r>
        <w:rPr>
          <w:noProof/>
        </w:rPr>
        <w:t>A.7.</w:t>
      </w:r>
      <w:r>
        <w:rPr>
          <w:noProof/>
        </w:rPr>
        <w:tab/>
        <w:t>Special Circumstances</w:t>
      </w:r>
      <w:r>
        <w:rPr>
          <w:noProof/>
        </w:rPr>
        <w:tab/>
        <w:t>11</w:t>
      </w:r>
    </w:p>
    <w:p w:rsidR="00C81E83" w:rsidRDefault="00C81E83">
      <w:pPr>
        <w:pStyle w:val="TOC2"/>
        <w:rPr>
          <w:noProof/>
        </w:rPr>
      </w:pPr>
      <w:r>
        <w:rPr>
          <w:noProof/>
        </w:rPr>
        <w:t>A.8.</w:t>
      </w:r>
      <w:r>
        <w:rPr>
          <w:noProof/>
        </w:rPr>
        <w:tab/>
        <w:t>Public Comment and Consultations Outside the Agency</w:t>
      </w:r>
      <w:r>
        <w:rPr>
          <w:noProof/>
        </w:rPr>
        <w:tab/>
        <w:t>11</w:t>
      </w:r>
    </w:p>
    <w:p w:rsidR="00C81E83" w:rsidRDefault="00C81E83">
      <w:pPr>
        <w:pStyle w:val="TOC2"/>
        <w:rPr>
          <w:noProof/>
        </w:rPr>
      </w:pPr>
      <w:r>
        <w:rPr>
          <w:noProof/>
        </w:rPr>
        <w:t>A.9.</w:t>
      </w:r>
      <w:r>
        <w:rPr>
          <w:noProof/>
        </w:rPr>
        <w:tab/>
        <w:t>Payments to Respondents</w:t>
      </w:r>
      <w:r>
        <w:rPr>
          <w:noProof/>
        </w:rPr>
        <w:tab/>
        <w:t>15</w:t>
      </w:r>
    </w:p>
    <w:p w:rsidR="00C81E83" w:rsidRDefault="00C81E83">
      <w:pPr>
        <w:pStyle w:val="TOC2"/>
        <w:rPr>
          <w:noProof/>
        </w:rPr>
      </w:pPr>
      <w:r>
        <w:rPr>
          <w:noProof/>
        </w:rPr>
        <w:t>A.10.</w:t>
      </w:r>
      <w:r>
        <w:rPr>
          <w:noProof/>
        </w:rPr>
        <w:tab/>
        <w:t>Assurance of Confidentiality</w:t>
      </w:r>
      <w:r>
        <w:rPr>
          <w:noProof/>
        </w:rPr>
        <w:tab/>
        <w:t>16</w:t>
      </w:r>
    </w:p>
    <w:p w:rsidR="00C81E83" w:rsidRDefault="00C81E83">
      <w:pPr>
        <w:pStyle w:val="TOC2"/>
        <w:rPr>
          <w:noProof/>
        </w:rPr>
      </w:pPr>
      <w:r>
        <w:rPr>
          <w:noProof/>
        </w:rPr>
        <w:t>A.11.</w:t>
      </w:r>
      <w:r>
        <w:rPr>
          <w:noProof/>
        </w:rPr>
        <w:tab/>
        <w:t>Sensitive Questions</w:t>
      </w:r>
      <w:r>
        <w:rPr>
          <w:noProof/>
        </w:rPr>
        <w:tab/>
        <w:t>19</w:t>
      </w:r>
    </w:p>
    <w:p w:rsidR="00C81E83" w:rsidRDefault="00C81E83">
      <w:pPr>
        <w:pStyle w:val="TOC2"/>
        <w:rPr>
          <w:noProof/>
        </w:rPr>
      </w:pPr>
      <w:r>
        <w:rPr>
          <w:noProof/>
        </w:rPr>
        <w:t>A.12.</w:t>
      </w:r>
      <w:r>
        <w:rPr>
          <w:noProof/>
        </w:rPr>
        <w:tab/>
        <w:t>Estimated Response Burden</w:t>
      </w:r>
      <w:r>
        <w:rPr>
          <w:noProof/>
        </w:rPr>
        <w:tab/>
        <w:t>20</w:t>
      </w:r>
    </w:p>
    <w:p w:rsidR="00C81E83" w:rsidRDefault="00C81E83">
      <w:pPr>
        <w:pStyle w:val="TOC2"/>
        <w:rPr>
          <w:noProof/>
        </w:rPr>
      </w:pPr>
      <w:r>
        <w:rPr>
          <w:noProof/>
        </w:rPr>
        <w:t>A.13.</w:t>
      </w:r>
      <w:r>
        <w:rPr>
          <w:noProof/>
        </w:rPr>
        <w:tab/>
        <w:t>Annualized Cost to Respondents</w:t>
      </w:r>
      <w:r>
        <w:rPr>
          <w:noProof/>
        </w:rPr>
        <w:tab/>
        <w:t>21</w:t>
      </w:r>
    </w:p>
    <w:p w:rsidR="00C81E83" w:rsidRDefault="00C81E83">
      <w:pPr>
        <w:pStyle w:val="TOC2"/>
        <w:rPr>
          <w:noProof/>
        </w:rPr>
      </w:pPr>
      <w:r>
        <w:rPr>
          <w:noProof/>
        </w:rPr>
        <w:t>A.14.</w:t>
      </w:r>
      <w:r>
        <w:rPr>
          <w:noProof/>
        </w:rPr>
        <w:tab/>
        <w:t>Annualized Cost to the Federal Government</w:t>
      </w:r>
      <w:r>
        <w:rPr>
          <w:noProof/>
        </w:rPr>
        <w:tab/>
        <w:t>21</w:t>
      </w:r>
    </w:p>
    <w:p w:rsidR="00C81E83" w:rsidRDefault="00C81E83">
      <w:pPr>
        <w:pStyle w:val="TOC2"/>
        <w:rPr>
          <w:noProof/>
        </w:rPr>
      </w:pPr>
      <w:r>
        <w:rPr>
          <w:noProof/>
        </w:rPr>
        <w:t>A.15.</w:t>
      </w:r>
      <w:r>
        <w:rPr>
          <w:noProof/>
        </w:rPr>
        <w:tab/>
        <w:t>Reasons for Program Changes</w:t>
      </w:r>
      <w:r>
        <w:rPr>
          <w:noProof/>
        </w:rPr>
        <w:tab/>
        <w:t>21</w:t>
      </w:r>
    </w:p>
    <w:p w:rsidR="00C81E83" w:rsidRDefault="00C81E83">
      <w:pPr>
        <w:pStyle w:val="TOC2"/>
        <w:rPr>
          <w:noProof/>
        </w:rPr>
      </w:pPr>
      <w:r>
        <w:rPr>
          <w:noProof/>
        </w:rPr>
        <w:t>A.16.</w:t>
      </w:r>
      <w:r>
        <w:rPr>
          <w:noProof/>
        </w:rPr>
        <w:tab/>
        <w:t>Publication Plans and Project Schedule</w:t>
      </w:r>
      <w:r>
        <w:rPr>
          <w:noProof/>
        </w:rPr>
        <w:tab/>
        <w:t>22</w:t>
      </w:r>
    </w:p>
    <w:p w:rsidR="00C81E83" w:rsidRDefault="00C81E83">
      <w:pPr>
        <w:pStyle w:val="TOC2"/>
        <w:rPr>
          <w:noProof/>
        </w:rPr>
      </w:pPr>
      <w:r>
        <w:rPr>
          <w:noProof/>
        </w:rPr>
        <w:t>A.17.</w:t>
      </w:r>
      <w:r>
        <w:rPr>
          <w:noProof/>
        </w:rPr>
        <w:tab/>
        <w:t>Approval for Not Displaying the Expiration Date for OMB Approval</w:t>
      </w:r>
      <w:r>
        <w:rPr>
          <w:noProof/>
        </w:rPr>
        <w:tab/>
        <w:t>23</w:t>
      </w:r>
    </w:p>
    <w:p w:rsidR="00C81E83" w:rsidRDefault="00C81E83">
      <w:pPr>
        <w:pStyle w:val="TOC2"/>
        <w:rPr>
          <w:noProof/>
        </w:rPr>
      </w:pPr>
      <w:r>
        <w:rPr>
          <w:noProof/>
        </w:rPr>
        <w:t>A.18.</w:t>
      </w:r>
      <w:r>
        <w:rPr>
          <w:noProof/>
        </w:rPr>
        <w:tab/>
        <w:t>Exceptions to the Certification Statement</w:t>
      </w:r>
      <w:r>
        <w:rPr>
          <w:noProof/>
        </w:rPr>
        <w:tab/>
        <w:t>23</w:t>
      </w:r>
    </w:p>
    <w:p w:rsidR="00C81E83" w:rsidRDefault="00C81E83">
      <w:pPr>
        <w:pStyle w:val="TOC2"/>
        <w:rPr>
          <w:noProof/>
        </w:rPr>
      </w:pPr>
    </w:p>
    <w:p w:rsidR="00C81E83" w:rsidRDefault="00C81E83">
      <w:pPr>
        <w:pStyle w:val="C3-CtrSp12"/>
        <w:rPr>
          <w:b/>
          <w:bCs/>
          <w:sz w:val="24"/>
          <w:szCs w:val="24"/>
        </w:rPr>
      </w:pPr>
      <w:bookmarkStart w:id="2" w:name="_Toc474654494"/>
      <w:bookmarkStart w:id="3" w:name="_Toc474809906"/>
      <w:r>
        <w:rPr>
          <w:b/>
          <w:bCs/>
          <w:sz w:val="24"/>
          <w:szCs w:val="24"/>
        </w:rPr>
        <w:t>LIST OF TABLES</w:t>
      </w:r>
      <w:bookmarkEnd w:id="2"/>
      <w:bookmarkEnd w:id="3"/>
    </w:p>
    <w:p w:rsidR="00C81E83" w:rsidRDefault="00C81E83">
      <w:pPr>
        <w:pStyle w:val="SH-SglSpHead"/>
        <w:tabs>
          <w:tab w:val="right" w:pos="9360"/>
        </w:tabs>
      </w:pPr>
      <w:r>
        <w:t>Table</w:t>
      </w:r>
      <w:r>
        <w:tab/>
      </w:r>
      <w:r>
        <w:tab/>
        <w:t>Page</w:t>
      </w:r>
    </w:p>
    <w:p w:rsidR="00C81E83" w:rsidRDefault="00C81E83">
      <w:pPr>
        <w:pStyle w:val="TableofFigures"/>
        <w:tabs>
          <w:tab w:val="right" w:leader="dot" w:pos="9350"/>
        </w:tabs>
      </w:pPr>
    </w:p>
    <w:p w:rsidR="00C81E83" w:rsidRDefault="00C81E83">
      <w:pPr>
        <w:pStyle w:val="TableofFigures"/>
        <w:tabs>
          <w:tab w:val="right" w:leader="dot" w:pos="9350"/>
        </w:tabs>
        <w:rPr>
          <w:noProof/>
        </w:rPr>
      </w:pPr>
      <w:r>
        <w:rPr>
          <w:noProof/>
        </w:rPr>
        <w:t>1</w:t>
      </w:r>
      <w:r>
        <w:rPr>
          <w:noProof/>
        </w:rPr>
        <w:tab/>
        <w:t>Weighted unit response rates and percentage distribution of type of unit nonresponse for the NHES Screener: 1991–2007</w:t>
      </w:r>
      <w:r>
        <w:rPr>
          <w:noProof/>
        </w:rPr>
        <w:tab/>
        <w:t>5</w:t>
      </w:r>
    </w:p>
    <w:p w:rsidR="00C81E83" w:rsidRDefault="00C81E83">
      <w:pPr>
        <w:rPr>
          <w:sz w:val="22"/>
          <w:szCs w:val="22"/>
        </w:rPr>
      </w:pPr>
    </w:p>
    <w:p w:rsidR="00C81E83" w:rsidRDefault="00C81E83">
      <w:pPr>
        <w:pStyle w:val="TableofFigures"/>
        <w:tabs>
          <w:tab w:val="right" w:leader="dot" w:pos="9350"/>
        </w:tabs>
        <w:rPr>
          <w:noProof/>
        </w:rPr>
      </w:pPr>
      <w:r>
        <w:rPr>
          <w:noProof/>
        </w:rPr>
        <w:t>2</w:t>
      </w:r>
      <w:r>
        <w:rPr>
          <w:noProof/>
        </w:rPr>
        <w:tab/>
        <w:t>Estimated response burden for NHES:2009</w:t>
      </w:r>
      <w:r>
        <w:rPr>
          <w:noProof/>
        </w:rPr>
        <w:tab/>
        <w:t>21</w:t>
      </w:r>
    </w:p>
    <w:p w:rsidR="00C81E83" w:rsidRDefault="00C81E83">
      <w:pPr>
        <w:rPr>
          <w:sz w:val="22"/>
          <w:szCs w:val="22"/>
        </w:rPr>
      </w:pPr>
    </w:p>
    <w:p w:rsidR="00C81E83" w:rsidRDefault="00C81E83">
      <w:pPr>
        <w:pStyle w:val="TableofFigures"/>
        <w:tabs>
          <w:tab w:val="right" w:leader="dot" w:pos="9350"/>
        </w:tabs>
        <w:rPr>
          <w:noProof/>
        </w:rPr>
      </w:pPr>
    </w:p>
    <w:p w:rsidR="00C81E83" w:rsidRDefault="00C81E83" w:rsidP="00BA7A81">
      <w:pPr>
        <w:pStyle w:val="C3-CtrSp12"/>
        <w:rPr>
          <w:b/>
          <w:bCs/>
          <w:sz w:val="24"/>
          <w:szCs w:val="24"/>
        </w:rPr>
      </w:pPr>
      <w:bookmarkStart w:id="4" w:name="_Toc474654495"/>
      <w:bookmarkStart w:id="5" w:name="_Toc474809907"/>
      <w:r>
        <w:rPr>
          <w:b/>
          <w:bCs/>
          <w:sz w:val="24"/>
          <w:szCs w:val="24"/>
        </w:rPr>
        <w:t>LIST OF EXHIBITS</w:t>
      </w:r>
      <w:bookmarkEnd w:id="4"/>
      <w:bookmarkEnd w:id="5"/>
    </w:p>
    <w:p w:rsidR="00C81E83" w:rsidRDefault="00C81E83" w:rsidP="00BA7A81">
      <w:pPr>
        <w:pStyle w:val="SH-SglSpHead"/>
        <w:tabs>
          <w:tab w:val="right" w:pos="9360"/>
        </w:tabs>
        <w:spacing w:after="240"/>
      </w:pPr>
      <w:r>
        <w:t>Exhibit</w:t>
      </w:r>
      <w:r>
        <w:tab/>
        <w:t>Page</w:t>
      </w:r>
    </w:p>
    <w:p w:rsidR="00C81E83" w:rsidRDefault="00C81E83" w:rsidP="00BA7A81">
      <w:pPr>
        <w:pStyle w:val="TableofFigures"/>
        <w:tabs>
          <w:tab w:val="right" w:leader="dot" w:pos="9350"/>
        </w:tabs>
        <w:rPr>
          <w:noProof/>
        </w:rPr>
      </w:pPr>
      <w:r>
        <w:rPr>
          <w:noProof/>
        </w:rPr>
        <w:t>1</w:t>
      </w:r>
      <w:r>
        <w:rPr>
          <w:noProof/>
        </w:rPr>
        <w:tab/>
        <w:t>Surveys conducted under the National Household Education Surveys Program, by years administered: 1991 through 2007</w:t>
      </w:r>
      <w:r>
        <w:rPr>
          <w:noProof/>
        </w:rPr>
        <w:tab/>
        <w:t>6</w:t>
      </w:r>
    </w:p>
    <w:p w:rsidR="00C81E83" w:rsidRDefault="00C81E83" w:rsidP="00BA7A81">
      <w:pPr>
        <w:pStyle w:val="TableofFigures"/>
        <w:tabs>
          <w:tab w:val="right" w:leader="dot" w:pos="9350"/>
        </w:tabs>
        <w:rPr>
          <w:noProof/>
        </w:rPr>
      </w:pPr>
    </w:p>
    <w:p w:rsidR="00C81E83" w:rsidRDefault="00C81E83" w:rsidP="00BA7A81">
      <w:pPr>
        <w:pStyle w:val="TableofFigures"/>
        <w:tabs>
          <w:tab w:val="right" w:leader="dot" w:pos="9350"/>
        </w:tabs>
        <w:rPr>
          <w:noProof/>
        </w:rPr>
      </w:pPr>
      <w:r>
        <w:rPr>
          <w:noProof/>
        </w:rPr>
        <w:t>2</w:t>
      </w:r>
      <w:r>
        <w:rPr>
          <w:noProof/>
        </w:rPr>
        <w:tab/>
        <w:t>NCES Affidavit of Nondisclosure</w:t>
      </w:r>
      <w:r>
        <w:rPr>
          <w:noProof/>
        </w:rPr>
        <w:tab/>
        <w:t>17</w:t>
      </w:r>
    </w:p>
    <w:p w:rsidR="00C81E83" w:rsidRDefault="00C81E83" w:rsidP="00BA7A81">
      <w:pPr>
        <w:pStyle w:val="TableofFigures"/>
        <w:tabs>
          <w:tab w:val="right" w:leader="dot" w:pos="9350"/>
        </w:tabs>
        <w:rPr>
          <w:noProof/>
        </w:rPr>
      </w:pPr>
    </w:p>
    <w:p w:rsidR="00C81E83" w:rsidRDefault="00C81E83" w:rsidP="00BA7A81">
      <w:pPr>
        <w:pStyle w:val="TableofFigures"/>
        <w:tabs>
          <w:tab w:val="right" w:leader="dot" w:pos="9350"/>
        </w:tabs>
        <w:rPr>
          <w:noProof/>
        </w:rPr>
      </w:pPr>
      <w:r>
        <w:rPr>
          <w:noProof/>
        </w:rPr>
        <w:t>3</w:t>
      </w:r>
      <w:r>
        <w:rPr>
          <w:noProof/>
        </w:rPr>
        <w:tab/>
        <w:t>Westat Confidentiality Pledge</w:t>
      </w:r>
      <w:r>
        <w:rPr>
          <w:noProof/>
        </w:rPr>
        <w:tab/>
        <w:t>18</w:t>
      </w:r>
    </w:p>
    <w:p w:rsidR="00C81E83" w:rsidRDefault="00C81E83" w:rsidP="00BA7A81">
      <w:pPr>
        <w:pStyle w:val="TableofFigures"/>
        <w:tabs>
          <w:tab w:val="right" w:leader="dot" w:pos="9350"/>
        </w:tabs>
        <w:rPr>
          <w:noProof/>
        </w:rPr>
      </w:pPr>
    </w:p>
    <w:p w:rsidR="00C81E83" w:rsidRDefault="00C81E83" w:rsidP="00BA7A81">
      <w:pPr>
        <w:pStyle w:val="TableofFigures"/>
        <w:tabs>
          <w:tab w:val="right" w:leader="dot" w:pos="9350"/>
        </w:tabs>
        <w:rPr>
          <w:noProof/>
        </w:rPr>
      </w:pPr>
      <w:r>
        <w:rPr>
          <w:noProof/>
        </w:rPr>
        <w:t>4</w:t>
      </w:r>
      <w:r>
        <w:rPr>
          <w:noProof/>
        </w:rPr>
        <w:tab/>
        <w:t>NHES:2009 schedule of major activities</w:t>
      </w:r>
      <w:r>
        <w:rPr>
          <w:noProof/>
        </w:rPr>
        <w:tab/>
        <w:t>23</w:t>
      </w:r>
    </w:p>
    <w:p w:rsidR="00C81E83" w:rsidRPr="00BA7A81" w:rsidRDefault="00C81E83" w:rsidP="00BA7A81"/>
    <w:p w:rsidR="00C81E83" w:rsidRDefault="00C81E83">
      <w:pPr>
        <w:rPr>
          <w:sz w:val="22"/>
          <w:szCs w:val="22"/>
        </w:rPr>
        <w:sectPr w:rsidR="00C81E83">
          <w:headerReference w:type="even" r:id="rId10"/>
          <w:headerReference w:type="default" r:id="rId11"/>
          <w:footerReference w:type="even" r:id="rId12"/>
          <w:footerReference w:type="default" r:id="rId13"/>
          <w:type w:val="continuous"/>
          <w:pgSz w:w="12240" w:h="15840"/>
          <w:pgMar w:top="1440" w:right="1440" w:bottom="1440" w:left="1440" w:header="720" w:footer="720" w:gutter="0"/>
          <w:pgNumType w:fmt="lowerRoman" w:start="3"/>
          <w:cols w:space="720" w:equalWidth="0">
            <w:col w:w="9360"/>
          </w:cols>
          <w:noEndnote/>
        </w:sectPr>
      </w:pPr>
    </w:p>
    <w:p w:rsidR="00C81E83" w:rsidRDefault="00C81E83">
      <w:pPr>
        <w:pStyle w:val="Heading1"/>
        <w:spacing w:after="280"/>
        <w:rPr>
          <w:sz w:val="22"/>
          <w:szCs w:val="22"/>
        </w:rPr>
      </w:pPr>
      <w:bookmarkStart w:id="6" w:name="_Toc222888884"/>
      <w:r>
        <w:rPr>
          <w:sz w:val="22"/>
          <w:szCs w:val="22"/>
        </w:rPr>
        <w:t>PART A: JUSTIFICATION</w:t>
      </w:r>
      <w:bookmarkEnd w:id="6"/>
    </w:p>
    <w:p w:rsidR="00C81E83" w:rsidRDefault="00C81E83">
      <w:pPr>
        <w:pStyle w:val="Heading2"/>
        <w:spacing w:after="280"/>
      </w:pPr>
      <w:bookmarkStart w:id="7" w:name="_Toc222888885"/>
      <w:r>
        <w:t>Request for Clearance</w:t>
      </w:r>
      <w:bookmarkEnd w:id="7"/>
    </w:p>
    <w:p w:rsidR="00C81E83" w:rsidRDefault="00C81E83">
      <w:pPr>
        <w:spacing w:line="340" w:lineRule="atLeast"/>
        <w:ind w:firstLine="1152"/>
        <w:jc w:val="both"/>
        <w:rPr>
          <w:sz w:val="22"/>
          <w:szCs w:val="22"/>
        </w:rPr>
      </w:pPr>
      <w:r>
        <w:rPr>
          <w:sz w:val="22"/>
          <w:szCs w:val="22"/>
        </w:rPr>
        <w:t xml:space="preserve">The National Household Education Surveys Program (NHES) has been a system of landline random-digit-dial (RDD) surveys sponsored by the </w:t>
      </w:r>
      <w:smartTag w:uri="urn:schemas-microsoft-com:office:smarttags" w:element="date">
        <w:smartTagPr>
          <w:attr w:name="Year" w:val="2010"/>
          <w:attr w:name="Day" w:val="16"/>
          <w:attr w:name="Month" w:val="4"/>
        </w:smartTagPr>
        <w:smartTag w:uri="urn:schemas-microsoft-com:office:smarttags" w:element="PlaceName">
          <w:r>
            <w:rPr>
              <w:sz w:val="22"/>
              <w:szCs w:val="22"/>
            </w:rPr>
            <w:t>National</w:t>
          </w:r>
        </w:smartTag>
        <w:r>
          <w:rPr>
            <w:sz w:val="22"/>
            <w:szCs w:val="22"/>
          </w:rPr>
          <w:t xml:space="preserve"> </w:t>
        </w:r>
        <w:smartTag w:uri="urn:schemas-microsoft-com:office:smarttags" w:element="date">
          <w:smartTagPr>
            <w:attr w:name="Year" w:val="2010"/>
            <w:attr w:name="Day" w:val="16"/>
            <w:attr w:name="Month" w:val="4"/>
          </w:smartTagPr>
          <w:r>
            <w:rPr>
              <w:sz w:val="22"/>
              <w:szCs w:val="22"/>
            </w:rPr>
            <w:t>Center</w:t>
          </w:r>
        </w:smartTag>
      </w:smartTag>
      <w:r>
        <w:rPr>
          <w:sz w:val="22"/>
          <w:szCs w:val="22"/>
        </w:rPr>
        <w:t xml:space="preserve"> for Education Statistics (NCES).  Surveys have been conducted approximately every other year from 1991 through 2007.  Like virtually all RDD surveys, NHES has experienced declining response rates.  In addition, the increase in the percentage of households without landline telephones (mostly due to conversion to cellular-only coverage) raises issues about population coverage.  While studies examining possible biases in the NHES survey estimates have not identified nonresponse bias, some indications of possible coverage bias were detected in a special bias study conducted in 2007.</w:t>
      </w:r>
    </w:p>
    <w:p w:rsidR="00C81E83" w:rsidRDefault="00C81E83">
      <w:pPr>
        <w:spacing w:line="340" w:lineRule="atLeast"/>
        <w:ind w:firstLine="1152"/>
        <w:jc w:val="both"/>
        <w:rPr>
          <w:sz w:val="22"/>
          <w:szCs w:val="22"/>
        </w:rPr>
      </w:pPr>
    </w:p>
    <w:p w:rsidR="00C81E83" w:rsidRDefault="00C81E83">
      <w:pPr>
        <w:spacing w:line="340" w:lineRule="atLeast"/>
        <w:ind w:firstLine="1152"/>
        <w:jc w:val="both"/>
        <w:rPr>
          <w:sz w:val="22"/>
          <w:szCs w:val="22"/>
        </w:rPr>
      </w:pPr>
      <w:r>
        <w:rPr>
          <w:sz w:val="22"/>
          <w:szCs w:val="22"/>
        </w:rPr>
        <w:t>The combination of the continuing declines in RDD survey response and population coverage prompted NCES to undertake a redesign of the NHES program.  The goals of the redesign effort are to develop and assess approaches to collecting important information on educational topics from households with improved response and population coverage.  The redesign effort is also expected to provide information that will be useful to other government survey programs and the survey methodology field generally.</w:t>
      </w:r>
    </w:p>
    <w:p w:rsidR="00C81E83" w:rsidRDefault="00C81E83">
      <w:pPr>
        <w:spacing w:line="340" w:lineRule="atLeast"/>
        <w:ind w:firstLine="1152"/>
        <w:jc w:val="both"/>
        <w:rPr>
          <w:sz w:val="22"/>
          <w:szCs w:val="22"/>
        </w:rPr>
      </w:pPr>
    </w:p>
    <w:p w:rsidR="00C81E83" w:rsidRDefault="00C81E83">
      <w:pPr>
        <w:spacing w:line="340" w:lineRule="atLeast"/>
        <w:ind w:firstLine="1152"/>
        <w:jc w:val="both"/>
        <w:rPr>
          <w:sz w:val="22"/>
          <w:szCs w:val="22"/>
        </w:rPr>
      </w:pPr>
      <w:r>
        <w:rPr>
          <w:sz w:val="22"/>
          <w:szCs w:val="22"/>
        </w:rPr>
        <w:t>This request is for clearance of an operational Pilot Test to be conducted in the fall of 2009.  The Pilot Test will provide an opportunity to examine proposed methods on a smaller and more economical scale prior to a large-scale Field Test planned for 2011.  A separate request will be submitted for approval of the 2011 Field Test.</w:t>
      </w:r>
    </w:p>
    <w:p w:rsidR="00C81E83" w:rsidRDefault="00C81E83">
      <w:pPr>
        <w:pStyle w:val="P1-StandPara"/>
        <w:spacing w:line="340" w:lineRule="atLeast"/>
      </w:pPr>
    </w:p>
    <w:p w:rsidR="00C81E83" w:rsidRDefault="00C81E83">
      <w:pPr>
        <w:pStyle w:val="P1-StandPara"/>
        <w:spacing w:line="340" w:lineRule="atLeast"/>
      </w:pPr>
      <w:r>
        <w:t>The NHES:2009 Pilot Test will involve the screening of approximately 11,800 households to identify those with eligible children and youth.  Parents or guardians of sampled children will be asked to respond to one of two topical surveys: The Early Childhood Program Participation Survey (ECPP), and the Parent and Family Involvement in Education Survey (</w:t>
      </w:r>
      <w:smartTag w:uri="urn:schemas-microsoft-com:office:smarttags" w:element="date">
        <w:smartTagPr>
          <w:attr w:name="Year" w:val="2010"/>
          <w:attr w:name="Day" w:val="16"/>
          <w:attr w:name="Month" w:val="4"/>
        </w:smartTagPr>
        <w:r>
          <w:t>PFI</w:t>
        </w:r>
      </w:smartTag>
      <w:r>
        <w:t xml:space="preserve">). The </w:t>
      </w:r>
      <w:smartTag w:uri="urn:schemas-microsoft-com:office:smarttags" w:element="date">
        <w:smartTagPr>
          <w:attr w:name="Year" w:val="2010"/>
          <w:attr w:name="Day" w:val="16"/>
          <w:attr w:name="Month" w:val="4"/>
        </w:smartTagPr>
        <w:r>
          <w:t>PFI</w:t>
        </w:r>
      </w:smartTag>
      <w:r>
        <w:t xml:space="preserve"> Survey has been divided into two questionnaire forms for ease of self-administration:  one focuses on children enrolled in school for kindergarten through 12th grade and one focuses on children who are homeschooled. </w:t>
      </w:r>
    </w:p>
    <w:p w:rsidR="00C81E83" w:rsidRDefault="00C81E83">
      <w:pPr>
        <w:pStyle w:val="P1-StandPara"/>
        <w:spacing w:line="340" w:lineRule="atLeast"/>
      </w:pPr>
    </w:p>
    <w:p w:rsidR="00C81E83" w:rsidRDefault="00C81E83">
      <w:pPr>
        <w:pStyle w:val="P1-StandPara"/>
        <w:spacing w:line="340" w:lineRule="atLeast"/>
      </w:pPr>
      <w:r>
        <w:t xml:space="preserve">Clearance is requested by </w:t>
      </w:r>
      <w:smartTag w:uri="urn:schemas-microsoft-com:office:smarttags" w:element="date">
        <w:smartTagPr>
          <w:attr w:name="Year" w:val="2010"/>
          <w:attr w:name="Day" w:val="16"/>
          <w:attr w:name="Month" w:val="4"/>
        </w:smartTagPr>
        <w:r>
          <w:t>August 1, 2009</w:t>
        </w:r>
      </w:smartTag>
      <w:r>
        <w:t>, in order to complete the final formatting of scannable questionnaires and final instrument programming for telephone followup.</w:t>
      </w:r>
    </w:p>
    <w:p w:rsidR="00C81E83" w:rsidRDefault="00C81E83">
      <w:pPr>
        <w:pStyle w:val="P1-StandPara"/>
      </w:pPr>
    </w:p>
    <w:p w:rsidR="00C81E83" w:rsidRDefault="00C81E83">
      <w:pPr>
        <w:pStyle w:val="P1-StandPara"/>
      </w:pPr>
    </w:p>
    <w:p w:rsidR="00C81E83" w:rsidRDefault="00C81E83">
      <w:pPr>
        <w:pStyle w:val="SL-FlLftSgl"/>
        <w:tabs>
          <w:tab w:val="left" w:pos="1152"/>
        </w:tabs>
        <w:spacing w:line="360" w:lineRule="atLeast"/>
        <w:ind w:left="1170"/>
        <w:jc w:val="left"/>
        <w:rPr>
          <w:b/>
          <w:bCs/>
          <w:spacing w:val="-2"/>
        </w:rPr>
      </w:pPr>
      <w:r>
        <w:rPr>
          <w:b/>
          <w:bCs/>
          <w:spacing w:val="-2"/>
        </w:rPr>
        <w:br w:type="page"/>
        <w:t>NHES Background</w:t>
      </w:r>
    </w:p>
    <w:p w:rsidR="00C81E83" w:rsidRDefault="00C81E83">
      <w:pPr>
        <w:pStyle w:val="SL-FlLftSgl"/>
        <w:tabs>
          <w:tab w:val="left" w:pos="0"/>
          <w:tab w:val="left" w:pos="972"/>
          <w:tab w:val="left" w:pos="1440"/>
        </w:tabs>
        <w:spacing w:line="340" w:lineRule="atLeast"/>
        <w:ind w:firstLine="1152"/>
        <w:rPr>
          <w:spacing w:val="-2"/>
        </w:rPr>
      </w:pPr>
    </w:p>
    <w:p w:rsidR="00C81E83" w:rsidRDefault="00C81E83">
      <w:pPr>
        <w:pStyle w:val="SP-SglSpPara"/>
        <w:spacing w:line="340" w:lineRule="atLeast"/>
        <w:ind w:firstLine="1152"/>
      </w:pPr>
      <w:r>
        <w:t>NHES was developed by the NCES to complement its institutional surveys; it is the principal mechanism for addressing topics that cannot be addressed in institutional data collections.  By collecting data directly from households, NHES allows NCES to gather data on a wide range of issues, such as early childhood care and education, children’s readiness for school, parent perceptions of school safety and discipline, before- and after-school activities of school-age children, participation in adult and continuing education, parent involvement in education, school choice, homeschooling, and civic involvement.  The survey has been conducted by Westat in the winter and spring approximately every other year from 1991 through 2007, and each of these prior administrations used random digit dial (RDD) sampling and telephone data collection from landline telephones only.  Each survey collection has involved the administration of household screening questions (Screener) and two or three topical surveys.</w:t>
      </w:r>
    </w:p>
    <w:p w:rsidR="00C81E83" w:rsidRDefault="00C81E83">
      <w:pPr>
        <w:pStyle w:val="SP-SglSpPara"/>
        <w:spacing w:line="340" w:lineRule="atLeast"/>
        <w:ind w:firstLine="1152"/>
      </w:pPr>
    </w:p>
    <w:p w:rsidR="00C81E83" w:rsidRDefault="00C81E83">
      <w:pPr>
        <w:pStyle w:val="P1-StandPara"/>
        <w:spacing w:line="340" w:lineRule="atLeast"/>
      </w:pPr>
      <w:r>
        <w:t>NHES provides data for national cross-sectional estimates on populations of special interest to NCES and education researchers. For surveys about children, the population of interest is defined by age or grade in school, or both, for the particular survey topic and research questions. For surveys of adults, the population of interest is persons ages 16 and older who are not enrolled in grade 12 or below, excluding those on active duty military service and those who are institutionalized. NHES targets these populations using specific screening and sampling procedures. The NHES design also yields estimates for subgroups of interest for each survey, as defined by age or grade for children, educational participation status for adults, and Black and Hispanic origin for all populations of interest. In addition to providing cross-sectional estimates, NHES is also designed to provide estimates of change over time in key statistics.</w:t>
      </w:r>
    </w:p>
    <w:p w:rsidR="00C81E83" w:rsidRDefault="00C81E83">
      <w:pPr>
        <w:pStyle w:val="L1-FlLSp12"/>
        <w:spacing w:line="340" w:lineRule="atLeast"/>
        <w:ind w:firstLine="1152"/>
      </w:pPr>
    </w:p>
    <w:p w:rsidR="00C81E83" w:rsidRDefault="00C81E83">
      <w:pPr>
        <w:pStyle w:val="SP-SglSpPara"/>
        <w:spacing w:line="340" w:lineRule="atLeast"/>
        <w:ind w:firstLine="1152"/>
      </w:pPr>
      <w:r>
        <w:t xml:space="preserve">The NHES survey data have been used for a large number of descriptive and analytical reports and articles, including NCES publications, those of other federal agencies, theses and dissertations, conference papers, and journal articles.  These reports and articles have addressed the wide range of topics addressed in the NHES surveys, including child care, early childhood education, school readiness, parent involvement, homeschooling, adult education, and so on.  Some are briefs addressing one or two key indicators, whereas others present multivariate analyses and in-depth discussion.  A list of NHES publications issued by NCES can be found at the NHES web page, </w:t>
      </w:r>
      <w:hyperlink r:id="rId14" w:history="1">
        <w:r>
          <w:rPr>
            <w:rStyle w:val="Hyperlink"/>
          </w:rPr>
          <w:t>http://nces.ed.gov/nhes</w:t>
        </w:r>
      </w:hyperlink>
      <w:r>
        <w:t>.</w:t>
      </w:r>
    </w:p>
    <w:p w:rsidR="00C81E83" w:rsidRDefault="00C81E83">
      <w:pPr>
        <w:pStyle w:val="SP-SglSpPara"/>
        <w:spacing w:line="340" w:lineRule="atLeast"/>
        <w:ind w:firstLine="1152"/>
      </w:pPr>
    </w:p>
    <w:p w:rsidR="00C81E83" w:rsidRDefault="00C81E83">
      <w:pPr>
        <w:pStyle w:val="SP-SglSpPara"/>
        <w:spacing w:line="340" w:lineRule="atLeast"/>
        <w:ind w:firstLine="1152"/>
      </w:pPr>
      <w:r>
        <w:t xml:space="preserve">Because of the complexity of the instruments and the complex within-household sampling techniques used, the previous NHES surveys were conducted using computer-assisted telephone interviewing (CATI) technology.  Benefits of the CATI administration of the NHES surveys have included improved project administration, online sampling and eligibility checks, scheduling of interviews according to a priority scheme, managing data quality by controlling skip patterns and checking responses during the interview for range and consistency, and a “help” function for a limited number of items to assist interviewers in answering respondents’ questions during the interview.  </w:t>
      </w:r>
    </w:p>
    <w:p w:rsidR="00C81E83" w:rsidRDefault="00C81E83">
      <w:pPr>
        <w:pStyle w:val="SP-SglSpPara"/>
        <w:spacing w:line="340" w:lineRule="atLeast"/>
        <w:ind w:firstLine="1152"/>
      </w:pPr>
    </w:p>
    <w:p w:rsidR="00C81E83" w:rsidRDefault="00C81E83">
      <w:pPr>
        <w:pStyle w:val="P1-StandPara"/>
        <w:spacing w:line="340" w:lineRule="atLeast"/>
      </w:pPr>
      <w:r>
        <w:t>Procedures that have been used in an effort to attain high response rates in past NHES surveys include:</w:t>
      </w:r>
    </w:p>
    <w:p w:rsidR="00C81E83" w:rsidRDefault="00C81E83">
      <w:pPr>
        <w:pStyle w:val="P1-StandPara"/>
        <w:spacing w:line="340" w:lineRule="atLeast"/>
      </w:pPr>
    </w:p>
    <w:p w:rsidR="00C81E83" w:rsidRDefault="00C81E83">
      <w:pPr>
        <w:pStyle w:val="N2-2ndBullet"/>
      </w:pPr>
      <w:r>
        <w:t>advance letters;</w:t>
      </w:r>
    </w:p>
    <w:p w:rsidR="00C81E83" w:rsidRDefault="00C81E83">
      <w:pPr>
        <w:pStyle w:val="N2-2ndBullet"/>
      </w:pPr>
      <w:r>
        <w:t>incentives;</w:t>
      </w:r>
    </w:p>
    <w:p w:rsidR="00C81E83" w:rsidRDefault="00C81E83">
      <w:pPr>
        <w:pStyle w:val="N2-2ndBullet"/>
      </w:pPr>
      <w:r>
        <w:t>one or more refusal conversion attempts;</w:t>
      </w:r>
    </w:p>
    <w:p w:rsidR="00C81E83" w:rsidRDefault="00C81E83">
      <w:pPr>
        <w:pStyle w:val="N2-2ndBullet"/>
      </w:pPr>
      <w:r>
        <w:t>special mailings such as Federal Express prior to refusal conversion;</w:t>
      </w:r>
    </w:p>
    <w:p w:rsidR="00C81E83" w:rsidRDefault="00C81E83">
      <w:pPr>
        <w:pStyle w:val="N2-2ndBullet"/>
      </w:pPr>
      <w:r>
        <w:t>increased numbers of call attempts;</w:t>
      </w:r>
    </w:p>
    <w:p w:rsidR="00C81E83" w:rsidRDefault="00C81E83">
      <w:pPr>
        <w:pStyle w:val="N2-2ndBullet"/>
      </w:pPr>
      <w:r>
        <w:t>leaving messages on answering machines;</w:t>
      </w:r>
    </w:p>
    <w:p w:rsidR="00C81E83" w:rsidRDefault="00C81E83">
      <w:pPr>
        <w:pStyle w:val="N2-2ndBullet"/>
      </w:pPr>
      <w:r>
        <w:t>special training of interviewers to avoid refusals;</w:t>
      </w:r>
    </w:p>
    <w:p w:rsidR="00C81E83" w:rsidRDefault="00C81E83">
      <w:pPr>
        <w:pStyle w:val="N2-2ndBullet"/>
      </w:pPr>
      <w:r>
        <w:t>assigning refusal cases to specially trained refusal conversion interviewers; and</w:t>
      </w:r>
    </w:p>
    <w:p w:rsidR="00C81E83" w:rsidRDefault="00C81E83">
      <w:pPr>
        <w:pStyle w:val="N2-2ndBullet"/>
      </w:pPr>
      <w:r>
        <w:t>changes in the protocol for working the cases, such as increasing total time in the field.</w:t>
      </w:r>
    </w:p>
    <w:p w:rsidR="00C81E83" w:rsidRDefault="00C81E83">
      <w:pPr>
        <w:pStyle w:val="SP-SglSpPara"/>
        <w:spacing w:line="340" w:lineRule="atLeast"/>
        <w:ind w:firstLine="1152"/>
      </w:pPr>
    </w:p>
    <w:p w:rsidR="00C81E83" w:rsidRDefault="00C81E83">
      <w:pPr>
        <w:pStyle w:val="SP-SglSpPara"/>
        <w:spacing w:line="340" w:lineRule="atLeast"/>
        <w:ind w:firstLine="1152"/>
      </w:pPr>
      <w:r>
        <w:t xml:space="preserve">The data collection protocol used in the NHES program evolved over time to meet the challenges of maintaining response rates.  Most of the changes were based upon the results of methodological experiments conducted under the NHES program, including those focusing on household screening strategies, mailing by USPS and FedEx, and the use of incentives.  Publications presenting some of these studies can be found at the NCES web page for NHES, </w:t>
      </w:r>
      <w:hyperlink r:id="rId15" w:history="1">
        <w:r>
          <w:rPr>
            <w:rStyle w:val="Hyperlink"/>
          </w:rPr>
          <w:t>http://nced.ed.gov/nhes</w:t>
        </w:r>
      </w:hyperlink>
      <w:r>
        <w:t>.</w:t>
      </w:r>
    </w:p>
    <w:p w:rsidR="00C81E83" w:rsidRDefault="00C81E83">
      <w:pPr>
        <w:pStyle w:val="SP-SglSpPara"/>
        <w:spacing w:line="340" w:lineRule="atLeast"/>
        <w:ind w:firstLine="1152"/>
        <w:rPr>
          <w:b/>
          <w:bCs/>
        </w:rPr>
      </w:pPr>
    </w:p>
    <w:p w:rsidR="00C81E83" w:rsidRPr="003E16F1" w:rsidRDefault="00C81E83">
      <w:pPr>
        <w:pStyle w:val="SP-SglSpPara"/>
        <w:spacing w:line="340" w:lineRule="atLeast"/>
        <w:ind w:firstLine="1152"/>
        <w:rPr>
          <w:b/>
          <w:bCs/>
        </w:rPr>
      </w:pPr>
      <w:r>
        <w:rPr>
          <w:b/>
          <w:bCs/>
        </w:rPr>
        <w:t>Bias in the NHES</w:t>
      </w:r>
    </w:p>
    <w:p w:rsidR="00C81E83" w:rsidRPr="003E16F1" w:rsidRDefault="00C81E83" w:rsidP="003E16F1">
      <w:pPr>
        <w:pStyle w:val="SP-SglSpPara"/>
        <w:spacing w:line="340" w:lineRule="atLeast"/>
      </w:pPr>
      <w:r>
        <w:rPr>
          <w:b/>
          <w:bCs/>
        </w:rPr>
        <w:tab/>
      </w:r>
      <w:r>
        <w:rPr>
          <w:b/>
          <w:bCs/>
        </w:rPr>
        <w:tab/>
      </w:r>
      <w:r w:rsidRPr="003E16F1">
        <w:t>Concerns about declining response and landline telephone coverage rates led to the development and administration of an independent study, conducted in conjunction with the 2007 National Household Education Surveys Program (NHES:2007</w:t>
      </w:r>
      <w:r>
        <w:t>).</w:t>
      </w:r>
      <w:r w:rsidRPr="003E16F1">
        <w:t xml:space="preserve">  For this independent bias study, a clustered sample of addresses was selected and matched with telephone numbers where possible; cases that could not be completed by telephone using the standard NHES protocol were sent into the field for in-person attempts to gain cooperation.  </w:t>
      </w:r>
    </w:p>
    <w:p w:rsidR="00C81E83" w:rsidRPr="003E16F1" w:rsidRDefault="00C81E83" w:rsidP="003E16F1">
      <w:pPr>
        <w:pStyle w:val="SP-SglSpPara"/>
        <w:spacing w:line="340" w:lineRule="atLeast"/>
      </w:pPr>
      <w:r w:rsidRPr="003E16F1">
        <w:t> </w:t>
      </w:r>
    </w:p>
    <w:p w:rsidR="00C81E83" w:rsidRPr="003E16F1" w:rsidRDefault="00C81E83" w:rsidP="003E16F1">
      <w:pPr>
        <w:pStyle w:val="SP-SglSpPara"/>
        <w:spacing w:line="340" w:lineRule="atLeast"/>
      </w:pPr>
      <w:r w:rsidRPr="003E16F1">
        <w:t xml:space="preserve">Through this study, we were able to examine both nonresponse bias and noncoverage bias in the three surveys comprising NHES:2007.  To evaluate nonresponse bias, estimates of demographics and key statistics were compared for the reduced data collection effort (by telephone) and the full effort (by telephone and in-person).  Additionally, neighborhood observations obtained by the interviewer and ZIP code-level characteristics obtained from Census 2000 were examined for households that did not respond to either the telephone or in-person effort.  To evaluate noncoverage bias, estimates for households with a landline phone were compared to those for the entire sample.   There was no bias of substantive importance in the NHES:2007 estimates due to nonresponse. Although the study demonstrated the potential for noncoverage bias, the raking adjustments used in weighting might mitigate that bias.  </w:t>
      </w:r>
      <w:r>
        <w:t xml:space="preserve">The complete report can be found at: </w:t>
      </w:r>
      <w:hyperlink r:id="rId16" w:history="1">
        <w:r w:rsidRPr="00A35F2C">
          <w:rPr>
            <w:rStyle w:val="Hyperlink"/>
          </w:rPr>
          <w:t>http://nces.ed.gov/pubsearch/pubsinfo.asp?pubid=2009029</w:t>
        </w:r>
      </w:hyperlink>
      <w:r>
        <w:t>.</w:t>
      </w:r>
    </w:p>
    <w:p w:rsidR="00C81E83" w:rsidRPr="003E16F1" w:rsidRDefault="00C81E83" w:rsidP="003E16F1">
      <w:pPr>
        <w:pStyle w:val="SP-SglSpPara"/>
        <w:spacing w:line="340" w:lineRule="atLeast"/>
        <w:ind w:firstLine="0"/>
        <w:rPr>
          <w:b/>
          <w:bCs/>
        </w:rPr>
      </w:pPr>
    </w:p>
    <w:p w:rsidR="00C81E83" w:rsidRDefault="00C81E83">
      <w:pPr>
        <w:pStyle w:val="SP-SglSpPara"/>
        <w:spacing w:line="340" w:lineRule="atLeast"/>
        <w:ind w:firstLine="1152"/>
        <w:rPr>
          <w:b/>
          <w:bCs/>
        </w:rPr>
      </w:pPr>
      <w:r>
        <w:rPr>
          <w:b/>
          <w:bCs/>
        </w:rPr>
        <w:t>Motivation for Redesign</w:t>
      </w:r>
    </w:p>
    <w:p w:rsidR="00C81E83" w:rsidRDefault="00C81E83">
      <w:pPr>
        <w:pStyle w:val="SP-SglSpPara"/>
        <w:spacing w:line="340" w:lineRule="atLeast"/>
        <w:ind w:firstLine="1152"/>
      </w:pPr>
    </w:p>
    <w:p w:rsidR="00C81E83" w:rsidRDefault="00C81E83">
      <w:pPr>
        <w:pStyle w:val="P1-StandPara"/>
        <w:spacing w:line="340" w:lineRule="atLeast"/>
      </w:pPr>
      <w:r>
        <w:t xml:space="preserve">Like many other telephone surveys and ongoing periodic survey programs, NHES has been experiencing declining response rates.  NHES Screener response rates have declined from above 80 percent in the early 1990s to 53 percent in 2007. (See table 1.) </w:t>
      </w:r>
    </w:p>
    <w:p w:rsidR="00C81E83" w:rsidRDefault="00C81E83">
      <w:pPr>
        <w:pStyle w:val="P1-StandPara"/>
        <w:spacing w:line="340" w:lineRule="atLeast"/>
      </w:pPr>
    </w:p>
    <w:p w:rsidR="00C81E83" w:rsidRDefault="00C81E83">
      <w:pPr>
        <w:pStyle w:val="TT-TableTitle"/>
        <w:ind w:left="1037" w:hanging="1037"/>
      </w:pPr>
      <w:r>
        <w:br w:type="page"/>
      </w:r>
      <w:bookmarkStart w:id="8" w:name="_Toc222888219"/>
      <w:bookmarkStart w:id="9" w:name="_Toc222888224"/>
      <w:r>
        <w:t>Table 1.</w:t>
      </w:r>
      <w:r>
        <w:t> </w:t>
      </w:r>
      <w:r>
        <w:t> </w:t>
      </w:r>
      <w:r>
        <w:t>Weighted unit response rates and percentage distribution of type of unit nonresponse for the NHES Screener: 1991–2007</w:t>
      </w:r>
      <w:bookmarkEnd w:id="8"/>
      <w:bookmarkEnd w:id="9"/>
    </w:p>
    <w:p w:rsidR="00C81E83" w:rsidRDefault="00C81E83">
      <w:pPr>
        <w:pStyle w:val="TT-TableTitle"/>
      </w:pPr>
    </w:p>
    <w:tbl>
      <w:tblPr>
        <w:tblW w:w="4957" w:type="pct"/>
        <w:tblCellMar>
          <w:left w:w="115" w:type="dxa"/>
          <w:right w:w="115" w:type="dxa"/>
        </w:tblCellMar>
        <w:tblLook w:val="0000"/>
      </w:tblPr>
      <w:tblGrid>
        <w:gridCol w:w="1523"/>
        <w:gridCol w:w="1502"/>
        <w:gridCol w:w="1573"/>
        <w:gridCol w:w="1177"/>
        <w:gridCol w:w="1765"/>
        <w:gridCol w:w="1968"/>
      </w:tblGrid>
      <w:tr w:rsidR="00C81E83">
        <w:trPr>
          <w:cantSplit/>
          <w:trHeight w:val="255"/>
        </w:trPr>
        <w:tc>
          <w:tcPr>
            <w:tcW w:w="801" w:type="pct"/>
            <w:vMerge w:val="restart"/>
            <w:tcBorders>
              <w:top w:val="single" w:sz="24" w:space="0" w:color="auto"/>
              <w:left w:val="nil"/>
              <w:bottom w:val="single" w:sz="18" w:space="0" w:color="auto"/>
              <w:right w:val="nil"/>
            </w:tcBorders>
            <w:vAlign w:val="bottom"/>
          </w:tcPr>
          <w:p w:rsidR="00C81E83" w:rsidRDefault="00C81E83">
            <w:pPr>
              <w:pStyle w:val="SL-FlLftSgl"/>
              <w:rPr>
                <w:sz w:val="20"/>
                <w:szCs w:val="20"/>
              </w:rPr>
            </w:pPr>
            <w:r>
              <w:rPr>
                <w:sz w:val="20"/>
                <w:szCs w:val="20"/>
              </w:rPr>
              <w:t>Year of survey</w:t>
            </w:r>
          </w:p>
        </w:tc>
        <w:tc>
          <w:tcPr>
            <w:tcW w:w="790" w:type="pct"/>
            <w:vMerge w:val="restart"/>
            <w:tcBorders>
              <w:top w:val="single" w:sz="24" w:space="0" w:color="auto"/>
              <w:left w:val="nil"/>
              <w:bottom w:val="single" w:sz="18" w:space="0" w:color="auto"/>
              <w:right w:val="nil"/>
            </w:tcBorders>
            <w:vAlign w:val="bottom"/>
          </w:tcPr>
          <w:p w:rsidR="00C81E83" w:rsidRDefault="00C81E83">
            <w:pPr>
              <w:pStyle w:val="SL-FlLftSgl"/>
              <w:jc w:val="right"/>
              <w:rPr>
                <w:sz w:val="20"/>
                <w:szCs w:val="20"/>
              </w:rPr>
            </w:pPr>
            <w:r>
              <w:rPr>
                <w:sz w:val="20"/>
                <w:szCs w:val="20"/>
              </w:rPr>
              <w:t>Number of completed Screeners</w:t>
            </w:r>
          </w:p>
        </w:tc>
        <w:tc>
          <w:tcPr>
            <w:tcW w:w="827" w:type="pct"/>
            <w:vMerge w:val="restart"/>
            <w:tcBorders>
              <w:top w:val="single" w:sz="24" w:space="0" w:color="auto"/>
              <w:left w:val="nil"/>
              <w:bottom w:val="single" w:sz="18" w:space="0" w:color="auto"/>
              <w:right w:val="nil"/>
            </w:tcBorders>
            <w:vAlign w:val="bottom"/>
          </w:tcPr>
          <w:p w:rsidR="00C81E83" w:rsidRDefault="00C81E83">
            <w:pPr>
              <w:pStyle w:val="SL-FlLftSgl"/>
              <w:jc w:val="right"/>
              <w:rPr>
                <w:sz w:val="20"/>
                <w:szCs w:val="20"/>
              </w:rPr>
            </w:pPr>
            <w:r>
              <w:rPr>
                <w:sz w:val="20"/>
                <w:szCs w:val="20"/>
              </w:rPr>
              <w:t>Unit response rate (percent)</w:t>
            </w:r>
          </w:p>
        </w:tc>
        <w:tc>
          <w:tcPr>
            <w:tcW w:w="2582" w:type="pct"/>
            <w:gridSpan w:val="3"/>
            <w:tcBorders>
              <w:top w:val="single" w:sz="24" w:space="0" w:color="auto"/>
              <w:left w:val="nil"/>
              <w:bottom w:val="single" w:sz="4" w:space="0" w:color="auto"/>
              <w:right w:val="nil"/>
            </w:tcBorders>
          </w:tcPr>
          <w:p w:rsidR="00C81E83" w:rsidRDefault="00C81E83">
            <w:pPr>
              <w:pStyle w:val="SL-FlLftSgl"/>
              <w:jc w:val="center"/>
              <w:rPr>
                <w:sz w:val="20"/>
                <w:szCs w:val="20"/>
              </w:rPr>
            </w:pPr>
            <w:r>
              <w:rPr>
                <w:sz w:val="20"/>
                <w:szCs w:val="20"/>
              </w:rPr>
              <w:t>Type of unit nonresponse (percentage distribution)</w:t>
            </w:r>
          </w:p>
        </w:tc>
      </w:tr>
      <w:tr w:rsidR="00C81E83">
        <w:trPr>
          <w:cantSplit/>
          <w:trHeight w:val="255"/>
        </w:trPr>
        <w:tc>
          <w:tcPr>
            <w:tcW w:w="0" w:type="auto"/>
            <w:vMerge/>
            <w:tcBorders>
              <w:top w:val="single" w:sz="24" w:space="0" w:color="auto"/>
              <w:left w:val="nil"/>
              <w:bottom w:val="single" w:sz="18" w:space="0" w:color="auto"/>
              <w:right w:val="nil"/>
            </w:tcBorders>
            <w:vAlign w:val="center"/>
          </w:tcPr>
          <w:p w:rsidR="00C81E83" w:rsidRDefault="00C81E83"/>
        </w:tc>
        <w:tc>
          <w:tcPr>
            <w:tcW w:w="0" w:type="auto"/>
            <w:vMerge/>
            <w:tcBorders>
              <w:top w:val="single" w:sz="24" w:space="0" w:color="auto"/>
              <w:left w:val="nil"/>
              <w:bottom w:val="single" w:sz="18" w:space="0" w:color="auto"/>
              <w:right w:val="nil"/>
            </w:tcBorders>
            <w:vAlign w:val="center"/>
          </w:tcPr>
          <w:p w:rsidR="00C81E83" w:rsidRDefault="00C81E83"/>
        </w:tc>
        <w:tc>
          <w:tcPr>
            <w:tcW w:w="0" w:type="auto"/>
            <w:vMerge/>
            <w:tcBorders>
              <w:top w:val="single" w:sz="24" w:space="0" w:color="auto"/>
              <w:left w:val="nil"/>
              <w:bottom w:val="single" w:sz="18" w:space="0" w:color="auto"/>
              <w:right w:val="nil"/>
            </w:tcBorders>
            <w:vAlign w:val="center"/>
          </w:tcPr>
          <w:p w:rsidR="00C81E83" w:rsidRDefault="00C81E83"/>
        </w:tc>
        <w:tc>
          <w:tcPr>
            <w:tcW w:w="619" w:type="pct"/>
            <w:tcBorders>
              <w:top w:val="single" w:sz="4" w:space="0" w:color="auto"/>
              <w:left w:val="nil"/>
              <w:bottom w:val="single" w:sz="18" w:space="0" w:color="auto"/>
              <w:right w:val="nil"/>
            </w:tcBorders>
            <w:vAlign w:val="bottom"/>
          </w:tcPr>
          <w:p w:rsidR="00C81E83" w:rsidRDefault="00C81E83">
            <w:pPr>
              <w:pStyle w:val="SL-FlLftSgl"/>
              <w:jc w:val="right"/>
              <w:rPr>
                <w:sz w:val="20"/>
                <w:szCs w:val="20"/>
              </w:rPr>
            </w:pPr>
            <w:r>
              <w:rPr>
                <w:sz w:val="20"/>
                <w:szCs w:val="20"/>
              </w:rPr>
              <w:t>Refusals</w:t>
            </w:r>
          </w:p>
        </w:tc>
        <w:tc>
          <w:tcPr>
            <w:tcW w:w="928" w:type="pct"/>
            <w:tcBorders>
              <w:top w:val="single" w:sz="4" w:space="0" w:color="auto"/>
              <w:left w:val="nil"/>
              <w:bottom w:val="single" w:sz="18" w:space="0" w:color="auto"/>
              <w:right w:val="nil"/>
            </w:tcBorders>
            <w:vAlign w:val="bottom"/>
          </w:tcPr>
          <w:p w:rsidR="00C81E83" w:rsidRDefault="00C81E83">
            <w:pPr>
              <w:pStyle w:val="SL-FlLftSgl"/>
              <w:jc w:val="right"/>
              <w:rPr>
                <w:sz w:val="20"/>
                <w:szCs w:val="20"/>
              </w:rPr>
            </w:pPr>
            <w:r>
              <w:rPr>
                <w:sz w:val="20"/>
                <w:szCs w:val="20"/>
              </w:rPr>
              <w:t>Maximum calls</w:t>
            </w:r>
          </w:p>
        </w:tc>
        <w:tc>
          <w:tcPr>
            <w:tcW w:w="1035" w:type="pct"/>
            <w:tcBorders>
              <w:top w:val="single" w:sz="4" w:space="0" w:color="auto"/>
              <w:left w:val="nil"/>
              <w:bottom w:val="single" w:sz="18" w:space="0" w:color="auto"/>
              <w:right w:val="nil"/>
            </w:tcBorders>
            <w:vAlign w:val="bottom"/>
          </w:tcPr>
          <w:p w:rsidR="00C81E83" w:rsidRDefault="00C81E83">
            <w:pPr>
              <w:pStyle w:val="SL-FlLftSgl"/>
              <w:jc w:val="right"/>
              <w:rPr>
                <w:sz w:val="20"/>
                <w:szCs w:val="20"/>
              </w:rPr>
            </w:pPr>
            <w:r>
              <w:rPr>
                <w:sz w:val="20"/>
                <w:szCs w:val="20"/>
              </w:rPr>
              <w:t>Other nonresponse</w:t>
            </w:r>
          </w:p>
        </w:tc>
      </w:tr>
      <w:tr w:rsidR="00C81E83">
        <w:tc>
          <w:tcPr>
            <w:tcW w:w="801" w:type="pct"/>
            <w:tcBorders>
              <w:top w:val="single" w:sz="18" w:space="0" w:color="auto"/>
              <w:left w:val="nil"/>
              <w:bottom w:val="nil"/>
              <w:right w:val="nil"/>
            </w:tcBorders>
          </w:tcPr>
          <w:p w:rsidR="00C81E83" w:rsidRDefault="00C81E83">
            <w:pPr>
              <w:pStyle w:val="SL-FlLftSgl"/>
              <w:rPr>
                <w:sz w:val="20"/>
                <w:szCs w:val="20"/>
              </w:rPr>
            </w:pPr>
          </w:p>
        </w:tc>
        <w:tc>
          <w:tcPr>
            <w:tcW w:w="790" w:type="pct"/>
            <w:tcBorders>
              <w:top w:val="single" w:sz="18" w:space="0" w:color="auto"/>
              <w:left w:val="nil"/>
              <w:bottom w:val="nil"/>
              <w:right w:val="nil"/>
            </w:tcBorders>
            <w:vAlign w:val="bottom"/>
          </w:tcPr>
          <w:p w:rsidR="00C81E83" w:rsidRDefault="00C81E83">
            <w:pPr>
              <w:pStyle w:val="SL-FlLftSgl"/>
              <w:jc w:val="right"/>
              <w:rPr>
                <w:sz w:val="20"/>
                <w:szCs w:val="20"/>
              </w:rPr>
            </w:pPr>
          </w:p>
        </w:tc>
        <w:tc>
          <w:tcPr>
            <w:tcW w:w="827" w:type="pct"/>
            <w:tcBorders>
              <w:top w:val="single" w:sz="18" w:space="0" w:color="auto"/>
              <w:left w:val="nil"/>
              <w:bottom w:val="nil"/>
              <w:right w:val="nil"/>
            </w:tcBorders>
            <w:vAlign w:val="bottom"/>
          </w:tcPr>
          <w:p w:rsidR="00C81E83" w:rsidRDefault="00C81E83">
            <w:pPr>
              <w:pStyle w:val="SL-FlLftSgl"/>
              <w:jc w:val="right"/>
              <w:rPr>
                <w:sz w:val="20"/>
                <w:szCs w:val="20"/>
              </w:rPr>
            </w:pPr>
          </w:p>
        </w:tc>
        <w:tc>
          <w:tcPr>
            <w:tcW w:w="619" w:type="pct"/>
            <w:tcBorders>
              <w:top w:val="single" w:sz="18" w:space="0" w:color="auto"/>
              <w:left w:val="nil"/>
              <w:bottom w:val="nil"/>
              <w:right w:val="nil"/>
            </w:tcBorders>
            <w:vAlign w:val="bottom"/>
          </w:tcPr>
          <w:p w:rsidR="00C81E83" w:rsidRDefault="00C81E83">
            <w:pPr>
              <w:pStyle w:val="SL-FlLftSgl"/>
              <w:jc w:val="right"/>
              <w:rPr>
                <w:sz w:val="20"/>
                <w:szCs w:val="20"/>
              </w:rPr>
            </w:pPr>
          </w:p>
        </w:tc>
        <w:tc>
          <w:tcPr>
            <w:tcW w:w="928" w:type="pct"/>
            <w:tcBorders>
              <w:top w:val="single" w:sz="18" w:space="0" w:color="auto"/>
              <w:left w:val="nil"/>
              <w:bottom w:val="nil"/>
              <w:right w:val="nil"/>
            </w:tcBorders>
            <w:vAlign w:val="bottom"/>
          </w:tcPr>
          <w:p w:rsidR="00C81E83" w:rsidRDefault="00C81E83">
            <w:pPr>
              <w:pStyle w:val="SL-FlLftSgl"/>
              <w:jc w:val="right"/>
              <w:rPr>
                <w:sz w:val="20"/>
                <w:szCs w:val="20"/>
              </w:rPr>
            </w:pPr>
          </w:p>
        </w:tc>
        <w:tc>
          <w:tcPr>
            <w:tcW w:w="1035" w:type="pct"/>
            <w:tcBorders>
              <w:top w:val="single" w:sz="18" w:space="0" w:color="auto"/>
              <w:left w:val="nil"/>
              <w:bottom w:val="nil"/>
              <w:right w:val="nil"/>
            </w:tcBorders>
            <w:vAlign w:val="bottom"/>
          </w:tcPr>
          <w:p w:rsidR="00C81E83" w:rsidRDefault="00C81E83">
            <w:pPr>
              <w:pStyle w:val="SL-FlLftSgl"/>
              <w:ind w:right="58"/>
              <w:jc w:val="right"/>
              <w:rPr>
                <w:sz w:val="20"/>
                <w:szCs w:val="20"/>
              </w:rPr>
            </w:pPr>
          </w:p>
        </w:tc>
      </w:tr>
      <w:tr w:rsidR="00C81E83">
        <w:tc>
          <w:tcPr>
            <w:tcW w:w="801" w:type="pct"/>
          </w:tcPr>
          <w:p w:rsidR="00C81E83" w:rsidRDefault="00C81E83">
            <w:pPr>
              <w:pStyle w:val="SL-FlLftSgl"/>
              <w:rPr>
                <w:sz w:val="20"/>
                <w:szCs w:val="20"/>
              </w:rPr>
            </w:pPr>
            <w:r>
              <w:rPr>
                <w:sz w:val="20"/>
                <w:szCs w:val="20"/>
              </w:rPr>
              <w:t>1991</w:t>
            </w:r>
          </w:p>
        </w:tc>
        <w:tc>
          <w:tcPr>
            <w:tcW w:w="790" w:type="pct"/>
            <w:vAlign w:val="bottom"/>
          </w:tcPr>
          <w:p w:rsidR="00C81E83" w:rsidRDefault="00C81E83">
            <w:pPr>
              <w:pStyle w:val="SL-FlLftSgl"/>
              <w:jc w:val="right"/>
              <w:rPr>
                <w:sz w:val="20"/>
                <w:szCs w:val="20"/>
              </w:rPr>
            </w:pPr>
            <w:r>
              <w:rPr>
                <w:sz w:val="20"/>
                <w:szCs w:val="20"/>
              </w:rPr>
              <w:t>60,322</w:t>
            </w:r>
          </w:p>
        </w:tc>
        <w:tc>
          <w:tcPr>
            <w:tcW w:w="827" w:type="pct"/>
            <w:vAlign w:val="bottom"/>
          </w:tcPr>
          <w:p w:rsidR="00C81E83" w:rsidRDefault="00C81E83">
            <w:pPr>
              <w:pStyle w:val="SL-FlLftSgl"/>
              <w:jc w:val="right"/>
              <w:rPr>
                <w:sz w:val="20"/>
                <w:szCs w:val="20"/>
              </w:rPr>
            </w:pPr>
            <w:r>
              <w:rPr>
                <w:sz w:val="20"/>
                <w:szCs w:val="20"/>
              </w:rPr>
              <w:t>81.0</w:t>
            </w:r>
          </w:p>
        </w:tc>
        <w:tc>
          <w:tcPr>
            <w:tcW w:w="619" w:type="pct"/>
            <w:vAlign w:val="bottom"/>
          </w:tcPr>
          <w:p w:rsidR="00C81E83" w:rsidRDefault="00C81E83">
            <w:pPr>
              <w:pStyle w:val="SL-FlLftSgl"/>
              <w:jc w:val="right"/>
              <w:rPr>
                <w:sz w:val="20"/>
                <w:szCs w:val="20"/>
              </w:rPr>
            </w:pPr>
            <w:r>
              <w:rPr>
                <w:sz w:val="20"/>
                <w:szCs w:val="20"/>
              </w:rPr>
              <w:t>84</w:t>
            </w:r>
          </w:p>
        </w:tc>
        <w:tc>
          <w:tcPr>
            <w:tcW w:w="928" w:type="pct"/>
            <w:vAlign w:val="bottom"/>
          </w:tcPr>
          <w:p w:rsidR="00C81E83" w:rsidRDefault="00C81E83">
            <w:pPr>
              <w:pStyle w:val="SL-FlLftSgl"/>
              <w:jc w:val="right"/>
              <w:rPr>
                <w:sz w:val="20"/>
                <w:szCs w:val="20"/>
              </w:rPr>
            </w:pPr>
            <w:r>
              <w:rPr>
                <w:sz w:val="20"/>
                <w:szCs w:val="20"/>
              </w:rPr>
              <w:t>7</w:t>
            </w:r>
          </w:p>
        </w:tc>
        <w:tc>
          <w:tcPr>
            <w:tcW w:w="1035" w:type="pct"/>
            <w:vAlign w:val="bottom"/>
          </w:tcPr>
          <w:p w:rsidR="00C81E83" w:rsidRDefault="00C81E83">
            <w:pPr>
              <w:pStyle w:val="SL-FlLftSgl"/>
              <w:ind w:right="58"/>
              <w:jc w:val="right"/>
              <w:rPr>
                <w:sz w:val="20"/>
                <w:szCs w:val="20"/>
              </w:rPr>
            </w:pPr>
            <w:r>
              <w:rPr>
                <w:sz w:val="20"/>
                <w:szCs w:val="20"/>
              </w:rPr>
              <w:t>9</w:t>
            </w:r>
          </w:p>
        </w:tc>
      </w:tr>
      <w:tr w:rsidR="00C81E83">
        <w:tc>
          <w:tcPr>
            <w:tcW w:w="801" w:type="pct"/>
          </w:tcPr>
          <w:p w:rsidR="00C81E83" w:rsidRDefault="00C81E83">
            <w:pPr>
              <w:pStyle w:val="SL-FlLftSgl"/>
              <w:rPr>
                <w:sz w:val="20"/>
                <w:szCs w:val="20"/>
              </w:rPr>
            </w:pPr>
            <w:r>
              <w:rPr>
                <w:sz w:val="20"/>
                <w:szCs w:val="20"/>
              </w:rPr>
              <w:t>1993</w:t>
            </w:r>
          </w:p>
        </w:tc>
        <w:tc>
          <w:tcPr>
            <w:tcW w:w="790" w:type="pct"/>
            <w:vAlign w:val="bottom"/>
          </w:tcPr>
          <w:p w:rsidR="00C81E83" w:rsidRDefault="00C81E83">
            <w:pPr>
              <w:pStyle w:val="SL-FlLftSgl"/>
              <w:jc w:val="right"/>
              <w:rPr>
                <w:sz w:val="20"/>
                <w:szCs w:val="20"/>
              </w:rPr>
            </w:pPr>
            <w:r>
              <w:rPr>
                <w:sz w:val="20"/>
                <w:szCs w:val="20"/>
              </w:rPr>
              <w:t>63,844</w:t>
            </w:r>
          </w:p>
        </w:tc>
        <w:tc>
          <w:tcPr>
            <w:tcW w:w="827" w:type="pct"/>
            <w:vAlign w:val="bottom"/>
          </w:tcPr>
          <w:p w:rsidR="00C81E83" w:rsidRDefault="00C81E83">
            <w:pPr>
              <w:pStyle w:val="SL-FlLftSgl"/>
              <w:jc w:val="right"/>
              <w:rPr>
                <w:sz w:val="20"/>
                <w:szCs w:val="20"/>
              </w:rPr>
            </w:pPr>
            <w:r>
              <w:rPr>
                <w:sz w:val="20"/>
                <w:szCs w:val="20"/>
              </w:rPr>
              <w:t>82.1</w:t>
            </w:r>
          </w:p>
        </w:tc>
        <w:tc>
          <w:tcPr>
            <w:tcW w:w="619" w:type="pct"/>
            <w:vAlign w:val="bottom"/>
          </w:tcPr>
          <w:p w:rsidR="00C81E83" w:rsidRDefault="00C81E83">
            <w:pPr>
              <w:pStyle w:val="SL-FlLftSgl"/>
              <w:jc w:val="right"/>
              <w:rPr>
                <w:sz w:val="20"/>
                <w:szCs w:val="20"/>
              </w:rPr>
            </w:pPr>
            <w:r>
              <w:rPr>
                <w:sz w:val="20"/>
                <w:szCs w:val="20"/>
              </w:rPr>
              <w:t>68</w:t>
            </w:r>
          </w:p>
        </w:tc>
        <w:tc>
          <w:tcPr>
            <w:tcW w:w="928" w:type="pct"/>
            <w:vAlign w:val="bottom"/>
          </w:tcPr>
          <w:p w:rsidR="00C81E83" w:rsidRDefault="00C81E83">
            <w:pPr>
              <w:pStyle w:val="SL-FlLftSgl"/>
              <w:jc w:val="right"/>
              <w:rPr>
                <w:sz w:val="20"/>
                <w:szCs w:val="20"/>
              </w:rPr>
            </w:pPr>
            <w:r>
              <w:rPr>
                <w:sz w:val="20"/>
                <w:szCs w:val="20"/>
              </w:rPr>
              <w:t>15</w:t>
            </w:r>
          </w:p>
        </w:tc>
        <w:tc>
          <w:tcPr>
            <w:tcW w:w="1035" w:type="pct"/>
            <w:vAlign w:val="bottom"/>
          </w:tcPr>
          <w:p w:rsidR="00C81E83" w:rsidRDefault="00C81E83">
            <w:pPr>
              <w:pStyle w:val="SL-FlLftSgl"/>
              <w:jc w:val="right"/>
              <w:rPr>
                <w:sz w:val="20"/>
                <w:szCs w:val="20"/>
                <w:vertAlign w:val="superscript"/>
              </w:rPr>
            </w:pPr>
            <w:r>
              <w:rPr>
                <w:sz w:val="20"/>
                <w:szCs w:val="20"/>
              </w:rPr>
              <w:t>18</w:t>
            </w:r>
            <w:r>
              <w:rPr>
                <w:sz w:val="20"/>
                <w:szCs w:val="20"/>
                <w:vertAlign w:val="superscript"/>
              </w:rPr>
              <w:t>1</w:t>
            </w:r>
          </w:p>
        </w:tc>
      </w:tr>
      <w:tr w:rsidR="00C81E83">
        <w:tc>
          <w:tcPr>
            <w:tcW w:w="801" w:type="pct"/>
          </w:tcPr>
          <w:p w:rsidR="00C81E83" w:rsidRDefault="00C81E83">
            <w:pPr>
              <w:pStyle w:val="SL-FlLftSgl"/>
              <w:rPr>
                <w:sz w:val="20"/>
                <w:szCs w:val="20"/>
              </w:rPr>
            </w:pPr>
            <w:r>
              <w:rPr>
                <w:sz w:val="20"/>
                <w:szCs w:val="20"/>
              </w:rPr>
              <w:t>1995</w:t>
            </w:r>
          </w:p>
        </w:tc>
        <w:tc>
          <w:tcPr>
            <w:tcW w:w="790" w:type="pct"/>
            <w:vAlign w:val="bottom"/>
          </w:tcPr>
          <w:p w:rsidR="00C81E83" w:rsidRDefault="00C81E83">
            <w:pPr>
              <w:pStyle w:val="SL-FlLftSgl"/>
              <w:jc w:val="right"/>
              <w:rPr>
                <w:sz w:val="20"/>
                <w:szCs w:val="20"/>
              </w:rPr>
            </w:pPr>
            <w:r>
              <w:rPr>
                <w:sz w:val="20"/>
                <w:szCs w:val="20"/>
              </w:rPr>
              <w:t>45,465</w:t>
            </w:r>
          </w:p>
        </w:tc>
        <w:tc>
          <w:tcPr>
            <w:tcW w:w="827" w:type="pct"/>
            <w:vAlign w:val="bottom"/>
          </w:tcPr>
          <w:p w:rsidR="00C81E83" w:rsidRDefault="00C81E83">
            <w:pPr>
              <w:pStyle w:val="SL-FlLftSgl"/>
              <w:jc w:val="right"/>
              <w:rPr>
                <w:sz w:val="20"/>
                <w:szCs w:val="20"/>
              </w:rPr>
            </w:pPr>
            <w:r>
              <w:rPr>
                <w:sz w:val="20"/>
                <w:szCs w:val="20"/>
              </w:rPr>
              <w:t>73.3</w:t>
            </w:r>
          </w:p>
        </w:tc>
        <w:tc>
          <w:tcPr>
            <w:tcW w:w="619" w:type="pct"/>
            <w:vAlign w:val="bottom"/>
          </w:tcPr>
          <w:p w:rsidR="00C81E83" w:rsidRDefault="00C81E83">
            <w:pPr>
              <w:pStyle w:val="SL-FlLftSgl"/>
              <w:jc w:val="right"/>
              <w:rPr>
                <w:sz w:val="20"/>
                <w:szCs w:val="20"/>
              </w:rPr>
            </w:pPr>
            <w:r>
              <w:rPr>
                <w:sz w:val="20"/>
                <w:szCs w:val="20"/>
              </w:rPr>
              <w:t>84</w:t>
            </w:r>
          </w:p>
        </w:tc>
        <w:tc>
          <w:tcPr>
            <w:tcW w:w="928" w:type="pct"/>
            <w:vAlign w:val="bottom"/>
          </w:tcPr>
          <w:p w:rsidR="00C81E83" w:rsidRDefault="00C81E83">
            <w:pPr>
              <w:pStyle w:val="SL-FlLftSgl"/>
              <w:jc w:val="right"/>
              <w:rPr>
                <w:sz w:val="20"/>
                <w:szCs w:val="20"/>
              </w:rPr>
            </w:pPr>
            <w:r>
              <w:rPr>
                <w:sz w:val="20"/>
                <w:szCs w:val="20"/>
              </w:rPr>
              <w:t>9</w:t>
            </w:r>
          </w:p>
        </w:tc>
        <w:tc>
          <w:tcPr>
            <w:tcW w:w="1035" w:type="pct"/>
            <w:vAlign w:val="bottom"/>
          </w:tcPr>
          <w:p w:rsidR="00C81E83" w:rsidRDefault="00C81E83">
            <w:pPr>
              <w:pStyle w:val="SL-FlLftSgl"/>
              <w:ind w:right="58"/>
              <w:jc w:val="right"/>
              <w:rPr>
                <w:sz w:val="20"/>
                <w:szCs w:val="20"/>
              </w:rPr>
            </w:pPr>
            <w:r>
              <w:rPr>
                <w:sz w:val="20"/>
                <w:szCs w:val="20"/>
              </w:rPr>
              <w:t>7</w:t>
            </w:r>
          </w:p>
        </w:tc>
      </w:tr>
      <w:tr w:rsidR="00C81E83">
        <w:tc>
          <w:tcPr>
            <w:tcW w:w="801" w:type="pct"/>
          </w:tcPr>
          <w:p w:rsidR="00C81E83" w:rsidRDefault="00C81E83">
            <w:pPr>
              <w:pStyle w:val="SL-FlLftSgl"/>
              <w:rPr>
                <w:sz w:val="20"/>
                <w:szCs w:val="20"/>
              </w:rPr>
            </w:pPr>
            <w:r>
              <w:rPr>
                <w:sz w:val="20"/>
                <w:szCs w:val="20"/>
              </w:rPr>
              <w:t>1996</w:t>
            </w:r>
          </w:p>
        </w:tc>
        <w:tc>
          <w:tcPr>
            <w:tcW w:w="790" w:type="pct"/>
            <w:vAlign w:val="bottom"/>
          </w:tcPr>
          <w:p w:rsidR="00C81E83" w:rsidRDefault="00C81E83">
            <w:pPr>
              <w:pStyle w:val="SL-FlLftSgl"/>
              <w:jc w:val="right"/>
              <w:rPr>
                <w:sz w:val="20"/>
                <w:szCs w:val="20"/>
              </w:rPr>
            </w:pPr>
            <w:r>
              <w:rPr>
                <w:sz w:val="20"/>
                <w:szCs w:val="20"/>
              </w:rPr>
              <w:t>55,838</w:t>
            </w:r>
          </w:p>
        </w:tc>
        <w:tc>
          <w:tcPr>
            <w:tcW w:w="827" w:type="pct"/>
            <w:vAlign w:val="bottom"/>
          </w:tcPr>
          <w:p w:rsidR="00C81E83" w:rsidRDefault="00C81E83">
            <w:pPr>
              <w:pStyle w:val="SL-FlLftSgl"/>
              <w:jc w:val="right"/>
              <w:rPr>
                <w:sz w:val="20"/>
                <w:szCs w:val="20"/>
              </w:rPr>
            </w:pPr>
            <w:r>
              <w:rPr>
                <w:sz w:val="20"/>
                <w:szCs w:val="20"/>
              </w:rPr>
              <w:t>69.9</w:t>
            </w:r>
          </w:p>
        </w:tc>
        <w:tc>
          <w:tcPr>
            <w:tcW w:w="619" w:type="pct"/>
            <w:vAlign w:val="bottom"/>
          </w:tcPr>
          <w:p w:rsidR="00C81E83" w:rsidRDefault="00C81E83">
            <w:pPr>
              <w:pStyle w:val="SL-FlLftSgl"/>
              <w:jc w:val="right"/>
              <w:rPr>
                <w:sz w:val="20"/>
                <w:szCs w:val="20"/>
              </w:rPr>
            </w:pPr>
            <w:r>
              <w:rPr>
                <w:sz w:val="20"/>
                <w:szCs w:val="20"/>
              </w:rPr>
              <w:t>83</w:t>
            </w:r>
          </w:p>
        </w:tc>
        <w:tc>
          <w:tcPr>
            <w:tcW w:w="928" w:type="pct"/>
            <w:vAlign w:val="bottom"/>
          </w:tcPr>
          <w:p w:rsidR="00C81E83" w:rsidRDefault="00C81E83">
            <w:pPr>
              <w:pStyle w:val="SL-FlLftSgl"/>
              <w:jc w:val="right"/>
              <w:rPr>
                <w:sz w:val="20"/>
                <w:szCs w:val="20"/>
              </w:rPr>
            </w:pPr>
            <w:r>
              <w:rPr>
                <w:sz w:val="20"/>
                <w:szCs w:val="20"/>
              </w:rPr>
              <w:t>10</w:t>
            </w:r>
          </w:p>
        </w:tc>
        <w:tc>
          <w:tcPr>
            <w:tcW w:w="1035" w:type="pct"/>
            <w:vAlign w:val="bottom"/>
          </w:tcPr>
          <w:p w:rsidR="00C81E83" w:rsidRDefault="00C81E83">
            <w:pPr>
              <w:pStyle w:val="SL-FlLftSgl"/>
              <w:ind w:right="58"/>
              <w:jc w:val="right"/>
              <w:rPr>
                <w:sz w:val="20"/>
                <w:szCs w:val="20"/>
              </w:rPr>
            </w:pPr>
            <w:r>
              <w:rPr>
                <w:sz w:val="20"/>
                <w:szCs w:val="20"/>
              </w:rPr>
              <w:t>7</w:t>
            </w:r>
          </w:p>
        </w:tc>
      </w:tr>
      <w:tr w:rsidR="00C81E83">
        <w:tc>
          <w:tcPr>
            <w:tcW w:w="801" w:type="pct"/>
          </w:tcPr>
          <w:p w:rsidR="00C81E83" w:rsidRDefault="00C81E83">
            <w:pPr>
              <w:pStyle w:val="SL-FlLftSgl"/>
              <w:rPr>
                <w:sz w:val="20"/>
                <w:szCs w:val="20"/>
              </w:rPr>
            </w:pPr>
            <w:r>
              <w:rPr>
                <w:sz w:val="20"/>
                <w:szCs w:val="20"/>
              </w:rPr>
              <w:t>1999</w:t>
            </w:r>
          </w:p>
        </w:tc>
        <w:tc>
          <w:tcPr>
            <w:tcW w:w="790" w:type="pct"/>
            <w:vAlign w:val="bottom"/>
          </w:tcPr>
          <w:p w:rsidR="00C81E83" w:rsidRDefault="00C81E83">
            <w:pPr>
              <w:pStyle w:val="SL-FlLftSgl"/>
              <w:jc w:val="right"/>
              <w:rPr>
                <w:sz w:val="20"/>
                <w:szCs w:val="20"/>
              </w:rPr>
            </w:pPr>
            <w:r>
              <w:rPr>
                <w:sz w:val="20"/>
                <w:szCs w:val="20"/>
              </w:rPr>
              <w:t>55,929</w:t>
            </w:r>
          </w:p>
        </w:tc>
        <w:tc>
          <w:tcPr>
            <w:tcW w:w="827" w:type="pct"/>
            <w:vAlign w:val="bottom"/>
          </w:tcPr>
          <w:p w:rsidR="00C81E83" w:rsidRDefault="00C81E83">
            <w:pPr>
              <w:pStyle w:val="SL-FlLftSgl"/>
              <w:jc w:val="right"/>
              <w:rPr>
                <w:sz w:val="20"/>
                <w:szCs w:val="20"/>
              </w:rPr>
            </w:pPr>
            <w:r>
              <w:rPr>
                <w:sz w:val="20"/>
                <w:szCs w:val="20"/>
              </w:rPr>
              <w:t>74.1</w:t>
            </w:r>
          </w:p>
        </w:tc>
        <w:tc>
          <w:tcPr>
            <w:tcW w:w="619" w:type="pct"/>
            <w:vAlign w:val="bottom"/>
          </w:tcPr>
          <w:p w:rsidR="00C81E83" w:rsidRDefault="00C81E83">
            <w:pPr>
              <w:pStyle w:val="SL-FlLftSgl"/>
              <w:jc w:val="right"/>
              <w:rPr>
                <w:sz w:val="20"/>
                <w:szCs w:val="20"/>
              </w:rPr>
            </w:pPr>
            <w:r>
              <w:rPr>
                <w:sz w:val="20"/>
                <w:szCs w:val="20"/>
              </w:rPr>
              <w:t>76</w:t>
            </w:r>
          </w:p>
        </w:tc>
        <w:tc>
          <w:tcPr>
            <w:tcW w:w="928" w:type="pct"/>
            <w:vAlign w:val="bottom"/>
          </w:tcPr>
          <w:p w:rsidR="00C81E83" w:rsidRDefault="00C81E83">
            <w:pPr>
              <w:pStyle w:val="SL-FlLftSgl"/>
              <w:jc w:val="right"/>
              <w:rPr>
                <w:sz w:val="20"/>
                <w:szCs w:val="20"/>
              </w:rPr>
            </w:pPr>
            <w:r>
              <w:rPr>
                <w:sz w:val="20"/>
                <w:szCs w:val="20"/>
              </w:rPr>
              <w:t>17</w:t>
            </w:r>
          </w:p>
        </w:tc>
        <w:tc>
          <w:tcPr>
            <w:tcW w:w="1035" w:type="pct"/>
            <w:vAlign w:val="bottom"/>
          </w:tcPr>
          <w:p w:rsidR="00C81E83" w:rsidRDefault="00C81E83">
            <w:pPr>
              <w:pStyle w:val="SL-FlLftSgl"/>
              <w:ind w:right="58"/>
              <w:jc w:val="right"/>
              <w:rPr>
                <w:sz w:val="20"/>
                <w:szCs w:val="20"/>
              </w:rPr>
            </w:pPr>
            <w:r>
              <w:rPr>
                <w:sz w:val="20"/>
                <w:szCs w:val="20"/>
              </w:rPr>
              <w:t>7</w:t>
            </w:r>
          </w:p>
        </w:tc>
      </w:tr>
      <w:tr w:rsidR="00C81E83">
        <w:tc>
          <w:tcPr>
            <w:tcW w:w="801" w:type="pct"/>
          </w:tcPr>
          <w:p w:rsidR="00C81E83" w:rsidRDefault="00C81E83">
            <w:pPr>
              <w:pStyle w:val="SL-FlLftSgl"/>
              <w:rPr>
                <w:sz w:val="20"/>
                <w:szCs w:val="20"/>
              </w:rPr>
            </w:pPr>
            <w:r>
              <w:rPr>
                <w:sz w:val="20"/>
                <w:szCs w:val="20"/>
              </w:rPr>
              <w:t>2001</w:t>
            </w:r>
          </w:p>
        </w:tc>
        <w:tc>
          <w:tcPr>
            <w:tcW w:w="790" w:type="pct"/>
            <w:vAlign w:val="bottom"/>
          </w:tcPr>
          <w:p w:rsidR="00C81E83" w:rsidRDefault="00C81E83">
            <w:pPr>
              <w:pStyle w:val="SL-FlLftSgl"/>
              <w:jc w:val="right"/>
              <w:rPr>
                <w:sz w:val="20"/>
                <w:szCs w:val="20"/>
              </w:rPr>
            </w:pPr>
            <w:r>
              <w:rPr>
                <w:sz w:val="20"/>
                <w:szCs w:val="20"/>
              </w:rPr>
              <w:t>48,385</w:t>
            </w:r>
          </w:p>
        </w:tc>
        <w:tc>
          <w:tcPr>
            <w:tcW w:w="827" w:type="pct"/>
            <w:vAlign w:val="bottom"/>
          </w:tcPr>
          <w:p w:rsidR="00C81E83" w:rsidRDefault="00C81E83">
            <w:pPr>
              <w:pStyle w:val="SL-FlLftSgl"/>
              <w:jc w:val="right"/>
              <w:rPr>
                <w:sz w:val="20"/>
                <w:szCs w:val="20"/>
              </w:rPr>
            </w:pPr>
            <w:r>
              <w:rPr>
                <w:sz w:val="20"/>
                <w:szCs w:val="20"/>
              </w:rPr>
              <w:t>67.5</w:t>
            </w:r>
          </w:p>
        </w:tc>
        <w:tc>
          <w:tcPr>
            <w:tcW w:w="619" w:type="pct"/>
            <w:vAlign w:val="bottom"/>
          </w:tcPr>
          <w:p w:rsidR="00C81E83" w:rsidRDefault="00C81E83">
            <w:pPr>
              <w:pStyle w:val="SL-FlLftSgl"/>
              <w:jc w:val="right"/>
              <w:rPr>
                <w:sz w:val="20"/>
                <w:szCs w:val="20"/>
              </w:rPr>
            </w:pPr>
            <w:r>
              <w:rPr>
                <w:sz w:val="20"/>
                <w:szCs w:val="20"/>
              </w:rPr>
              <w:t>74</w:t>
            </w:r>
          </w:p>
        </w:tc>
        <w:tc>
          <w:tcPr>
            <w:tcW w:w="928" w:type="pct"/>
            <w:vAlign w:val="bottom"/>
          </w:tcPr>
          <w:p w:rsidR="00C81E83" w:rsidRDefault="00C81E83">
            <w:pPr>
              <w:pStyle w:val="SL-FlLftSgl"/>
              <w:jc w:val="right"/>
              <w:rPr>
                <w:sz w:val="20"/>
                <w:szCs w:val="20"/>
              </w:rPr>
            </w:pPr>
            <w:r>
              <w:rPr>
                <w:sz w:val="20"/>
                <w:szCs w:val="20"/>
              </w:rPr>
              <w:t>18</w:t>
            </w:r>
          </w:p>
        </w:tc>
        <w:tc>
          <w:tcPr>
            <w:tcW w:w="1035" w:type="pct"/>
            <w:vAlign w:val="bottom"/>
          </w:tcPr>
          <w:p w:rsidR="00C81E83" w:rsidRDefault="00C81E83">
            <w:pPr>
              <w:pStyle w:val="SL-FlLftSgl"/>
              <w:ind w:right="58"/>
              <w:jc w:val="right"/>
              <w:rPr>
                <w:sz w:val="20"/>
                <w:szCs w:val="20"/>
              </w:rPr>
            </w:pPr>
            <w:r>
              <w:rPr>
                <w:sz w:val="20"/>
                <w:szCs w:val="20"/>
              </w:rPr>
              <w:t>8</w:t>
            </w:r>
          </w:p>
        </w:tc>
      </w:tr>
      <w:tr w:rsidR="00C81E83">
        <w:tc>
          <w:tcPr>
            <w:tcW w:w="801" w:type="pct"/>
          </w:tcPr>
          <w:p w:rsidR="00C81E83" w:rsidRDefault="00C81E83">
            <w:pPr>
              <w:pStyle w:val="SL-FlLftSgl"/>
              <w:rPr>
                <w:sz w:val="20"/>
                <w:szCs w:val="20"/>
              </w:rPr>
            </w:pPr>
            <w:r>
              <w:rPr>
                <w:sz w:val="20"/>
                <w:szCs w:val="20"/>
              </w:rPr>
              <w:t>2003</w:t>
            </w:r>
          </w:p>
        </w:tc>
        <w:tc>
          <w:tcPr>
            <w:tcW w:w="790" w:type="pct"/>
            <w:vAlign w:val="bottom"/>
          </w:tcPr>
          <w:p w:rsidR="00C81E83" w:rsidRDefault="00C81E83">
            <w:pPr>
              <w:pStyle w:val="SL-FlLftSgl"/>
              <w:jc w:val="right"/>
              <w:rPr>
                <w:sz w:val="20"/>
                <w:szCs w:val="20"/>
              </w:rPr>
            </w:pPr>
            <w:r>
              <w:rPr>
                <w:sz w:val="20"/>
                <w:szCs w:val="20"/>
              </w:rPr>
              <w:t>32,049</w:t>
            </w:r>
          </w:p>
        </w:tc>
        <w:tc>
          <w:tcPr>
            <w:tcW w:w="827" w:type="pct"/>
            <w:vAlign w:val="bottom"/>
          </w:tcPr>
          <w:p w:rsidR="00C81E83" w:rsidRDefault="00C81E83">
            <w:pPr>
              <w:pStyle w:val="SL-FlLftSgl"/>
              <w:jc w:val="right"/>
              <w:rPr>
                <w:sz w:val="20"/>
                <w:szCs w:val="20"/>
              </w:rPr>
            </w:pPr>
            <w:r>
              <w:rPr>
                <w:sz w:val="20"/>
                <w:szCs w:val="20"/>
              </w:rPr>
              <w:t>61.7</w:t>
            </w:r>
          </w:p>
        </w:tc>
        <w:tc>
          <w:tcPr>
            <w:tcW w:w="619" w:type="pct"/>
            <w:vAlign w:val="bottom"/>
          </w:tcPr>
          <w:p w:rsidR="00C81E83" w:rsidRDefault="00C81E83">
            <w:pPr>
              <w:pStyle w:val="SL-FlLftSgl"/>
              <w:jc w:val="right"/>
              <w:rPr>
                <w:sz w:val="20"/>
                <w:szCs w:val="20"/>
              </w:rPr>
            </w:pPr>
            <w:r>
              <w:rPr>
                <w:sz w:val="20"/>
                <w:szCs w:val="20"/>
              </w:rPr>
              <w:t>76</w:t>
            </w:r>
          </w:p>
        </w:tc>
        <w:tc>
          <w:tcPr>
            <w:tcW w:w="928" w:type="pct"/>
            <w:vAlign w:val="bottom"/>
          </w:tcPr>
          <w:p w:rsidR="00C81E83" w:rsidRDefault="00C81E83">
            <w:pPr>
              <w:pStyle w:val="SL-FlLftSgl"/>
              <w:jc w:val="right"/>
              <w:rPr>
                <w:sz w:val="20"/>
                <w:szCs w:val="20"/>
              </w:rPr>
            </w:pPr>
            <w:r>
              <w:rPr>
                <w:sz w:val="20"/>
                <w:szCs w:val="20"/>
              </w:rPr>
              <w:t>16</w:t>
            </w:r>
          </w:p>
        </w:tc>
        <w:tc>
          <w:tcPr>
            <w:tcW w:w="1035" w:type="pct"/>
            <w:vAlign w:val="bottom"/>
          </w:tcPr>
          <w:p w:rsidR="00C81E83" w:rsidRDefault="00C81E83">
            <w:pPr>
              <w:pStyle w:val="SL-FlLftSgl"/>
              <w:ind w:right="58"/>
              <w:jc w:val="right"/>
              <w:rPr>
                <w:sz w:val="20"/>
                <w:szCs w:val="20"/>
              </w:rPr>
            </w:pPr>
            <w:r>
              <w:rPr>
                <w:sz w:val="20"/>
                <w:szCs w:val="20"/>
              </w:rPr>
              <w:t>8</w:t>
            </w:r>
          </w:p>
        </w:tc>
      </w:tr>
      <w:tr w:rsidR="00C81E83">
        <w:tc>
          <w:tcPr>
            <w:tcW w:w="801" w:type="pct"/>
          </w:tcPr>
          <w:p w:rsidR="00C81E83" w:rsidRDefault="00C81E83">
            <w:pPr>
              <w:pStyle w:val="SL-FlLftSgl"/>
              <w:rPr>
                <w:sz w:val="20"/>
                <w:szCs w:val="20"/>
              </w:rPr>
            </w:pPr>
            <w:r>
              <w:rPr>
                <w:sz w:val="20"/>
                <w:szCs w:val="20"/>
              </w:rPr>
              <w:t>2005</w:t>
            </w:r>
          </w:p>
        </w:tc>
        <w:tc>
          <w:tcPr>
            <w:tcW w:w="790" w:type="pct"/>
            <w:vAlign w:val="bottom"/>
          </w:tcPr>
          <w:p w:rsidR="00C81E83" w:rsidRDefault="00C81E83">
            <w:pPr>
              <w:pStyle w:val="SL-FlLftSgl"/>
              <w:jc w:val="right"/>
              <w:rPr>
                <w:sz w:val="20"/>
                <w:szCs w:val="20"/>
              </w:rPr>
            </w:pPr>
            <w:r>
              <w:rPr>
                <w:sz w:val="20"/>
                <w:szCs w:val="20"/>
              </w:rPr>
              <w:t>58,140</w:t>
            </w:r>
          </w:p>
        </w:tc>
        <w:tc>
          <w:tcPr>
            <w:tcW w:w="827" w:type="pct"/>
            <w:vAlign w:val="bottom"/>
          </w:tcPr>
          <w:p w:rsidR="00C81E83" w:rsidRDefault="00C81E83">
            <w:pPr>
              <w:pStyle w:val="SL-FlLftSgl"/>
              <w:jc w:val="right"/>
              <w:rPr>
                <w:sz w:val="20"/>
                <w:szCs w:val="20"/>
              </w:rPr>
            </w:pPr>
            <w:r>
              <w:rPr>
                <w:sz w:val="20"/>
                <w:szCs w:val="20"/>
              </w:rPr>
              <w:t>64.2</w:t>
            </w:r>
          </w:p>
        </w:tc>
        <w:tc>
          <w:tcPr>
            <w:tcW w:w="619" w:type="pct"/>
            <w:vAlign w:val="bottom"/>
          </w:tcPr>
          <w:p w:rsidR="00C81E83" w:rsidRDefault="00C81E83">
            <w:pPr>
              <w:pStyle w:val="SL-FlLftSgl"/>
              <w:jc w:val="right"/>
              <w:rPr>
                <w:sz w:val="20"/>
                <w:szCs w:val="20"/>
              </w:rPr>
            </w:pPr>
            <w:r>
              <w:rPr>
                <w:sz w:val="20"/>
                <w:szCs w:val="20"/>
              </w:rPr>
              <w:t>77</w:t>
            </w:r>
          </w:p>
        </w:tc>
        <w:tc>
          <w:tcPr>
            <w:tcW w:w="928" w:type="pct"/>
            <w:vAlign w:val="bottom"/>
          </w:tcPr>
          <w:p w:rsidR="00C81E83" w:rsidRDefault="00C81E83">
            <w:pPr>
              <w:pStyle w:val="SL-FlLftSgl"/>
              <w:jc w:val="right"/>
              <w:rPr>
                <w:sz w:val="20"/>
                <w:szCs w:val="20"/>
              </w:rPr>
            </w:pPr>
            <w:r>
              <w:rPr>
                <w:sz w:val="20"/>
                <w:szCs w:val="20"/>
              </w:rPr>
              <w:t>15</w:t>
            </w:r>
          </w:p>
        </w:tc>
        <w:tc>
          <w:tcPr>
            <w:tcW w:w="1035" w:type="pct"/>
            <w:vAlign w:val="bottom"/>
          </w:tcPr>
          <w:p w:rsidR="00C81E83" w:rsidRDefault="00C81E83">
            <w:pPr>
              <w:pStyle w:val="SL-FlLftSgl"/>
              <w:ind w:right="58"/>
              <w:jc w:val="right"/>
              <w:rPr>
                <w:sz w:val="20"/>
                <w:szCs w:val="20"/>
              </w:rPr>
            </w:pPr>
            <w:r>
              <w:rPr>
                <w:sz w:val="20"/>
                <w:szCs w:val="20"/>
              </w:rPr>
              <w:t>8</w:t>
            </w:r>
          </w:p>
        </w:tc>
      </w:tr>
      <w:tr w:rsidR="00C81E83">
        <w:tc>
          <w:tcPr>
            <w:tcW w:w="801" w:type="pct"/>
            <w:tcBorders>
              <w:top w:val="nil"/>
              <w:left w:val="nil"/>
              <w:bottom w:val="single" w:sz="24" w:space="0" w:color="auto"/>
              <w:right w:val="nil"/>
            </w:tcBorders>
          </w:tcPr>
          <w:p w:rsidR="00C81E83" w:rsidRDefault="00C81E83">
            <w:pPr>
              <w:pStyle w:val="SL-FlLftSgl"/>
              <w:rPr>
                <w:sz w:val="20"/>
                <w:szCs w:val="20"/>
              </w:rPr>
            </w:pPr>
            <w:r>
              <w:rPr>
                <w:sz w:val="20"/>
                <w:szCs w:val="20"/>
              </w:rPr>
              <w:t>2007</w:t>
            </w:r>
          </w:p>
        </w:tc>
        <w:tc>
          <w:tcPr>
            <w:tcW w:w="790" w:type="pct"/>
            <w:tcBorders>
              <w:top w:val="nil"/>
              <w:left w:val="nil"/>
              <w:bottom w:val="single" w:sz="24" w:space="0" w:color="auto"/>
              <w:right w:val="nil"/>
            </w:tcBorders>
            <w:vAlign w:val="bottom"/>
          </w:tcPr>
          <w:p w:rsidR="00C81E83" w:rsidRDefault="00C81E83">
            <w:pPr>
              <w:pStyle w:val="SL-FlLftSgl"/>
              <w:jc w:val="right"/>
              <w:rPr>
                <w:sz w:val="20"/>
                <w:szCs w:val="20"/>
              </w:rPr>
            </w:pPr>
            <w:r>
              <w:rPr>
                <w:sz w:val="20"/>
                <w:szCs w:val="20"/>
              </w:rPr>
              <w:t>54,034</w:t>
            </w:r>
          </w:p>
        </w:tc>
        <w:tc>
          <w:tcPr>
            <w:tcW w:w="827" w:type="pct"/>
            <w:tcBorders>
              <w:top w:val="nil"/>
              <w:left w:val="nil"/>
              <w:bottom w:val="single" w:sz="24" w:space="0" w:color="auto"/>
              <w:right w:val="nil"/>
            </w:tcBorders>
            <w:vAlign w:val="bottom"/>
          </w:tcPr>
          <w:p w:rsidR="00C81E83" w:rsidRDefault="00C81E83">
            <w:pPr>
              <w:pStyle w:val="SL-FlLftSgl"/>
              <w:jc w:val="right"/>
              <w:rPr>
                <w:sz w:val="20"/>
                <w:szCs w:val="20"/>
              </w:rPr>
            </w:pPr>
            <w:r>
              <w:rPr>
                <w:sz w:val="20"/>
                <w:szCs w:val="20"/>
              </w:rPr>
              <w:t>52.5</w:t>
            </w:r>
          </w:p>
        </w:tc>
        <w:tc>
          <w:tcPr>
            <w:tcW w:w="619" w:type="pct"/>
            <w:tcBorders>
              <w:top w:val="nil"/>
              <w:left w:val="nil"/>
              <w:bottom w:val="single" w:sz="24" w:space="0" w:color="auto"/>
              <w:right w:val="nil"/>
            </w:tcBorders>
            <w:vAlign w:val="bottom"/>
          </w:tcPr>
          <w:p w:rsidR="00C81E83" w:rsidRDefault="00C81E83">
            <w:pPr>
              <w:pStyle w:val="SL-FlLftSgl"/>
              <w:jc w:val="right"/>
              <w:rPr>
                <w:sz w:val="20"/>
                <w:szCs w:val="20"/>
              </w:rPr>
            </w:pPr>
            <w:r>
              <w:rPr>
                <w:sz w:val="20"/>
                <w:szCs w:val="20"/>
              </w:rPr>
              <w:t>86</w:t>
            </w:r>
          </w:p>
        </w:tc>
        <w:tc>
          <w:tcPr>
            <w:tcW w:w="928" w:type="pct"/>
            <w:tcBorders>
              <w:top w:val="nil"/>
              <w:left w:val="nil"/>
              <w:bottom w:val="single" w:sz="24" w:space="0" w:color="auto"/>
              <w:right w:val="nil"/>
            </w:tcBorders>
            <w:vAlign w:val="bottom"/>
          </w:tcPr>
          <w:p w:rsidR="00C81E83" w:rsidRDefault="00C81E83">
            <w:pPr>
              <w:pStyle w:val="SL-FlLftSgl"/>
              <w:jc w:val="right"/>
              <w:rPr>
                <w:sz w:val="20"/>
                <w:szCs w:val="20"/>
              </w:rPr>
            </w:pPr>
            <w:r>
              <w:rPr>
                <w:sz w:val="20"/>
                <w:szCs w:val="20"/>
              </w:rPr>
              <w:t>10</w:t>
            </w:r>
          </w:p>
        </w:tc>
        <w:tc>
          <w:tcPr>
            <w:tcW w:w="1035" w:type="pct"/>
            <w:tcBorders>
              <w:top w:val="nil"/>
              <w:left w:val="nil"/>
              <w:bottom w:val="single" w:sz="24" w:space="0" w:color="auto"/>
              <w:right w:val="nil"/>
            </w:tcBorders>
            <w:vAlign w:val="bottom"/>
          </w:tcPr>
          <w:p w:rsidR="00C81E83" w:rsidRDefault="00C81E83">
            <w:pPr>
              <w:pStyle w:val="SL-FlLftSgl"/>
              <w:ind w:right="58"/>
              <w:jc w:val="right"/>
              <w:rPr>
                <w:sz w:val="20"/>
                <w:szCs w:val="20"/>
              </w:rPr>
            </w:pPr>
            <w:r>
              <w:rPr>
                <w:sz w:val="20"/>
                <w:szCs w:val="20"/>
              </w:rPr>
              <w:t>4</w:t>
            </w:r>
          </w:p>
        </w:tc>
      </w:tr>
    </w:tbl>
    <w:p w:rsidR="00C81E83" w:rsidRDefault="00C81E83">
      <w:pPr>
        <w:pStyle w:val="FootnoteTable"/>
        <w:rPr>
          <w:sz w:val="20"/>
          <w:szCs w:val="20"/>
        </w:rPr>
      </w:pPr>
      <w:r>
        <w:rPr>
          <w:sz w:val="20"/>
          <w:szCs w:val="20"/>
          <w:vertAlign w:val="superscript"/>
        </w:rPr>
        <w:t>1</w:t>
      </w:r>
      <w:r>
        <w:rPr>
          <w:sz w:val="20"/>
          <w:szCs w:val="20"/>
          <w:vertAlign w:val="superscript"/>
        </w:rPr>
        <w:tab/>
      </w:r>
      <w:r>
        <w:rPr>
          <w:sz w:val="20"/>
          <w:szCs w:val="20"/>
        </w:rPr>
        <w:t>The NHES:1993 percentage of other nonresponse cases is higher than that in other survey years. The lower rate of refusals and the generally higher response rate in NHES:1993 are indicative of the fact that less refielding of other nonresponse cases was needed prior to ending data collection with an acceptable Screener response rate.</w:t>
      </w:r>
    </w:p>
    <w:p w:rsidR="00C81E83" w:rsidRDefault="00C81E83">
      <w:pPr>
        <w:pStyle w:val="FootnoteTable"/>
        <w:spacing w:line="220" w:lineRule="atLeast"/>
        <w:rPr>
          <w:sz w:val="20"/>
          <w:szCs w:val="20"/>
        </w:rPr>
      </w:pPr>
      <w:r>
        <w:rPr>
          <w:sz w:val="20"/>
          <w:szCs w:val="20"/>
        </w:rPr>
        <w:t>NOTE: To avoid any differences in rates that might be attributable to the calculation method, all unit response rates given here were calculated using the business office method. Therefore, response rates given here are somewhat different than the official response rates cited in survey reports and documentation.</w:t>
      </w:r>
      <w:r>
        <w:t xml:space="preserve"> </w:t>
      </w:r>
      <w:r>
        <w:rPr>
          <w:sz w:val="20"/>
          <w:szCs w:val="20"/>
        </w:rPr>
        <w:t>The official rates for 2001, 2003, and 2005 use the survival method. The official rate for 2007 uses the vendor-assisted method. See chapter 4 of Hagedorn et al. (forthcoming) for details on the methods for computing response rates. The number of household members enumerated in each data collection differed according to the sample requirements of the topical surveys conducted in the specific year. Maximum call cases are those that received at least eight call attempts during which contact was made with a person on at least one occasion, yet the Screener was not completed.  Most maximum call cases in NHES had 20 attempts.  Other nonresponse includes cases with language problems, no-answer and answering machine calls (downweighted to reflect the appropriate proportion assumed to be residential), and other forms of nonresponse. Detail may not sum to totals because of rounding.</w:t>
      </w:r>
    </w:p>
    <w:p w:rsidR="00C81E83" w:rsidRDefault="00C81E83">
      <w:pPr>
        <w:pStyle w:val="P1-StandPara"/>
        <w:spacing w:before="40" w:line="220" w:lineRule="atLeast"/>
        <w:ind w:firstLine="0"/>
      </w:pPr>
      <w:r>
        <w:rPr>
          <w:sz w:val="20"/>
          <w:szCs w:val="20"/>
        </w:rPr>
        <w:t>SOURCE: U.S. Department of Education, National Center for Education Statistics, National Household Education Surveys Program (NHES), selected years, 1991-2007.</w:t>
      </w:r>
    </w:p>
    <w:p w:rsidR="00C81E83" w:rsidRDefault="00C81E83">
      <w:pPr>
        <w:pStyle w:val="P1-StandPara"/>
        <w:spacing w:line="340" w:lineRule="atLeast"/>
      </w:pPr>
    </w:p>
    <w:p w:rsidR="00C81E83" w:rsidRDefault="00C81E83">
      <w:pPr>
        <w:pStyle w:val="P1-StandPara"/>
        <w:spacing w:line="340" w:lineRule="atLeast"/>
      </w:pPr>
      <w:r>
        <w:t>Meanwhile, with the increasing prevalence of households having only cellular telephone service, landline telephone coverage rates have declined from about 93 percent of households in early 2004 to about 80 percent of households in the first half of 2008 (Blumberg and Luke 2008).</w:t>
      </w:r>
    </w:p>
    <w:p w:rsidR="00C81E83" w:rsidRDefault="00C81E83">
      <w:pPr>
        <w:pStyle w:val="TT-TableTitle"/>
      </w:pPr>
      <w:bookmarkStart w:id="10" w:name="_Toc181176998"/>
      <w:bookmarkStart w:id="11" w:name="_Toc110220551"/>
    </w:p>
    <w:p w:rsidR="00C81E83" w:rsidRDefault="00C81E83">
      <w:pPr>
        <w:spacing w:line="340" w:lineRule="atLeast"/>
        <w:ind w:firstLine="1152"/>
        <w:jc w:val="both"/>
        <w:rPr>
          <w:sz w:val="22"/>
          <w:szCs w:val="22"/>
        </w:rPr>
      </w:pPr>
      <w:r>
        <w:rPr>
          <w:sz w:val="22"/>
          <w:szCs w:val="22"/>
        </w:rPr>
        <w:t>As a result of the precipitous declines in response and coverage rates, NHES is undergoing a redesign, examining alternatives to a RDD telephone survey methodology.  The proposed alternative methodology uses a multi-mode approach with an address-based sample, a contact strategy that relies primarily on mail data collection, and includes several experiments that may affect the cost of and response to NHES.  The original plan called for a large-scale Field Test of the new methodology in winter/spring 2010; however, due to a moratorium on Federal household data collection during the decennial census, the data collection for the large-scale Field Test has been delayed to 2011.</w:t>
      </w:r>
    </w:p>
    <w:p w:rsidR="00C81E83" w:rsidRDefault="00C81E83">
      <w:pPr>
        <w:spacing w:line="340" w:lineRule="atLeast"/>
        <w:ind w:firstLine="1152"/>
        <w:jc w:val="both"/>
        <w:rPr>
          <w:sz w:val="22"/>
          <w:szCs w:val="22"/>
        </w:rPr>
      </w:pPr>
    </w:p>
    <w:p w:rsidR="00C81E83" w:rsidRDefault="00C81E83">
      <w:pPr>
        <w:spacing w:line="340" w:lineRule="atLeast"/>
        <w:ind w:firstLine="1152"/>
        <w:jc w:val="both"/>
        <w:rPr>
          <w:sz w:val="22"/>
          <w:szCs w:val="22"/>
        </w:rPr>
      </w:pPr>
      <w:r>
        <w:rPr>
          <w:sz w:val="22"/>
          <w:szCs w:val="22"/>
        </w:rPr>
        <w:t>In an effort to test operational and experimental elements of the new design, a smaller-scale Pilot Test is planned, to be conducted in the fall of 2009 with a reduced sample (approximately 10 percent of the anticipated 2011 Field Test sample size).  The data collection schedule for the Pilot Test is given in section A.17.  It is anticipated that the field period for the Pilot Test will start in early September 2009 and finish by mid-December 2009.  Under this schedule, it is anticipated that the PFI questionnaire will need to be modified slightly for the Pilot Test (relative to the questionnaire that is planned for the NHES:2011 Field Test) as a result of the data collection occurring very early in the school year.</w:t>
      </w:r>
    </w:p>
    <w:p w:rsidR="00C81E83" w:rsidRDefault="00C81E83">
      <w:pPr>
        <w:spacing w:line="340" w:lineRule="atLeast"/>
        <w:ind w:firstLine="1152"/>
        <w:jc w:val="both"/>
        <w:rPr>
          <w:sz w:val="22"/>
          <w:szCs w:val="22"/>
        </w:rPr>
      </w:pPr>
    </w:p>
    <w:p w:rsidR="00C81E83" w:rsidRDefault="00C81E83">
      <w:pPr>
        <w:spacing w:line="340" w:lineRule="atLeast"/>
        <w:ind w:firstLine="1152"/>
        <w:jc w:val="both"/>
        <w:rPr>
          <w:sz w:val="22"/>
          <w:szCs w:val="22"/>
        </w:rPr>
      </w:pPr>
    </w:p>
    <w:bookmarkEnd w:id="10"/>
    <w:bookmarkEnd w:id="11"/>
    <w:p w:rsidR="00C81E83" w:rsidRDefault="00C81E83">
      <w:pPr>
        <w:pStyle w:val="Heading3"/>
        <w:keepNext w:val="0"/>
        <w:spacing w:after="0" w:line="340" w:lineRule="atLeast"/>
        <w:ind w:left="0" w:firstLine="1152"/>
        <w:jc w:val="both"/>
      </w:pPr>
      <w:r>
        <w:t>NHES:2009 Pilot Test Surveys</w:t>
      </w:r>
    </w:p>
    <w:p w:rsidR="00C81E83" w:rsidRDefault="00C81E83">
      <w:pPr>
        <w:tabs>
          <w:tab w:val="left" w:pos="0"/>
          <w:tab w:val="left" w:pos="972"/>
          <w:tab w:val="left" w:pos="1440"/>
        </w:tabs>
        <w:spacing w:line="340" w:lineRule="atLeast"/>
        <w:ind w:firstLine="1152"/>
        <w:jc w:val="both"/>
        <w:rPr>
          <w:sz w:val="22"/>
          <w:szCs w:val="22"/>
        </w:rPr>
      </w:pPr>
    </w:p>
    <w:p w:rsidR="00C81E83" w:rsidRDefault="00C81E83">
      <w:pPr>
        <w:pStyle w:val="SL-FlLftSgl"/>
        <w:tabs>
          <w:tab w:val="left" w:pos="0"/>
          <w:tab w:val="left" w:pos="972"/>
          <w:tab w:val="left" w:pos="1440"/>
        </w:tabs>
        <w:spacing w:line="340" w:lineRule="atLeast"/>
        <w:ind w:firstLine="1152"/>
      </w:pPr>
      <w:r>
        <w:t>As shown in exhibit 1, each administration of NHES has included more than one topical survey.  NHES:2009 includes two surveys: the Parent and Family Involvement in Education Survey (PFI), and the Early Childhood Program Participation Survey (ECPP).  These two surveys are repeated administrations of topics shown in the exhibit below, but have been adapted for administration under a new methodological design.  The instruments are described in detail in Part C of this document and appear in appendix A.</w:t>
      </w:r>
    </w:p>
    <w:p w:rsidR="00C81E83" w:rsidRDefault="00C81E83">
      <w:pPr>
        <w:tabs>
          <w:tab w:val="left" w:pos="0"/>
          <w:tab w:val="left" w:pos="972"/>
          <w:tab w:val="left" w:pos="1440"/>
        </w:tabs>
        <w:spacing w:line="360" w:lineRule="atLeast"/>
        <w:ind w:firstLine="1152"/>
        <w:jc w:val="both"/>
        <w:rPr>
          <w:sz w:val="22"/>
          <w:szCs w:val="22"/>
        </w:rPr>
      </w:pPr>
    </w:p>
    <w:p w:rsidR="00C81E83" w:rsidRDefault="00C81E83">
      <w:pPr>
        <w:ind w:left="1109" w:hanging="1109"/>
      </w:pPr>
    </w:p>
    <w:p w:rsidR="00C81E83" w:rsidRDefault="00C81E83">
      <w:pPr>
        <w:ind w:left="1152" w:hanging="1152"/>
        <w:rPr>
          <w:b/>
          <w:bCs/>
          <w:sz w:val="22"/>
          <w:szCs w:val="22"/>
        </w:rPr>
      </w:pPr>
      <w:r>
        <w:rPr>
          <w:b/>
          <w:bCs/>
          <w:sz w:val="22"/>
          <w:szCs w:val="22"/>
        </w:rPr>
        <w:t>Exhibit 1.</w:t>
      </w:r>
      <w:r>
        <w:rPr>
          <w:b/>
          <w:bCs/>
          <w:sz w:val="22"/>
          <w:szCs w:val="22"/>
        </w:rPr>
        <w:t> </w:t>
      </w:r>
      <w:r>
        <w:rPr>
          <w:b/>
          <w:bCs/>
          <w:sz w:val="22"/>
          <w:szCs w:val="22"/>
        </w:rPr>
        <w:t> </w:t>
      </w:r>
      <w:r>
        <w:rPr>
          <w:b/>
          <w:bCs/>
          <w:sz w:val="22"/>
          <w:szCs w:val="22"/>
        </w:rPr>
        <w:t>Surv</w:t>
      </w:r>
      <w:r>
        <w:rPr>
          <w:rStyle w:val="BodyTextIndentChar"/>
          <w:b/>
          <w:bCs/>
        </w:rPr>
        <w:t>e</w:t>
      </w:r>
      <w:r>
        <w:rPr>
          <w:b/>
          <w:bCs/>
          <w:sz w:val="22"/>
          <w:szCs w:val="22"/>
        </w:rPr>
        <w:t xml:space="preserve">ys conducted under the National Household Education Surveys Program, </w:t>
      </w:r>
      <w:r>
        <w:rPr>
          <w:b/>
          <w:bCs/>
          <w:sz w:val="22"/>
          <w:szCs w:val="22"/>
        </w:rPr>
        <w:br/>
        <w:t>by years administered: 1991 through 2007</w:t>
      </w:r>
    </w:p>
    <w:p w:rsidR="00C81E83" w:rsidRDefault="00C81E83">
      <w:pPr>
        <w:pStyle w:val="SL-FlLftSgl"/>
        <w:tabs>
          <w:tab w:val="left" w:pos="0"/>
          <w:tab w:val="left" w:pos="972"/>
          <w:tab w:val="left" w:pos="1440"/>
        </w:tabs>
        <w:suppressAutoHyphens/>
        <w:spacing w:line="240" w:lineRule="auto"/>
        <w:rPr>
          <w:spacing w:val="-2"/>
        </w:rPr>
      </w:pPr>
    </w:p>
    <w:tbl>
      <w:tblPr>
        <w:tblW w:w="9540"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3080"/>
        <w:gridCol w:w="717"/>
        <w:gridCol w:w="718"/>
        <w:gridCol w:w="718"/>
        <w:gridCol w:w="718"/>
        <w:gridCol w:w="717"/>
        <w:gridCol w:w="718"/>
        <w:gridCol w:w="718"/>
        <w:gridCol w:w="718"/>
        <w:gridCol w:w="718"/>
      </w:tblGrid>
      <w:tr w:rsidR="00C81E83">
        <w:trPr>
          <w:cantSplit/>
        </w:trPr>
        <w:tc>
          <w:tcPr>
            <w:tcW w:w="3080" w:type="dxa"/>
            <w:vMerge w:val="restart"/>
            <w:tcBorders>
              <w:top w:val="single" w:sz="24" w:space="0" w:color="auto"/>
              <w:left w:val="nil"/>
              <w:bottom w:val="nil"/>
              <w:right w:val="nil"/>
            </w:tcBorders>
            <w:vAlign w:val="bottom"/>
          </w:tcPr>
          <w:p w:rsidR="00C81E83" w:rsidRDefault="00C81E83">
            <w:pPr>
              <w:pStyle w:val="SL-FlLftSgl"/>
              <w:jc w:val="left"/>
              <w:rPr>
                <w:sz w:val="20"/>
                <w:szCs w:val="20"/>
              </w:rPr>
            </w:pPr>
            <w:r>
              <w:rPr>
                <w:sz w:val="20"/>
                <w:szCs w:val="20"/>
              </w:rPr>
              <w:t>Survey topics</w:t>
            </w:r>
          </w:p>
        </w:tc>
        <w:tc>
          <w:tcPr>
            <w:tcW w:w="6460" w:type="dxa"/>
            <w:gridSpan w:val="9"/>
            <w:tcBorders>
              <w:top w:val="single" w:sz="24" w:space="0" w:color="auto"/>
              <w:left w:val="nil"/>
              <w:bottom w:val="single" w:sz="4" w:space="0" w:color="auto"/>
              <w:right w:val="nil"/>
            </w:tcBorders>
            <w:vAlign w:val="center"/>
          </w:tcPr>
          <w:p w:rsidR="00C81E83" w:rsidRDefault="00C81E83">
            <w:pPr>
              <w:pStyle w:val="SL-FlLftSgl"/>
              <w:jc w:val="center"/>
              <w:rPr>
                <w:sz w:val="20"/>
                <w:szCs w:val="20"/>
              </w:rPr>
            </w:pPr>
            <w:r>
              <w:rPr>
                <w:sz w:val="20"/>
                <w:szCs w:val="20"/>
              </w:rPr>
              <w:t>NHES survey administration</w:t>
            </w:r>
          </w:p>
        </w:tc>
      </w:tr>
      <w:tr w:rsidR="00C81E83">
        <w:trPr>
          <w:cantSplit/>
        </w:trPr>
        <w:tc>
          <w:tcPr>
            <w:tcW w:w="3080" w:type="dxa"/>
            <w:vMerge/>
            <w:tcBorders>
              <w:top w:val="nil"/>
              <w:left w:val="nil"/>
              <w:bottom w:val="single" w:sz="18" w:space="0" w:color="auto"/>
              <w:right w:val="nil"/>
            </w:tcBorders>
            <w:vAlign w:val="center"/>
          </w:tcPr>
          <w:p w:rsidR="00C81E83" w:rsidRDefault="00C81E83">
            <w:pPr>
              <w:pStyle w:val="SL-FlLftSgl"/>
              <w:jc w:val="right"/>
              <w:rPr>
                <w:sz w:val="20"/>
                <w:szCs w:val="20"/>
              </w:rPr>
            </w:pPr>
          </w:p>
        </w:tc>
        <w:tc>
          <w:tcPr>
            <w:tcW w:w="717" w:type="dxa"/>
            <w:tcBorders>
              <w:top w:val="single" w:sz="4" w:space="0" w:color="auto"/>
              <w:left w:val="nil"/>
              <w:bottom w:val="single" w:sz="18" w:space="0" w:color="auto"/>
              <w:right w:val="nil"/>
            </w:tcBorders>
            <w:vAlign w:val="bottom"/>
          </w:tcPr>
          <w:p w:rsidR="00C81E83" w:rsidRDefault="00C81E83">
            <w:pPr>
              <w:pStyle w:val="SL-FlLftSgl"/>
              <w:jc w:val="right"/>
              <w:rPr>
                <w:sz w:val="20"/>
                <w:szCs w:val="20"/>
              </w:rPr>
            </w:pPr>
            <w:r>
              <w:rPr>
                <w:sz w:val="20"/>
                <w:szCs w:val="20"/>
              </w:rPr>
              <w:t>1991</w:t>
            </w:r>
          </w:p>
        </w:tc>
        <w:tc>
          <w:tcPr>
            <w:tcW w:w="718" w:type="dxa"/>
            <w:tcBorders>
              <w:top w:val="single" w:sz="4" w:space="0" w:color="auto"/>
              <w:left w:val="nil"/>
              <w:bottom w:val="single" w:sz="18" w:space="0" w:color="auto"/>
              <w:right w:val="nil"/>
            </w:tcBorders>
            <w:vAlign w:val="bottom"/>
          </w:tcPr>
          <w:p w:rsidR="00C81E83" w:rsidRDefault="00C81E83">
            <w:pPr>
              <w:pStyle w:val="SL-FlLftSgl"/>
              <w:jc w:val="right"/>
              <w:rPr>
                <w:sz w:val="20"/>
                <w:szCs w:val="20"/>
              </w:rPr>
            </w:pPr>
            <w:r>
              <w:rPr>
                <w:sz w:val="20"/>
                <w:szCs w:val="20"/>
              </w:rPr>
              <w:t>1993</w:t>
            </w:r>
          </w:p>
        </w:tc>
        <w:tc>
          <w:tcPr>
            <w:tcW w:w="718" w:type="dxa"/>
            <w:tcBorders>
              <w:top w:val="single" w:sz="4" w:space="0" w:color="auto"/>
              <w:left w:val="nil"/>
              <w:bottom w:val="single" w:sz="18" w:space="0" w:color="auto"/>
              <w:right w:val="nil"/>
            </w:tcBorders>
            <w:vAlign w:val="bottom"/>
          </w:tcPr>
          <w:p w:rsidR="00C81E83" w:rsidRDefault="00C81E83">
            <w:pPr>
              <w:pStyle w:val="SL-FlLftSgl"/>
              <w:jc w:val="right"/>
              <w:rPr>
                <w:sz w:val="20"/>
                <w:szCs w:val="20"/>
              </w:rPr>
            </w:pPr>
            <w:r>
              <w:rPr>
                <w:sz w:val="20"/>
                <w:szCs w:val="20"/>
              </w:rPr>
              <w:t>1995</w:t>
            </w:r>
          </w:p>
        </w:tc>
        <w:tc>
          <w:tcPr>
            <w:tcW w:w="718" w:type="dxa"/>
            <w:tcBorders>
              <w:top w:val="single" w:sz="4" w:space="0" w:color="auto"/>
              <w:left w:val="nil"/>
              <w:bottom w:val="single" w:sz="18" w:space="0" w:color="auto"/>
              <w:right w:val="nil"/>
            </w:tcBorders>
            <w:vAlign w:val="bottom"/>
          </w:tcPr>
          <w:p w:rsidR="00C81E83" w:rsidRDefault="00C81E83">
            <w:pPr>
              <w:pStyle w:val="SL-FlLftSgl"/>
              <w:jc w:val="right"/>
              <w:rPr>
                <w:sz w:val="20"/>
                <w:szCs w:val="20"/>
              </w:rPr>
            </w:pPr>
            <w:r>
              <w:rPr>
                <w:sz w:val="20"/>
                <w:szCs w:val="20"/>
              </w:rPr>
              <w:t>1996</w:t>
            </w:r>
          </w:p>
        </w:tc>
        <w:tc>
          <w:tcPr>
            <w:tcW w:w="717" w:type="dxa"/>
            <w:tcBorders>
              <w:top w:val="single" w:sz="4" w:space="0" w:color="auto"/>
              <w:left w:val="nil"/>
              <w:bottom w:val="single" w:sz="18" w:space="0" w:color="auto"/>
              <w:right w:val="nil"/>
            </w:tcBorders>
            <w:vAlign w:val="bottom"/>
          </w:tcPr>
          <w:p w:rsidR="00C81E83" w:rsidRDefault="00C81E83">
            <w:pPr>
              <w:pStyle w:val="SL-FlLftSgl"/>
              <w:jc w:val="right"/>
              <w:rPr>
                <w:sz w:val="20"/>
                <w:szCs w:val="20"/>
                <w:vertAlign w:val="superscript"/>
              </w:rPr>
            </w:pPr>
            <w:r>
              <w:rPr>
                <w:sz w:val="20"/>
                <w:szCs w:val="20"/>
              </w:rPr>
              <w:t>1999</w:t>
            </w:r>
            <w:r>
              <w:rPr>
                <w:sz w:val="20"/>
                <w:szCs w:val="20"/>
                <w:vertAlign w:val="superscript"/>
              </w:rPr>
              <w:t>1</w:t>
            </w:r>
          </w:p>
        </w:tc>
        <w:tc>
          <w:tcPr>
            <w:tcW w:w="718" w:type="dxa"/>
            <w:tcBorders>
              <w:top w:val="single" w:sz="4" w:space="0" w:color="auto"/>
              <w:left w:val="nil"/>
              <w:bottom w:val="single" w:sz="18" w:space="0" w:color="auto"/>
              <w:right w:val="nil"/>
            </w:tcBorders>
            <w:vAlign w:val="bottom"/>
          </w:tcPr>
          <w:p w:rsidR="00C81E83" w:rsidRDefault="00C81E83">
            <w:pPr>
              <w:pStyle w:val="SL-FlLftSgl"/>
              <w:jc w:val="right"/>
              <w:rPr>
                <w:sz w:val="20"/>
                <w:szCs w:val="20"/>
              </w:rPr>
            </w:pPr>
            <w:r>
              <w:rPr>
                <w:sz w:val="20"/>
                <w:szCs w:val="20"/>
              </w:rPr>
              <w:t>2001</w:t>
            </w:r>
          </w:p>
        </w:tc>
        <w:tc>
          <w:tcPr>
            <w:tcW w:w="718" w:type="dxa"/>
            <w:tcBorders>
              <w:top w:val="single" w:sz="4" w:space="0" w:color="auto"/>
              <w:left w:val="nil"/>
              <w:bottom w:val="single" w:sz="18" w:space="0" w:color="auto"/>
              <w:right w:val="nil"/>
            </w:tcBorders>
            <w:vAlign w:val="bottom"/>
          </w:tcPr>
          <w:p w:rsidR="00C81E83" w:rsidRDefault="00C81E83">
            <w:pPr>
              <w:pStyle w:val="SL-FlLftSgl"/>
              <w:jc w:val="right"/>
              <w:rPr>
                <w:sz w:val="20"/>
                <w:szCs w:val="20"/>
              </w:rPr>
            </w:pPr>
            <w:r>
              <w:rPr>
                <w:sz w:val="20"/>
                <w:szCs w:val="20"/>
              </w:rPr>
              <w:t>2003</w:t>
            </w:r>
          </w:p>
        </w:tc>
        <w:tc>
          <w:tcPr>
            <w:tcW w:w="718" w:type="dxa"/>
            <w:tcBorders>
              <w:top w:val="single" w:sz="4" w:space="0" w:color="auto"/>
              <w:left w:val="nil"/>
              <w:bottom w:val="single" w:sz="18" w:space="0" w:color="auto"/>
              <w:right w:val="nil"/>
            </w:tcBorders>
            <w:vAlign w:val="bottom"/>
          </w:tcPr>
          <w:p w:rsidR="00C81E83" w:rsidRDefault="00C81E83">
            <w:pPr>
              <w:pStyle w:val="SL-FlLftSgl"/>
              <w:jc w:val="right"/>
              <w:rPr>
                <w:sz w:val="20"/>
                <w:szCs w:val="20"/>
              </w:rPr>
            </w:pPr>
            <w:r>
              <w:rPr>
                <w:sz w:val="20"/>
                <w:szCs w:val="20"/>
              </w:rPr>
              <w:t>2005</w:t>
            </w:r>
          </w:p>
        </w:tc>
        <w:tc>
          <w:tcPr>
            <w:tcW w:w="718" w:type="dxa"/>
            <w:tcBorders>
              <w:top w:val="single" w:sz="4" w:space="0" w:color="auto"/>
              <w:left w:val="nil"/>
              <w:bottom w:val="single" w:sz="18" w:space="0" w:color="auto"/>
              <w:right w:val="nil"/>
            </w:tcBorders>
            <w:vAlign w:val="bottom"/>
          </w:tcPr>
          <w:p w:rsidR="00C81E83" w:rsidRDefault="00C81E83">
            <w:pPr>
              <w:pStyle w:val="SL-FlLftSgl"/>
              <w:jc w:val="right"/>
              <w:rPr>
                <w:sz w:val="20"/>
                <w:szCs w:val="20"/>
              </w:rPr>
            </w:pPr>
            <w:r>
              <w:rPr>
                <w:sz w:val="20"/>
                <w:szCs w:val="20"/>
              </w:rPr>
              <w:t>2007</w:t>
            </w:r>
          </w:p>
        </w:tc>
      </w:tr>
      <w:tr w:rsidR="00C81E83">
        <w:trPr>
          <w:cantSplit/>
        </w:trPr>
        <w:tc>
          <w:tcPr>
            <w:tcW w:w="3080" w:type="dxa"/>
            <w:tcBorders>
              <w:top w:val="nil"/>
              <w:left w:val="nil"/>
              <w:bottom w:val="nil"/>
              <w:right w:val="nil"/>
            </w:tcBorders>
            <w:vAlign w:val="center"/>
          </w:tcPr>
          <w:p w:rsidR="00C81E83" w:rsidRDefault="00C81E83">
            <w:pPr>
              <w:pStyle w:val="SL-FlLftSgl"/>
              <w:jc w:val="left"/>
              <w:rPr>
                <w:sz w:val="20"/>
                <w:szCs w:val="20"/>
              </w:rPr>
            </w:pPr>
            <w:r>
              <w:rPr>
                <w:sz w:val="20"/>
                <w:szCs w:val="20"/>
              </w:rPr>
              <w:t xml:space="preserve">Early childhood education/program </w:t>
            </w:r>
            <w:r>
              <w:rPr>
                <w:sz w:val="20"/>
                <w:szCs w:val="20"/>
              </w:rPr>
              <w:br/>
            </w:r>
            <w:r>
              <w:rPr>
                <w:sz w:val="20"/>
                <w:szCs w:val="20"/>
              </w:rPr>
              <w:t> </w:t>
            </w:r>
            <w:r>
              <w:rPr>
                <w:sz w:val="20"/>
                <w:szCs w:val="20"/>
              </w:rPr>
              <w:t> </w:t>
            </w:r>
            <w:r>
              <w:rPr>
                <w:sz w:val="20"/>
                <w:szCs w:val="20"/>
              </w:rPr>
              <w:t> </w:t>
            </w:r>
            <w:r>
              <w:rPr>
                <w:sz w:val="20"/>
                <w:szCs w:val="20"/>
              </w:rPr>
              <w:t>participation</w:t>
            </w:r>
          </w:p>
        </w:tc>
        <w:tc>
          <w:tcPr>
            <w:tcW w:w="717" w:type="dxa"/>
            <w:tcBorders>
              <w:top w:val="nil"/>
              <w:left w:val="nil"/>
              <w:bottom w:val="nil"/>
              <w:right w:val="nil"/>
            </w:tcBorders>
            <w:vAlign w:val="bottom"/>
          </w:tcPr>
          <w:p w:rsidR="00C81E83" w:rsidRDefault="00C81E83">
            <w:pPr>
              <w:pStyle w:val="SL-FlLftSgl"/>
              <w:jc w:val="right"/>
              <w:rPr>
                <w:sz w:val="20"/>
                <w:szCs w:val="20"/>
              </w:rPr>
            </w:pPr>
            <w:r>
              <w:rPr>
                <w:sz w:val="20"/>
                <w:szCs w:val="20"/>
              </w:rPr>
              <w:t>√</w:t>
            </w:r>
          </w:p>
        </w:tc>
        <w:tc>
          <w:tcPr>
            <w:tcW w:w="718" w:type="dxa"/>
            <w:tcBorders>
              <w:top w:val="nil"/>
              <w:left w:val="nil"/>
              <w:bottom w:val="nil"/>
              <w:right w:val="nil"/>
            </w:tcBorders>
            <w:vAlign w:val="bottom"/>
          </w:tcPr>
          <w:p w:rsidR="00C81E83" w:rsidRDefault="00C81E83">
            <w:pPr>
              <w:pStyle w:val="SL-FlLftSgl"/>
              <w:jc w:val="right"/>
              <w:rPr>
                <w:sz w:val="20"/>
                <w:szCs w:val="20"/>
              </w:rPr>
            </w:pPr>
          </w:p>
        </w:tc>
        <w:tc>
          <w:tcPr>
            <w:tcW w:w="718" w:type="dxa"/>
            <w:tcBorders>
              <w:top w:val="nil"/>
              <w:left w:val="nil"/>
              <w:bottom w:val="nil"/>
              <w:right w:val="nil"/>
            </w:tcBorders>
            <w:vAlign w:val="bottom"/>
          </w:tcPr>
          <w:p w:rsidR="00C81E83" w:rsidRDefault="00C81E83">
            <w:pPr>
              <w:pStyle w:val="SL-FlLftSgl"/>
              <w:jc w:val="right"/>
              <w:rPr>
                <w:sz w:val="20"/>
                <w:szCs w:val="20"/>
              </w:rPr>
            </w:pPr>
            <w:r>
              <w:rPr>
                <w:sz w:val="20"/>
                <w:szCs w:val="20"/>
              </w:rPr>
              <w:t>√</w:t>
            </w:r>
          </w:p>
        </w:tc>
        <w:tc>
          <w:tcPr>
            <w:tcW w:w="718" w:type="dxa"/>
            <w:tcBorders>
              <w:top w:val="nil"/>
              <w:left w:val="nil"/>
              <w:bottom w:val="nil"/>
              <w:right w:val="nil"/>
            </w:tcBorders>
            <w:vAlign w:val="bottom"/>
          </w:tcPr>
          <w:p w:rsidR="00C81E83" w:rsidRDefault="00C81E83">
            <w:pPr>
              <w:pStyle w:val="SL-FlLftSgl"/>
              <w:jc w:val="right"/>
              <w:rPr>
                <w:sz w:val="20"/>
                <w:szCs w:val="20"/>
              </w:rPr>
            </w:pPr>
          </w:p>
        </w:tc>
        <w:tc>
          <w:tcPr>
            <w:tcW w:w="717" w:type="dxa"/>
            <w:tcBorders>
              <w:top w:val="nil"/>
              <w:left w:val="nil"/>
              <w:bottom w:val="nil"/>
              <w:right w:val="nil"/>
            </w:tcBorders>
            <w:vAlign w:val="bottom"/>
          </w:tcPr>
          <w:p w:rsidR="00C81E83" w:rsidRDefault="00C81E83">
            <w:pPr>
              <w:pStyle w:val="SL-FlLftSgl"/>
              <w:jc w:val="right"/>
              <w:rPr>
                <w:sz w:val="20"/>
                <w:szCs w:val="20"/>
              </w:rPr>
            </w:pPr>
            <w:r>
              <w:rPr>
                <w:sz w:val="20"/>
                <w:szCs w:val="20"/>
              </w:rPr>
              <w:t>√</w:t>
            </w:r>
          </w:p>
        </w:tc>
        <w:tc>
          <w:tcPr>
            <w:tcW w:w="718" w:type="dxa"/>
            <w:tcBorders>
              <w:top w:val="nil"/>
              <w:left w:val="nil"/>
              <w:bottom w:val="nil"/>
              <w:right w:val="nil"/>
            </w:tcBorders>
            <w:vAlign w:val="bottom"/>
          </w:tcPr>
          <w:p w:rsidR="00C81E83" w:rsidRDefault="00C81E83">
            <w:pPr>
              <w:pStyle w:val="SL-FlLftSgl"/>
              <w:jc w:val="right"/>
              <w:rPr>
                <w:sz w:val="20"/>
                <w:szCs w:val="20"/>
              </w:rPr>
            </w:pPr>
            <w:r>
              <w:rPr>
                <w:sz w:val="20"/>
                <w:szCs w:val="20"/>
              </w:rPr>
              <w:t>√</w:t>
            </w:r>
          </w:p>
        </w:tc>
        <w:tc>
          <w:tcPr>
            <w:tcW w:w="718" w:type="dxa"/>
            <w:tcBorders>
              <w:top w:val="single" w:sz="18" w:space="0" w:color="auto"/>
              <w:left w:val="nil"/>
              <w:bottom w:val="nil"/>
              <w:right w:val="nil"/>
            </w:tcBorders>
            <w:vAlign w:val="bottom"/>
          </w:tcPr>
          <w:p w:rsidR="00C81E83" w:rsidRDefault="00C81E83">
            <w:pPr>
              <w:pStyle w:val="SL-FlLftSgl"/>
              <w:jc w:val="right"/>
              <w:rPr>
                <w:sz w:val="20"/>
                <w:szCs w:val="20"/>
              </w:rPr>
            </w:pPr>
          </w:p>
        </w:tc>
        <w:tc>
          <w:tcPr>
            <w:tcW w:w="718" w:type="dxa"/>
            <w:tcBorders>
              <w:top w:val="single" w:sz="18" w:space="0" w:color="auto"/>
              <w:left w:val="nil"/>
              <w:bottom w:val="nil"/>
              <w:right w:val="nil"/>
            </w:tcBorders>
            <w:vAlign w:val="bottom"/>
          </w:tcPr>
          <w:p w:rsidR="00C81E83" w:rsidRDefault="00C81E83">
            <w:pPr>
              <w:pStyle w:val="SL-FlLftSgl"/>
              <w:jc w:val="right"/>
              <w:rPr>
                <w:sz w:val="20"/>
                <w:szCs w:val="20"/>
              </w:rPr>
            </w:pPr>
            <w:r>
              <w:rPr>
                <w:sz w:val="20"/>
                <w:szCs w:val="20"/>
              </w:rPr>
              <w:t>√</w:t>
            </w:r>
          </w:p>
        </w:tc>
        <w:tc>
          <w:tcPr>
            <w:tcW w:w="718" w:type="dxa"/>
            <w:tcBorders>
              <w:top w:val="single" w:sz="18" w:space="0" w:color="auto"/>
              <w:left w:val="nil"/>
              <w:bottom w:val="nil"/>
              <w:right w:val="nil"/>
            </w:tcBorders>
            <w:vAlign w:val="bottom"/>
          </w:tcPr>
          <w:p w:rsidR="00C81E83" w:rsidRDefault="00C81E83">
            <w:pPr>
              <w:pStyle w:val="SL-FlLftSgl"/>
              <w:jc w:val="right"/>
              <w:rPr>
                <w:sz w:val="20"/>
                <w:szCs w:val="20"/>
              </w:rPr>
            </w:pPr>
          </w:p>
        </w:tc>
      </w:tr>
      <w:tr w:rsidR="00C81E83">
        <w:trPr>
          <w:cantSplit/>
        </w:trPr>
        <w:tc>
          <w:tcPr>
            <w:tcW w:w="3080" w:type="dxa"/>
            <w:tcBorders>
              <w:top w:val="nil"/>
              <w:left w:val="nil"/>
              <w:bottom w:val="nil"/>
              <w:right w:val="nil"/>
            </w:tcBorders>
            <w:vAlign w:val="center"/>
          </w:tcPr>
          <w:p w:rsidR="00C81E83" w:rsidRDefault="00C81E83">
            <w:pPr>
              <w:pStyle w:val="SL-FlLftSgl"/>
              <w:jc w:val="left"/>
              <w:rPr>
                <w:sz w:val="20"/>
                <w:szCs w:val="20"/>
              </w:rPr>
            </w:pPr>
            <w:r>
              <w:rPr>
                <w:sz w:val="20"/>
                <w:szCs w:val="20"/>
              </w:rPr>
              <w:t>Adult education</w:t>
            </w:r>
          </w:p>
        </w:tc>
        <w:tc>
          <w:tcPr>
            <w:tcW w:w="717" w:type="dxa"/>
            <w:tcBorders>
              <w:top w:val="nil"/>
              <w:left w:val="nil"/>
              <w:bottom w:val="nil"/>
              <w:right w:val="nil"/>
            </w:tcBorders>
            <w:vAlign w:val="bottom"/>
          </w:tcPr>
          <w:p w:rsidR="00C81E83" w:rsidRDefault="00C81E83">
            <w:pPr>
              <w:pStyle w:val="SL-FlLftSgl"/>
              <w:jc w:val="right"/>
              <w:rPr>
                <w:sz w:val="20"/>
                <w:szCs w:val="20"/>
              </w:rPr>
            </w:pPr>
            <w:r>
              <w:rPr>
                <w:sz w:val="20"/>
                <w:szCs w:val="20"/>
              </w:rPr>
              <w:t>√</w:t>
            </w:r>
          </w:p>
        </w:tc>
        <w:tc>
          <w:tcPr>
            <w:tcW w:w="718" w:type="dxa"/>
            <w:tcBorders>
              <w:top w:val="nil"/>
              <w:left w:val="nil"/>
              <w:bottom w:val="nil"/>
              <w:right w:val="nil"/>
            </w:tcBorders>
            <w:vAlign w:val="bottom"/>
          </w:tcPr>
          <w:p w:rsidR="00C81E83" w:rsidRDefault="00C81E83">
            <w:pPr>
              <w:pStyle w:val="SL-FlLftSgl"/>
              <w:jc w:val="right"/>
              <w:rPr>
                <w:sz w:val="20"/>
                <w:szCs w:val="20"/>
              </w:rPr>
            </w:pPr>
          </w:p>
        </w:tc>
        <w:tc>
          <w:tcPr>
            <w:tcW w:w="718" w:type="dxa"/>
            <w:tcBorders>
              <w:top w:val="nil"/>
              <w:left w:val="nil"/>
              <w:bottom w:val="nil"/>
              <w:right w:val="nil"/>
            </w:tcBorders>
            <w:vAlign w:val="bottom"/>
          </w:tcPr>
          <w:p w:rsidR="00C81E83" w:rsidRDefault="00C81E83">
            <w:pPr>
              <w:pStyle w:val="SL-FlLftSgl"/>
              <w:jc w:val="right"/>
              <w:rPr>
                <w:sz w:val="20"/>
                <w:szCs w:val="20"/>
              </w:rPr>
            </w:pPr>
            <w:r>
              <w:rPr>
                <w:sz w:val="20"/>
                <w:szCs w:val="20"/>
              </w:rPr>
              <w:t>√</w:t>
            </w:r>
          </w:p>
        </w:tc>
        <w:tc>
          <w:tcPr>
            <w:tcW w:w="718" w:type="dxa"/>
            <w:tcBorders>
              <w:top w:val="nil"/>
              <w:left w:val="nil"/>
              <w:bottom w:val="nil"/>
              <w:right w:val="nil"/>
            </w:tcBorders>
            <w:vAlign w:val="bottom"/>
          </w:tcPr>
          <w:p w:rsidR="00C81E83" w:rsidRDefault="00C81E83">
            <w:pPr>
              <w:pStyle w:val="SL-FlLftSgl"/>
              <w:jc w:val="right"/>
              <w:rPr>
                <w:sz w:val="20"/>
                <w:szCs w:val="20"/>
              </w:rPr>
            </w:pPr>
          </w:p>
        </w:tc>
        <w:tc>
          <w:tcPr>
            <w:tcW w:w="717" w:type="dxa"/>
            <w:tcBorders>
              <w:top w:val="nil"/>
              <w:left w:val="nil"/>
              <w:bottom w:val="nil"/>
              <w:right w:val="nil"/>
            </w:tcBorders>
            <w:vAlign w:val="bottom"/>
          </w:tcPr>
          <w:p w:rsidR="00C81E83" w:rsidRDefault="00C81E83">
            <w:pPr>
              <w:pStyle w:val="SL-FlLftSgl"/>
              <w:jc w:val="right"/>
              <w:rPr>
                <w:sz w:val="20"/>
                <w:szCs w:val="20"/>
              </w:rPr>
            </w:pPr>
            <w:r>
              <w:rPr>
                <w:sz w:val="20"/>
                <w:szCs w:val="20"/>
              </w:rPr>
              <w:t>√</w:t>
            </w:r>
          </w:p>
        </w:tc>
        <w:tc>
          <w:tcPr>
            <w:tcW w:w="718" w:type="dxa"/>
            <w:tcBorders>
              <w:top w:val="nil"/>
              <w:left w:val="nil"/>
              <w:bottom w:val="nil"/>
              <w:right w:val="nil"/>
            </w:tcBorders>
            <w:vAlign w:val="bottom"/>
          </w:tcPr>
          <w:p w:rsidR="00C81E83" w:rsidRDefault="00C81E83">
            <w:pPr>
              <w:pStyle w:val="SL-FlLftSgl"/>
              <w:jc w:val="right"/>
              <w:rPr>
                <w:sz w:val="20"/>
                <w:szCs w:val="20"/>
              </w:rPr>
            </w:pPr>
            <w:r>
              <w:rPr>
                <w:sz w:val="20"/>
                <w:szCs w:val="20"/>
              </w:rPr>
              <w:t>√</w:t>
            </w:r>
          </w:p>
        </w:tc>
        <w:tc>
          <w:tcPr>
            <w:tcW w:w="718" w:type="dxa"/>
            <w:tcBorders>
              <w:top w:val="nil"/>
              <w:left w:val="nil"/>
              <w:bottom w:val="nil"/>
              <w:right w:val="nil"/>
            </w:tcBorders>
            <w:vAlign w:val="bottom"/>
          </w:tcPr>
          <w:p w:rsidR="00C81E83" w:rsidRDefault="00C81E83">
            <w:pPr>
              <w:pStyle w:val="SL-FlLftSgl"/>
              <w:jc w:val="right"/>
              <w:rPr>
                <w:sz w:val="20"/>
                <w:szCs w:val="20"/>
              </w:rPr>
            </w:pPr>
            <w:r>
              <w:rPr>
                <w:sz w:val="20"/>
                <w:szCs w:val="20"/>
              </w:rPr>
              <w:t>√</w:t>
            </w:r>
          </w:p>
        </w:tc>
        <w:tc>
          <w:tcPr>
            <w:tcW w:w="718" w:type="dxa"/>
            <w:tcBorders>
              <w:top w:val="nil"/>
              <w:left w:val="nil"/>
              <w:bottom w:val="nil"/>
              <w:right w:val="nil"/>
            </w:tcBorders>
            <w:vAlign w:val="bottom"/>
          </w:tcPr>
          <w:p w:rsidR="00C81E83" w:rsidRDefault="00C81E83">
            <w:pPr>
              <w:pStyle w:val="SL-FlLftSgl"/>
              <w:jc w:val="right"/>
              <w:rPr>
                <w:sz w:val="20"/>
                <w:szCs w:val="20"/>
              </w:rPr>
            </w:pPr>
            <w:r>
              <w:rPr>
                <w:sz w:val="20"/>
                <w:szCs w:val="20"/>
              </w:rPr>
              <w:t>√</w:t>
            </w:r>
          </w:p>
        </w:tc>
        <w:tc>
          <w:tcPr>
            <w:tcW w:w="718" w:type="dxa"/>
            <w:tcBorders>
              <w:top w:val="nil"/>
              <w:left w:val="nil"/>
              <w:bottom w:val="nil"/>
              <w:right w:val="nil"/>
            </w:tcBorders>
            <w:vAlign w:val="bottom"/>
          </w:tcPr>
          <w:p w:rsidR="00C81E83" w:rsidRDefault="00C81E83">
            <w:pPr>
              <w:pStyle w:val="SL-FlLftSgl"/>
              <w:jc w:val="right"/>
              <w:rPr>
                <w:sz w:val="20"/>
                <w:szCs w:val="20"/>
                <w:highlight w:val="yellow"/>
              </w:rPr>
            </w:pPr>
          </w:p>
        </w:tc>
      </w:tr>
      <w:tr w:rsidR="00C81E83">
        <w:trPr>
          <w:cantSplit/>
        </w:trPr>
        <w:tc>
          <w:tcPr>
            <w:tcW w:w="3080" w:type="dxa"/>
            <w:tcBorders>
              <w:top w:val="nil"/>
              <w:left w:val="nil"/>
              <w:bottom w:val="nil"/>
              <w:right w:val="nil"/>
            </w:tcBorders>
            <w:vAlign w:val="center"/>
          </w:tcPr>
          <w:p w:rsidR="00C81E83" w:rsidRDefault="00C81E83">
            <w:pPr>
              <w:pStyle w:val="SL-FlLftSgl"/>
              <w:jc w:val="left"/>
              <w:rPr>
                <w:sz w:val="20"/>
                <w:szCs w:val="20"/>
              </w:rPr>
            </w:pPr>
            <w:r>
              <w:rPr>
                <w:sz w:val="20"/>
                <w:szCs w:val="20"/>
              </w:rPr>
              <w:t>School readiness</w:t>
            </w:r>
          </w:p>
        </w:tc>
        <w:tc>
          <w:tcPr>
            <w:tcW w:w="717" w:type="dxa"/>
            <w:tcBorders>
              <w:top w:val="nil"/>
              <w:left w:val="nil"/>
              <w:bottom w:val="nil"/>
              <w:right w:val="nil"/>
            </w:tcBorders>
            <w:vAlign w:val="bottom"/>
          </w:tcPr>
          <w:p w:rsidR="00C81E83" w:rsidRDefault="00C81E83">
            <w:pPr>
              <w:pStyle w:val="SL-FlLftSgl"/>
              <w:jc w:val="right"/>
              <w:rPr>
                <w:sz w:val="20"/>
                <w:szCs w:val="20"/>
              </w:rPr>
            </w:pPr>
          </w:p>
        </w:tc>
        <w:tc>
          <w:tcPr>
            <w:tcW w:w="718" w:type="dxa"/>
            <w:tcBorders>
              <w:top w:val="nil"/>
              <w:left w:val="nil"/>
              <w:bottom w:val="nil"/>
              <w:right w:val="nil"/>
            </w:tcBorders>
            <w:vAlign w:val="bottom"/>
          </w:tcPr>
          <w:p w:rsidR="00C81E83" w:rsidRDefault="00C81E83">
            <w:pPr>
              <w:pStyle w:val="SL-FlLftSgl"/>
              <w:jc w:val="right"/>
              <w:rPr>
                <w:sz w:val="20"/>
                <w:szCs w:val="20"/>
              </w:rPr>
            </w:pPr>
            <w:r>
              <w:rPr>
                <w:sz w:val="20"/>
                <w:szCs w:val="20"/>
              </w:rPr>
              <w:t>√</w:t>
            </w:r>
          </w:p>
        </w:tc>
        <w:tc>
          <w:tcPr>
            <w:tcW w:w="718" w:type="dxa"/>
            <w:tcBorders>
              <w:top w:val="nil"/>
              <w:left w:val="nil"/>
              <w:bottom w:val="nil"/>
              <w:right w:val="nil"/>
            </w:tcBorders>
            <w:vAlign w:val="bottom"/>
          </w:tcPr>
          <w:p w:rsidR="00C81E83" w:rsidRDefault="00C81E83">
            <w:pPr>
              <w:pStyle w:val="SL-FlLftSgl"/>
              <w:jc w:val="right"/>
              <w:rPr>
                <w:sz w:val="20"/>
                <w:szCs w:val="20"/>
              </w:rPr>
            </w:pPr>
          </w:p>
        </w:tc>
        <w:tc>
          <w:tcPr>
            <w:tcW w:w="718" w:type="dxa"/>
            <w:tcBorders>
              <w:top w:val="nil"/>
              <w:left w:val="nil"/>
              <w:bottom w:val="nil"/>
              <w:right w:val="nil"/>
            </w:tcBorders>
            <w:vAlign w:val="bottom"/>
          </w:tcPr>
          <w:p w:rsidR="00C81E83" w:rsidRDefault="00C81E83">
            <w:pPr>
              <w:pStyle w:val="SL-FlLftSgl"/>
              <w:jc w:val="right"/>
              <w:rPr>
                <w:sz w:val="20"/>
                <w:szCs w:val="20"/>
              </w:rPr>
            </w:pPr>
          </w:p>
        </w:tc>
        <w:tc>
          <w:tcPr>
            <w:tcW w:w="717" w:type="dxa"/>
            <w:tcBorders>
              <w:top w:val="nil"/>
              <w:left w:val="nil"/>
              <w:bottom w:val="nil"/>
              <w:right w:val="nil"/>
            </w:tcBorders>
            <w:vAlign w:val="bottom"/>
          </w:tcPr>
          <w:p w:rsidR="00C81E83" w:rsidRDefault="00C81E83">
            <w:pPr>
              <w:pStyle w:val="SL-FlLftSgl"/>
              <w:jc w:val="right"/>
              <w:rPr>
                <w:sz w:val="20"/>
                <w:szCs w:val="20"/>
              </w:rPr>
            </w:pPr>
            <w:r>
              <w:rPr>
                <w:sz w:val="20"/>
                <w:szCs w:val="20"/>
              </w:rPr>
              <w:t>√</w:t>
            </w:r>
          </w:p>
        </w:tc>
        <w:tc>
          <w:tcPr>
            <w:tcW w:w="718" w:type="dxa"/>
            <w:tcBorders>
              <w:top w:val="nil"/>
              <w:left w:val="nil"/>
              <w:bottom w:val="nil"/>
              <w:right w:val="nil"/>
            </w:tcBorders>
            <w:vAlign w:val="bottom"/>
          </w:tcPr>
          <w:p w:rsidR="00C81E83" w:rsidRDefault="00C81E83">
            <w:pPr>
              <w:pStyle w:val="SL-FlLftSgl"/>
              <w:jc w:val="right"/>
              <w:rPr>
                <w:sz w:val="20"/>
                <w:szCs w:val="20"/>
              </w:rPr>
            </w:pPr>
          </w:p>
        </w:tc>
        <w:tc>
          <w:tcPr>
            <w:tcW w:w="718" w:type="dxa"/>
            <w:tcBorders>
              <w:top w:val="nil"/>
              <w:left w:val="nil"/>
              <w:bottom w:val="nil"/>
              <w:right w:val="nil"/>
            </w:tcBorders>
            <w:vAlign w:val="bottom"/>
          </w:tcPr>
          <w:p w:rsidR="00C81E83" w:rsidRDefault="00C81E83">
            <w:pPr>
              <w:pStyle w:val="SL-FlLftSgl"/>
              <w:jc w:val="right"/>
              <w:rPr>
                <w:sz w:val="20"/>
                <w:szCs w:val="20"/>
              </w:rPr>
            </w:pPr>
          </w:p>
        </w:tc>
        <w:tc>
          <w:tcPr>
            <w:tcW w:w="718" w:type="dxa"/>
            <w:tcBorders>
              <w:top w:val="nil"/>
              <w:left w:val="nil"/>
              <w:bottom w:val="nil"/>
              <w:right w:val="nil"/>
            </w:tcBorders>
            <w:vAlign w:val="bottom"/>
          </w:tcPr>
          <w:p w:rsidR="00C81E83" w:rsidRDefault="00C81E83">
            <w:pPr>
              <w:pStyle w:val="SL-FlLftSgl"/>
              <w:jc w:val="right"/>
              <w:rPr>
                <w:sz w:val="20"/>
                <w:szCs w:val="20"/>
              </w:rPr>
            </w:pPr>
          </w:p>
        </w:tc>
        <w:tc>
          <w:tcPr>
            <w:tcW w:w="718" w:type="dxa"/>
            <w:tcBorders>
              <w:top w:val="nil"/>
              <w:left w:val="nil"/>
              <w:bottom w:val="nil"/>
              <w:right w:val="nil"/>
            </w:tcBorders>
            <w:vAlign w:val="bottom"/>
          </w:tcPr>
          <w:p w:rsidR="00C81E83" w:rsidRDefault="00C81E83">
            <w:pPr>
              <w:pStyle w:val="SL-FlLftSgl"/>
              <w:jc w:val="right"/>
              <w:rPr>
                <w:sz w:val="20"/>
                <w:szCs w:val="20"/>
              </w:rPr>
            </w:pPr>
            <w:r>
              <w:rPr>
                <w:sz w:val="20"/>
                <w:szCs w:val="20"/>
              </w:rPr>
              <w:t>√</w:t>
            </w:r>
          </w:p>
        </w:tc>
      </w:tr>
      <w:tr w:rsidR="00C81E83">
        <w:trPr>
          <w:cantSplit/>
        </w:trPr>
        <w:tc>
          <w:tcPr>
            <w:tcW w:w="3080" w:type="dxa"/>
            <w:tcBorders>
              <w:top w:val="nil"/>
              <w:left w:val="nil"/>
              <w:bottom w:val="nil"/>
              <w:right w:val="nil"/>
            </w:tcBorders>
            <w:vAlign w:val="center"/>
          </w:tcPr>
          <w:p w:rsidR="00C81E83" w:rsidRDefault="00C81E83">
            <w:pPr>
              <w:pStyle w:val="SL-FlLftSgl"/>
              <w:jc w:val="left"/>
              <w:rPr>
                <w:sz w:val="20"/>
                <w:szCs w:val="20"/>
              </w:rPr>
            </w:pPr>
            <w:r>
              <w:rPr>
                <w:sz w:val="20"/>
                <w:szCs w:val="20"/>
              </w:rPr>
              <w:t>School safety and discipline</w:t>
            </w:r>
          </w:p>
        </w:tc>
        <w:tc>
          <w:tcPr>
            <w:tcW w:w="717" w:type="dxa"/>
            <w:tcBorders>
              <w:top w:val="nil"/>
              <w:left w:val="nil"/>
              <w:bottom w:val="nil"/>
              <w:right w:val="nil"/>
            </w:tcBorders>
            <w:vAlign w:val="bottom"/>
          </w:tcPr>
          <w:p w:rsidR="00C81E83" w:rsidRDefault="00C81E83">
            <w:pPr>
              <w:pStyle w:val="SL-FlLftSgl"/>
              <w:jc w:val="right"/>
              <w:rPr>
                <w:sz w:val="20"/>
                <w:szCs w:val="20"/>
              </w:rPr>
            </w:pPr>
          </w:p>
        </w:tc>
        <w:tc>
          <w:tcPr>
            <w:tcW w:w="718" w:type="dxa"/>
            <w:tcBorders>
              <w:top w:val="nil"/>
              <w:left w:val="nil"/>
              <w:bottom w:val="nil"/>
              <w:right w:val="nil"/>
            </w:tcBorders>
            <w:vAlign w:val="bottom"/>
          </w:tcPr>
          <w:p w:rsidR="00C81E83" w:rsidRDefault="00C81E83">
            <w:pPr>
              <w:pStyle w:val="SL-FlLftSgl"/>
              <w:jc w:val="right"/>
              <w:rPr>
                <w:sz w:val="20"/>
                <w:szCs w:val="20"/>
              </w:rPr>
            </w:pPr>
            <w:r>
              <w:rPr>
                <w:sz w:val="20"/>
                <w:szCs w:val="20"/>
              </w:rPr>
              <w:t>√</w:t>
            </w:r>
          </w:p>
        </w:tc>
        <w:tc>
          <w:tcPr>
            <w:tcW w:w="718" w:type="dxa"/>
            <w:tcBorders>
              <w:top w:val="nil"/>
              <w:left w:val="nil"/>
              <w:bottom w:val="nil"/>
              <w:right w:val="nil"/>
            </w:tcBorders>
            <w:vAlign w:val="bottom"/>
          </w:tcPr>
          <w:p w:rsidR="00C81E83" w:rsidRDefault="00C81E83">
            <w:pPr>
              <w:pStyle w:val="SL-FlLftSgl"/>
              <w:jc w:val="right"/>
              <w:rPr>
                <w:sz w:val="20"/>
                <w:szCs w:val="20"/>
              </w:rPr>
            </w:pPr>
          </w:p>
        </w:tc>
        <w:tc>
          <w:tcPr>
            <w:tcW w:w="718" w:type="dxa"/>
            <w:tcBorders>
              <w:top w:val="nil"/>
              <w:left w:val="nil"/>
              <w:bottom w:val="nil"/>
              <w:right w:val="nil"/>
            </w:tcBorders>
            <w:vAlign w:val="bottom"/>
          </w:tcPr>
          <w:p w:rsidR="00C81E83" w:rsidRDefault="00C81E83">
            <w:pPr>
              <w:pStyle w:val="SL-FlLftSgl"/>
              <w:jc w:val="right"/>
              <w:rPr>
                <w:sz w:val="20"/>
                <w:szCs w:val="20"/>
              </w:rPr>
            </w:pPr>
          </w:p>
        </w:tc>
        <w:tc>
          <w:tcPr>
            <w:tcW w:w="717" w:type="dxa"/>
            <w:tcBorders>
              <w:top w:val="nil"/>
              <w:left w:val="nil"/>
              <w:bottom w:val="nil"/>
              <w:right w:val="nil"/>
            </w:tcBorders>
            <w:vAlign w:val="bottom"/>
          </w:tcPr>
          <w:p w:rsidR="00C81E83" w:rsidRDefault="00C81E83">
            <w:pPr>
              <w:pStyle w:val="SL-FlLftSgl"/>
              <w:jc w:val="right"/>
              <w:rPr>
                <w:sz w:val="20"/>
                <w:szCs w:val="20"/>
              </w:rPr>
            </w:pPr>
          </w:p>
        </w:tc>
        <w:tc>
          <w:tcPr>
            <w:tcW w:w="718" w:type="dxa"/>
            <w:tcBorders>
              <w:top w:val="nil"/>
              <w:left w:val="nil"/>
              <w:bottom w:val="nil"/>
              <w:right w:val="nil"/>
            </w:tcBorders>
            <w:vAlign w:val="bottom"/>
          </w:tcPr>
          <w:p w:rsidR="00C81E83" w:rsidRDefault="00C81E83">
            <w:pPr>
              <w:pStyle w:val="SL-FlLftSgl"/>
              <w:jc w:val="right"/>
              <w:rPr>
                <w:sz w:val="20"/>
                <w:szCs w:val="20"/>
              </w:rPr>
            </w:pPr>
          </w:p>
        </w:tc>
        <w:tc>
          <w:tcPr>
            <w:tcW w:w="718" w:type="dxa"/>
            <w:tcBorders>
              <w:top w:val="nil"/>
              <w:left w:val="nil"/>
              <w:bottom w:val="nil"/>
              <w:right w:val="nil"/>
            </w:tcBorders>
            <w:vAlign w:val="bottom"/>
          </w:tcPr>
          <w:p w:rsidR="00C81E83" w:rsidRDefault="00C81E83">
            <w:pPr>
              <w:pStyle w:val="SL-FlLftSgl"/>
              <w:jc w:val="right"/>
              <w:rPr>
                <w:sz w:val="20"/>
                <w:szCs w:val="20"/>
              </w:rPr>
            </w:pPr>
          </w:p>
        </w:tc>
        <w:tc>
          <w:tcPr>
            <w:tcW w:w="718" w:type="dxa"/>
            <w:tcBorders>
              <w:top w:val="nil"/>
              <w:left w:val="nil"/>
              <w:bottom w:val="nil"/>
              <w:right w:val="nil"/>
            </w:tcBorders>
            <w:vAlign w:val="bottom"/>
          </w:tcPr>
          <w:p w:rsidR="00C81E83" w:rsidRDefault="00C81E83">
            <w:pPr>
              <w:pStyle w:val="SL-FlLftSgl"/>
              <w:jc w:val="right"/>
              <w:rPr>
                <w:sz w:val="20"/>
                <w:szCs w:val="20"/>
              </w:rPr>
            </w:pPr>
          </w:p>
        </w:tc>
        <w:tc>
          <w:tcPr>
            <w:tcW w:w="718" w:type="dxa"/>
            <w:tcBorders>
              <w:top w:val="nil"/>
              <w:left w:val="nil"/>
              <w:bottom w:val="nil"/>
              <w:right w:val="nil"/>
            </w:tcBorders>
            <w:vAlign w:val="bottom"/>
          </w:tcPr>
          <w:p w:rsidR="00C81E83" w:rsidRDefault="00C81E83">
            <w:pPr>
              <w:pStyle w:val="SL-FlLftSgl"/>
              <w:jc w:val="right"/>
              <w:rPr>
                <w:sz w:val="20"/>
                <w:szCs w:val="20"/>
              </w:rPr>
            </w:pPr>
          </w:p>
        </w:tc>
      </w:tr>
      <w:tr w:rsidR="00C81E83">
        <w:trPr>
          <w:cantSplit/>
        </w:trPr>
        <w:tc>
          <w:tcPr>
            <w:tcW w:w="3080" w:type="dxa"/>
            <w:tcBorders>
              <w:top w:val="nil"/>
              <w:left w:val="nil"/>
              <w:bottom w:val="nil"/>
              <w:right w:val="nil"/>
            </w:tcBorders>
            <w:vAlign w:val="center"/>
          </w:tcPr>
          <w:p w:rsidR="00C81E83" w:rsidRDefault="00C81E83">
            <w:pPr>
              <w:pStyle w:val="SL-FlLftSgl"/>
              <w:jc w:val="left"/>
              <w:rPr>
                <w:sz w:val="20"/>
                <w:szCs w:val="20"/>
              </w:rPr>
            </w:pPr>
            <w:r>
              <w:rPr>
                <w:sz w:val="20"/>
                <w:szCs w:val="20"/>
              </w:rPr>
              <w:t xml:space="preserve">Parent and family involvement in </w:t>
            </w:r>
            <w:r>
              <w:rPr>
                <w:sz w:val="20"/>
                <w:szCs w:val="20"/>
              </w:rPr>
              <w:br/>
            </w:r>
            <w:r>
              <w:rPr>
                <w:sz w:val="20"/>
                <w:szCs w:val="20"/>
              </w:rPr>
              <w:t> </w:t>
            </w:r>
            <w:r>
              <w:rPr>
                <w:sz w:val="20"/>
                <w:szCs w:val="20"/>
              </w:rPr>
              <w:t> </w:t>
            </w:r>
            <w:r>
              <w:rPr>
                <w:sz w:val="20"/>
                <w:szCs w:val="20"/>
              </w:rPr>
              <w:t> </w:t>
            </w:r>
            <w:r>
              <w:rPr>
                <w:sz w:val="20"/>
                <w:szCs w:val="20"/>
              </w:rPr>
              <w:t>education</w:t>
            </w:r>
          </w:p>
        </w:tc>
        <w:tc>
          <w:tcPr>
            <w:tcW w:w="717" w:type="dxa"/>
            <w:tcBorders>
              <w:top w:val="nil"/>
              <w:left w:val="nil"/>
              <w:bottom w:val="nil"/>
              <w:right w:val="nil"/>
            </w:tcBorders>
            <w:vAlign w:val="bottom"/>
          </w:tcPr>
          <w:p w:rsidR="00C81E83" w:rsidRDefault="00C81E83">
            <w:pPr>
              <w:pStyle w:val="SL-FlLftSgl"/>
              <w:jc w:val="right"/>
              <w:rPr>
                <w:sz w:val="20"/>
                <w:szCs w:val="20"/>
              </w:rPr>
            </w:pPr>
          </w:p>
        </w:tc>
        <w:tc>
          <w:tcPr>
            <w:tcW w:w="718" w:type="dxa"/>
            <w:tcBorders>
              <w:top w:val="nil"/>
              <w:left w:val="nil"/>
              <w:bottom w:val="nil"/>
              <w:right w:val="nil"/>
            </w:tcBorders>
            <w:vAlign w:val="bottom"/>
          </w:tcPr>
          <w:p w:rsidR="00C81E83" w:rsidRDefault="00C81E83">
            <w:pPr>
              <w:pStyle w:val="SL-FlLftSgl"/>
              <w:jc w:val="right"/>
              <w:rPr>
                <w:sz w:val="20"/>
                <w:szCs w:val="20"/>
              </w:rPr>
            </w:pPr>
          </w:p>
        </w:tc>
        <w:tc>
          <w:tcPr>
            <w:tcW w:w="718" w:type="dxa"/>
            <w:tcBorders>
              <w:top w:val="nil"/>
              <w:left w:val="nil"/>
              <w:bottom w:val="nil"/>
              <w:right w:val="nil"/>
            </w:tcBorders>
            <w:vAlign w:val="bottom"/>
          </w:tcPr>
          <w:p w:rsidR="00C81E83" w:rsidRDefault="00C81E83">
            <w:pPr>
              <w:pStyle w:val="SL-FlLftSgl"/>
              <w:jc w:val="right"/>
              <w:rPr>
                <w:sz w:val="20"/>
                <w:szCs w:val="20"/>
              </w:rPr>
            </w:pPr>
          </w:p>
        </w:tc>
        <w:tc>
          <w:tcPr>
            <w:tcW w:w="718" w:type="dxa"/>
            <w:tcBorders>
              <w:top w:val="nil"/>
              <w:left w:val="nil"/>
              <w:bottom w:val="nil"/>
              <w:right w:val="nil"/>
            </w:tcBorders>
            <w:vAlign w:val="bottom"/>
          </w:tcPr>
          <w:p w:rsidR="00C81E83" w:rsidRDefault="00C81E83">
            <w:pPr>
              <w:pStyle w:val="SL-FlLftSgl"/>
              <w:jc w:val="right"/>
              <w:rPr>
                <w:sz w:val="20"/>
                <w:szCs w:val="20"/>
              </w:rPr>
            </w:pPr>
            <w:r>
              <w:rPr>
                <w:sz w:val="20"/>
                <w:szCs w:val="20"/>
              </w:rPr>
              <w:t>√</w:t>
            </w:r>
          </w:p>
        </w:tc>
        <w:tc>
          <w:tcPr>
            <w:tcW w:w="717" w:type="dxa"/>
            <w:tcBorders>
              <w:top w:val="nil"/>
              <w:left w:val="nil"/>
              <w:bottom w:val="nil"/>
              <w:right w:val="nil"/>
            </w:tcBorders>
            <w:vAlign w:val="bottom"/>
          </w:tcPr>
          <w:p w:rsidR="00C81E83" w:rsidRDefault="00C81E83">
            <w:pPr>
              <w:pStyle w:val="SL-FlLftSgl"/>
              <w:jc w:val="right"/>
              <w:rPr>
                <w:sz w:val="20"/>
                <w:szCs w:val="20"/>
              </w:rPr>
            </w:pPr>
            <w:r>
              <w:rPr>
                <w:sz w:val="20"/>
                <w:szCs w:val="20"/>
              </w:rPr>
              <w:t>√</w:t>
            </w:r>
          </w:p>
        </w:tc>
        <w:tc>
          <w:tcPr>
            <w:tcW w:w="718" w:type="dxa"/>
            <w:tcBorders>
              <w:top w:val="nil"/>
              <w:left w:val="nil"/>
              <w:bottom w:val="nil"/>
              <w:right w:val="nil"/>
            </w:tcBorders>
            <w:vAlign w:val="bottom"/>
          </w:tcPr>
          <w:p w:rsidR="00C81E83" w:rsidRDefault="00C81E83">
            <w:pPr>
              <w:pStyle w:val="SL-FlLftSgl"/>
              <w:jc w:val="right"/>
              <w:rPr>
                <w:sz w:val="20"/>
                <w:szCs w:val="20"/>
              </w:rPr>
            </w:pPr>
          </w:p>
        </w:tc>
        <w:tc>
          <w:tcPr>
            <w:tcW w:w="718" w:type="dxa"/>
            <w:tcBorders>
              <w:top w:val="nil"/>
              <w:left w:val="nil"/>
              <w:bottom w:val="nil"/>
              <w:right w:val="nil"/>
            </w:tcBorders>
            <w:vAlign w:val="bottom"/>
          </w:tcPr>
          <w:p w:rsidR="00C81E83" w:rsidRDefault="00C81E83">
            <w:pPr>
              <w:pStyle w:val="SL-FlLftSgl"/>
              <w:jc w:val="right"/>
              <w:rPr>
                <w:sz w:val="20"/>
                <w:szCs w:val="20"/>
              </w:rPr>
            </w:pPr>
            <w:r>
              <w:rPr>
                <w:sz w:val="20"/>
                <w:szCs w:val="20"/>
              </w:rPr>
              <w:t>√</w:t>
            </w:r>
          </w:p>
        </w:tc>
        <w:tc>
          <w:tcPr>
            <w:tcW w:w="718" w:type="dxa"/>
            <w:tcBorders>
              <w:top w:val="nil"/>
              <w:left w:val="nil"/>
              <w:bottom w:val="nil"/>
              <w:right w:val="nil"/>
            </w:tcBorders>
            <w:vAlign w:val="bottom"/>
          </w:tcPr>
          <w:p w:rsidR="00C81E83" w:rsidRDefault="00C81E83">
            <w:pPr>
              <w:pStyle w:val="SL-FlLftSgl"/>
              <w:jc w:val="right"/>
              <w:rPr>
                <w:sz w:val="20"/>
                <w:szCs w:val="20"/>
              </w:rPr>
            </w:pPr>
          </w:p>
        </w:tc>
        <w:tc>
          <w:tcPr>
            <w:tcW w:w="718" w:type="dxa"/>
            <w:tcBorders>
              <w:top w:val="nil"/>
              <w:left w:val="nil"/>
              <w:bottom w:val="nil"/>
              <w:right w:val="nil"/>
            </w:tcBorders>
            <w:vAlign w:val="bottom"/>
          </w:tcPr>
          <w:p w:rsidR="00C81E83" w:rsidRDefault="00C81E83">
            <w:pPr>
              <w:pStyle w:val="SL-FlLftSgl"/>
              <w:jc w:val="right"/>
              <w:rPr>
                <w:sz w:val="20"/>
                <w:szCs w:val="20"/>
              </w:rPr>
            </w:pPr>
            <w:r>
              <w:rPr>
                <w:sz w:val="20"/>
                <w:szCs w:val="20"/>
              </w:rPr>
              <w:t>√</w:t>
            </w:r>
          </w:p>
        </w:tc>
      </w:tr>
      <w:tr w:rsidR="00C81E83">
        <w:trPr>
          <w:cantSplit/>
        </w:trPr>
        <w:tc>
          <w:tcPr>
            <w:tcW w:w="3080" w:type="dxa"/>
            <w:tcBorders>
              <w:top w:val="nil"/>
              <w:left w:val="nil"/>
              <w:bottom w:val="nil"/>
              <w:right w:val="nil"/>
            </w:tcBorders>
            <w:vAlign w:val="center"/>
          </w:tcPr>
          <w:p w:rsidR="00C81E83" w:rsidRDefault="00C81E83">
            <w:pPr>
              <w:pStyle w:val="SL-FlLftSgl"/>
              <w:jc w:val="left"/>
              <w:rPr>
                <w:sz w:val="20"/>
                <w:szCs w:val="20"/>
              </w:rPr>
            </w:pPr>
            <w:r>
              <w:rPr>
                <w:sz w:val="20"/>
                <w:szCs w:val="20"/>
              </w:rPr>
              <w:t>Civic involvement</w:t>
            </w:r>
          </w:p>
        </w:tc>
        <w:tc>
          <w:tcPr>
            <w:tcW w:w="717" w:type="dxa"/>
            <w:tcBorders>
              <w:top w:val="nil"/>
              <w:left w:val="nil"/>
              <w:bottom w:val="nil"/>
              <w:right w:val="nil"/>
            </w:tcBorders>
            <w:vAlign w:val="bottom"/>
          </w:tcPr>
          <w:p w:rsidR="00C81E83" w:rsidRDefault="00C81E83">
            <w:pPr>
              <w:pStyle w:val="SL-FlLftSgl"/>
              <w:jc w:val="right"/>
              <w:rPr>
                <w:sz w:val="20"/>
                <w:szCs w:val="20"/>
              </w:rPr>
            </w:pPr>
          </w:p>
        </w:tc>
        <w:tc>
          <w:tcPr>
            <w:tcW w:w="718" w:type="dxa"/>
            <w:tcBorders>
              <w:top w:val="nil"/>
              <w:left w:val="nil"/>
              <w:bottom w:val="nil"/>
              <w:right w:val="nil"/>
            </w:tcBorders>
            <w:vAlign w:val="bottom"/>
          </w:tcPr>
          <w:p w:rsidR="00C81E83" w:rsidRDefault="00C81E83">
            <w:pPr>
              <w:pStyle w:val="SL-FlLftSgl"/>
              <w:jc w:val="right"/>
              <w:rPr>
                <w:sz w:val="20"/>
                <w:szCs w:val="20"/>
              </w:rPr>
            </w:pPr>
          </w:p>
        </w:tc>
        <w:tc>
          <w:tcPr>
            <w:tcW w:w="718" w:type="dxa"/>
            <w:tcBorders>
              <w:top w:val="nil"/>
              <w:left w:val="nil"/>
              <w:bottom w:val="nil"/>
              <w:right w:val="nil"/>
            </w:tcBorders>
            <w:vAlign w:val="bottom"/>
          </w:tcPr>
          <w:p w:rsidR="00C81E83" w:rsidRDefault="00C81E83">
            <w:pPr>
              <w:pStyle w:val="SL-FlLftSgl"/>
              <w:jc w:val="right"/>
              <w:rPr>
                <w:sz w:val="20"/>
                <w:szCs w:val="20"/>
              </w:rPr>
            </w:pPr>
          </w:p>
        </w:tc>
        <w:tc>
          <w:tcPr>
            <w:tcW w:w="718" w:type="dxa"/>
            <w:tcBorders>
              <w:top w:val="nil"/>
              <w:left w:val="nil"/>
              <w:bottom w:val="nil"/>
              <w:right w:val="nil"/>
            </w:tcBorders>
            <w:vAlign w:val="bottom"/>
          </w:tcPr>
          <w:p w:rsidR="00C81E83" w:rsidRDefault="00C81E83">
            <w:pPr>
              <w:pStyle w:val="SL-FlLftSgl"/>
              <w:jc w:val="right"/>
              <w:rPr>
                <w:sz w:val="20"/>
                <w:szCs w:val="20"/>
              </w:rPr>
            </w:pPr>
            <w:r>
              <w:rPr>
                <w:sz w:val="20"/>
                <w:szCs w:val="20"/>
              </w:rPr>
              <w:t>√</w:t>
            </w:r>
          </w:p>
        </w:tc>
        <w:tc>
          <w:tcPr>
            <w:tcW w:w="717" w:type="dxa"/>
            <w:tcBorders>
              <w:top w:val="nil"/>
              <w:left w:val="nil"/>
              <w:bottom w:val="nil"/>
              <w:right w:val="nil"/>
            </w:tcBorders>
            <w:vAlign w:val="bottom"/>
          </w:tcPr>
          <w:p w:rsidR="00C81E83" w:rsidRDefault="00C81E83">
            <w:pPr>
              <w:pStyle w:val="SL-FlLftSgl"/>
              <w:jc w:val="right"/>
              <w:rPr>
                <w:sz w:val="20"/>
                <w:szCs w:val="20"/>
              </w:rPr>
            </w:pPr>
            <w:r>
              <w:rPr>
                <w:sz w:val="20"/>
                <w:szCs w:val="20"/>
              </w:rPr>
              <w:t>√</w:t>
            </w:r>
          </w:p>
        </w:tc>
        <w:tc>
          <w:tcPr>
            <w:tcW w:w="718" w:type="dxa"/>
            <w:tcBorders>
              <w:top w:val="nil"/>
              <w:left w:val="nil"/>
              <w:bottom w:val="nil"/>
              <w:right w:val="nil"/>
            </w:tcBorders>
            <w:vAlign w:val="bottom"/>
          </w:tcPr>
          <w:p w:rsidR="00C81E83" w:rsidRDefault="00C81E83">
            <w:pPr>
              <w:pStyle w:val="SL-FlLftSgl"/>
              <w:jc w:val="right"/>
              <w:rPr>
                <w:sz w:val="20"/>
                <w:szCs w:val="20"/>
              </w:rPr>
            </w:pPr>
          </w:p>
        </w:tc>
        <w:tc>
          <w:tcPr>
            <w:tcW w:w="718" w:type="dxa"/>
            <w:tcBorders>
              <w:top w:val="nil"/>
              <w:left w:val="nil"/>
              <w:bottom w:val="nil"/>
              <w:right w:val="nil"/>
            </w:tcBorders>
            <w:vAlign w:val="bottom"/>
          </w:tcPr>
          <w:p w:rsidR="00C81E83" w:rsidRDefault="00C81E83">
            <w:pPr>
              <w:pStyle w:val="SL-FlLftSgl"/>
              <w:jc w:val="right"/>
              <w:rPr>
                <w:sz w:val="20"/>
                <w:szCs w:val="20"/>
              </w:rPr>
            </w:pPr>
          </w:p>
        </w:tc>
        <w:tc>
          <w:tcPr>
            <w:tcW w:w="718" w:type="dxa"/>
            <w:tcBorders>
              <w:top w:val="nil"/>
              <w:left w:val="nil"/>
              <w:bottom w:val="nil"/>
              <w:right w:val="nil"/>
            </w:tcBorders>
            <w:vAlign w:val="bottom"/>
          </w:tcPr>
          <w:p w:rsidR="00C81E83" w:rsidRDefault="00C81E83">
            <w:pPr>
              <w:pStyle w:val="SL-FlLftSgl"/>
              <w:jc w:val="right"/>
              <w:rPr>
                <w:sz w:val="20"/>
                <w:szCs w:val="20"/>
              </w:rPr>
            </w:pPr>
          </w:p>
        </w:tc>
        <w:tc>
          <w:tcPr>
            <w:tcW w:w="718" w:type="dxa"/>
            <w:tcBorders>
              <w:top w:val="nil"/>
              <w:left w:val="nil"/>
              <w:bottom w:val="nil"/>
              <w:right w:val="nil"/>
            </w:tcBorders>
            <w:vAlign w:val="bottom"/>
          </w:tcPr>
          <w:p w:rsidR="00C81E83" w:rsidRDefault="00C81E83">
            <w:pPr>
              <w:pStyle w:val="SL-FlLftSgl"/>
              <w:jc w:val="right"/>
              <w:rPr>
                <w:sz w:val="20"/>
                <w:szCs w:val="20"/>
              </w:rPr>
            </w:pPr>
          </w:p>
        </w:tc>
      </w:tr>
      <w:tr w:rsidR="00C81E83">
        <w:trPr>
          <w:cantSplit/>
        </w:trPr>
        <w:tc>
          <w:tcPr>
            <w:tcW w:w="3080" w:type="dxa"/>
            <w:tcBorders>
              <w:top w:val="nil"/>
              <w:left w:val="nil"/>
              <w:bottom w:val="nil"/>
              <w:right w:val="nil"/>
            </w:tcBorders>
            <w:vAlign w:val="center"/>
          </w:tcPr>
          <w:p w:rsidR="00C81E83" w:rsidRDefault="00C81E83">
            <w:pPr>
              <w:pStyle w:val="SL-FlLftSgl"/>
              <w:jc w:val="left"/>
              <w:rPr>
                <w:sz w:val="20"/>
                <w:szCs w:val="20"/>
              </w:rPr>
            </w:pPr>
            <w:r>
              <w:rPr>
                <w:sz w:val="20"/>
                <w:szCs w:val="20"/>
              </w:rPr>
              <w:t xml:space="preserve">After-school programs and </w:t>
            </w:r>
            <w:r>
              <w:rPr>
                <w:sz w:val="20"/>
                <w:szCs w:val="20"/>
              </w:rPr>
              <w:br/>
            </w:r>
            <w:r>
              <w:rPr>
                <w:sz w:val="20"/>
                <w:szCs w:val="20"/>
              </w:rPr>
              <w:t> </w:t>
            </w:r>
            <w:r>
              <w:rPr>
                <w:sz w:val="20"/>
                <w:szCs w:val="20"/>
              </w:rPr>
              <w:t> </w:t>
            </w:r>
            <w:r>
              <w:rPr>
                <w:sz w:val="20"/>
                <w:szCs w:val="20"/>
              </w:rPr>
              <w:t> </w:t>
            </w:r>
            <w:r>
              <w:rPr>
                <w:sz w:val="20"/>
                <w:szCs w:val="20"/>
              </w:rPr>
              <w:t>activities</w:t>
            </w:r>
          </w:p>
        </w:tc>
        <w:tc>
          <w:tcPr>
            <w:tcW w:w="717" w:type="dxa"/>
            <w:tcBorders>
              <w:top w:val="nil"/>
              <w:left w:val="nil"/>
              <w:bottom w:val="nil"/>
              <w:right w:val="nil"/>
            </w:tcBorders>
            <w:vAlign w:val="bottom"/>
          </w:tcPr>
          <w:p w:rsidR="00C81E83" w:rsidRDefault="00C81E83">
            <w:pPr>
              <w:pStyle w:val="SL-FlLftSgl"/>
              <w:jc w:val="right"/>
              <w:rPr>
                <w:sz w:val="20"/>
                <w:szCs w:val="20"/>
              </w:rPr>
            </w:pPr>
          </w:p>
        </w:tc>
        <w:tc>
          <w:tcPr>
            <w:tcW w:w="718" w:type="dxa"/>
            <w:tcBorders>
              <w:top w:val="nil"/>
              <w:left w:val="nil"/>
              <w:bottom w:val="nil"/>
              <w:right w:val="nil"/>
            </w:tcBorders>
            <w:vAlign w:val="bottom"/>
          </w:tcPr>
          <w:p w:rsidR="00C81E83" w:rsidRDefault="00C81E83">
            <w:pPr>
              <w:pStyle w:val="SL-FlLftSgl"/>
              <w:jc w:val="right"/>
              <w:rPr>
                <w:sz w:val="20"/>
                <w:szCs w:val="20"/>
              </w:rPr>
            </w:pPr>
          </w:p>
        </w:tc>
        <w:tc>
          <w:tcPr>
            <w:tcW w:w="718" w:type="dxa"/>
            <w:tcBorders>
              <w:top w:val="nil"/>
              <w:left w:val="nil"/>
              <w:bottom w:val="nil"/>
              <w:right w:val="nil"/>
            </w:tcBorders>
            <w:vAlign w:val="bottom"/>
          </w:tcPr>
          <w:p w:rsidR="00C81E83" w:rsidRDefault="00C81E83">
            <w:pPr>
              <w:pStyle w:val="SL-FlLftSgl"/>
              <w:jc w:val="right"/>
              <w:rPr>
                <w:sz w:val="20"/>
                <w:szCs w:val="20"/>
              </w:rPr>
            </w:pPr>
            <w:r>
              <w:rPr>
                <w:sz w:val="20"/>
                <w:szCs w:val="20"/>
              </w:rPr>
              <w:t>√</w:t>
            </w:r>
            <w:r>
              <w:rPr>
                <w:rStyle w:val="FootnoteReference"/>
                <w:spacing w:val="-2"/>
                <w:sz w:val="20"/>
                <w:szCs w:val="20"/>
              </w:rPr>
              <w:t>2</w:t>
            </w:r>
          </w:p>
        </w:tc>
        <w:tc>
          <w:tcPr>
            <w:tcW w:w="718" w:type="dxa"/>
            <w:tcBorders>
              <w:top w:val="nil"/>
              <w:left w:val="nil"/>
              <w:bottom w:val="nil"/>
              <w:right w:val="nil"/>
            </w:tcBorders>
            <w:vAlign w:val="bottom"/>
          </w:tcPr>
          <w:p w:rsidR="00C81E83" w:rsidRDefault="00C81E83">
            <w:pPr>
              <w:pStyle w:val="SL-FlLftSgl"/>
              <w:jc w:val="right"/>
              <w:rPr>
                <w:sz w:val="20"/>
                <w:szCs w:val="20"/>
              </w:rPr>
            </w:pPr>
          </w:p>
        </w:tc>
        <w:tc>
          <w:tcPr>
            <w:tcW w:w="717" w:type="dxa"/>
            <w:tcBorders>
              <w:top w:val="nil"/>
              <w:left w:val="nil"/>
              <w:bottom w:val="nil"/>
              <w:right w:val="nil"/>
            </w:tcBorders>
            <w:vAlign w:val="bottom"/>
          </w:tcPr>
          <w:p w:rsidR="00C81E83" w:rsidRDefault="00C81E83">
            <w:pPr>
              <w:pStyle w:val="SL-FlLftSgl"/>
              <w:jc w:val="right"/>
              <w:rPr>
                <w:sz w:val="20"/>
                <w:szCs w:val="20"/>
              </w:rPr>
            </w:pPr>
            <w:r>
              <w:rPr>
                <w:sz w:val="20"/>
                <w:szCs w:val="20"/>
              </w:rPr>
              <w:t>√</w:t>
            </w:r>
          </w:p>
        </w:tc>
        <w:tc>
          <w:tcPr>
            <w:tcW w:w="718" w:type="dxa"/>
            <w:tcBorders>
              <w:top w:val="nil"/>
              <w:left w:val="nil"/>
              <w:bottom w:val="nil"/>
              <w:right w:val="nil"/>
            </w:tcBorders>
            <w:vAlign w:val="bottom"/>
          </w:tcPr>
          <w:p w:rsidR="00C81E83" w:rsidRDefault="00C81E83">
            <w:pPr>
              <w:pStyle w:val="SL-FlLftSgl"/>
              <w:jc w:val="right"/>
              <w:rPr>
                <w:sz w:val="20"/>
                <w:szCs w:val="20"/>
              </w:rPr>
            </w:pPr>
            <w:r>
              <w:rPr>
                <w:sz w:val="20"/>
                <w:szCs w:val="20"/>
              </w:rPr>
              <w:t>√</w:t>
            </w:r>
            <w:r>
              <w:rPr>
                <w:sz w:val="20"/>
                <w:szCs w:val="20"/>
                <w:vertAlign w:val="superscript"/>
              </w:rPr>
              <w:t>3</w:t>
            </w:r>
          </w:p>
        </w:tc>
        <w:tc>
          <w:tcPr>
            <w:tcW w:w="718" w:type="dxa"/>
            <w:tcBorders>
              <w:top w:val="nil"/>
              <w:left w:val="nil"/>
              <w:bottom w:val="nil"/>
              <w:right w:val="nil"/>
            </w:tcBorders>
            <w:vAlign w:val="bottom"/>
          </w:tcPr>
          <w:p w:rsidR="00C81E83" w:rsidRDefault="00C81E83">
            <w:pPr>
              <w:pStyle w:val="SL-FlLftSgl"/>
              <w:jc w:val="right"/>
              <w:rPr>
                <w:sz w:val="20"/>
                <w:szCs w:val="20"/>
              </w:rPr>
            </w:pPr>
          </w:p>
        </w:tc>
        <w:tc>
          <w:tcPr>
            <w:tcW w:w="718" w:type="dxa"/>
            <w:tcBorders>
              <w:top w:val="nil"/>
              <w:left w:val="nil"/>
              <w:bottom w:val="nil"/>
              <w:right w:val="nil"/>
            </w:tcBorders>
            <w:vAlign w:val="bottom"/>
          </w:tcPr>
          <w:p w:rsidR="00C81E83" w:rsidRDefault="00C81E83">
            <w:pPr>
              <w:pStyle w:val="SL-FlLftSgl"/>
              <w:jc w:val="right"/>
              <w:rPr>
                <w:sz w:val="20"/>
                <w:szCs w:val="20"/>
              </w:rPr>
            </w:pPr>
            <w:r>
              <w:rPr>
                <w:sz w:val="20"/>
                <w:szCs w:val="20"/>
              </w:rPr>
              <w:t>√</w:t>
            </w:r>
          </w:p>
        </w:tc>
        <w:tc>
          <w:tcPr>
            <w:tcW w:w="718" w:type="dxa"/>
            <w:tcBorders>
              <w:top w:val="nil"/>
              <w:left w:val="nil"/>
              <w:bottom w:val="nil"/>
              <w:right w:val="nil"/>
            </w:tcBorders>
            <w:vAlign w:val="bottom"/>
          </w:tcPr>
          <w:p w:rsidR="00C81E83" w:rsidRDefault="00C81E83">
            <w:pPr>
              <w:pStyle w:val="SL-FlLftSgl"/>
              <w:jc w:val="right"/>
              <w:rPr>
                <w:sz w:val="20"/>
                <w:szCs w:val="20"/>
              </w:rPr>
            </w:pPr>
          </w:p>
        </w:tc>
      </w:tr>
      <w:tr w:rsidR="00C81E83">
        <w:trPr>
          <w:cantSplit/>
        </w:trPr>
        <w:tc>
          <w:tcPr>
            <w:tcW w:w="3080" w:type="dxa"/>
            <w:tcBorders>
              <w:top w:val="nil"/>
              <w:left w:val="nil"/>
              <w:bottom w:val="single" w:sz="24" w:space="0" w:color="auto"/>
              <w:right w:val="nil"/>
            </w:tcBorders>
            <w:vAlign w:val="center"/>
          </w:tcPr>
          <w:p w:rsidR="00C81E83" w:rsidRDefault="00C81E83">
            <w:pPr>
              <w:pStyle w:val="SL-FlLftSgl"/>
              <w:jc w:val="left"/>
              <w:rPr>
                <w:sz w:val="20"/>
                <w:szCs w:val="20"/>
              </w:rPr>
            </w:pPr>
            <w:r>
              <w:rPr>
                <w:sz w:val="20"/>
                <w:szCs w:val="20"/>
              </w:rPr>
              <w:t>Household and library use</w:t>
            </w:r>
          </w:p>
        </w:tc>
        <w:tc>
          <w:tcPr>
            <w:tcW w:w="717" w:type="dxa"/>
            <w:tcBorders>
              <w:top w:val="nil"/>
              <w:left w:val="nil"/>
              <w:bottom w:val="single" w:sz="24" w:space="0" w:color="auto"/>
              <w:right w:val="nil"/>
            </w:tcBorders>
            <w:vAlign w:val="bottom"/>
          </w:tcPr>
          <w:p w:rsidR="00C81E83" w:rsidRDefault="00C81E83">
            <w:pPr>
              <w:pStyle w:val="SL-FlLftSgl"/>
              <w:jc w:val="right"/>
              <w:rPr>
                <w:sz w:val="20"/>
                <w:szCs w:val="20"/>
              </w:rPr>
            </w:pPr>
          </w:p>
        </w:tc>
        <w:tc>
          <w:tcPr>
            <w:tcW w:w="718" w:type="dxa"/>
            <w:tcBorders>
              <w:top w:val="nil"/>
              <w:left w:val="nil"/>
              <w:bottom w:val="single" w:sz="24" w:space="0" w:color="auto"/>
              <w:right w:val="nil"/>
            </w:tcBorders>
            <w:vAlign w:val="bottom"/>
          </w:tcPr>
          <w:p w:rsidR="00C81E83" w:rsidRDefault="00C81E83">
            <w:pPr>
              <w:pStyle w:val="SL-FlLftSgl"/>
              <w:jc w:val="right"/>
              <w:rPr>
                <w:sz w:val="20"/>
                <w:szCs w:val="20"/>
              </w:rPr>
            </w:pPr>
          </w:p>
        </w:tc>
        <w:tc>
          <w:tcPr>
            <w:tcW w:w="718" w:type="dxa"/>
            <w:tcBorders>
              <w:top w:val="nil"/>
              <w:left w:val="nil"/>
              <w:bottom w:val="single" w:sz="24" w:space="0" w:color="auto"/>
              <w:right w:val="nil"/>
            </w:tcBorders>
            <w:vAlign w:val="bottom"/>
          </w:tcPr>
          <w:p w:rsidR="00C81E83" w:rsidRDefault="00C81E83">
            <w:pPr>
              <w:pStyle w:val="SL-FlLftSgl"/>
              <w:jc w:val="right"/>
              <w:rPr>
                <w:sz w:val="20"/>
                <w:szCs w:val="20"/>
              </w:rPr>
            </w:pPr>
          </w:p>
        </w:tc>
        <w:tc>
          <w:tcPr>
            <w:tcW w:w="718" w:type="dxa"/>
            <w:tcBorders>
              <w:top w:val="nil"/>
              <w:left w:val="nil"/>
              <w:bottom w:val="single" w:sz="24" w:space="0" w:color="auto"/>
              <w:right w:val="nil"/>
            </w:tcBorders>
            <w:vAlign w:val="bottom"/>
          </w:tcPr>
          <w:p w:rsidR="00C81E83" w:rsidRDefault="00C81E83">
            <w:pPr>
              <w:pStyle w:val="SL-FlLftSgl"/>
              <w:jc w:val="right"/>
              <w:rPr>
                <w:sz w:val="20"/>
                <w:szCs w:val="20"/>
              </w:rPr>
            </w:pPr>
            <w:r>
              <w:rPr>
                <w:sz w:val="20"/>
                <w:szCs w:val="20"/>
              </w:rPr>
              <w:t>√</w:t>
            </w:r>
          </w:p>
        </w:tc>
        <w:tc>
          <w:tcPr>
            <w:tcW w:w="717" w:type="dxa"/>
            <w:tcBorders>
              <w:top w:val="nil"/>
              <w:left w:val="nil"/>
              <w:bottom w:val="single" w:sz="24" w:space="0" w:color="auto"/>
              <w:right w:val="nil"/>
            </w:tcBorders>
            <w:vAlign w:val="bottom"/>
          </w:tcPr>
          <w:p w:rsidR="00C81E83" w:rsidRDefault="00C81E83">
            <w:pPr>
              <w:pStyle w:val="SL-FlLftSgl"/>
              <w:jc w:val="right"/>
              <w:rPr>
                <w:sz w:val="20"/>
                <w:szCs w:val="20"/>
              </w:rPr>
            </w:pPr>
          </w:p>
        </w:tc>
        <w:tc>
          <w:tcPr>
            <w:tcW w:w="718" w:type="dxa"/>
            <w:tcBorders>
              <w:top w:val="nil"/>
              <w:left w:val="nil"/>
              <w:bottom w:val="single" w:sz="24" w:space="0" w:color="auto"/>
              <w:right w:val="nil"/>
            </w:tcBorders>
            <w:vAlign w:val="bottom"/>
          </w:tcPr>
          <w:p w:rsidR="00C81E83" w:rsidRDefault="00C81E83">
            <w:pPr>
              <w:pStyle w:val="SL-FlLftSgl"/>
              <w:jc w:val="right"/>
              <w:rPr>
                <w:sz w:val="20"/>
                <w:szCs w:val="20"/>
              </w:rPr>
            </w:pPr>
          </w:p>
        </w:tc>
        <w:tc>
          <w:tcPr>
            <w:tcW w:w="718" w:type="dxa"/>
            <w:tcBorders>
              <w:top w:val="nil"/>
              <w:left w:val="nil"/>
              <w:bottom w:val="single" w:sz="24" w:space="0" w:color="auto"/>
              <w:right w:val="nil"/>
            </w:tcBorders>
            <w:vAlign w:val="bottom"/>
          </w:tcPr>
          <w:p w:rsidR="00C81E83" w:rsidRDefault="00C81E83">
            <w:pPr>
              <w:pStyle w:val="SL-FlLftSgl"/>
              <w:jc w:val="right"/>
              <w:rPr>
                <w:sz w:val="20"/>
                <w:szCs w:val="20"/>
              </w:rPr>
            </w:pPr>
          </w:p>
        </w:tc>
        <w:tc>
          <w:tcPr>
            <w:tcW w:w="718" w:type="dxa"/>
            <w:tcBorders>
              <w:top w:val="nil"/>
              <w:left w:val="nil"/>
              <w:bottom w:val="single" w:sz="24" w:space="0" w:color="auto"/>
              <w:right w:val="nil"/>
            </w:tcBorders>
            <w:vAlign w:val="bottom"/>
          </w:tcPr>
          <w:p w:rsidR="00C81E83" w:rsidRDefault="00C81E83">
            <w:pPr>
              <w:pStyle w:val="SL-FlLftSgl"/>
              <w:jc w:val="right"/>
              <w:rPr>
                <w:sz w:val="20"/>
                <w:szCs w:val="20"/>
              </w:rPr>
            </w:pPr>
          </w:p>
        </w:tc>
        <w:tc>
          <w:tcPr>
            <w:tcW w:w="718" w:type="dxa"/>
            <w:tcBorders>
              <w:top w:val="nil"/>
              <w:left w:val="nil"/>
              <w:bottom w:val="single" w:sz="24" w:space="0" w:color="auto"/>
              <w:right w:val="nil"/>
            </w:tcBorders>
            <w:vAlign w:val="bottom"/>
          </w:tcPr>
          <w:p w:rsidR="00C81E83" w:rsidRDefault="00C81E83">
            <w:pPr>
              <w:pStyle w:val="SL-FlLftSgl"/>
              <w:jc w:val="right"/>
              <w:rPr>
                <w:sz w:val="20"/>
                <w:szCs w:val="20"/>
              </w:rPr>
            </w:pPr>
          </w:p>
        </w:tc>
      </w:tr>
    </w:tbl>
    <w:p w:rsidR="00C81E83" w:rsidRDefault="00C81E83">
      <w:pPr>
        <w:pStyle w:val="FootnoteText"/>
        <w:spacing w:before="0"/>
        <w:ind w:left="0" w:firstLine="0"/>
        <w:jc w:val="left"/>
        <w:rPr>
          <w:sz w:val="18"/>
          <w:szCs w:val="18"/>
        </w:rPr>
      </w:pPr>
      <w:r>
        <w:rPr>
          <w:sz w:val="18"/>
          <w:szCs w:val="18"/>
          <w:vertAlign w:val="superscript"/>
        </w:rPr>
        <w:t>1</w:t>
      </w:r>
      <w:r>
        <w:rPr>
          <w:sz w:val="18"/>
          <w:szCs w:val="18"/>
        </w:rPr>
        <w:t xml:space="preserve"> NHES:1999 was a special end-of-decade administration that measured key indicators from the surveys fielded during the 1990s. </w:t>
      </w:r>
    </w:p>
    <w:p w:rsidR="00C81E83" w:rsidRDefault="00C81E83">
      <w:pPr>
        <w:pStyle w:val="FootnoteText"/>
        <w:spacing w:before="0"/>
        <w:ind w:left="0" w:firstLine="0"/>
        <w:jc w:val="left"/>
        <w:rPr>
          <w:sz w:val="18"/>
          <w:szCs w:val="18"/>
        </w:rPr>
      </w:pPr>
      <w:r>
        <w:rPr>
          <w:sz w:val="18"/>
          <w:szCs w:val="18"/>
          <w:vertAlign w:val="superscript"/>
        </w:rPr>
        <w:t>2</w:t>
      </w:r>
      <w:r>
        <w:rPr>
          <w:sz w:val="18"/>
          <w:szCs w:val="18"/>
        </w:rPr>
        <w:t xml:space="preserve"> These items were only asked about children in first through third grades.</w:t>
      </w:r>
    </w:p>
    <w:p w:rsidR="00C81E83" w:rsidRDefault="00C81E83">
      <w:pPr>
        <w:pStyle w:val="FootnoteText"/>
        <w:spacing w:before="0"/>
        <w:ind w:left="0" w:firstLine="0"/>
        <w:jc w:val="left"/>
        <w:rPr>
          <w:sz w:val="18"/>
          <w:szCs w:val="18"/>
        </w:rPr>
      </w:pPr>
      <w:r>
        <w:rPr>
          <w:sz w:val="18"/>
          <w:szCs w:val="18"/>
          <w:vertAlign w:val="superscript"/>
        </w:rPr>
        <w:t>3</w:t>
      </w:r>
      <w:r>
        <w:rPr>
          <w:sz w:val="18"/>
          <w:szCs w:val="18"/>
        </w:rPr>
        <w:t xml:space="preserve"> The NHES:2001 survey about after-school programs and activities (ASPA) also included before-school programs.</w:t>
      </w:r>
    </w:p>
    <w:p w:rsidR="00C81E83" w:rsidRDefault="00C81E83">
      <w:pPr>
        <w:pStyle w:val="FootnoteText"/>
        <w:spacing w:before="0"/>
        <w:ind w:left="0" w:firstLine="0"/>
        <w:jc w:val="left"/>
        <w:rPr>
          <w:sz w:val="18"/>
          <w:szCs w:val="18"/>
        </w:rPr>
      </w:pPr>
      <w:r>
        <w:rPr>
          <w:sz w:val="18"/>
          <w:szCs w:val="18"/>
        </w:rPr>
        <w:t>SOURCE: U.S. Department of Education, National Center for Education Statistics, National Household Education Surveys Program (NHES), 1991, 1993, 1995, 1996, 1999, 2001, 2003, 2005, and 2007.</w:t>
      </w:r>
    </w:p>
    <w:p w:rsidR="00C81E83" w:rsidRDefault="00C81E83">
      <w:pPr>
        <w:tabs>
          <w:tab w:val="left" w:pos="0"/>
          <w:tab w:val="left" w:pos="972"/>
          <w:tab w:val="left" w:pos="1440"/>
        </w:tabs>
        <w:spacing w:line="360" w:lineRule="atLeast"/>
        <w:ind w:firstLine="1152"/>
        <w:jc w:val="both"/>
        <w:rPr>
          <w:sz w:val="22"/>
          <w:szCs w:val="22"/>
        </w:rPr>
      </w:pPr>
    </w:p>
    <w:p w:rsidR="00C81E83" w:rsidRDefault="00C81E83">
      <w:pPr>
        <w:tabs>
          <w:tab w:val="left" w:pos="0"/>
          <w:tab w:val="left" w:pos="972"/>
          <w:tab w:val="left" w:pos="1440"/>
        </w:tabs>
        <w:spacing w:line="340" w:lineRule="atLeast"/>
        <w:ind w:firstLine="1152"/>
        <w:jc w:val="both"/>
        <w:rPr>
          <w:sz w:val="22"/>
          <w:szCs w:val="22"/>
        </w:rPr>
      </w:pPr>
      <w:r>
        <w:rPr>
          <w:sz w:val="22"/>
          <w:szCs w:val="22"/>
        </w:rPr>
        <w:t>The surveys that will be fielded in the NHES:2009 Pilot Test are not intended to produce survey estimates for analytical purposes.  The goal of the Pilot Test is methodological.  However, the assessment of the NHES methodology requires a realistic administration of proposed methods and the use of instruments that reflect topics, length, and complexity that would normally be fielded in an NHES survey.  The Pilot Test will also permit the assessment of response patterns (e.g. skip errors) that may suggest instrument changes for the 2011 Field Test.</w:t>
      </w:r>
    </w:p>
    <w:p w:rsidR="00C81E83" w:rsidRDefault="00C81E83">
      <w:pPr>
        <w:tabs>
          <w:tab w:val="left" w:pos="0"/>
          <w:tab w:val="left" w:pos="972"/>
          <w:tab w:val="left" w:pos="1440"/>
        </w:tabs>
        <w:spacing w:line="340" w:lineRule="atLeast"/>
        <w:ind w:firstLine="1152"/>
        <w:jc w:val="both"/>
        <w:rPr>
          <w:sz w:val="22"/>
          <w:szCs w:val="22"/>
        </w:rPr>
      </w:pPr>
    </w:p>
    <w:p w:rsidR="00C81E83" w:rsidRDefault="00C81E83">
      <w:pPr>
        <w:pStyle w:val="SP-SglSpPara"/>
        <w:spacing w:line="340" w:lineRule="atLeast"/>
        <w:ind w:firstLine="1152"/>
      </w:pPr>
      <w:r>
        <w:t xml:space="preserve">The topical surveys planned for the 2009 Pilot Test and 2011 Field Test are:  </w:t>
      </w:r>
    </w:p>
    <w:p w:rsidR="00C81E83" w:rsidRDefault="00C81E83">
      <w:pPr>
        <w:pStyle w:val="SP-SglSpPara"/>
        <w:spacing w:line="340" w:lineRule="atLeast"/>
        <w:ind w:firstLine="1152"/>
      </w:pPr>
    </w:p>
    <w:p w:rsidR="00C81E83" w:rsidRDefault="00C81E83">
      <w:pPr>
        <w:pStyle w:val="N2-2ndBullet"/>
      </w:pPr>
      <w:r>
        <w:rPr>
          <w:b/>
          <w:bCs/>
        </w:rPr>
        <w:t>The Early Childhood Program Participation Survey (ECPP),</w:t>
      </w:r>
      <w:r>
        <w:t xml:space="preserve"> previously conducted in 1991, 1995, 2001, and 2005, provides estimates of children’s participation in care by relatives and non-relatives in private homes and in center-based daycare or preschool programs (including Head Start and Early Head Start).  Additional topics addressed in ECPP interviews have included family learning activities, out-of-pocket expenses for nonparental care, continuity of care, factors related to parental selection of care, parents’ perceptions of care quality, child health and disability, and child, parent, and household characteristics. The ECPP Survey population includes children ages 6 or younger who are not yet enrolled in kindergarten.</w:t>
      </w:r>
    </w:p>
    <w:p w:rsidR="00C81E83" w:rsidRDefault="00C81E83">
      <w:pPr>
        <w:pStyle w:val="N2-2ndBullet"/>
      </w:pPr>
      <w:r>
        <w:rPr>
          <w:b/>
          <w:bCs/>
          <w:color w:val="000000"/>
        </w:rPr>
        <w:t>The Parent and Family Involvement in Education Survey</w:t>
      </w:r>
      <w:r>
        <w:rPr>
          <w:b/>
          <w:bCs/>
        </w:rPr>
        <w:t xml:space="preserve"> (PFI</w:t>
      </w:r>
      <w:r>
        <w:t>), previously conducted in 1996, 2003, and 2007, addresses specific ways that families are involved in their children’s school, school practices to involve and support families, involvement with children’s homework, and involvement in educational activities outside of school.  Parents of homeschoolers are asked about their reasons for choosing homeschooling and resources they used in homeschooling.  The interviews also include questions about child, parent, and household characteristics. The PFI Survey population includes children and youth enrolled in kindergarten through 12th grade or homeschooled for these grades, with an age limit of 20 years.</w:t>
      </w:r>
    </w:p>
    <w:p w:rsidR="00C81E83" w:rsidRDefault="00C81E83">
      <w:pPr>
        <w:pStyle w:val="P1-StandPara"/>
        <w:spacing w:line="340" w:lineRule="atLeast"/>
        <w:ind w:firstLine="0"/>
      </w:pPr>
    </w:p>
    <w:p w:rsidR="00C81E83" w:rsidRDefault="00C81E83">
      <w:pPr>
        <w:pStyle w:val="Heading2"/>
      </w:pPr>
      <w:bookmarkStart w:id="12" w:name="_Toc61176377"/>
      <w:bookmarkStart w:id="13" w:name="_Toc222888886"/>
      <w:r>
        <w:t>A.1.</w:t>
      </w:r>
      <w:r>
        <w:tab/>
        <w:t>Circumstances Necessitating Collection of Information</w:t>
      </w:r>
      <w:bookmarkEnd w:id="12"/>
      <w:bookmarkEnd w:id="13"/>
    </w:p>
    <w:p w:rsidR="00C81E83" w:rsidRDefault="00C81E83">
      <w:pPr>
        <w:pStyle w:val="P1-StandPara"/>
      </w:pPr>
      <w:r>
        <w:t>NCES has as its legislative mission the collection and publication of data on the condition of education in the Nation (the National Education Statistics Act of 1994, P.L. 103-382, October 20, 1994 (20 USC 9001)):</w:t>
      </w:r>
    </w:p>
    <w:p w:rsidR="00C81E83" w:rsidRDefault="00C81E83">
      <w:pPr>
        <w:pStyle w:val="P1-StandPara"/>
      </w:pPr>
    </w:p>
    <w:p w:rsidR="00C81E83" w:rsidRDefault="00C81E83">
      <w:pPr>
        <w:pStyle w:val="P1-StandPara"/>
        <w:spacing w:line="240" w:lineRule="auto"/>
        <w:ind w:left="1170" w:hanging="18"/>
      </w:pPr>
      <w:r>
        <w:t>The duties of the Center are to collect, analyze, and disseminate statistics and other information related to education in the United States and in other nations.</w:t>
      </w:r>
    </w:p>
    <w:p w:rsidR="00C81E83" w:rsidRDefault="00C81E83">
      <w:pPr>
        <w:pStyle w:val="P1-StandPara"/>
        <w:spacing w:line="340" w:lineRule="atLeast"/>
      </w:pPr>
    </w:p>
    <w:p w:rsidR="00C81E83" w:rsidRDefault="00C81E83">
      <w:pPr>
        <w:pStyle w:val="P1-StandPara"/>
        <w:spacing w:line="340" w:lineRule="atLeast"/>
      </w:pPr>
      <w:r>
        <w:t>NHES is specifically designed to support this mission by providing a means to investigate educational issues that cannot be adequately studied through the Center’s institution-based data collection efforts.  For example, young children are cared for in many types of informal or formal settings and some children are cared for only in their own homes.  As a result, no institutional sample frame is available for young children.  It is efficient and economical to interview parents about their involvement in children’s education through a household-based approach rather than incurring the cost and nonresponse involved in enlisting schools, obtaining lists of parents, and sampling parents from those lists.  The NHES surveys conducted from 1991 through 2007 afford the opportunity to track change over time in several important educational domains that are of interest to policymakers and researchers.  For example, information about children’s emerging literacy and numeracy collected in NHES surveys is germane to the No Child Left Behind Act.</w:t>
      </w:r>
    </w:p>
    <w:p w:rsidR="00C81E83" w:rsidRDefault="00C81E83">
      <w:pPr>
        <w:pStyle w:val="P1-StandPara"/>
        <w:spacing w:line="340" w:lineRule="atLeast"/>
      </w:pPr>
    </w:p>
    <w:p w:rsidR="00C81E83" w:rsidRDefault="00C81E83">
      <w:pPr>
        <w:pStyle w:val="P1-StandPara"/>
        <w:spacing w:line="340" w:lineRule="atLeast"/>
      </w:pPr>
      <w:r>
        <w:t>Many issues that are central to assessing the condition of education in the United States can be measured adequately only by a household-based survey conducted at regular intervals.  Other studies dealing with similar topics differ in crucial ways from NHES (see section A.4.1 for summary information about other studies).  In particular, none of them measure the topics of interest at specific, planned intervals; as a result changes over time cannot be studied effectively with other data sources.  While the NHES:2009 Pilot Test is not being conducted to make survey estimates, the topical surveys represent key repeated topics and measures for the NHES program, to support a realistic test of the methodology.</w:t>
      </w:r>
    </w:p>
    <w:p w:rsidR="00C81E83" w:rsidRDefault="00C81E83">
      <w:pPr>
        <w:pStyle w:val="P1-StandPara"/>
        <w:spacing w:line="340" w:lineRule="atLeast"/>
      </w:pPr>
    </w:p>
    <w:p w:rsidR="00C81E83" w:rsidRDefault="00C81E83">
      <w:pPr>
        <w:pStyle w:val="P1-StandPara"/>
        <w:spacing w:line="340" w:lineRule="atLeast"/>
      </w:pPr>
      <w:r>
        <w:t>The continuation of the NHES program to fill this important need requires that the methodology be revised to reflect the current survey environment.  The NHES:2009 Pilot Test is a vital part of that process.</w:t>
      </w:r>
    </w:p>
    <w:p w:rsidR="00C81E83" w:rsidRDefault="00C81E83">
      <w:pPr>
        <w:pStyle w:val="P1-StandPara"/>
        <w:spacing w:line="340" w:lineRule="atLeast"/>
      </w:pPr>
    </w:p>
    <w:p w:rsidR="00C81E83" w:rsidRDefault="00C81E83">
      <w:pPr>
        <w:pStyle w:val="P1-StandPara"/>
        <w:spacing w:line="340" w:lineRule="atLeast"/>
      </w:pPr>
    </w:p>
    <w:p w:rsidR="00C81E83" w:rsidRDefault="00C81E83">
      <w:pPr>
        <w:pStyle w:val="Heading2"/>
      </w:pPr>
      <w:bookmarkStart w:id="14" w:name="_Toc61176378"/>
      <w:bookmarkStart w:id="15" w:name="_Toc222888887"/>
      <w:r>
        <w:t>A.2.</w:t>
      </w:r>
      <w:r>
        <w:tab/>
        <w:t>Purposes and Uses of the Data</w:t>
      </w:r>
      <w:bookmarkEnd w:id="14"/>
      <w:bookmarkEnd w:id="15"/>
    </w:p>
    <w:p w:rsidR="00C81E83" w:rsidRDefault="00C81E83">
      <w:pPr>
        <w:pStyle w:val="P1-StandPara"/>
        <w:spacing w:line="340" w:lineRule="atLeast"/>
      </w:pPr>
      <w:r>
        <w:t xml:space="preserve">The data collected in the NHES:2009 Pilot Test will be used to evaluate the revised survey methodology and its ability to produce improvements in population coverage and response rates, while also testing the impact of respondent error on data quality and the efficiency of the proposed methodologies. Information gathered from this pilot will be used to finalize the methodologies that will be used in the 2011 Field Test and to make the necessary additions and modifications to the instruments. </w:t>
      </w:r>
    </w:p>
    <w:p w:rsidR="00C81E83" w:rsidRDefault="00C81E83">
      <w:pPr>
        <w:tabs>
          <w:tab w:val="left" w:pos="-1440"/>
          <w:tab w:val="left" w:pos="-720"/>
          <w:tab w:val="left" w:pos="1195"/>
          <w:tab w:val="left" w:pos="1728"/>
          <w:tab w:val="left" w:pos="2160"/>
        </w:tabs>
        <w:spacing w:line="340" w:lineRule="atLeast"/>
        <w:ind w:firstLine="1152"/>
        <w:jc w:val="both"/>
      </w:pPr>
    </w:p>
    <w:p w:rsidR="00C81E83" w:rsidRDefault="00C81E83">
      <w:pPr>
        <w:tabs>
          <w:tab w:val="left" w:pos="-1440"/>
          <w:tab w:val="left" w:pos="-720"/>
          <w:tab w:val="left" w:pos="1195"/>
          <w:tab w:val="left" w:pos="1728"/>
          <w:tab w:val="left" w:pos="2160"/>
        </w:tabs>
        <w:spacing w:line="340" w:lineRule="atLeast"/>
        <w:ind w:firstLine="1152"/>
        <w:jc w:val="both"/>
      </w:pPr>
    </w:p>
    <w:p w:rsidR="00C81E83" w:rsidRDefault="00C81E83">
      <w:pPr>
        <w:pStyle w:val="Heading2"/>
      </w:pPr>
      <w:bookmarkStart w:id="16" w:name="_Toc61176379"/>
      <w:bookmarkStart w:id="17" w:name="_Toc222888888"/>
      <w:r>
        <w:t>A.3.</w:t>
      </w:r>
      <w:r>
        <w:tab/>
        <w:t>Use of Improved Information Technology</w:t>
      </w:r>
      <w:bookmarkEnd w:id="16"/>
      <w:bookmarkEnd w:id="17"/>
    </w:p>
    <w:p w:rsidR="00C81E83" w:rsidRDefault="00C81E83">
      <w:pPr>
        <w:pStyle w:val="P1-StandPara"/>
        <w:spacing w:line="340" w:lineRule="atLeast"/>
      </w:pPr>
      <w:r>
        <w:t>The NHES:2009 Pilot Test will be conducted using two complementary survey systems that will improve the efficiency and accuracy of the data collection process.</w:t>
      </w:r>
    </w:p>
    <w:p w:rsidR="00C81E83" w:rsidRDefault="00C81E83">
      <w:pPr>
        <w:pStyle w:val="P1-StandPara"/>
        <w:spacing w:line="340" w:lineRule="atLeast"/>
      </w:pPr>
    </w:p>
    <w:p w:rsidR="00C81E83" w:rsidRDefault="00C81E83">
      <w:pPr>
        <w:pStyle w:val="P1-StandPara"/>
        <w:spacing w:line="340" w:lineRule="atLeast"/>
      </w:pPr>
      <w:r>
        <w:t>The self-administered questionnaires will be implemented in Teleform, which offers a wide range of capabilities to projects.  The following features are important for NHES:2009:</w:t>
      </w:r>
    </w:p>
    <w:p w:rsidR="00C81E83" w:rsidRDefault="00C81E83">
      <w:pPr>
        <w:pStyle w:val="L1-FlLSp12"/>
        <w:spacing w:line="340" w:lineRule="atLeast"/>
        <w:ind w:firstLine="1152"/>
      </w:pPr>
    </w:p>
    <w:p w:rsidR="00C81E83" w:rsidRDefault="00C81E83">
      <w:pPr>
        <w:pStyle w:val="N2-2ndBullet"/>
      </w:pPr>
      <w:r>
        <w:rPr>
          <w:b/>
          <w:bCs/>
        </w:rPr>
        <w:t>Forms Design.</w:t>
      </w:r>
      <w:r>
        <w:t xml:space="preserve"> Questionnaires can be created using the Designer module and selected information such as name and address can be pre-filled prior to distribution. Form templates are used to classify each data field as a text entry, choice, signature or image zone. Completed hardcopy forms can be processed by TeleForm to capture responses without manual data entry.</w:t>
      </w:r>
    </w:p>
    <w:p w:rsidR="00C81E83" w:rsidRDefault="00C81E83">
      <w:pPr>
        <w:pStyle w:val="N2-2ndBullet"/>
      </w:pPr>
      <w:r>
        <w:rPr>
          <w:b/>
          <w:bCs/>
        </w:rPr>
        <w:t>Image Preprocessing.</w:t>
      </w:r>
      <w:r>
        <w:t xml:space="preserve"> TeleForm applies image preprocessing to the forms in their image format in order to correct any skewing that may have occurred during scanning or faxing, and to remove other unwanted marks from the form according to project specifications.</w:t>
      </w:r>
    </w:p>
    <w:p w:rsidR="00C81E83" w:rsidRDefault="00C81E83">
      <w:pPr>
        <w:pStyle w:val="N2-2ndBullet"/>
      </w:pPr>
      <w:r>
        <w:rPr>
          <w:b/>
          <w:bCs/>
          <w:color w:val="000000"/>
        </w:rPr>
        <w:t>Data Capture</w:t>
      </w:r>
      <w:r>
        <w:rPr>
          <w:b/>
          <w:bCs/>
        </w:rPr>
        <w:t>.</w:t>
      </w:r>
      <w:r>
        <w:t xml:space="preserve"> TeleForm reads the form image files and extracts data according to rules established for each questionnaire template. TeleForm can recognize handwritten (ICR), printed (OCR), check box, and ‘bubble’ (OMR) data types.</w:t>
      </w:r>
    </w:p>
    <w:p w:rsidR="00C81E83" w:rsidRDefault="00C81E83">
      <w:pPr>
        <w:pStyle w:val="N2-2ndBullet"/>
      </w:pPr>
      <w:r>
        <w:rPr>
          <w:b/>
          <w:bCs/>
        </w:rPr>
        <w:t>Verification.</w:t>
      </w:r>
      <w:r>
        <w:t xml:space="preserve"> Extracted data are subject to field validation according to project specifications. If a data value violates validation rules, the data may be flagged for review by verifiers who interactively review the images and the corresponding extracted data, and resolve validation errors.</w:t>
      </w:r>
    </w:p>
    <w:p w:rsidR="00C81E83" w:rsidRDefault="00C81E83">
      <w:pPr>
        <w:pStyle w:val="P1-StandPara"/>
        <w:spacing w:line="340" w:lineRule="atLeast"/>
      </w:pPr>
    </w:p>
    <w:p w:rsidR="00C81E83" w:rsidRDefault="00C81E83">
      <w:pPr>
        <w:pStyle w:val="P1-StandPara"/>
        <w:spacing w:line="340" w:lineRule="atLeast"/>
      </w:pPr>
      <w:r>
        <w:t>Telephone followup interviews will be conducted using the Voxco computer-assisted telephone interviewing (CATI) system.  The most important features of the Voxco system for NHES are the following:</w:t>
      </w:r>
    </w:p>
    <w:p w:rsidR="00C81E83" w:rsidRDefault="00C81E83">
      <w:pPr>
        <w:tabs>
          <w:tab w:val="left" w:pos="-1440"/>
          <w:tab w:val="left" w:pos="-720"/>
          <w:tab w:val="left" w:pos="1195"/>
          <w:tab w:val="left" w:pos="1728"/>
          <w:tab w:val="left" w:pos="2160"/>
        </w:tabs>
        <w:spacing w:line="340" w:lineRule="atLeast"/>
        <w:jc w:val="both"/>
      </w:pPr>
    </w:p>
    <w:p w:rsidR="00C81E83" w:rsidRDefault="00C81E83">
      <w:pPr>
        <w:pStyle w:val="N2-2ndBullet"/>
      </w:pPr>
      <w:r>
        <w:rPr>
          <w:b/>
          <w:bCs/>
        </w:rPr>
        <w:t>Sampling:</w:t>
      </w:r>
      <w:r>
        <w:t xml:space="preserve">  The CATI will be programmed to identify eligible household members and sample respondents for interviews.  The use of online sampling eliminates the need for separate screening and interviewing calls, reducing survey cost and respondent burden.</w:t>
      </w:r>
    </w:p>
    <w:p w:rsidR="00C81E83" w:rsidRDefault="00C81E83">
      <w:pPr>
        <w:pStyle w:val="N2-2ndBullet"/>
      </w:pPr>
      <w:r>
        <w:rPr>
          <w:b/>
          <w:bCs/>
        </w:rPr>
        <w:t>Scheduling:</w:t>
      </w:r>
      <w:r>
        <w:t xml:space="preserve">  The CATI scheduler will be used to route telephone numbers to interviewers, maintain a schedule of callback appointments, and reschedule unsuccessful contact attempts to an appropriate day and time.</w:t>
      </w:r>
    </w:p>
    <w:p w:rsidR="00C81E83" w:rsidRDefault="00C81E83">
      <w:pPr>
        <w:pStyle w:val="N2-2ndBullet"/>
      </w:pPr>
      <w:r>
        <w:rPr>
          <w:b/>
          <w:bCs/>
        </w:rPr>
        <w:t>Skip Patterns:</w:t>
      </w:r>
      <w:r>
        <w:t xml:space="preserve">  The CATI system will automatically guide interviewers through the skip patterns in the questionnaire, reducing the potential for interviewer error and shortening the questionnaire administration time.</w:t>
      </w:r>
    </w:p>
    <w:p w:rsidR="00C81E83" w:rsidRDefault="00C81E83">
      <w:pPr>
        <w:pStyle w:val="N2-2ndBullet"/>
      </w:pPr>
      <w:r>
        <w:rPr>
          <w:b/>
          <w:bCs/>
        </w:rPr>
        <w:t>Receipt Control:</w:t>
      </w:r>
      <w:r>
        <w:t xml:space="preserve">  The CATI system will provide for automatic receipt control in a flexible manner that will be used to produce status reports that allow ongoing monitoring of the survey’s progress.</w:t>
      </w:r>
    </w:p>
    <w:p w:rsidR="00C81E83" w:rsidRDefault="00C81E83">
      <w:pPr>
        <w:pStyle w:val="P1-StandPara"/>
      </w:pPr>
    </w:p>
    <w:p w:rsidR="00C81E83" w:rsidRDefault="00C81E83">
      <w:pPr>
        <w:pStyle w:val="Heading2"/>
      </w:pPr>
      <w:bookmarkStart w:id="18" w:name="_Toc61176380"/>
      <w:bookmarkStart w:id="19" w:name="_Toc222888889"/>
      <w:r>
        <w:t>A.4.</w:t>
      </w:r>
      <w:r>
        <w:tab/>
        <w:t>Efforts to Identify Duplication</w:t>
      </w:r>
      <w:bookmarkEnd w:id="18"/>
      <w:bookmarkEnd w:id="19"/>
    </w:p>
    <w:p w:rsidR="00C81E83" w:rsidRDefault="00C81E83">
      <w:pPr>
        <w:pStyle w:val="P1-StandPara"/>
      </w:pPr>
      <w:r>
        <w:t>The principal goals of the NHES:2009 Pilot Test are methodological:  the assessment of alternative survey designs.  In the course of developing the Pilot Test approach, Westat drew upon recent literature in survey methodology and knowledge drawn from methodological research presented in venues such as professional meetings and seminars of the American Association for Public Opinion Research.  In addition, a Technical Review Panel of experts in survey methodology was convened to provide input to the approach, and these experts were queried about other similar efforts.  No other national surveys examining a similar alternative to an RDD design were identified.</w:t>
      </w:r>
    </w:p>
    <w:p w:rsidR="00C81E83" w:rsidRDefault="00C81E83">
      <w:pPr>
        <w:pStyle w:val="P1-StandPara"/>
      </w:pPr>
    </w:p>
    <w:p w:rsidR="00C81E83" w:rsidRDefault="00C81E83">
      <w:pPr>
        <w:pStyle w:val="P1-StandPara"/>
      </w:pPr>
    </w:p>
    <w:p w:rsidR="00C81E83" w:rsidRDefault="00C81E83">
      <w:pPr>
        <w:pStyle w:val="Heading3"/>
        <w:ind w:left="0" w:firstLine="0"/>
      </w:pPr>
      <w:r>
        <w:t>A.4.1.</w:t>
      </w:r>
      <w:r>
        <w:tab/>
        <w:t>Topical Surveys</w:t>
      </w:r>
    </w:p>
    <w:p w:rsidR="00C81E83" w:rsidRDefault="00C81E83">
      <w:pPr>
        <w:pStyle w:val="P1-StandPara"/>
      </w:pPr>
      <w:r>
        <w:t xml:space="preserve">As noted in the introduction and section A.1., the surveys to be fielded in the Pilot Test represent measures and topics of the types planned for the redesigned survey system.  This is an important feature of the Pilot Test and Field Test processes: that they include real NHES surveys.  However, the surveys are not being conducted for the purpose of making national estimates or producing reports or data sets.  Rather, the NHES:2009 Pilot Test is being conducted for methodological purposes. </w:t>
      </w:r>
    </w:p>
    <w:p w:rsidR="00C81E83" w:rsidRDefault="00C81E83">
      <w:pPr>
        <w:pStyle w:val="P1-StandPara"/>
      </w:pPr>
    </w:p>
    <w:p w:rsidR="00C81E83" w:rsidRDefault="00C81E83">
      <w:pPr>
        <w:pStyle w:val="P1-StandPara"/>
      </w:pPr>
      <w:r>
        <w:t>Past and current efforts have been made to avoid duplication in NHES topical surveys.  No other surveys have been identified that duplicate the ECPP and PFI Surveys.  The limitations of existing surveys fall into three general categories.</w:t>
      </w:r>
    </w:p>
    <w:p w:rsidR="00C81E83" w:rsidRDefault="00C81E83">
      <w:pPr>
        <w:pStyle w:val="P1-StandPara"/>
      </w:pPr>
    </w:p>
    <w:p w:rsidR="00C81E83" w:rsidRDefault="00C81E83">
      <w:pPr>
        <w:pStyle w:val="P1-StandPara"/>
      </w:pPr>
      <w:r>
        <w:rPr>
          <w:b/>
          <w:bCs/>
        </w:rPr>
        <w:t>Population:</w:t>
      </w:r>
      <w:r>
        <w:t xml:space="preserve">  Most other surveys do not address these survey topics for the populations of interest in NHES.  For example, the Head Start Family and Child Experiences Survey (FACES) focuses on children in Head Start, whereas all children who have not yet started kindergarten are of interest in the ECPP Survey.  The National Survey of Parents of Public School Students and Survey of Family and School Partnerships in Public Schools focus on parents of children in public schools; those whose children attend private schools or are homeschooled are not represented.  Some studies of both early childhood and school-age populations focus on single-year cohorts that are followed over time, and therefore do not provide data for the entire population of interest in an NHES survey; the Early Childhood Longitudinal Study-Birth Cohort (ECLS-B) and the Early Childhood Longitudinal Study-Kindergarten Class of 1998-1999 illustrate this limitation. </w:t>
      </w:r>
    </w:p>
    <w:p w:rsidR="00C81E83" w:rsidRDefault="00C81E83">
      <w:pPr>
        <w:pStyle w:val="P1-StandPara"/>
      </w:pPr>
    </w:p>
    <w:p w:rsidR="00C81E83" w:rsidRDefault="00C81E83">
      <w:pPr>
        <w:pStyle w:val="P1-StandPara"/>
      </w:pPr>
      <w:r>
        <w:rPr>
          <w:b/>
          <w:bCs/>
        </w:rPr>
        <w:t>Survey Content:</w:t>
      </w:r>
      <w:r>
        <w:t xml:space="preserve">  Some extant studies are limited in the content that they include relative to the goals of the NHES surveys.  Studies such as the National Survey of America’s Families and the National Study of the Changing Workforce collect some information on child care or program participation, but their primary emphasis is on other topics, and the depth of information on early care and educational experiences is limited. The Head Start FACES project collects information on Head Start program participation and some family measures, but does not account for all nonparental care and programs.  The Current Population Survey October Education Supplement is limited to a relatively small number of items on educational participation, and does not address the roles that parents play in their children’s school, schoolwork, and home activities.  No nationally representative study other than NHES collects detailed data on homeschooling. </w:t>
      </w:r>
    </w:p>
    <w:p w:rsidR="00C81E83" w:rsidRDefault="00C81E83">
      <w:pPr>
        <w:pStyle w:val="P1-StandPara"/>
      </w:pPr>
    </w:p>
    <w:p w:rsidR="00C81E83" w:rsidRDefault="00C81E83">
      <w:pPr>
        <w:pStyle w:val="P1-StandPara"/>
      </w:pPr>
      <w:r>
        <w:rPr>
          <w:b/>
          <w:bCs/>
        </w:rPr>
        <w:t>Current Estimates and Measuring Change Over Time.</w:t>
      </w:r>
      <w:r>
        <w:t xml:space="preserve">  Many of the extant surveys follow one cohort or periodic cohorts (e.g., the Early Childhood Longitudinal Studies, Head Start FACES) or are no longer conducted (e.g., the National Survey of America’s Families, Family Involvement in Education: A National Portrait).  As a result, they cannot meet the NHES goal of providing up-to-date cross-sectional estimates and measures of change over time for all children who have not started kindergarten or for children in kindergarten through 12th grade.  </w:t>
      </w:r>
    </w:p>
    <w:p w:rsidR="00C81E83" w:rsidRDefault="00C81E83">
      <w:pPr>
        <w:pStyle w:val="P1-StandPara"/>
      </w:pPr>
    </w:p>
    <w:p w:rsidR="00C81E83" w:rsidRDefault="00C81E83">
      <w:pPr>
        <w:pStyle w:val="P1-StandPara"/>
      </w:pPr>
      <w:r>
        <w:t>Due to these limitations in extant studies, NCES plans to continue to conduct the ECPP and PFI Surveys under the NHES program.  Therefore, these surveys are appropriate models for testing the revised study methodology.</w:t>
      </w:r>
    </w:p>
    <w:p w:rsidR="00C81E83" w:rsidRDefault="00C81E83">
      <w:pPr>
        <w:pStyle w:val="P1-StandPara"/>
      </w:pPr>
    </w:p>
    <w:p w:rsidR="00C81E83" w:rsidRDefault="00C81E83">
      <w:pPr>
        <w:pStyle w:val="P1-StandPara"/>
      </w:pPr>
    </w:p>
    <w:p w:rsidR="00C81E83" w:rsidRDefault="00C81E83">
      <w:pPr>
        <w:pStyle w:val="Heading2"/>
      </w:pPr>
      <w:bookmarkStart w:id="20" w:name="_Toc61176381"/>
      <w:bookmarkStart w:id="21" w:name="_Toc222888890"/>
      <w:r>
        <w:t>A.5.</w:t>
      </w:r>
      <w:r>
        <w:tab/>
        <w:t>Collection of Data from Small Businesses</w:t>
      </w:r>
      <w:bookmarkEnd w:id="20"/>
      <w:bookmarkEnd w:id="21"/>
    </w:p>
    <w:p w:rsidR="00C81E83" w:rsidRDefault="00C81E83">
      <w:pPr>
        <w:pStyle w:val="P1-StandPara"/>
      </w:pPr>
      <w:r>
        <w:t>Not applicable.</w:t>
      </w:r>
    </w:p>
    <w:p w:rsidR="00C81E83" w:rsidRDefault="00C81E83">
      <w:pPr>
        <w:pStyle w:val="P1-StandPara"/>
      </w:pPr>
    </w:p>
    <w:p w:rsidR="00C81E83" w:rsidRDefault="00C81E83">
      <w:pPr>
        <w:pStyle w:val="P1-StandPara"/>
      </w:pPr>
    </w:p>
    <w:p w:rsidR="00C81E83" w:rsidRDefault="00C81E83">
      <w:pPr>
        <w:pStyle w:val="Heading2"/>
      </w:pPr>
      <w:bookmarkStart w:id="22" w:name="_Toc61176382"/>
      <w:bookmarkStart w:id="23" w:name="_Toc222888891"/>
      <w:r>
        <w:t>A.6.</w:t>
      </w:r>
      <w:r>
        <w:tab/>
        <w:t>Consequences of Less Frequent Data Collection</w:t>
      </w:r>
      <w:bookmarkEnd w:id="22"/>
      <w:bookmarkEnd w:id="23"/>
    </w:p>
    <w:p w:rsidR="00C81E83" w:rsidRDefault="00C81E83">
      <w:pPr>
        <w:pStyle w:val="P1-StandPara"/>
      </w:pPr>
      <w:r>
        <w:t>This request is for clearance of the NHES:2009 Pilot Test only.  A separate request will be submitted for the 2011 Field Test and for future NHES collections.</w:t>
      </w:r>
    </w:p>
    <w:p w:rsidR="00C81E83" w:rsidRDefault="00C81E83">
      <w:pPr>
        <w:pStyle w:val="P1-StandPara"/>
      </w:pPr>
    </w:p>
    <w:p w:rsidR="00C81E83" w:rsidRDefault="00C81E83">
      <w:pPr>
        <w:pStyle w:val="P1-StandPara"/>
      </w:pPr>
    </w:p>
    <w:p w:rsidR="00C81E83" w:rsidRDefault="00C81E83">
      <w:pPr>
        <w:pStyle w:val="Heading2"/>
      </w:pPr>
      <w:bookmarkStart w:id="24" w:name="_Toc61176383"/>
      <w:bookmarkStart w:id="25" w:name="_Toc222888892"/>
      <w:r>
        <w:t>A.7.</w:t>
      </w:r>
      <w:r>
        <w:tab/>
        <w:t>Special Circumstances</w:t>
      </w:r>
      <w:bookmarkEnd w:id="24"/>
      <w:bookmarkEnd w:id="25"/>
    </w:p>
    <w:p w:rsidR="00C81E83" w:rsidRDefault="00C81E83">
      <w:pPr>
        <w:pStyle w:val="P1-StandPara"/>
      </w:pPr>
      <w:r>
        <w:t>None of the special circumstances listed in the instructions for completing the supporting statement apply to the NHES:2009 Pilot Test.</w:t>
      </w:r>
    </w:p>
    <w:p w:rsidR="00C81E83" w:rsidRDefault="00C81E83">
      <w:pPr>
        <w:pStyle w:val="P1-StandPara"/>
      </w:pPr>
    </w:p>
    <w:p w:rsidR="00C81E83" w:rsidRDefault="00C81E83">
      <w:pPr>
        <w:pStyle w:val="P1-StandPara"/>
      </w:pPr>
    </w:p>
    <w:p w:rsidR="00C81E83" w:rsidRDefault="00C81E83">
      <w:pPr>
        <w:pStyle w:val="Heading2"/>
      </w:pPr>
      <w:bookmarkStart w:id="26" w:name="_Toc61176384"/>
      <w:bookmarkStart w:id="27" w:name="_Toc222888893"/>
      <w:r>
        <w:t>A.8.</w:t>
      </w:r>
      <w:r>
        <w:tab/>
        <w:t>Public Comment and Consultations Outside the Agency</w:t>
      </w:r>
      <w:bookmarkEnd w:id="26"/>
      <w:bookmarkEnd w:id="27"/>
    </w:p>
    <w:p w:rsidR="00C81E83" w:rsidRDefault="00C81E83">
      <w:pPr>
        <w:pStyle w:val="P1-StandPara"/>
        <w:rPr>
          <w:b/>
          <w:bCs/>
        </w:rPr>
      </w:pPr>
      <w:r>
        <w:rPr>
          <w:b/>
          <w:bCs/>
        </w:rPr>
        <w:t>Methodological  Experts</w:t>
      </w:r>
    </w:p>
    <w:p w:rsidR="00C81E83" w:rsidRDefault="00C81E83">
      <w:pPr>
        <w:pStyle w:val="P1-StandPara"/>
      </w:pPr>
    </w:p>
    <w:p w:rsidR="00C81E83" w:rsidRDefault="00C81E83">
      <w:pPr>
        <w:pStyle w:val="P1-StandPara"/>
      </w:pPr>
      <w:r>
        <w:t>A Technical Review Panel comprising leading experts in survey methodology was established to provide input to the redesign of the NHES system.  Most members of the panel met in January 2009 to discuss the proposed design, and their comments and suggestions led to changes reflected in this submission.</w:t>
      </w:r>
    </w:p>
    <w:p w:rsidR="00C81E83" w:rsidRDefault="00C81E83">
      <w:pPr>
        <w:pStyle w:val="P1-StandPara"/>
      </w:pPr>
    </w:p>
    <w:p w:rsidR="00C81E83" w:rsidRDefault="00C81E83">
      <w:pPr>
        <w:pStyle w:val="P1-StandPara"/>
        <w:spacing w:line="240" w:lineRule="exact"/>
        <w:ind w:firstLine="0"/>
        <w:jc w:val="left"/>
        <w:rPr>
          <w:b/>
          <w:bCs/>
          <w:u w:val="single"/>
        </w:rPr>
      </w:pPr>
      <w:r>
        <w:rPr>
          <w:b/>
          <w:bCs/>
          <w:u w:val="single"/>
        </w:rPr>
        <w:t>Technical Review Panel Participants</w:t>
      </w:r>
    </w:p>
    <w:p w:rsidR="00C81E83" w:rsidRDefault="00C81E83">
      <w:pPr>
        <w:spacing w:line="240" w:lineRule="exact"/>
        <w:rPr>
          <w:sz w:val="22"/>
          <w:szCs w:val="22"/>
        </w:rPr>
      </w:pPr>
    </w:p>
    <w:p w:rsidR="00C81E83" w:rsidRDefault="00C81E83">
      <w:pPr>
        <w:spacing w:line="240" w:lineRule="exact"/>
      </w:pPr>
      <w:r>
        <w:t>Nancy Bates</w:t>
      </w:r>
    </w:p>
    <w:p w:rsidR="00C81E83" w:rsidRDefault="00C81E83">
      <w:pPr>
        <w:spacing w:line="240" w:lineRule="exact"/>
      </w:pPr>
      <w:r>
        <w:t xml:space="preserve">U.S. Census Bureau </w:t>
      </w:r>
    </w:p>
    <w:p w:rsidR="00C81E83" w:rsidRDefault="00C81E83">
      <w:r>
        <w:t>649 A. St. N.E.</w:t>
      </w:r>
    </w:p>
    <w:p w:rsidR="00C81E83" w:rsidRDefault="00C81E83">
      <w:r>
        <w:t>Washington, DC 20002</w:t>
      </w:r>
    </w:p>
    <w:p w:rsidR="00C81E83" w:rsidRDefault="00C81E83">
      <w:r>
        <w:t>Tel: 301-763-5248</w:t>
      </w:r>
    </w:p>
    <w:p w:rsidR="00C81E83" w:rsidRDefault="00C81E83">
      <w:r>
        <w:t xml:space="preserve">E-mail: </w:t>
      </w:r>
      <w:hyperlink r:id="rId17" w:history="1">
        <w:r>
          <w:rPr>
            <w:rStyle w:val="Hyperlink"/>
          </w:rPr>
          <w:t>nancy.a.bates@census.gov</w:t>
        </w:r>
      </w:hyperlink>
    </w:p>
    <w:p w:rsidR="00C81E83" w:rsidRDefault="00C81E83"/>
    <w:p w:rsidR="00C81E83" w:rsidRDefault="00C81E83">
      <w:r>
        <w:t xml:space="preserve">Paul Beatty </w:t>
      </w:r>
      <w:r>
        <w:br/>
        <w:t>National Center for Health Statistics</w:t>
      </w:r>
    </w:p>
    <w:p w:rsidR="00C81E83" w:rsidRDefault="00C81E83">
      <w:r>
        <w:t>Division of Health Care Statistics</w:t>
      </w:r>
      <w:r>
        <w:br/>
        <w:t xml:space="preserve">3311 Toledo Road, </w:t>
      </w:r>
      <w:r>
        <w:br/>
        <w:t>Hyattsville, MD 20782</w:t>
      </w:r>
    </w:p>
    <w:p w:rsidR="00C81E83" w:rsidRDefault="00C81E83">
      <w:r>
        <w:t>Tel. 301-458-4090</w:t>
      </w:r>
    </w:p>
    <w:p w:rsidR="00C81E83" w:rsidRDefault="00C81E83">
      <w:r>
        <w:t xml:space="preserve">E-mail: </w:t>
      </w:r>
      <w:hyperlink r:id="rId18" w:history="1">
        <w:r>
          <w:rPr>
            <w:rStyle w:val="Hyperlink"/>
          </w:rPr>
          <w:t>pbeatty@cdc.gov</w:t>
        </w:r>
      </w:hyperlink>
    </w:p>
    <w:p w:rsidR="00C81E83" w:rsidRDefault="00C81E83"/>
    <w:p w:rsidR="00C81E83" w:rsidRDefault="00C81E83">
      <w:r>
        <w:t>Johnny Blair</w:t>
      </w:r>
    </w:p>
    <w:p w:rsidR="00C81E83" w:rsidRDefault="00C81E83">
      <w:r>
        <w:t>Survey Sampling and Methodology</w:t>
      </w:r>
    </w:p>
    <w:p w:rsidR="00C81E83" w:rsidRDefault="00C81E83">
      <w:r>
        <w:t>Abt Associates Inc.</w:t>
      </w:r>
    </w:p>
    <w:p w:rsidR="00C81E83" w:rsidRDefault="00C81E83">
      <w:r>
        <w:t>4550 Montgomery Avenue</w:t>
      </w:r>
    </w:p>
    <w:p w:rsidR="00C81E83" w:rsidRDefault="00C81E83">
      <w:r>
        <w:t>Bethesda, MD 20814-3343</w:t>
      </w:r>
    </w:p>
    <w:p w:rsidR="00C81E83" w:rsidRDefault="00C81E83">
      <w:r>
        <w:t>Tel: 301-634-1825</w:t>
      </w:r>
    </w:p>
    <w:p w:rsidR="00C81E83" w:rsidRDefault="00C81E83">
      <w:r>
        <w:t xml:space="preserve">E-mail: </w:t>
      </w:r>
      <w:hyperlink r:id="rId19" w:history="1">
        <w:r>
          <w:rPr>
            <w:rStyle w:val="Hyperlink"/>
          </w:rPr>
          <w:t>Johnny_Blair@AbtAssoc.com</w:t>
        </w:r>
      </w:hyperlink>
    </w:p>
    <w:p w:rsidR="00C81E83" w:rsidRDefault="00C81E83"/>
    <w:p w:rsidR="00C81E83" w:rsidRDefault="00C81E83">
      <w:r>
        <w:t>Stephen Blumberg</w:t>
      </w:r>
    </w:p>
    <w:p w:rsidR="00C81E83" w:rsidRDefault="00C81E83">
      <w:r>
        <w:t>National Center for Health Statistics</w:t>
      </w:r>
    </w:p>
    <w:p w:rsidR="00C81E83" w:rsidRDefault="00C81E83">
      <w:r>
        <w:t>3311 Toledo Road</w:t>
      </w:r>
    </w:p>
    <w:p w:rsidR="00C81E83" w:rsidRDefault="00C81E83">
      <w:pPr>
        <w:rPr>
          <w:lang w:val="fr-FR"/>
        </w:rPr>
      </w:pPr>
      <w:r>
        <w:rPr>
          <w:lang w:val="fr-FR"/>
        </w:rPr>
        <w:t>Hyattsville, MD 20782</w:t>
      </w:r>
    </w:p>
    <w:p w:rsidR="00C81E83" w:rsidRDefault="00C81E83">
      <w:pPr>
        <w:rPr>
          <w:lang w:val="fr-FR"/>
        </w:rPr>
      </w:pPr>
      <w:r>
        <w:rPr>
          <w:lang w:val="fr-FR"/>
        </w:rPr>
        <w:t>Tel.301-458-4107</w:t>
      </w:r>
    </w:p>
    <w:p w:rsidR="00C81E83" w:rsidRDefault="00C81E83">
      <w:pPr>
        <w:rPr>
          <w:lang w:val="fr-FR"/>
        </w:rPr>
      </w:pPr>
      <w:r>
        <w:rPr>
          <w:lang w:val="fr-FR"/>
        </w:rPr>
        <w:t xml:space="preserve">E-mail: </w:t>
      </w:r>
      <w:hyperlink r:id="rId20" w:history="1">
        <w:r>
          <w:rPr>
            <w:rStyle w:val="Hyperlink"/>
            <w:lang w:val="fr-FR"/>
          </w:rPr>
          <w:t>stephen.blumberg@cdc.hhs.gov</w:t>
        </w:r>
      </w:hyperlink>
    </w:p>
    <w:p w:rsidR="00C81E83" w:rsidRDefault="00C81E83">
      <w:pPr>
        <w:rPr>
          <w:lang w:val="fr-FR"/>
        </w:rPr>
      </w:pPr>
    </w:p>
    <w:p w:rsidR="00C81E83" w:rsidRDefault="00C81E83">
      <w:r>
        <w:rPr>
          <w:lang w:val="fr-FR"/>
        </w:rPr>
        <w:br w:type="page"/>
      </w:r>
      <w:r>
        <w:t>Mick Couper</w:t>
      </w:r>
    </w:p>
    <w:p w:rsidR="00C81E83" w:rsidRDefault="00C81E83">
      <w:r>
        <w:t>Survey Research Center</w:t>
      </w:r>
    </w:p>
    <w:p w:rsidR="00C81E83" w:rsidRDefault="00C81E83">
      <w:r>
        <w:t>University of Michigan</w:t>
      </w:r>
    </w:p>
    <w:p w:rsidR="00C81E83" w:rsidRDefault="00C81E83">
      <w:r>
        <w:t>ISR, 426 Thompson Street</w:t>
      </w:r>
    </w:p>
    <w:p w:rsidR="00C81E83" w:rsidRDefault="00C81E83">
      <w:r>
        <w:t>Ann Arbor, MI 48104</w:t>
      </w:r>
    </w:p>
    <w:p w:rsidR="00C81E83" w:rsidRDefault="00C81E83">
      <w:r>
        <w:t>Tel: 734-647-3577</w:t>
      </w:r>
    </w:p>
    <w:p w:rsidR="00C81E83" w:rsidRDefault="00C81E83">
      <w:r>
        <w:t xml:space="preserve">E-mail: </w:t>
      </w:r>
      <w:hyperlink r:id="rId21" w:history="1">
        <w:r>
          <w:rPr>
            <w:rStyle w:val="Hyperlink"/>
          </w:rPr>
          <w:t>mcouper@umich.edu</w:t>
        </w:r>
      </w:hyperlink>
    </w:p>
    <w:p w:rsidR="00C81E83" w:rsidRDefault="00C81E83"/>
    <w:p w:rsidR="00C81E83" w:rsidRDefault="00C81E83">
      <w:r>
        <w:t>Don Dillman</w:t>
      </w:r>
    </w:p>
    <w:p w:rsidR="00C81E83" w:rsidRDefault="00C81E83">
      <w:r>
        <w:t>Social and Economic Sciences Research Center, Professor</w:t>
      </w:r>
    </w:p>
    <w:p w:rsidR="00C81E83" w:rsidRDefault="00C81E83">
      <w:r>
        <w:t xml:space="preserve">Washington State University </w:t>
      </w:r>
      <w:r>
        <w:br/>
        <w:t xml:space="preserve">133 Wilson Hall </w:t>
      </w:r>
      <w:r>
        <w:br/>
        <w:t>Pullman, WA  99164-4014</w:t>
      </w:r>
    </w:p>
    <w:p w:rsidR="00C81E83" w:rsidRDefault="00C81E83">
      <w:r>
        <w:t>Tel: 509-335-1511</w:t>
      </w:r>
    </w:p>
    <w:p w:rsidR="00C81E83" w:rsidRDefault="00C81E83">
      <w:r>
        <w:t xml:space="preserve">E-mail: </w:t>
      </w:r>
      <w:hyperlink r:id="rId22" w:history="1">
        <w:r>
          <w:rPr>
            <w:rStyle w:val="Hyperlink"/>
          </w:rPr>
          <w:t>dillman@wsu.edu</w:t>
        </w:r>
      </w:hyperlink>
    </w:p>
    <w:p w:rsidR="00C81E83" w:rsidRDefault="00C81E83"/>
    <w:p w:rsidR="00C81E83" w:rsidRDefault="00C81E83">
      <w:r>
        <w:t>Robert Groves</w:t>
      </w:r>
    </w:p>
    <w:p w:rsidR="00C81E83" w:rsidRDefault="00C81E83">
      <w:r>
        <w:t>Survey Research Center, Institute for Social Research</w:t>
      </w:r>
    </w:p>
    <w:p w:rsidR="00C81E83" w:rsidRDefault="00C81E83">
      <w:r>
        <w:t>University of Michigan</w:t>
      </w:r>
    </w:p>
    <w:p w:rsidR="00C81E83" w:rsidRDefault="00C81E83">
      <w:r>
        <w:t>426 Thompson Street</w:t>
      </w:r>
    </w:p>
    <w:p w:rsidR="00C81E83" w:rsidRDefault="00C81E83">
      <w:r>
        <w:t>Ann Arbor, MI 48106-1248</w:t>
      </w:r>
    </w:p>
    <w:p w:rsidR="00C81E83" w:rsidRDefault="00C81E83">
      <w:r>
        <w:t>Tel: 734-764-8365</w:t>
      </w:r>
    </w:p>
    <w:p w:rsidR="00C81E83" w:rsidRDefault="00C81E83">
      <w:r>
        <w:t xml:space="preserve">E-mail: </w:t>
      </w:r>
      <w:hyperlink r:id="rId23" w:history="1">
        <w:r>
          <w:rPr>
            <w:rStyle w:val="Hyperlink"/>
          </w:rPr>
          <w:t>bgroves@isr.umich.edu</w:t>
        </w:r>
      </w:hyperlink>
    </w:p>
    <w:p w:rsidR="00C81E83" w:rsidRDefault="00C81E83"/>
    <w:p w:rsidR="00C81E83" w:rsidRDefault="00C81E83">
      <w:r>
        <w:t>Scott Keeter</w:t>
      </w:r>
    </w:p>
    <w:p w:rsidR="00C81E83" w:rsidRDefault="00C81E83">
      <w:r>
        <w:t xml:space="preserve">Pew Research Center </w:t>
      </w:r>
    </w:p>
    <w:p w:rsidR="00C81E83" w:rsidRDefault="00C81E83">
      <w:r>
        <w:t>1615 L. St. NW. Suite 700</w:t>
      </w:r>
    </w:p>
    <w:p w:rsidR="00C81E83" w:rsidRDefault="00C81E83">
      <w:r>
        <w:t>Washington, DC 20036</w:t>
      </w:r>
    </w:p>
    <w:p w:rsidR="00C81E83" w:rsidRDefault="00C81E83">
      <w:r>
        <w:t>Tel: 202-419-4362</w:t>
      </w:r>
    </w:p>
    <w:p w:rsidR="00C81E83" w:rsidRDefault="00C81E83">
      <w:r>
        <w:t xml:space="preserve">E-mail: </w:t>
      </w:r>
      <w:hyperlink r:id="rId24" w:history="1">
        <w:r>
          <w:rPr>
            <w:rStyle w:val="Hyperlink"/>
          </w:rPr>
          <w:t>skeeter@pewresearch.org</w:t>
        </w:r>
      </w:hyperlink>
    </w:p>
    <w:p w:rsidR="00C81E83" w:rsidRDefault="00C81E83"/>
    <w:p w:rsidR="00C81E83" w:rsidRDefault="00C81E83">
      <w:r>
        <w:t>Kristen Olsen</w:t>
      </w:r>
    </w:p>
    <w:p w:rsidR="00C81E83" w:rsidRDefault="00C81E83">
      <w:r>
        <w:t>Survey Research and Methodology</w:t>
      </w:r>
    </w:p>
    <w:p w:rsidR="00C81E83" w:rsidRDefault="00C81E83">
      <w:r>
        <w:t>University of Nebraska-Lincoln</w:t>
      </w:r>
    </w:p>
    <w:p w:rsidR="00C81E83" w:rsidRDefault="00C81E83">
      <w:pPr>
        <w:rPr>
          <w:color w:val="333333"/>
        </w:rPr>
      </w:pPr>
      <w:r>
        <w:t>201 N. 13th St.</w:t>
      </w:r>
      <w:r>
        <w:br/>
        <w:t>Lincoln, NE 68588-0241</w:t>
      </w:r>
      <w:r>
        <w:rPr>
          <w:color w:val="333333"/>
        </w:rPr>
        <w:br/>
        <w:t>Tel: 402-472-7737</w:t>
      </w:r>
    </w:p>
    <w:p w:rsidR="00C81E83" w:rsidRDefault="00C81E83">
      <w:pPr>
        <w:rPr>
          <w:lang w:val="fr-FR"/>
        </w:rPr>
      </w:pPr>
      <w:r>
        <w:rPr>
          <w:color w:val="333333"/>
          <w:lang w:val="fr-FR"/>
        </w:rPr>
        <w:t xml:space="preserve">E-mail: </w:t>
      </w:r>
      <w:hyperlink r:id="rId25" w:history="1">
        <w:r>
          <w:rPr>
            <w:rStyle w:val="Hyperlink"/>
            <w:lang w:val="fr-FR"/>
          </w:rPr>
          <w:t>kolson5@unl.edu</w:t>
        </w:r>
      </w:hyperlink>
    </w:p>
    <w:p w:rsidR="00C81E83" w:rsidRDefault="00C81E83">
      <w:pPr>
        <w:rPr>
          <w:lang w:val="fr-FR"/>
        </w:rPr>
      </w:pPr>
    </w:p>
    <w:p w:rsidR="00C81E83" w:rsidRDefault="00C81E83">
      <w:pPr>
        <w:rPr>
          <w:lang w:val="fr-FR"/>
        </w:rPr>
      </w:pPr>
      <w:r>
        <w:rPr>
          <w:lang w:val="fr-FR"/>
        </w:rPr>
        <w:t>Roger Tourangeau</w:t>
      </w:r>
    </w:p>
    <w:p w:rsidR="00C81E83" w:rsidRDefault="00C81E83">
      <w:r>
        <w:t>Joint Program in Survey Methodology</w:t>
      </w:r>
    </w:p>
    <w:p w:rsidR="00C81E83" w:rsidRDefault="00C81E83">
      <w:r>
        <w:t xml:space="preserve">University of Maryland </w:t>
      </w:r>
    </w:p>
    <w:p w:rsidR="00C81E83" w:rsidRDefault="00C81E83">
      <w:r>
        <w:t>1218 LeFrak Hall, University of Maryland</w:t>
      </w:r>
    </w:p>
    <w:p w:rsidR="00C81E83" w:rsidRDefault="00C81E83">
      <w:r>
        <w:t>College Park, MD 20742</w:t>
      </w:r>
    </w:p>
    <w:p w:rsidR="00C81E83" w:rsidRDefault="00C81E83">
      <w:r>
        <w:t>Tel: 240-595-0057</w:t>
      </w:r>
    </w:p>
    <w:p w:rsidR="00C81E83" w:rsidRDefault="00C81E83">
      <w:r>
        <w:t xml:space="preserve">E-mail: </w:t>
      </w:r>
      <w:hyperlink r:id="rId26" w:history="1">
        <w:r>
          <w:rPr>
            <w:rStyle w:val="Hyperlink"/>
          </w:rPr>
          <w:t>RTourango@survey.umd.edu</w:t>
        </w:r>
      </w:hyperlink>
    </w:p>
    <w:p w:rsidR="00C81E83" w:rsidRDefault="00C81E83"/>
    <w:p w:rsidR="00C81E83" w:rsidRDefault="00C81E83">
      <w:r>
        <w:t>Gordon Willis</w:t>
      </w:r>
    </w:p>
    <w:p w:rsidR="00C81E83" w:rsidRDefault="00C81E83">
      <w:r>
        <w:t>Division of Cancer Control / Population Sciences</w:t>
      </w:r>
    </w:p>
    <w:p w:rsidR="00C81E83" w:rsidRDefault="00C81E83">
      <w:r>
        <w:t>National Cancer Institute</w:t>
      </w:r>
    </w:p>
    <w:p w:rsidR="00C81E83" w:rsidRDefault="00C81E83">
      <w:r>
        <w:t>6130 Executive Blvd, MSC 7344, EPN 4005</w:t>
      </w:r>
    </w:p>
    <w:p w:rsidR="00C81E83" w:rsidRDefault="00C81E83">
      <w:r>
        <w:t>Bethesda, MD 20892-7344</w:t>
      </w:r>
    </w:p>
    <w:p w:rsidR="00C81E83" w:rsidRDefault="00C81E83">
      <w:r>
        <w:t>Tel: 301-594-6652</w:t>
      </w:r>
    </w:p>
    <w:p w:rsidR="00C81E83" w:rsidRDefault="00C81E83">
      <w:r>
        <w:t xml:space="preserve">E-mail: </w:t>
      </w:r>
      <w:hyperlink r:id="rId27" w:history="1">
        <w:r>
          <w:rPr>
            <w:rStyle w:val="Hyperlink"/>
          </w:rPr>
          <w:t>willisg@mail.nih.gov</w:t>
        </w:r>
      </w:hyperlink>
    </w:p>
    <w:p w:rsidR="00C81E83" w:rsidRDefault="00C81E83"/>
    <w:p w:rsidR="00C81E83" w:rsidRDefault="00C81E83">
      <w:pPr>
        <w:pStyle w:val="P1-StandPara"/>
        <w:rPr>
          <w:b/>
          <w:bCs/>
        </w:rPr>
      </w:pPr>
      <w:r>
        <w:br w:type="page"/>
      </w:r>
      <w:r>
        <w:rPr>
          <w:b/>
          <w:bCs/>
        </w:rPr>
        <w:t>Content Area Experts</w:t>
      </w:r>
    </w:p>
    <w:p w:rsidR="00C81E83" w:rsidRDefault="00C81E83">
      <w:pPr>
        <w:pStyle w:val="P1-StandPara"/>
      </w:pPr>
    </w:p>
    <w:p w:rsidR="00C81E83" w:rsidRDefault="00C81E83">
      <w:pPr>
        <w:pStyle w:val="P1-StandPara"/>
      </w:pPr>
      <w:r>
        <w:t xml:space="preserve">The NHES:2009 topical surveys repeat, to a great extent, designs developed for previous NHES administrations.  As a result, they reflect the cumulative input of many experts in the field and past NHES Technical Review Panels.  In order to ensure that the ECPP and PFI Surveys address important issues in the topical areas of interest and incorporate important emerging issues, the design phase of the study included consultations with experts in the substantive areas addressed in the surveys.  These experts included persons in government agencies, academe, and research organizations. </w:t>
      </w:r>
    </w:p>
    <w:p w:rsidR="00C81E83" w:rsidRDefault="00C81E83">
      <w:pPr>
        <w:ind w:left="35"/>
        <w:rPr>
          <w:b/>
          <w:bCs/>
          <w:sz w:val="22"/>
          <w:szCs w:val="22"/>
          <w:u w:val="single"/>
        </w:rPr>
      </w:pPr>
      <w:bookmarkStart w:id="28" w:name="_Toc61176385"/>
    </w:p>
    <w:p w:rsidR="00C81E83" w:rsidRDefault="00C81E83">
      <w:pPr>
        <w:ind w:left="35"/>
        <w:rPr>
          <w:b/>
          <w:bCs/>
          <w:sz w:val="22"/>
          <w:szCs w:val="22"/>
          <w:u w:val="single"/>
        </w:rPr>
      </w:pPr>
    </w:p>
    <w:p w:rsidR="00C81E83" w:rsidRDefault="00C81E83">
      <w:pPr>
        <w:ind w:left="35"/>
        <w:rPr>
          <w:b/>
          <w:bCs/>
          <w:sz w:val="22"/>
          <w:szCs w:val="22"/>
          <w:u w:val="single"/>
        </w:rPr>
      </w:pPr>
      <w:r>
        <w:rPr>
          <w:b/>
          <w:bCs/>
          <w:sz w:val="22"/>
          <w:szCs w:val="22"/>
          <w:u w:val="single"/>
        </w:rPr>
        <w:t>Substantive Experts:  ECPP</w:t>
      </w:r>
    </w:p>
    <w:p w:rsidR="00C81E83" w:rsidRDefault="00C81E83">
      <w:pPr>
        <w:spacing w:line="240" w:lineRule="exact"/>
        <w:ind w:left="29"/>
        <w:rPr>
          <w:b/>
          <w:bCs/>
          <w:sz w:val="22"/>
          <w:szCs w:val="22"/>
        </w:rPr>
      </w:pPr>
    </w:p>
    <w:p w:rsidR="00C81E83" w:rsidRDefault="00C81E83">
      <w:r>
        <w:rPr>
          <w:b/>
          <w:bCs/>
        </w:rPr>
        <w:t>Jerry West - Mathematica</w:t>
      </w:r>
    </w:p>
    <w:p w:rsidR="00C81E83" w:rsidRDefault="00C81E83">
      <w:r>
        <w:t>Mathematica Policy Research, Inc.</w:t>
      </w:r>
    </w:p>
    <w:p w:rsidR="00C81E83" w:rsidRDefault="00C81E83">
      <w:r>
        <w:rPr>
          <w:color w:val="000000"/>
        </w:rPr>
        <w:t>600 Maryland Ave., SW, Suite 550</w:t>
      </w:r>
      <w:r>
        <w:rPr>
          <w:color w:val="000000"/>
        </w:rPr>
        <w:br/>
        <w:t>Washington, DC 20024-2512</w:t>
      </w:r>
      <w:r>
        <w:rPr>
          <w:color w:val="000000"/>
        </w:rPr>
        <w:br/>
        <w:t>(202) 484-9220</w:t>
      </w:r>
    </w:p>
    <w:p w:rsidR="00C81E83" w:rsidRDefault="00C81E83">
      <w:pPr>
        <w:rPr>
          <w:color w:val="000000"/>
        </w:rPr>
      </w:pPr>
      <w:hyperlink r:id="rId28" w:history="1">
        <w:r>
          <w:rPr>
            <w:rStyle w:val="Hyperlink"/>
          </w:rPr>
          <w:t>jwest@mathematica-mpr.com</w:t>
        </w:r>
      </w:hyperlink>
    </w:p>
    <w:p w:rsidR="00C81E83" w:rsidRDefault="00C81E83">
      <w:pPr>
        <w:rPr>
          <w:b/>
          <w:bCs/>
        </w:rPr>
      </w:pPr>
    </w:p>
    <w:p w:rsidR="00C81E83" w:rsidRDefault="00C81E83">
      <w:r>
        <w:rPr>
          <w:b/>
          <w:bCs/>
        </w:rPr>
        <w:t>Ann Collins – Abt Assoc. Cambridge, MA</w:t>
      </w:r>
    </w:p>
    <w:p w:rsidR="00C81E83" w:rsidRDefault="00C81E83">
      <w:r>
        <w:t>Abt Associates Inc.</w:t>
      </w:r>
      <w:r>
        <w:br/>
        <w:t>55 Wheeler Street</w:t>
      </w:r>
      <w:r>
        <w:br/>
        <w:t xml:space="preserve">Cambridge, MA 02138-1168 </w:t>
      </w:r>
    </w:p>
    <w:p w:rsidR="00C81E83" w:rsidRDefault="00C81E83">
      <w:r>
        <w:t>(617) 492-7100</w:t>
      </w:r>
    </w:p>
    <w:p w:rsidR="00C81E83" w:rsidRDefault="00C81E83">
      <w:hyperlink r:id="rId29" w:history="1">
        <w:r>
          <w:rPr>
            <w:rStyle w:val="Hyperlink"/>
          </w:rPr>
          <w:t>Ann_Collins@abtassociates.com</w:t>
        </w:r>
      </w:hyperlink>
    </w:p>
    <w:p w:rsidR="00C81E83" w:rsidRDefault="00C81E83"/>
    <w:p w:rsidR="00C81E83" w:rsidRDefault="00C81E83">
      <w:r>
        <w:rPr>
          <w:b/>
          <w:bCs/>
        </w:rPr>
        <w:t>Ron Haskins – Brookings Instit. And Casey Foundation</w:t>
      </w:r>
    </w:p>
    <w:p w:rsidR="00C81E83" w:rsidRDefault="00C81E83">
      <w:r>
        <w:t>The Brookings Institution</w:t>
      </w:r>
    </w:p>
    <w:p w:rsidR="00C81E83" w:rsidRDefault="00C81E83">
      <w:r>
        <w:t>1775 Massachusetts Ave., NW</w:t>
      </w:r>
    </w:p>
    <w:p w:rsidR="00C81E83" w:rsidRDefault="00C81E83">
      <w:r>
        <w:t>Washington, DC  20036</w:t>
      </w:r>
    </w:p>
    <w:p w:rsidR="00C81E83" w:rsidRDefault="00C81E83">
      <w:r>
        <w:t>(202) 797-6004</w:t>
      </w:r>
    </w:p>
    <w:p w:rsidR="00C81E83" w:rsidRDefault="00C81E83">
      <w:hyperlink r:id="rId30" w:history="1">
        <w:r>
          <w:rPr>
            <w:rStyle w:val="Hyperlink"/>
          </w:rPr>
          <w:t>rhaskins@brookings.edu</w:t>
        </w:r>
      </w:hyperlink>
    </w:p>
    <w:p w:rsidR="00C81E83" w:rsidRDefault="00C81E83"/>
    <w:p w:rsidR="00C81E83" w:rsidRDefault="00C81E83">
      <w:r>
        <w:rPr>
          <w:b/>
          <w:bCs/>
        </w:rPr>
        <w:t>Ivelisse Martinez-Beck – HHS Division of Child and Family Development</w:t>
      </w:r>
    </w:p>
    <w:p w:rsidR="00C81E83" w:rsidRDefault="00C81E83">
      <w:pPr>
        <w:rPr>
          <w:color w:val="000000"/>
        </w:rPr>
      </w:pPr>
      <w:r>
        <w:rPr>
          <w:color w:val="000000"/>
        </w:rPr>
        <w:t>Administration for Children and Families</w:t>
      </w:r>
      <w:r>
        <w:rPr>
          <w:color w:val="000000"/>
        </w:rPr>
        <w:br/>
        <w:t>370 L'Enfant Promenade, S.W.</w:t>
      </w:r>
    </w:p>
    <w:p w:rsidR="00C81E83" w:rsidRDefault="00C81E83">
      <w:r>
        <w:t>7th Floor West, Room 7A011</w:t>
      </w:r>
    </w:p>
    <w:p w:rsidR="00C81E83" w:rsidRDefault="00C81E83">
      <w:r>
        <w:t>Washington, D.C.  20447</w:t>
      </w:r>
    </w:p>
    <w:p w:rsidR="00C81E83" w:rsidRDefault="00C81E83">
      <w:r>
        <w:t>(202) 690-7885</w:t>
      </w:r>
    </w:p>
    <w:p w:rsidR="00C81E83" w:rsidRDefault="00C81E83">
      <w:pPr>
        <w:rPr>
          <w:color w:val="000080"/>
        </w:rPr>
      </w:pPr>
      <w:hyperlink r:id="rId31" w:tooltip="mailto:ivelisse.martinezbeck@acf.hhs.gov" w:history="1">
        <w:r>
          <w:rPr>
            <w:rStyle w:val="Hyperlink"/>
          </w:rPr>
          <w:t>ivelisse.martinezbeck@acf.hhs.gov</w:t>
        </w:r>
      </w:hyperlink>
    </w:p>
    <w:p w:rsidR="00C81E83" w:rsidRDefault="00C81E83"/>
    <w:p w:rsidR="00C81E83" w:rsidRDefault="00C81E83">
      <w:pPr>
        <w:rPr>
          <w:b/>
          <w:bCs/>
        </w:rPr>
      </w:pPr>
      <w:r>
        <w:rPr>
          <w:b/>
          <w:bCs/>
        </w:rPr>
        <w:t>Lynda Laughlin – Census</w:t>
      </w:r>
    </w:p>
    <w:p w:rsidR="00C81E83" w:rsidRDefault="00C81E83">
      <w:r>
        <w:t>U.S. Census Bureau</w:t>
      </w:r>
    </w:p>
    <w:p w:rsidR="00C81E83" w:rsidRDefault="00C81E83">
      <w:r>
        <w:t>4600 Silver Hill Road</w:t>
      </w:r>
    </w:p>
    <w:p w:rsidR="00C81E83" w:rsidRDefault="00C81E83">
      <w:r>
        <w:t>Suitland, MD  20746</w:t>
      </w:r>
    </w:p>
    <w:p w:rsidR="00C81E83" w:rsidRDefault="00C81E83">
      <w:r>
        <w:t>(301) 763-6314</w:t>
      </w:r>
    </w:p>
    <w:p w:rsidR="00C81E83" w:rsidRDefault="00C81E83">
      <w:hyperlink r:id="rId32" w:history="1">
        <w:r>
          <w:rPr>
            <w:rStyle w:val="Hyperlink"/>
          </w:rPr>
          <w:t>lynda.l.laughlin@census.gov</w:t>
        </w:r>
      </w:hyperlink>
    </w:p>
    <w:p w:rsidR="00C81E83" w:rsidRDefault="00C81E83"/>
    <w:p w:rsidR="00C81E83" w:rsidRDefault="00C81E83">
      <w:pPr>
        <w:rPr>
          <w:b/>
          <w:bCs/>
          <w:sz w:val="22"/>
          <w:szCs w:val="22"/>
          <w:u w:val="single"/>
        </w:rPr>
      </w:pPr>
      <w:r>
        <w:rPr>
          <w:sz w:val="22"/>
          <w:szCs w:val="22"/>
        </w:rPr>
        <w:br w:type="page"/>
      </w:r>
      <w:r>
        <w:rPr>
          <w:b/>
          <w:bCs/>
          <w:sz w:val="22"/>
          <w:szCs w:val="22"/>
          <w:u w:val="single"/>
        </w:rPr>
        <w:t>Substantive Experts:  PFI</w:t>
      </w:r>
    </w:p>
    <w:p w:rsidR="00C81E83" w:rsidRDefault="00C81E83">
      <w:pPr>
        <w:spacing w:line="240" w:lineRule="exact"/>
        <w:ind w:left="29"/>
        <w:rPr>
          <w:b/>
          <w:bCs/>
          <w:sz w:val="22"/>
          <w:szCs w:val="22"/>
        </w:rPr>
      </w:pPr>
    </w:p>
    <w:p w:rsidR="00C81E83" w:rsidRDefault="00C81E83">
      <w:r>
        <w:rPr>
          <w:b/>
          <w:bCs/>
        </w:rPr>
        <w:t>Richard Brandon – Univ. of Washington</w:t>
      </w:r>
    </w:p>
    <w:p w:rsidR="00C81E83" w:rsidRDefault="00C81E83">
      <w:pPr>
        <w:rPr>
          <w:color w:val="000000"/>
        </w:rPr>
      </w:pPr>
      <w:r>
        <w:rPr>
          <w:color w:val="000000"/>
        </w:rPr>
        <w:t>Human Services Policy Center, Evans School of Public Affairs</w:t>
      </w:r>
    </w:p>
    <w:p w:rsidR="00C81E83" w:rsidRDefault="00C81E83">
      <w:pPr>
        <w:rPr>
          <w:color w:val="000000"/>
        </w:rPr>
      </w:pPr>
      <w:r>
        <w:rPr>
          <w:color w:val="000000"/>
        </w:rPr>
        <w:t>University of Washington</w:t>
      </w:r>
    </w:p>
    <w:p w:rsidR="00C81E83" w:rsidRDefault="00C81E83">
      <w:pPr>
        <w:rPr>
          <w:color w:val="000000"/>
        </w:rPr>
      </w:pPr>
      <w:r>
        <w:rPr>
          <w:color w:val="000000"/>
        </w:rPr>
        <w:t>1107 NE 45</w:t>
      </w:r>
      <w:r>
        <w:rPr>
          <w:color w:val="000000"/>
          <w:vertAlign w:val="superscript"/>
        </w:rPr>
        <w:t>th</w:t>
      </w:r>
      <w:r>
        <w:rPr>
          <w:color w:val="000000"/>
        </w:rPr>
        <w:t xml:space="preserve"> St.</w:t>
      </w:r>
    </w:p>
    <w:p w:rsidR="00C81E83" w:rsidRDefault="00C81E83">
      <w:pPr>
        <w:rPr>
          <w:color w:val="000000"/>
        </w:rPr>
      </w:pPr>
      <w:r>
        <w:rPr>
          <w:color w:val="000000"/>
        </w:rPr>
        <w:t>Seattle, WA  98105</w:t>
      </w:r>
    </w:p>
    <w:p w:rsidR="00C81E83" w:rsidRDefault="00C81E83">
      <w:pPr>
        <w:rPr>
          <w:color w:val="000000"/>
        </w:rPr>
      </w:pPr>
      <w:r>
        <w:rPr>
          <w:color w:val="000000"/>
        </w:rPr>
        <w:t>(206) 685-3135</w:t>
      </w:r>
    </w:p>
    <w:p w:rsidR="00C81E83" w:rsidRDefault="00C81E83">
      <w:pPr>
        <w:rPr>
          <w:color w:val="000000"/>
        </w:rPr>
      </w:pPr>
      <w:hyperlink r:id="rId33" w:history="1">
        <w:r>
          <w:rPr>
            <w:rStyle w:val="Hyperlink"/>
          </w:rPr>
          <w:t>brandon@u.washington.edu</w:t>
        </w:r>
      </w:hyperlink>
    </w:p>
    <w:p w:rsidR="00C81E83" w:rsidRDefault="00C81E83"/>
    <w:p w:rsidR="00C81E83" w:rsidRDefault="00C81E83">
      <w:r>
        <w:rPr>
          <w:b/>
          <w:bCs/>
        </w:rPr>
        <w:t>Annette Lareau – Univ. of Pennsylvania</w:t>
      </w:r>
    </w:p>
    <w:p w:rsidR="00C81E83" w:rsidRDefault="00C81E83">
      <w:pPr>
        <w:autoSpaceDE w:val="0"/>
        <w:autoSpaceDN w:val="0"/>
        <w:adjustRightInd w:val="0"/>
        <w:rPr>
          <w:color w:val="000000"/>
        </w:rPr>
      </w:pPr>
      <w:r>
        <w:rPr>
          <w:color w:val="000000"/>
        </w:rPr>
        <w:t xml:space="preserve">Department of Sociology </w:t>
      </w:r>
    </w:p>
    <w:p w:rsidR="00C81E83" w:rsidRDefault="00C81E83">
      <w:pPr>
        <w:autoSpaceDE w:val="0"/>
        <w:autoSpaceDN w:val="0"/>
        <w:adjustRightInd w:val="0"/>
        <w:rPr>
          <w:color w:val="000000"/>
        </w:rPr>
      </w:pPr>
      <w:r>
        <w:rPr>
          <w:color w:val="000000"/>
        </w:rPr>
        <w:t xml:space="preserve">University of Pennsylvania </w:t>
      </w:r>
    </w:p>
    <w:p w:rsidR="00C81E83" w:rsidRDefault="00C81E83">
      <w:pPr>
        <w:autoSpaceDE w:val="0"/>
        <w:autoSpaceDN w:val="0"/>
        <w:adjustRightInd w:val="0"/>
        <w:rPr>
          <w:color w:val="000000"/>
        </w:rPr>
      </w:pPr>
      <w:r>
        <w:rPr>
          <w:color w:val="000000"/>
        </w:rPr>
        <w:t xml:space="preserve">McNeil Hall </w:t>
      </w:r>
    </w:p>
    <w:p w:rsidR="00C81E83" w:rsidRDefault="00C81E83">
      <w:pPr>
        <w:autoSpaceDE w:val="0"/>
        <w:autoSpaceDN w:val="0"/>
        <w:adjustRightInd w:val="0"/>
        <w:rPr>
          <w:color w:val="000000"/>
        </w:rPr>
      </w:pPr>
      <w:r>
        <w:rPr>
          <w:color w:val="000000"/>
        </w:rPr>
        <w:t>Philadelphia, PA 19104</w:t>
      </w:r>
    </w:p>
    <w:p w:rsidR="00C81E83" w:rsidRDefault="00C81E83">
      <w:pPr>
        <w:autoSpaceDE w:val="0"/>
        <w:autoSpaceDN w:val="0"/>
        <w:adjustRightInd w:val="0"/>
        <w:rPr>
          <w:color w:val="000000"/>
          <w:lang w:val="fr-FR"/>
        </w:rPr>
      </w:pPr>
      <w:r>
        <w:rPr>
          <w:color w:val="000000"/>
          <w:lang w:val="fr-FR"/>
        </w:rPr>
        <w:t xml:space="preserve">(215) 898-3515 </w:t>
      </w:r>
    </w:p>
    <w:p w:rsidR="00C81E83" w:rsidRDefault="00C81E83">
      <w:pPr>
        <w:rPr>
          <w:lang w:val="fr-FR"/>
        </w:rPr>
      </w:pPr>
      <w:hyperlink r:id="rId34" w:history="1">
        <w:r>
          <w:rPr>
            <w:rStyle w:val="Hyperlink"/>
            <w:lang w:val="fr-FR"/>
          </w:rPr>
          <w:t>alareau@sas.upenn.edu</w:t>
        </w:r>
      </w:hyperlink>
    </w:p>
    <w:p w:rsidR="00C81E83" w:rsidRDefault="00C81E83">
      <w:pPr>
        <w:rPr>
          <w:lang w:val="fr-FR"/>
        </w:rPr>
      </w:pPr>
    </w:p>
    <w:p w:rsidR="00C81E83" w:rsidRDefault="00C81E83">
      <w:pPr>
        <w:rPr>
          <w:b/>
          <w:bCs/>
        </w:rPr>
      </w:pPr>
      <w:r>
        <w:rPr>
          <w:b/>
          <w:bCs/>
          <w:lang w:val="fr-FR"/>
        </w:rPr>
        <w:t>Joyce Epstein</w:t>
      </w:r>
      <w:r>
        <w:rPr>
          <w:b/>
          <w:bCs/>
        </w:rPr>
        <w:t xml:space="preserve"> – The Johns Hopkins University</w:t>
      </w:r>
    </w:p>
    <w:p w:rsidR="00C81E83" w:rsidRDefault="00C81E83">
      <w:pPr>
        <w:pStyle w:val="Default"/>
        <w:rPr>
          <w:rFonts w:ascii="Times New Roman" w:hAnsi="Times New Roman" w:cs="Times New Roman"/>
        </w:rPr>
      </w:pPr>
      <w:r>
        <w:rPr>
          <w:rFonts w:ascii="Times New Roman" w:hAnsi="Times New Roman" w:cs="Times New Roman"/>
        </w:rPr>
        <w:t>Center for Social Organization of Schools</w:t>
      </w:r>
    </w:p>
    <w:p w:rsidR="00C81E83" w:rsidRDefault="00C81E83">
      <w:pPr>
        <w:pStyle w:val="Default"/>
        <w:rPr>
          <w:rFonts w:ascii="Times New Roman" w:hAnsi="Times New Roman" w:cs="Times New Roman"/>
        </w:rPr>
      </w:pPr>
      <w:r>
        <w:rPr>
          <w:rFonts w:ascii="Times New Roman" w:hAnsi="Times New Roman" w:cs="Times New Roman"/>
        </w:rPr>
        <w:t>3003 N. Charles St., Suite 200</w:t>
      </w:r>
    </w:p>
    <w:p w:rsidR="00C81E83" w:rsidRDefault="00C81E83">
      <w:pPr>
        <w:pStyle w:val="Default"/>
        <w:rPr>
          <w:rFonts w:ascii="Times New Roman" w:hAnsi="Times New Roman" w:cs="Times New Roman"/>
        </w:rPr>
      </w:pPr>
      <w:r>
        <w:rPr>
          <w:rFonts w:ascii="Times New Roman" w:hAnsi="Times New Roman" w:cs="Times New Roman"/>
        </w:rPr>
        <w:t>Baltimore, MD  21218</w:t>
      </w:r>
    </w:p>
    <w:p w:rsidR="00C81E83" w:rsidRPr="009B4E44" w:rsidRDefault="00C81E83">
      <w:pPr>
        <w:pStyle w:val="Default"/>
        <w:rPr>
          <w:rFonts w:ascii="Times New Roman" w:hAnsi="Times New Roman" w:cs="Times New Roman"/>
          <w:lang w:val="da-DK"/>
        </w:rPr>
      </w:pPr>
      <w:r w:rsidRPr="009B4E44">
        <w:rPr>
          <w:rFonts w:ascii="Times New Roman" w:hAnsi="Times New Roman" w:cs="Times New Roman"/>
          <w:lang w:val="da-DK"/>
        </w:rPr>
        <w:t>410-516-8807</w:t>
      </w:r>
    </w:p>
    <w:p w:rsidR="00C81E83" w:rsidRPr="009B4E44" w:rsidRDefault="00C81E83">
      <w:pPr>
        <w:pStyle w:val="Default"/>
        <w:rPr>
          <w:rFonts w:ascii="Times New Roman" w:hAnsi="Times New Roman" w:cs="Times New Roman"/>
          <w:lang w:val="da-DK"/>
        </w:rPr>
      </w:pPr>
      <w:hyperlink r:id="rId35" w:history="1">
        <w:r w:rsidRPr="009B4E44">
          <w:rPr>
            <w:rStyle w:val="Hyperlink"/>
            <w:rFonts w:ascii="Times New Roman" w:hAnsi="Times New Roman" w:cs="Times New Roman"/>
            <w:lang w:val="da-DK"/>
          </w:rPr>
          <w:t>jepstein@csos.jhu.edu</w:t>
        </w:r>
      </w:hyperlink>
    </w:p>
    <w:p w:rsidR="00C81E83" w:rsidRPr="009B4E44" w:rsidRDefault="00C81E83">
      <w:pPr>
        <w:rPr>
          <w:lang w:val="da-DK"/>
        </w:rPr>
      </w:pPr>
    </w:p>
    <w:p w:rsidR="00C81E83" w:rsidRPr="009B4E44" w:rsidRDefault="00C81E83">
      <w:pPr>
        <w:rPr>
          <w:lang w:val="da-DK"/>
        </w:rPr>
      </w:pPr>
      <w:r w:rsidRPr="009B4E44">
        <w:rPr>
          <w:b/>
          <w:bCs/>
          <w:lang w:val="da-DK"/>
        </w:rPr>
        <w:t>Lawrence Aber - NYU</w:t>
      </w:r>
    </w:p>
    <w:p w:rsidR="00C81E83" w:rsidRDefault="00C81E83">
      <w:r>
        <w:t>Steinhardt School of Culture, Education, and Human Development</w:t>
      </w:r>
    </w:p>
    <w:p w:rsidR="00C81E83" w:rsidRDefault="00C81E83">
      <w:r>
        <w:t>New York University</w:t>
      </w:r>
    </w:p>
    <w:p w:rsidR="00C81E83" w:rsidRDefault="00C81E83">
      <w:r>
        <w:t>82 Washington Square East</w:t>
      </w:r>
    </w:p>
    <w:p w:rsidR="00C81E83" w:rsidRDefault="00C81E83">
      <w:r>
        <w:t>New York, NY  10003</w:t>
      </w:r>
    </w:p>
    <w:p w:rsidR="00C81E83" w:rsidRDefault="00C81E83">
      <w:r>
        <w:t>(212) 998-5410</w:t>
      </w:r>
    </w:p>
    <w:p w:rsidR="00C81E83" w:rsidRDefault="00C81E83">
      <w:hyperlink r:id="rId36" w:history="1">
        <w:r>
          <w:rPr>
            <w:rStyle w:val="Hyperlink"/>
          </w:rPr>
          <w:t>lawrence.aber@nyu.edu</w:t>
        </w:r>
      </w:hyperlink>
    </w:p>
    <w:p w:rsidR="00C81E83" w:rsidRDefault="00C81E83">
      <w:pPr>
        <w:pStyle w:val="P1-StandPara"/>
        <w:rPr>
          <w:b/>
          <w:bCs/>
          <w:u w:val="single"/>
        </w:rPr>
      </w:pPr>
    </w:p>
    <w:p w:rsidR="00C81E83" w:rsidRDefault="00C81E83">
      <w:pPr>
        <w:pStyle w:val="P1-StandPara"/>
      </w:pPr>
    </w:p>
    <w:p w:rsidR="00C81E83" w:rsidRDefault="00C81E83">
      <w:pPr>
        <w:pStyle w:val="Heading2"/>
      </w:pPr>
      <w:bookmarkStart w:id="29" w:name="_Toc222888894"/>
      <w:r>
        <w:t>A.9.</w:t>
      </w:r>
      <w:r>
        <w:tab/>
        <w:t>Payments to Respondents</w:t>
      </w:r>
      <w:bookmarkEnd w:id="28"/>
      <w:bookmarkEnd w:id="29"/>
    </w:p>
    <w:p w:rsidR="00C81E83" w:rsidRDefault="00C81E83">
      <w:pPr>
        <w:pStyle w:val="P1-StandPara"/>
      </w:pPr>
      <w:r>
        <w:t>NHES:2003 included an extensive experiment in the use of small cash incentives to improve unit response.  The experiment demonstrated that gains in respondent cooperation could be realized with relatively modest cash incentives (Brick et al. 2006).  Such incentives were used in NHES:2005 and NHES:2007 and are planned for the NHES:2009 Pilot Test.</w:t>
      </w:r>
    </w:p>
    <w:p w:rsidR="00C81E83" w:rsidRDefault="00C81E83">
      <w:pPr>
        <w:pStyle w:val="P1-StandPara"/>
      </w:pPr>
    </w:p>
    <w:p w:rsidR="00C81E83" w:rsidRDefault="00C81E83">
      <w:pPr>
        <w:pStyle w:val="P1-StandPara"/>
      </w:pPr>
      <w:r>
        <w:t xml:space="preserve">An advance cash incentive of $2 will be sent with the first screener mailing.  For those households in which someone is selected as the subject of an ECPP or PFI questionnaire, cases will be subsampled to receive a prepaid $0, $5 or $15 incentive with the topical surveys to experimentally test effects on response of three different levels of monetary incentive in the mail survey. </w:t>
      </w:r>
    </w:p>
    <w:p w:rsidR="00C81E83" w:rsidRDefault="00C81E83">
      <w:pPr>
        <w:pStyle w:val="P1-StandPara"/>
      </w:pPr>
    </w:p>
    <w:p w:rsidR="00C81E83" w:rsidRDefault="00C81E83">
      <w:pPr>
        <w:pStyle w:val="P1-StandPara"/>
      </w:pPr>
      <w:r>
        <w:t>As discussed in section B.1.1, an attempt will be made to match telephone numbers to the sampled addresses. Telephone completion of a screener will be attempted with a subsample of cases with telephone number matches if the household does not respond to the screener mailings.  If a screener is completed by telephone and someone in the household is sampled for a topical survey, a random sample of those taking the topical interview will be offered $5 to complete the survey, to be mailed following the interview.</w:t>
      </w:r>
    </w:p>
    <w:p w:rsidR="00C81E83" w:rsidRDefault="00C81E83">
      <w:pPr>
        <w:pStyle w:val="P1-StandPara"/>
      </w:pPr>
    </w:p>
    <w:p w:rsidR="00C81E83" w:rsidRDefault="00C81E83">
      <w:pPr>
        <w:pStyle w:val="Heading2"/>
        <w:rPr>
          <w:b w:val="0"/>
          <w:bCs w:val="0"/>
        </w:rPr>
      </w:pPr>
      <w:bookmarkStart w:id="30" w:name="_Toc61176386"/>
      <w:bookmarkStart w:id="31" w:name="_Toc222888895"/>
    </w:p>
    <w:p w:rsidR="00C81E83" w:rsidRDefault="00C81E83">
      <w:pPr>
        <w:pStyle w:val="Heading2"/>
      </w:pPr>
      <w:r>
        <w:t>A.10.</w:t>
      </w:r>
      <w:r>
        <w:tab/>
        <w:t>Assurance of Confidentiality</w:t>
      </w:r>
      <w:bookmarkEnd w:id="30"/>
      <w:bookmarkEnd w:id="31"/>
    </w:p>
    <w:p w:rsidR="00C81E83" w:rsidRPr="00795054" w:rsidRDefault="00C81E83" w:rsidP="00795054">
      <w:pPr>
        <w:pStyle w:val="P1-StandPara"/>
      </w:pPr>
      <w:r w:rsidRPr="00795054">
        <w:t>Education Sciences Reform Act of 2002 (ESRA 2002) - Under this law all individually identifiable information about students, their families, and their schools shall remain confidential. To this end, this law requires that no person may:</w:t>
      </w:r>
    </w:p>
    <w:p w:rsidR="00C81E83" w:rsidRPr="00795054" w:rsidRDefault="00C81E83" w:rsidP="00795054">
      <w:pPr>
        <w:pStyle w:val="P1-StandPara"/>
      </w:pPr>
      <w:r w:rsidRPr="00795054">
        <w:t>a.</w:t>
      </w:r>
      <w:r w:rsidRPr="00795054">
        <w:tab/>
        <w:t>Use any individually identifiable information furnished under the provisions of this section for any purpose other than statistical purposes for which it is supplied, except in the case of terrorism (see discussion of the Patriot Act);</w:t>
      </w:r>
    </w:p>
    <w:p w:rsidR="00C81E83" w:rsidRPr="00795054" w:rsidRDefault="00C81E83" w:rsidP="00795054">
      <w:pPr>
        <w:pStyle w:val="P1-StandPara"/>
      </w:pPr>
      <w:r w:rsidRPr="00795054">
        <w:t xml:space="preserve">  </w:t>
      </w:r>
    </w:p>
    <w:p w:rsidR="00C81E83" w:rsidRPr="00795054" w:rsidRDefault="00C81E83" w:rsidP="00795054">
      <w:pPr>
        <w:pStyle w:val="P1-StandPara"/>
      </w:pPr>
      <w:r w:rsidRPr="00795054">
        <w:t>b.</w:t>
      </w:r>
      <w:r w:rsidRPr="00795054">
        <w:tab/>
        <w:t xml:space="preserve">Make any publication whereby the data furnished by any particular person under this section can be identified; or </w:t>
      </w:r>
    </w:p>
    <w:p w:rsidR="00C81E83" w:rsidRPr="00795054" w:rsidRDefault="00C81E83" w:rsidP="00795054">
      <w:pPr>
        <w:pStyle w:val="P1-StandPara"/>
      </w:pPr>
      <w:r w:rsidRPr="00795054">
        <w:t xml:space="preserve">  </w:t>
      </w:r>
    </w:p>
    <w:p w:rsidR="00C81E83" w:rsidRPr="00795054" w:rsidRDefault="00C81E83" w:rsidP="00795054">
      <w:pPr>
        <w:pStyle w:val="P1-StandPara"/>
      </w:pPr>
      <w:r w:rsidRPr="00795054">
        <w:t>c.</w:t>
      </w:r>
      <w:r w:rsidRPr="00795054">
        <w:tab/>
        <w:t>Permit anyone other than the individuals authorized by the Director to examine the individual reports.</w:t>
      </w:r>
    </w:p>
    <w:p w:rsidR="00C81E83" w:rsidRPr="00795054" w:rsidRDefault="00C81E83" w:rsidP="00795054">
      <w:pPr>
        <w:pStyle w:val="P1-StandPara"/>
      </w:pPr>
    </w:p>
    <w:p w:rsidR="00C81E83" w:rsidRPr="00795054" w:rsidRDefault="00C81E83" w:rsidP="00795054">
      <w:pPr>
        <w:pStyle w:val="P1-StandPara"/>
      </w:pPr>
    </w:p>
    <w:p w:rsidR="00C81E83" w:rsidRDefault="00C81E83">
      <w:pPr>
        <w:pStyle w:val="P1-StandPara"/>
        <w:jc w:val="left"/>
      </w:pPr>
      <w:r>
        <w:t>All Westat staff members working on NHES and having access to the data (including monitoring of interviews) are required to sign the NCES Affidavit of Nondisclosure (exhibit 2) and a similar Westat confidentiality pledge (exhibit 3). Employees of Child Trends, a subcontractor to Westat, will also be required to sign the Affidavit.  Notarized affidavits are kept on file at Westat and documentation is submitted to NCES quarterly. In addition, all staff members who have access to confidential data are required to have a federal background check.</w:t>
      </w:r>
    </w:p>
    <w:p w:rsidR="00C81E83" w:rsidRDefault="00C81E83">
      <w:pPr>
        <w:pStyle w:val="P1-StandPara"/>
        <w:jc w:val="left"/>
      </w:pPr>
    </w:p>
    <w:p w:rsidR="00C81E83" w:rsidRDefault="00C81E83">
      <w:pPr>
        <w:pStyle w:val="P1-StandPara"/>
        <w:jc w:val="left"/>
      </w:pPr>
      <w:r>
        <w:t>The following confidentiality pledge accompanies all surveys in this pilot:</w:t>
      </w:r>
    </w:p>
    <w:p w:rsidR="00C81E83" w:rsidRDefault="00C81E83">
      <w:pPr>
        <w:pStyle w:val="P1-StandPara"/>
        <w:jc w:val="left"/>
      </w:pPr>
    </w:p>
    <w:p w:rsidR="00C81E83" w:rsidRPr="00D56BC6" w:rsidRDefault="00C81E83" w:rsidP="00D56BC6">
      <w:pPr>
        <w:tabs>
          <w:tab w:val="left" w:pos="8640"/>
        </w:tabs>
        <w:spacing w:line="200" w:lineRule="atLeast"/>
        <w:jc w:val="both"/>
        <w:rPr>
          <w:rFonts w:ascii="Arial" w:eastAsia="SimSun" w:hAnsi="Arial" w:cs="Arial"/>
          <w:lang w:eastAsia="zh-CN"/>
        </w:rPr>
      </w:pPr>
      <w:r w:rsidRPr="00D56BC6">
        <w:rPr>
          <w:rFonts w:ascii="Arial" w:eastAsia="SimSun" w:hAnsi="Arial" w:cs="Arial"/>
          <w:lang w:eastAsia="zh-CN"/>
        </w:rPr>
        <w:t>Your answers may be used only for statistical purposes and may not be disclosed, or used, in identifiable form for any other purpose except as required by law [</w:t>
      </w:r>
      <w:r w:rsidRPr="00D56BC6">
        <w:rPr>
          <w:rFonts w:ascii="Arial" w:eastAsia="SimSun" w:hAnsi="Arial" w:cs="Arial"/>
          <w:i/>
          <w:iCs/>
          <w:lang w:eastAsia="zh-CN"/>
        </w:rPr>
        <w:t xml:space="preserve">Education Sciences Reform Act of 2002 (ESRA 2002) </w:t>
      </w:r>
      <w:r w:rsidRPr="00D56BC6">
        <w:rPr>
          <w:rFonts w:ascii="Arial" w:eastAsia="SimSun" w:hAnsi="Arial" w:cs="Arial"/>
          <w:lang w:eastAsia="zh-CN"/>
        </w:rPr>
        <w:t>Public Law 107-279, Section 183].</w:t>
      </w:r>
    </w:p>
    <w:p w:rsidR="00C81E83" w:rsidRDefault="00C81E83">
      <w:pPr>
        <w:pStyle w:val="P1-StandPara"/>
        <w:ind w:firstLine="0"/>
        <w:jc w:val="left"/>
        <w:sectPr w:rsidR="00C81E83">
          <w:headerReference w:type="even" r:id="rId37"/>
          <w:headerReference w:type="default" r:id="rId38"/>
          <w:footerReference w:type="default" r:id="rId39"/>
          <w:pgSz w:w="12240" w:h="15840" w:code="1"/>
          <w:pgMar w:top="1440" w:right="1440" w:bottom="1440" w:left="1440" w:header="720" w:footer="720" w:gutter="0"/>
          <w:pgNumType w:start="1"/>
          <w:cols w:space="720" w:equalWidth="0">
            <w:col w:w="9360"/>
          </w:cols>
          <w:noEndnote/>
          <w:docGrid w:linePitch="272"/>
        </w:sectPr>
      </w:pPr>
    </w:p>
    <w:p w:rsidR="00C81E83" w:rsidRDefault="00C81E83">
      <w:pPr>
        <w:pStyle w:val="Exhibittitle"/>
      </w:pPr>
      <w:bookmarkStart w:id="32" w:name="_Toc61170091"/>
      <w:r>
        <w:t>Exhibit 2.</w:t>
      </w:r>
      <w:r>
        <w:t> </w:t>
      </w:r>
      <w:r>
        <w:t> </w:t>
      </w:r>
      <w:r>
        <w:t>NCES Affidavit of Nondisclosure</w:t>
      </w:r>
      <w:bookmarkEnd w:id="32"/>
    </w:p>
    <w:p w:rsidR="00C81E83" w:rsidRDefault="00C81E83">
      <w:pPr>
        <w:tabs>
          <w:tab w:val="left" w:pos="-1440"/>
          <w:tab w:val="left" w:pos="-720"/>
          <w:tab w:val="left" w:pos="720"/>
          <w:tab w:val="left" w:pos="1195"/>
          <w:tab w:val="left" w:pos="1800"/>
          <w:tab w:val="left" w:pos="2404"/>
          <w:tab w:val="left" w:pos="2995"/>
          <w:tab w:val="left" w:pos="3600"/>
        </w:tabs>
        <w:suppressAutoHyphens/>
      </w:pPr>
    </w:p>
    <w:p w:rsidR="00C81E83" w:rsidRDefault="00C81E83">
      <w:pPr>
        <w:tabs>
          <w:tab w:val="left" w:pos="-1440"/>
          <w:tab w:val="left" w:pos="-720"/>
          <w:tab w:val="left" w:pos="720"/>
          <w:tab w:val="left" w:pos="1195"/>
          <w:tab w:val="left" w:pos="1800"/>
          <w:tab w:val="left" w:pos="2404"/>
          <w:tab w:val="left" w:pos="2995"/>
          <w:tab w:val="left" w:pos="3600"/>
        </w:tabs>
        <w:suppressAutoHyphens/>
      </w:pPr>
    </w:p>
    <w:p w:rsidR="00C81E83" w:rsidRDefault="00C81E83">
      <w:pPr>
        <w:tabs>
          <w:tab w:val="left" w:pos="-1440"/>
          <w:tab w:val="left" w:pos="-720"/>
          <w:tab w:val="left" w:pos="720"/>
          <w:tab w:val="left" w:pos="1195"/>
          <w:tab w:val="left" w:pos="1800"/>
          <w:tab w:val="left" w:pos="2404"/>
          <w:tab w:val="left" w:pos="2995"/>
          <w:tab w:val="left" w:pos="3600"/>
        </w:tabs>
        <w:suppressAutoHyphens/>
      </w:pPr>
    </w:p>
    <w:p w:rsidR="00C81E83" w:rsidRDefault="00C81E83">
      <w:pPr>
        <w:tabs>
          <w:tab w:val="left" w:pos="-1440"/>
          <w:tab w:val="left" w:pos="-720"/>
          <w:tab w:val="left" w:pos="720"/>
          <w:tab w:val="left" w:pos="1195"/>
          <w:tab w:val="left" w:pos="1800"/>
          <w:tab w:val="left" w:pos="2404"/>
          <w:tab w:val="left" w:pos="2995"/>
          <w:tab w:val="left" w:pos="3600"/>
        </w:tabs>
        <w:suppressAutoHyphens/>
      </w:pPr>
    </w:p>
    <w:p w:rsidR="00C81E83" w:rsidRDefault="00C81E83">
      <w:pPr>
        <w:tabs>
          <w:tab w:val="left" w:pos="-1440"/>
          <w:tab w:val="left" w:pos="-720"/>
          <w:tab w:val="left" w:pos="720"/>
          <w:tab w:val="left" w:pos="1195"/>
          <w:tab w:val="left" w:pos="1800"/>
          <w:tab w:val="left" w:pos="2404"/>
          <w:tab w:val="left" w:pos="2995"/>
          <w:tab w:val="left" w:pos="3600"/>
        </w:tabs>
        <w:suppressAutoHyphens/>
      </w:pPr>
      <w:r>
        <w:t>______________________________________</w:t>
      </w:r>
      <w:r>
        <w:tab/>
      </w:r>
      <w:r>
        <w:tab/>
        <w:t>___________________________________</w:t>
      </w:r>
    </w:p>
    <w:p w:rsidR="00C81E83" w:rsidRDefault="00C81E83">
      <w:pPr>
        <w:tabs>
          <w:tab w:val="left" w:pos="-1440"/>
          <w:tab w:val="left" w:pos="-720"/>
          <w:tab w:val="left" w:pos="720"/>
          <w:tab w:val="left" w:pos="1195"/>
          <w:tab w:val="left" w:pos="1800"/>
          <w:tab w:val="left" w:pos="2404"/>
          <w:tab w:val="left" w:pos="2995"/>
          <w:tab w:val="left" w:pos="3600"/>
        </w:tabs>
        <w:suppressAutoHyphens/>
      </w:pPr>
      <w:r>
        <w:t>(Job Title)</w:t>
      </w:r>
      <w:r>
        <w:tab/>
      </w:r>
      <w:r>
        <w:tab/>
      </w:r>
      <w:r>
        <w:tab/>
      </w:r>
      <w:r>
        <w:tab/>
      </w:r>
      <w:r>
        <w:tab/>
      </w:r>
      <w:r>
        <w:tab/>
      </w:r>
      <w:r>
        <w:tab/>
        <w:t xml:space="preserve"> (Date of Assignment to NCES Project)</w:t>
      </w:r>
    </w:p>
    <w:p w:rsidR="00C81E83" w:rsidRDefault="00C81E83">
      <w:pPr>
        <w:tabs>
          <w:tab w:val="left" w:pos="-1440"/>
          <w:tab w:val="left" w:pos="-720"/>
          <w:tab w:val="left" w:pos="720"/>
          <w:tab w:val="left" w:pos="1195"/>
          <w:tab w:val="left" w:pos="1800"/>
          <w:tab w:val="left" w:pos="2404"/>
          <w:tab w:val="left" w:pos="2995"/>
          <w:tab w:val="left" w:pos="3600"/>
        </w:tabs>
        <w:suppressAutoHyphens/>
      </w:pPr>
    </w:p>
    <w:p w:rsidR="00C81E83" w:rsidRDefault="00C81E83">
      <w:pPr>
        <w:tabs>
          <w:tab w:val="left" w:pos="-1440"/>
          <w:tab w:val="left" w:pos="-720"/>
          <w:tab w:val="left" w:pos="720"/>
          <w:tab w:val="left" w:pos="1195"/>
          <w:tab w:val="left" w:pos="1800"/>
          <w:tab w:val="left" w:pos="2404"/>
          <w:tab w:val="left" w:pos="2995"/>
          <w:tab w:val="left" w:pos="3600"/>
        </w:tabs>
        <w:suppressAutoHyphens/>
      </w:pPr>
      <w:r>
        <w:t>______________________________________</w:t>
      </w:r>
      <w:r>
        <w:tab/>
      </w:r>
      <w:r>
        <w:tab/>
        <w:t>___________________________________</w:t>
      </w:r>
    </w:p>
    <w:p w:rsidR="00C81E83" w:rsidRDefault="00C81E83">
      <w:pPr>
        <w:tabs>
          <w:tab w:val="left" w:pos="-1440"/>
          <w:tab w:val="left" w:pos="-720"/>
          <w:tab w:val="left" w:pos="720"/>
          <w:tab w:val="left" w:pos="1195"/>
          <w:tab w:val="left" w:pos="1800"/>
          <w:tab w:val="left" w:pos="2404"/>
          <w:tab w:val="left" w:pos="2995"/>
          <w:tab w:val="left" w:pos="3600"/>
        </w:tabs>
        <w:suppressAutoHyphens/>
      </w:pPr>
      <w:r>
        <w:t>(Organizations, State or local</w:t>
      </w:r>
      <w:r>
        <w:tab/>
      </w:r>
      <w:r>
        <w:tab/>
      </w:r>
      <w:r>
        <w:tab/>
      </w:r>
      <w:r>
        <w:tab/>
      </w:r>
      <w:r>
        <w:tab/>
        <w:t>(NCES Data Base or File Containing</w:t>
      </w:r>
    </w:p>
    <w:p w:rsidR="00C81E83" w:rsidRDefault="00C81E83">
      <w:pPr>
        <w:tabs>
          <w:tab w:val="left" w:pos="-1440"/>
          <w:tab w:val="left" w:pos="-720"/>
          <w:tab w:val="left" w:pos="720"/>
          <w:tab w:val="left" w:pos="1195"/>
          <w:tab w:val="left" w:pos="1800"/>
          <w:tab w:val="left" w:pos="2404"/>
          <w:tab w:val="left" w:pos="2995"/>
          <w:tab w:val="left" w:pos="3600"/>
        </w:tabs>
        <w:suppressAutoHyphens/>
      </w:pPr>
      <w:r>
        <w:t>agency or instrumentality)</w:t>
      </w:r>
      <w:r>
        <w:tab/>
      </w:r>
      <w:r>
        <w:tab/>
      </w:r>
      <w:r>
        <w:tab/>
      </w:r>
      <w:r>
        <w:tab/>
      </w:r>
      <w:r>
        <w:tab/>
        <w:t>Individually Identifiable Information)</w:t>
      </w:r>
    </w:p>
    <w:p w:rsidR="00C81E83" w:rsidRDefault="00C81E83">
      <w:pPr>
        <w:tabs>
          <w:tab w:val="left" w:pos="-1440"/>
          <w:tab w:val="left" w:pos="-720"/>
          <w:tab w:val="left" w:pos="720"/>
          <w:tab w:val="left" w:pos="1195"/>
          <w:tab w:val="left" w:pos="1800"/>
          <w:tab w:val="left" w:pos="2404"/>
          <w:tab w:val="left" w:pos="2995"/>
          <w:tab w:val="left" w:pos="3600"/>
        </w:tabs>
        <w:suppressAutoHyphens/>
      </w:pPr>
    </w:p>
    <w:p w:rsidR="00C81E83" w:rsidRDefault="00C81E83">
      <w:pPr>
        <w:tabs>
          <w:tab w:val="left" w:pos="-1440"/>
          <w:tab w:val="left" w:pos="-720"/>
          <w:tab w:val="left" w:pos="720"/>
          <w:tab w:val="left" w:pos="1195"/>
          <w:tab w:val="left" w:pos="1800"/>
          <w:tab w:val="left" w:pos="2404"/>
          <w:tab w:val="left" w:pos="2995"/>
          <w:tab w:val="left" w:pos="3600"/>
        </w:tabs>
        <w:suppressAutoHyphens/>
      </w:pPr>
      <w:r>
        <w:t>_______________________________________</w:t>
      </w:r>
    </w:p>
    <w:p w:rsidR="00C81E83" w:rsidRDefault="00C81E83">
      <w:pPr>
        <w:tabs>
          <w:tab w:val="left" w:pos="-1440"/>
          <w:tab w:val="left" w:pos="-720"/>
          <w:tab w:val="left" w:pos="720"/>
          <w:tab w:val="left" w:pos="1195"/>
          <w:tab w:val="left" w:pos="1800"/>
          <w:tab w:val="left" w:pos="2404"/>
          <w:tab w:val="left" w:pos="2995"/>
          <w:tab w:val="left" w:pos="3600"/>
        </w:tabs>
        <w:suppressAutoHyphens/>
      </w:pPr>
      <w:r>
        <w:t>(Address)</w:t>
      </w:r>
    </w:p>
    <w:p w:rsidR="00C81E83" w:rsidRDefault="00C81E83">
      <w:pPr>
        <w:tabs>
          <w:tab w:val="left" w:pos="-1440"/>
          <w:tab w:val="left" w:pos="-720"/>
          <w:tab w:val="left" w:pos="720"/>
          <w:tab w:val="left" w:pos="1195"/>
          <w:tab w:val="left" w:pos="1800"/>
          <w:tab w:val="left" w:pos="2404"/>
          <w:tab w:val="left" w:pos="2995"/>
          <w:tab w:val="left" w:pos="3600"/>
        </w:tabs>
        <w:suppressAutoHyphens/>
      </w:pPr>
    </w:p>
    <w:p w:rsidR="00C81E83" w:rsidRDefault="00C81E83">
      <w:pPr>
        <w:tabs>
          <w:tab w:val="left" w:pos="-1440"/>
          <w:tab w:val="left" w:pos="-720"/>
          <w:tab w:val="left" w:pos="720"/>
          <w:tab w:val="left" w:pos="1195"/>
          <w:tab w:val="left" w:pos="1800"/>
          <w:tab w:val="left" w:pos="2404"/>
          <w:tab w:val="left" w:pos="2995"/>
          <w:tab w:val="left" w:pos="3600"/>
        </w:tabs>
        <w:suppressAutoHyphens/>
        <w:outlineLvl w:val="0"/>
      </w:pPr>
      <w:r>
        <w:t>I, __________________________________, do solemnly swear (or affirm) that when given access to the</w:t>
      </w:r>
    </w:p>
    <w:p w:rsidR="00C81E83" w:rsidRDefault="00C81E83">
      <w:pPr>
        <w:tabs>
          <w:tab w:val="left" w:pos="-1440"/>
          <w:tab w:val="left" w:pos="-720"/>
          <w:tab w:val="left" w:pos="720"/>
          <w:tab w:val="left" w:pos="1195"/>
          <w:tab w:val="left" w:pos="1800"/>
          <w:tab w:val="left" w:pos="2404"/>
          <w:tab w:val="left" w:pos="2995"/>
          <w:tab w:val="left" w:pos="3600"/>
        </w:tabs>
        <w:suppressAutoHyphens/>
      </w:pPr>
      <w:r>
        <w:t xml:space="preserve">   </w:t>
      </w:r>
    </w:p>
    <w:p w:rsidR="00C81E83" w:rsidRDefault="00C81E83">
      <w:pPr>
        <w:tabs>
          <w:tab w:val="left" w:pos="-1440"/>
          <w:tab w:val="left" w:pos="-720"/>
          <w:tab w:val="left" w:pos="720"/>
          <w:tab w:val="left" w:pos="1195"/>
          <w:tab w:val="left" w:pos="1800"/>
          <w:tab w:val="left" w:pos="2404"/>
          <w:tab w:val="left" w:pos="2995"/>
          <w:tab w:val="left" w:pos="3600"/>
        </w:tabs>
        <w:suppressAutoHyphens/>
      </w:pPr>
      <w:r>
        <w:t>subject NCES data base or file, I will not</w:t>
      </w:r>
    </w:p>
    <w:p w:rsidR="00C81E83" w:rsidRDefault="00C81E83">
      <w:pPr>
        <w:tabs>
          <w:tab w:val="left" w:pos="-1440"/>
          <w:tab w:val="left" w:pos="-720"/>
          <w:tab w:val="left" w:pos="720"/>
          <w:tab w:val="left" w:pos="1195"/>
          <w:tab w:val="left" w:pos="1800"/>
          <w:tab w:val="left" w:pos="2404"/>
          <w:tab w:val="left" w:pos="2995"/>
          <w:tab w:val="left" w:pos="3600"/>
        </w:tabs>
        <w:suppressAutoHyphens/>
      </w:pPr>
    </w:p>
    <w:p w:rsidR="00C81E83" w:rsidRDefault="00C81E83">
      <w:pPr>
        <w:tabs>
          <w:tab w:val="left" w:pos="-1440"/>
          <w:tab w:val="left" w:pos="-720"/>
          <w:tab w:val="left" w:pos="720"/>
          <w:tab w:val="left" w:pos="1195"/>
          <w:tab w:val="left" w:pos="1800"/>
          <w:tab w:val="left" w:pos="2404"/>
          <w:tab w:val="left" w:pos="2995"/>
          <w:tab w:val="left" w:pos="3600"/>
        </w:tabs>
        <w:suppressAutoHyphens/>
        <w:ind w:left="2404" w:hanging="2404"/>
      </w:pPr>
      <w:r>
        <w:tab/>
      </w:r>
      <w:r>
        <w:tab/>
        <w:t>(i)</w:t>
      </w:r>
      <w:r>
        <w:tab/>
      </w:r>
      <w:r>
        <w:tab/>
        <w:t>use or reveal any individually identifiable information furnished, acquired, retrieved or assembled by me or others, under the provisions of Section 406 of the General Education Provisions Act (20 U.S.C. 1221e-1) for any purpose other than statistical purposes specified in the NCES survey, project or contract;</w:t>
      </w:r>
    </w:p>
    <w:p w:rsidR="00C81E83" w:rsidRDefault="00C81E83">
      <w:pPr>
        <w:tabs>
          <w:tab w:val="left" w:pos="-1440"/>
          <w:tab w:val="left" w:pos="-720"/>
          <w:tab w:val="left" w:pos="720"/>
          <w:tab w:val="left" w:pos="1195"/>
          <w:tab w:val="left" w:pos="1800"/>
          <w:tab w:val="left" w:pos="2404"/>
          <w:tab w:val="left" w:pos="2995"/>
          <w:tab w:val="left" w:pos="3600"/>
        </w:tabs>
        <w:suppressAutoHyphens/>
        <w:ind w:left="2404" w:hanging="2404"/>
      </w:pPr>
      <w:r>
        <w:tab/>
      </w:r>
      <w:r>
        <w:tab/>
        <w:t>(ii)</w:t>
      </w:r>
      <w:r>
        <w:tab/>
      </w:r>
      <w:r>
        <w:tab/>
        <w:t>make any disclosure or publication whereby a sample unit or survey respondent could be identified or the date furnished by or related to any particular person under this section can be identified; or</w:t>
      </w:r>
    </w:p>
    <w:p w:rsidR="00C81E83" w:rsidRDefault="00C81E83">
      <w:pPr>
        <w:tabs>
          <w:tab w:val="left" w:pos="-1440"/>
          <w:tab w:val="left" w:pos="-720"/>
          <w:tab w:val="left" w:pos="720"/>
          <w:tab w:val="left" w:pos="1195"/>
          <w:tab w:val="left" w:pos="1800"/>
          <w:tab w:val="left" w:pos="2404"/>
          <w:tab w:val="left" w:pos="2995"/>
          <w:tab w:val="left" w:pos="3600"/>
        </w:tabs>
        <w:suppressAutoHyphens/>
        <w:ind w:left="2404" w:hanging="2404"/>
      </w:pPr>
      <w:r>
        <w:tab/>
      </w:r>
      <w:r>
        <w:tab/>
        <w:t>(iii)</w:t>
      </w:r>
      <w:r>
        <w:tab/>
      </w:r>
      <w:r>
        <w:tab/>
        <w:t>permit anyone other than the individuals authorized by the Commissioner of the National Center for Education Statistics to examine the individual reports.</w:t>
      </w:r>
    </w:p>
    <w:p w:rsidR="00C81E83" w:rsidRDefault="00C81E83">
      <w:pPr>
        <w:tabs>
          <w:tab w:val="left" w:pos="-1440"/>
          <w:tab w:val="left" w:pos="-720"/>
          <w:tab w:val="left" w:pos="720"/>
          <w:tab w:val="left" w:pos="1195"/>
          <w:tab w:val="left" w:pos="1800"/>
          <w:tab w:val="left" w:pos="2404"/>
          <w:tab w:val="left" w:pos="2995"/>
          <w:tab w:val="left" w:pos="3600"/>
        </w:tabs>
        <w:suppressAutoHyphens/>
      </w:pPr>
    </w:p>
    <w:p w:rsidR="00C81E83" w:rsidRDefault="00C81E83">
      <w:pPr>
        <w:tabs>
          <w:tab w:val="left" w:pos="-1440"/>
          <w:tab w:val="left" w:pos="-720"/>
          <w:tab w:val="left" w:pos="720"/>
          <w:tab w:val="left" w:pos="1195"/>
          <w:tab w:val="left" w:pos="1800"/>
          <w:tab w:val="left" w:pos="2404"/>
          <w:tab w:val="left" w:pos="2995"/>
          <w:tab w:val="left" w:pos="3600"/>
        </w:tabs>
        <w:suppressAutoHyphens/>
      </w:pPr>
    </w:p>
    <w:p w:rsidR="00C81E83" w:rsidRDefault="00C81E83">
      <w:pPr>
        <w:tabs>
          <w:tab w:val="left" w:pos="-1440"/>
          <w:tab w:val="left" w:pos="-720"/>
          <w:tab w:val="left" w:pos="720"/>
          <w:tab w:val="left" w:pos="1195"/>
          <w:tab w:val="left" w:pos="1800"/>
          <w:tab w:val="left" w:pos="2404"/>
          <w:tab w:val="left" w:pos="2995"/>
          <w:tab w:val="left" w:pos="3600"/>
        </w:tabs>
        <w:suppressAutoHyphens/>
      </w:pPr>
      <w:r>
        <w:t xml:space="preserve">                                                           ________________________________________</w:t>
      </w:r>
    </w:p>
    <w:p w:rsidR="00C81E83" w:rsidRDefault="00C81E83">
      <w:pPr>
        <w:tabs>
          <w:tab w:val="left" w:pos="-1440"/>
          <w:tab w:val="left" w:pos="-720"/>
          <w:tab w:val="left" w:pos="720"/>
          <w:tab w:val="left" w:pos="1195"/>
          <w:tab w:val="left" w:pos="1800"/>
          <w:tab w:val="left" w:pos="2404"/>
          <w:tab w:val="left" w:pos="2995"/>
          <w:tab w:val="left" w:pos="3600"/>
        </w:tabs>
        <w:suppressAutoHyphens/>
      </w:pPr>
      <w:r>
        <w:t xml:space="preserve">                                                           (Signature)</w:t>
      </w:r>
    </w:p>
    <w:p w:rsidR="00C81E83" w:rsidRDefault="00C81E83">
      <w:pPr>
        <w:tabs>
          <w:tab w:val="left" w:pos="-1440"/>
          <w:tab w:val="left" w:pos="-720"/>
          <w:tab w:val="left" w:pos="720"/>
          <w:tab w:val="left" w:pos="1195"/>
          <w:tab w:val="left" w:pos="1800"/>
          <w:tab w:val="left" w:pos="2404"/>
          <w:tab w:val="left" w:pos="2995"/>
          <w:tab w:val="left" w:pos="3600"/>
        </w:tabs>
        <w:suppressAutoHyphens/>
      </w:pPr>
    </w:p>
    <w:p w:rsidR="00C81E83" w:rsidRDefault="00C81E83">
      <w:pPr>
        <w:tabs>
          <w:tab w:val="left" w:pos="-1440"/>
          <w:tab w:val="left" w:pos="-720"/>
          <w:tab w:val="left" w:pos="720"/>
          <w:tab w:val="left" w:pos="1195"/>
          <w:tab w:val="left" w:pos="1800"/>
          <w:tab w:val="left" w:pos="2404"/>
          <w:tab w:val="left" w:pos="2995"/>
          <w:tab w:val="left" w:pos="3600"/>
        </w:tabs>
        <w:suppressAutoHyphens/>
      </w:pPr>
      <w:r>
        <w:t>(The penalty for unlawful disclosure is a fine of not more than $250,000 (under 18 U.S.C. 3559 and 3571) or imprisonment for not more than 5 years, or both.  The word “swear” should be stricken out wherever it appears when a person elects to affirm the affidavit rather than to swear to it.)</w:t>
      </w:r>
    </w:p>
    <w:p w:rsidR="00C81E83" w:rsidRDefault="00C81E83">
      <w:pPr>
        <w:tabs>
          <w:tab w:val="left" w:pos="-1440"/>
          <w:tab w:val="left" w:pos="-720"/>
          <w:tab w:val="left" w:pos="720"/>
          <w:tab w:val="left" w:pos="1195"/>
          <w:tab w:val="left" w:pos="1800"/>
          <w:tab w:val="left" w:pos="2404"/>
          <w:tab w:val="left" w:pos="2995"/>
          <w:tab w:val="left" w:pos="3600"/>
        </w:tabs>
        <w:suppressAutoHyphens/>
      </w:pPr>
    </w:p>
    <w:p w:rsidR="00C81E83" w:rsidRDefault="00C81E83">
      <w:pPr>
        <w:tabs>
          <w:tab w:val="left" w:pos="-1440"/>
          <w:tab w:val="left" w:pos="-720"/>
          <w:tab w:val="left" w:pos="720"/>
          <w:tab w:val="left" w:pos="1195"/>
          <w:tab w:val="left" w:pos="1800"/>
          <w:tab w:val="left" w:pos="2404"/>
          <w:tab w:val="left" w:pos="2995"/>
          <w:tab w:val="left" w:pos="3600"/>
        </w:tabs>
        <w:suppressAutoHyphens/>
        <w:outlineLvl w:val="0"/>
      </w:pPr>
      <w:r>
        <w:t>State of Maryland</w:t>
      </w:r>
    </w:p>
    <w:p w:rsidR="00C81E83" w:rsidRDefault="00C81E83">
      <w:pPr>
        <w:tabs>
          <w:tab w:val="left" w:pos="-1440"/>
          <w:tab w:val="left" w:pos="-720"/>
          <w:tab w:val="left" w:pos="720"/>
          <w:tab w:val="left" w:pos="1195"/>
          <w:tab w:val="left" w:pos="1800"/>
          <w:tab w:val="left" w:pos="2404"/>
          <w:tab w:val="left" w:pos="2995"/>
          <w:tab w:val="left" w:pos="3600"/>
        </w:tabs>
        <w:suppressAutoHyphens/>
      </w:pPr>
      <w:r>
        <w:t>County of ______________________________</w:t>
      </w:r>
    </w:p>
    <w:p w:rsidR="00C81E83" w:rsidRDefault="00C81E83">
      <w:pPr>
        <w:tabs>
          <w:tab w:val="left" w:pos="-1440"/>
          <w:tab w:val="left" w:pos="-720"/>
          <w:tab w:val="left" w:pos="720"/>
          <w:tab w:val="left" w:pos="1195"/>
          <w:tab w:val="left" w:pos="1800"/>
          <w:tab w:val="left" w:pos="2404"/>
          <w:tab w:val="left" w:pos="2995"/>
          <w:tab w:val="left" w:pos="3600"/>
        </w:tabs>
        <w:suppressAutoHyphens/>
      </w:pPr>
    </w:p>
    <w:p w:rsidR="00C81E83" w:rsidRDefault="00C81E83">
      <w:pPr>
        <w:tabs>
          <w:tab w:val="left" w:pos="-1440"/>
          <w:tab w:val="left" w:pos="-720"/>
          <w:tab w:val="left" w:pos="720"/>
          <w:tab w:val="left" w:pos="1195"/>
          <w:tab w:val="left" w:pos="1800"/>
          <w:tab w:val="left" w:pos="2404"/>
          <w:tab w:val="left" w:pos="2995"/>
          <w:tab w:val="left" w:pos="3600"/>
        </w:tabs>
        <w:suppressAutoHyphens/>
      </w:pPr>
      <w:r>
        <w:t>Sworn and subscribed to me before a Notary Public in and for the aforementioned County and State this ___________________ day of _________________ 2009.</w:t>
      </w:r>
    </w:p>
    <w:p w:rsidR="00C81E83" w:rsidRDefault="00C81E83">
      <w:pPr>
        <w:tabs>
          <w:tab w:val="left" w:pos="-1440"/>
          <w:tab w:val="left" w:pos="-720"/>
          <w:tab w:val="left" w:pos="720"/>
          <w:tab w:val="left" w:pos="1195"/>
          <w:tab w:val="left" w:pos="1800"/>
          <w:tab w:val="left" w:pos="2404"/>
          <w:tab w:val="left" w:pos="2995"/>
          <w:tab w:val="left" w:pos="3600"/>
        </w:tabs>
        <w:suppressAutoHyphens/>
      </w:pPr>
    </w:p>
    <w:p w:rsidR="00C81E83" w:rsidRDefault="00C81E83">
      <w:pPr>
        <w:tabs>
          <w:tab w:val="left" w:pos="-1440"/>
          <w:tab w:val="left" w:pos="-720"/>
          <w:tab w:val="left" w:pos="720"/>
          <w:tab w:val="left" w:pos="1195"/>
          <w:tab w:val="left" w:pos="1800"/>
          <w:tab w:val="left" w:pos="2404"/>
          <w:tab w:val="left" w:pos="2995"/>
          <w:tab w:val="left" w:pos="3600"/>
        </w:tabs>
        <w:suppressAutoHyphens/>
      </w:pPr>
    </w:p>
    <w:p w:rsidR="00C81E83" w:rsidRDefault="00C81E83">
      <w:pPr>
        <w:tabs>
          <w:tab w:val="left" w:pos="-1440"/>
          <w:tab w:val="left" w:pos="-720"/>
          <w:tab w:val="left" w:pos="720"/>
          <w:tab w:val="left" w:pos="1195"/>
          <w:tab w:val="left" w:pos="1800"/>
          <w:tab w:val="left" w:pos="2404"/>
          <w:tab w:val="left" w:pos="2995"/>
          <w:tab w:val="left" w:pos="3600"/>
        </w:tabs>
        <w:suppressAutoHyphens/>
      </w:pPr>
      <w:r>
        <w:t xml:space="preserve">                                                           ________________________________________</w:t>
      </w:r>
    </w:p>
    <w:p w:rsidR="00C81E83" w:rsidRDefault="00C81E83">
      <w:pPr>
        <w:tabs>
          <w:tab w:val="left" w:pos="-1440"/>
          <w:tab w:val="left" w:pos="-720"/>
          <w:tab w:val="left" w:pos="720"/>
          <w:tab w:val="left" w:pos="1195"/>
          <w:tab w:val="left" w:pos="1800"/>
          <w:tab w:val="left" w:pos="2404"/>
          <w:tab w:val="left" w:pos="2995"/>
          <w:tab w:val="left" w:pos="3600"/>
        </w:tabs>
        <w:suppressAutoHyphens/>
      </w:pPr>
      <w:r>
        <w:t xml:space="preserve">                                                           (Notary Public)</w:t>
      </w:r>
    </w:p>
    <w:p w:rsidR="00C81E83" w:rsidRDefault="00C81E83">
      <w:pPr>
        <w:pStyle w:val="P1-StandPara"/>
        <w:sectPr w:rsidR="00C81E83">
          <w:pgSz w:w="12240" w:h="15840"/>
          <w:pgMar w:top="1440" w:right="1440" w:bottom="1440" w:left="1440" w:header="720" w:footer="720" w:gutter="0"/>
          <w:cols w:space="720"/>
          <w:noEndnote/>
        </w:sectPr>
      </w:pPr>
    </w:p>
    <w:p w:rsidR="00C81E83" w:rsidRDefault="00C81E83">
      <w:pPr>
        <w:pStyle w:val="Exhibittitle"/>
        <w:ind w:left="0"/>
      </w:pPr>
      <w:r>
        <w:br w:type="page"/>
      </w:r>
      <w:bookmarkStart w:id="33" w:name="_Toc61170092"/>
      <w:r>
        <w:t>Exhibit 3.</w:t>
      </w:r>
      <w:r>
        <w:t> </w:t>
      </w:r>
      <w:r>
        <w:t> </w:t>
      </w:r>
      <w:r>
        <w:t>Westat Confidentiality Pledge</w:t>
      </w:r>
      <w:bookmarkEnd w:id="33"/>
    </w:p>
    <w:p w:rsidR="00C81E83" w:rsidRDefault="00C81E83">
      <w:pPr>
        <w:pStyle w:val="SL-FlLftSgl"/>
        <w:tabs>
          <w:tab w:val="center" w:pos="8010"/>
        </w:tabs>
      </w:pPr>
    </w:p>
    <w:p w:rsidR="00C81E83" w:rsidRDefault="00C81E83">
      <w:pPr>
        <w:pStyle w:val="SL-FlLftSgl"/>
        <w:tabs>
          <w:tab w:val="center" w:pos="8010"/>
        </w:tabs>
      </w:pPr>
      <w:r w:rsidRPr="007C1FA6">
        <w:rPr>
          <w:noProof/>
        </w:rPr>
        <w:pict>
          <v:shape id="Picture 2" o:spid="_x0000_i1026" type="#_x0000_t75" alt="ConfidentialityStatement" style="width:465.75pt;height:544.5pt;visibility:visible">
            <v:imagedata r:id="rId40" o:title="" croptop="2130f"/>
          </v:shape>
        </w:pict>
      </w:r>
    </w:p>
    <w:p w:rsidR="00C81E83" w:rsidRDefault="00C81E83">
      <w:pPr>
        <w:pStyle w:val="SL-FlLftSgl"/>
        <w:tabs>
          <w:tab w:val="center" w:pos="8010"/>
        </w:tabs>
        <w:sectPr w:rsidR="00C81E83">
          <w:type w:val="continuous"/>
          <w:pgSz w:w="12240" w:h="15840" w:code="1"/>
          <w:pgMar w:top="1440" w:right="1440" w:bottom="720" w:left="1440" w:header="720" w:footer="432" w:gutter="0"/>
          <w:cols w:space="720"/>
          <w:noEndnote/>
        </w:sectPr>
      </w:pPr>
    </w:p>
    <w:p w:rsidR="00C81E83" w:rsidRDefault="00C81E83">
      <w:pPr>
        <w:pStyle w:val="Heading2"/>
      </w:pPr>
      <w:bookmarkStart w:id="34" w:name="_Toc61176387"/>
      <w:bookmarkStart w:id="35" w:name="_Toc222888896"/>
      <w:r>
        <w:t>A.11.</w:t>
      </w:r>
      <w:r>
        <w:tab/>
        <w:t>Sensitive Questions</w:t>
      </w:r>
      <w:bookmarkEnd w:id="34"/>
      <w:bookmarkEnd w:id="35"/>
    </w:p>
    <w:p w:rsidR="00C81E83" w:rsidRDefault="00C81E83">
      <w:pPr>
        <w:pStyle w:val="P1-StandPara"/>
      </w:pPr>
      <w:r>
        <w:t xml:space="preserve">NHES is a voluntary survey, and no persons are required to respond to the interviews.  In addition, respondents may decline to answer any question in the survey.  </w:t>
      </w:r>
    </w:p>
    <w:p w:rsidR="00C81E83" w:rsidRDefault="00C81E83">
      <w:pPr>
        <w:pStyle w:val="P1-StandPara"/>
      </w:pPr>
    </w:p>
    <w:p w:rsidR="00C81E83" w:rsidRDefault="00C81E83">
      <w:pPr>
        <w:pStyle w:val="P1-StandPara"/>
      </w:pPr>
      <w:r>
        <w:t>Some items in the surveys may be considered sensitive by some respondents.</w:t>
      </w:r>
    </w:p>
    <w:p w:rsidR="00C81E83" w:rsidRDefault="00C81E83">
      <w:pPr>
        <w:pStyle w:val="P1-StandPara"/>
        <w:rPr>
          <w:b/>
          <w:bCs/>
        </w:rPr>
      </w:pPr>
    </w:p>
    <w:p w:rsidR="00C81E83" w:rsidRDefault="00C81E83">
      <w:pPr>
        <w:pStyle w:val="P1-StandPara"/>
      </w:pPr>
      <w:r>
        <w:rPr>
          <w:b/>
          <w:bCs/>
        </w:rPr>
        <w:t>ECPP and PFI Surveys.</w:t>
      </w:r>
      <w:r>
        <w:t xml:space="preserve">  Child development and education experts consider economic disadvantage and children’s disabilities to be important factors in children’s preschool and school experiences and family involvement in their education.  As a result, the ECPP and PFI Surveys contain measures of these characteristics.  These include: </w:t>
      </w:r>
    </w:p>
    <w:p w:rsidR="00C81E83" w:rsidRDefault="00C81E83">
      <w:pPr>
        <w:pStyle w:val="SL-FlLftSgl"/>
        <w:tabs>
          <w:tab w:val="left" w:pos="-1440"/>
          <w:tab w:val="left" w:pos="-720"/>
          <w:tab w:val="left" w:pos="1195"/>
          <w:tab w:val="left" w:pos="1728"/>
          <w:tab w:val="left" w:pos="2160"/>
        </w:tabs>
        <w:suppressAutoHyphens/>
        <w:spacing w:line="360" w:lineRule="auto"/>
        <w:rPr>
          <w:rFonts w:ascii="CG Times" w:hAnsi="CG Times" w:cs="CG Times"/>
          <w:snapToGrid w:val="0"/>
        </w:rPr>
      </w:pPr>
    </w:p>
    <w:p w:rsidR="00C81E83" w:rsidRDefault="00C81E83">
      <w:pPr>
        <w:pStyle w:val="N2-2ndBullet"/>
      </w:pPr>
      <w:r>
        <w:t xml:space="preserve">Household income; </w:t>
      </w:r>
    </w:p>
    <w:p w:rsidR="00C81E83" w:rsidRDefault="00C81E83">
      <w:pPr>
        <w:pStyle w:val="N2-2ndBullet"/>
      </w:pPr>
      <w:r>
        <w:t>Receipt of public assistance in the form of Temporary Assistance to Needy Families (TANF), food stamps, and the Women, Infants, and Children program (WIC); and</w:t>
      </w:r>
    </w:p>
    <w:p w:rsidR="00C81E83" w:rsidRDefault="00C81E83">
      <w:pPr>
        <w:pStyle w:val="N2-2ndBullet"/>
      </w:pPr>
      <w:r>
        <w:t>Children’s disabilities.</w:t>
      </w:r>
    </w:p>
    <w:p w:rsidR="00C81E83" w:rsidRDefault="00C81E83">
      <w:pPr>
        <w:pStyle w:val="P1-StandPara"/>
      </w:pPr>
      <w:r>
        <w:t xml:space="preserve">Measures of household income and government assistance are important because access to early childhood programs of children at risk and the educational involvement of families of different socioeconomic backgrounds are of interest to policy makers, child development specialists, and educators.  These items are important to identifying children at risk and have been administered successfully in previous NHES studies. </w:t>
      </w:r>
    </w:p>
    <w:p w:rsidR="00C81E83" w:rsidRDefault="00C81E83">
      <w:pPr>
        <w:pStyle w:val="P1-StandPara"/>
      </w:pPr>
    </w:p>
    <w:p w:rsidR="00C81E83" w:rsidRDefault="00C81E83">
      <w:pPr>
        <w:pStyle w:val="P1-StandPara"/>
      </w:pPr>
      <w:r>
        <w:t>The 2007 response rates for these items were very high.  For total household income, the 2007 PFI survey had an item response rate of 90.45 percent.  Those for receipt of public assistance were also high:  for Temporary Assistance to Needy Families, 98.86 percent; for Women, Infants, and Children Program, 99.05 percent; and for Food Stamps, 99.03 percent.  The 2007 item response rates for questions about children’s disabilities were all over 99 percent.</w:t>
      </w:r>
    </w:p>
    <w:p w:rsidR="00C81E83" w:rsidRDefault="00C81E83">
      <w:pPr>
        <w:pStyle w:val="P1-StandPara"/>
      </w:pPr>
    </w:p>
    <w:p w:rsidR="00C81E83" w:rsidRDefault="00C81E83">
      <w:pPr>
        <w:pStyle w:val="P1-StandPara"/>
      </w:pPr>
      <w:r>
        <w:rPr>
          <w:b/>
          <w:bCs/>
        </w:rPr>
        <w:t>ECPP Survey:</w:t>
      </w:r>
      <w:r>
        <w:t xml:space="preserve">  In addition to the items above, the ECPP Survey also includes questions about assistance to pay for child care.  This measure is important to understand families’ and children’s access to early childhood programs.</w:t>
      </w:r>
    </w:p>
    <w:p w:rsidR="00C81E83" w:rsidRDefault="00C81E83">
      <w:pPr>
        <w:pStyle w:val="P1-StandPara"/>
      </w:pPr>
    </w:p>
    <w:p w:rsidR="00C81E83" w:rsidRDefault="00C81E83">
      <w:pPr>
        <w:pStyle w:val="P1-StandPara"/>
      </w:pPr>
      <w:r>
        <w:rPr>
          <w:b/>
          <w:bCs/>
        </w:rPr>
        <w:t>PFI Survey:</w:t>
      </w:r>
      <w:r>
        <w:t xml:space="preserve">  The PFI Survey includes items concerning children’s school performance and difficulties in school.  Among these are:</w:t>
      </w:r>
    </w:p>
    <w:p w:rsidR="00C81E83" w:rsidRDefault="00C81E83">
      <w:pPr>
        <w:pStyle w:val="P1-StandPara"/>
      </w:pPr>
    </w:p>
    <w:p w:rsidR="00C81E83" w:rsidRDefault="00C81E83">
      <w:pPr>
        <w:pStyle w:val="N2-2ndBullet"/>
      </w:pPr>
      <w:r>
        <w:t>Children’s school performance and difficulties, including school grades, suspensions and expulsions; and</w:t>
      </w:r>
    </w:p>
    <w:p w:rsidR="00C81E83" w:rsidRDefault="00C81E83">
      <w:pPr>
        <w:pStyle w:val="N2-2ndBullet"/>
      </w:pPr>
      <w:r>
        <w:t>Identification of children’s schools.</w:t>
      </w:r>
    </w:p>
    <w:p w:rsidR="00C81E83" w:rsidRDefault="00C81E83">
      <w:pPr>
        <w:pStyle w:val="P1-StandPara"/>
      </w:pPr>
      <w:r>
        <w:t>Items concerning school performance and difficulty are important to the PFI Survey as indicators of school readiness for young children, and as correlates of parent and family involvement for children of all ages and grades.  Item response rates for these PFI items in 2007 were high:  98.22 for children’s grades, 99.57 for out-of-school suspension, and 99.64 for expulsion.</w:t>
      </w:r>
    </w:p>
    <w:p w:rsidR="00C81E83" w:rsidRDefault="00C81E83">
      <w:pPr>
        <w:pStyle w:val="P1-StandPara"/>
      </w:pPr>
    </w:p>
    <w:p w:rsidR="00C81E83" w:rsidRDefault="00C81E83">
      <w:pPr>
        <w:pStyle w:val="P1-StandPara"/>
      </w:pPr>
      <w:r>
        <w:t>Another element of the surveys that may be sensitive to some parents is the identification of children’s schools.  This feature allows analysts to link NHES data to other NCES datasets containing additional data about schools, greatly enhancing the ability to examine the relationships between students’ and families’ experiences and the characteristics of schools.  This was done for the first time the PFI Survey of NHES:2007; the item response rate for the identification of the child’s school was 92.53 percent.</w:t>
      </w:r>
    </w:p>
    <w:p w:rsidR="00C81E83" w:rsidRDefault="00C81E83">
      <w:pPr>
        <w:pStyle w:val="P1-StandPara"/>
      </w:pPr>
    </w:p>
    <w:p w:rsidR="00C81E83" w:rsidRDefault="00C81E83">
      <w:pPr>
        <w:pStyle w:val="P1-StandPara"/>
      </w:pPr>
    </w:p>
    <w:p w:rsidR="00C81E83" w:rsidRDefault="00C81E83">
      <w:pPr>
        <w:pStyle w:val="Heading2"/>
      </w:pPr>
      <w:bookmarkStart w:id="36" w:name="_Toc61176388"/>
      <w:bookmarkStart w:id="37" w:name="_Toc222888897"/>
      <w:r>
        <w:t>A.12.</w:t>
      </w:r>
      <w:r>
        <w:tab/>
        <w:t>Estimated Response Burden</w:t>
      </w:r>
      <w:bookmarkEnd w:id="36"/>
      <w:bookmarkEnd w:id="37"/>
    </w:p>
    <w:p w:rsidR="00C81E83" w:rsidRDefault="00C81E83">
      <w:pPr>
        <w:pStyle w:val="P1-StandPara"/>
      </w:pPr>
      <w:r>
        <w:t xml:space="preserve">The response burden per instrument and the total response burden for NHES:2009 are shown in table 2. The administration times for the Screener, ECPP, and PFI questionnaires are based on practice administrations. </w:t>
      </w:r>
    </w:p>
    <w:p w:rsidR="00C81E83" w:rsidRDefault="00C81E83">
      <w:pPr>
        <w:pStyle w:val="P1-StandPara"/>
      </w:pPr>
    </w:p>
    <w:p w:rsidR="00C81E83" w:rsidRDefault="00C81E83">
      <w:pPr>
        <w:pStyle w:val="P1-StandPara"/>
      </w:pPr>
      <w:r>
        <w:t xml:space="preserve">The expected number of respondents and number of responses are based on the expected numbers of completed surveys of each type, discussed in section B.1.4.  The cost to respondents for the total hour burden is estimated to be $27,036, that is, $19.88 per hour for 1,360 burden hours.  The hourly rate is based on the average for all civilian workers from the 2007 National Compensation Survey (http://www.bls.gov/ncs/ocs/sp/nctb0298.pdf).  There are no other costs to respondents.  There are also no recordkeeping requirements associated with NHES:2009. </w:t>
      </w:r>
    </w:p>
    <w:p w:rsidR="00C81E83" w:rsidRDefault="00C81E83">
      <w:pPr>
        <w:pStyle w:val="P1-StandPara"/>
      </w:pPr>
    </w:p>
    <w:p w:rsidR="00C81E83" w:rsidRDefault="00C81E83">
      <w:pPr>
        <w:pStyle w:val="P1-StandPara"/>
      </w:pPr>
    </w:p>
    <w:p w:rsidR="00C81E83" w:rsidRDefault="00C81E83">
      <w:pPr>
        <w:pStyle w:val="TT-TableTitle"/>
      </w:pPr>
      <w:bookmarkStart w:id="38" w:name="_Toc418050422"/>
      <w:bookmarkStart w:id="39" w:name="_Toc61176412"/>
      <w:bookmarkStart w:id="40" w:name="_Toc222888220"/>
      <w:bookmarkStart w:id="41" w:name="_Toc222888225"/>
      <w:r>
        <w:br w:type="page"/>
        <w:t>Table 2.</w:t>
      </w:r>
      <w:r>
        <w:t> </w:t>
      </w:r>
      <w:r>
        <w:t> </w:t>
      </w:r>
      <w:r>
        <w:t>Estimated response burden for NHES:2009</w:t>
      </w:r>
      <w:bookmarkEnd w:id="38"/>
      <w:bookmarkEnd w:id="39"/>
      <w:bookmarkEnd w:id="40"/>
      <w:bookmarkEnd w:id="41"/>
    </w:p>
    <w:tbl>
      <w:tblPr>
        <w:tblW w:w="9438" w:type="dxa"/>
        <w:tblLayout w:type="fixed"/>
        <w:tblCellMar>
          <w:left w:w="0" w:type="dxa"/>
          <w:right w:w="0" w:type="dxa"/>
        </w:tblCellMar>
        <w:tblLook w:val="0000"/>
      </w:tblPr>
      <w:tblGrid>
        <w:gridCol w:w="2908"/>
        <w:gridCol w:w="1200"/>
        <w:gridCol w:w="869"/>
        <w:gridCol w:w="1609"/>
        <w:gridCol w:w="1088"/>
        <w:gridCol w:w="1764"/>
      </w:tblGrid>
      <w:tr w:rsidR="00C81E83" w:rsidRPr="00CF3083">
        <w:tc>
          <w:tcPr>
            <w:tcW w:w="2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81E83" w:rsidRPr="00CF3083" w:rsidRDefault="00C81E83" w:rsidP="00CF3083">
            <w:bookmarkStart w:id="42" w:name="_Toc418057945"/>
            <w:bookmarkStart w:id="43" w:name="_Toc61176389"/>
            <w:bookmarkStart w:id="44" w:name="_Toc418057946"/>
            <w:r w:rsidRPr="00CF3083">
              <w:t>Instrument</w:t>
            </w:r>
          </w:p>
        </w:tc>
        <w:tc>
          <w:tcPr>
            <w:tcW w:w="120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C81E83" w:rsidRPr="00CF3083" w:rsidRDefault="00C81E83" w:rsidP="00CF3083">
            <w:pPr>
              <w:jc w:val="center"/>
            </w:pPr>
            <w:r w:rsidRPr="00CF3083">
              <w:t>Avg. Completion time</w:t>
            </w:r>
          </w:p>
        </w:tc>
        <w:tc>
          <w:tcPr>
            <w:tcW w:w="86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C81E83" w:rsidRPr="00CF3083" w:rsidRDefault="00C81E83" w:rsidP="00CF3083">
            <w:pPr>
              <w:jc w:val="center"/>
            </w:pPr>
            <w:r w:rsidRPr="00CF3083">
              <w:t>Sample size</w:t>
            </w:r>
          </w:p>
        </w:tc>
        <w:tc>
          <w:tcPr>
            <w:tcW w:w="160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C81E83" w:rsidRPr="00CF3083" w:rsidRDefault="00C81E83" w:rsidP="00CF3083">
            <w:pPr>
              <w:jc w:val="center"/>
            </w:pPr>
            <w:r w:rsidRPr="00CF3083">
              <w:t>Expected number of completed questionnaires</w:t>
            </w:r>
          </w:p>
        </w:tc>
        <w:tc>
          <w:tcPr>
            <w:tcW w:w="108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C81E83" w:rsidRPr="00CF3083" w:rsidRDefault="00C81E83" w:rsidP="00CF3083">
            <w:pPr>
              <w:jc w:val="center"/>
            </w:pPr>
            <w:r w:rsidRPr="00CF3083">
              <w:t>Expected response rate (%)</w:t>
            </w:r>
          </w:p>
        </w:tc>
        <w:tc>
          <w:tcPr>
            <w:tcW w:w="176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C81E83" w:rsidRPr="00CF3083" w:rsidRDefault="00C81E83" w:rsidP="00CF3083">
            <w:pPr>
              <w:jc w:val="center"/>
            </w:pPr>
            <w:r w:rsidRPr="00CF3083">
              <w:t>Total burden hours</w:t>
            </w:r>
          </w:p>
          <w:p w:rsidR="00C81E83" w:rsidRPr="00CF3083" w:rsidRDefault="00C81E83" w:rsidP="00CF3083">
            <w:pPr>
              <w:jc w:val="center"/>
            </w:pPr>
            <w:r w:rsidRPr="00CF3083">
              <w:t>(completes * avg. completion time)</w:t>
            </w:r>
          </w:p>
        </w:tc>
      </w:tr>
      <w:tr w:rsidR="00C81E83" w:rsidRPr="00DD74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c>
          <w:tcPr>
            <w:tcW w:w="9438" w:type="dxa"/>
            <w:gridSpan w:val="6"/>
            <w:vAlign w:val="center"/>
          </w:tcPr>
          <w:p w:rsidR="00C81E83" w:rsidRPr="00DD7452" w:rsidRDefault="00C81E83" w:rsidP="00BD3699">
            <w:r w:rsidRPr="00DD7452">
              <w:rPr>
                <w:b/>
                <w:bCs/>
              </w:rPr>
              <w:t>Screener Questionnaires</w:t>
            </w:r>
          </w:p>
        </w:tc>
      </w:tr>
      <w:tr w:rsidR="00C81E83" w:rsidRPr="00CF3083">
        <w:tc>
          <w:tcPr>
            <w:tcW w:w="290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C81E83" w:rsidRPr="00CF3083" w:rsidRDefault="00C81E83" w:rsidP="00CF3083">
            <w:r w:rsidRPr="00CF3083">
              <w:t>Engaging screener</w:t>
            </w:r>
          </w:p>
          <w:p w:rsidR="00C81E83" w:rsidRPr="00CF3083" w:rsidRDefault="00C81E83" w:rsidP="00CF3083">
            <w:pPr>
              <w:rPr>
                <w:sz w:val="16"/>
                <w:szCs w:val="16"/>
              </w:rPr>
            </w:pPr>
            <w:r w:rsidRPr="00CF3083">
              <w:rPr>
                <w:sz w:val="16"/>
                <w:szCs w:val="16"/>
              </w:rPr>
              <w:t>(NHES 2009 Screener Engaging.pdf)</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81E83" w:rsidRPr="00CF3083" w:rsidRDefault="00C81E83" w:rsidP="00CF3083">
            <w:pPr>
              <w:ind w:right="432"/>
              <w:jc w:val="right"/>
            </w:pPr>
            <w:r w:rsidRPr="00CF3083">
              <w:t>8</w:t>
            </w:r>
          </w:p>
        </w:tc>
        <w:tc>
          <w:tcPr>
            <w:tcW w:w="86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81E83" w:rsidRPr="00CF3083" w:rsidRDefault="00C81E83" w:rsidP="00CF3083">
            <w:pPr>
              <w:ind w:right="75"/>
              <w:jc w:val="right"/>
            </w:pPr>
            <w:r w:rsidRPr="00CF3083">
              <w:t>3,934</w:t>
            </w:r>
          </w:p>
        </w:tc>
        <w:tc>
          <w:tcPr>
            <w:tcW w:w="160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81E83" w:rsidRPr="00CF3083" w:rsidRDefault="00C81E83" w:rsidP="00CF3083">
            <w:pPr>
              <w:ind w:right="432"/>
              <w:jc w:val="right"/>
            </w:pPr>
            <w:r w:rsidRPr="00CF3083">
              <w:t>2,384</w:t>
            </w:r>
          </w:p>
        </w:tc>
        <w:tc>
          <w:tcPr>
            <w:tcW w:w="108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81E83" w:rsidRPr="00CF3083" w:rsidRDefault="00C81E83" w:rsidP="00CF3083">
            <w:pPr>
              <w:ind w:right="252"/>
              <w:jc w:val="right"/>
            </w:pPr>
            <w:r w:rsidRPr="00CF3083">
              <w:t>60.6</w:t>
            </w:r>
          </w:p>
        </w:tc>
        <w:tc>
          <w:tcPr>
            <w:tcW w:w="176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81E83" w:rsidRPr="00CF3083" w:rsidRDefault="00C81E83" w:rsidP="00CF3083">
            <w:pPr>
              <w:ind w:right="402"/>
              <w:jc w:val="right"/>
            </w:pPr>
            <w:r w:rsidRPr="00CF3083">
              <w:t>318</w:t>
            </w:r>
          </w:p>
        </w:tc>
      </w:tr>
      <w:tr w:rsidR="00C81E83" w:rsidRPr="00CF3083">
        <w:tc>
          <w:tcPr>
            <w:tcW w:w="290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C81E83" w:rsidRPr="00CF3083" w:rsidRDefault="00C81E83" w:rsidP="00CF3083">
            <w:r w:rsidRPr="00CF3083">
              <w:t>Core Item Screener</w:t>
            </w:r>
          </w:p>
          <w:p w:rsidR="00C81E83" w:rsidRPr="00CF3083" w:rsidRDefault="00C81E83" w:rsidP="00CF3083">
            <w:pPr>
              <w:rPr>
                <w:sz w:val="16"/>
                <w:szCs w:val="16"/>
              </w:rPr>
            </w:pPr>
            <w:r w:rsidRPr="00CF3083">
              <w:rPr>
                <w:sz w:val="16"/>
                <w:szCs w:val="16"/>
              </w:rPr>
              <w:t>(NHES 2009 Screener Core.pdf)</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81E83" w:rsidRPr="00CF3083" w:rsidRDefault="00C81E83" w:rsidP="00CF3083">
            <w:pPr>
              <w:ind w:right="432"/>
              <w:jc w:val="right"/>
            </w:pPr>
            <w:r w:rsidRPr="00CF3083">
              <w:t>5</w:t>
            </w:r>
          </w:p>
        </w:tc>
        <w:tc>
          <w:tcPr>
            <w:tcW w:w="86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81E83" w:rsidRPr="00CF3083" w:rsidRDefault="00C81E83" w:rsidP="00CF3083">
            <w:pPr>
              <w:ind w:right="75"/>
              <w:jc w:val="right"/>
            </w:pPr>
            <w:r w:rsidRPr="00CF3083">
              <w:t>3,133</w:t>
            </w:r>
          </w:p>
        </w:tc>
        <w:tc>
          <w:tcPr>
            <w:tcW w:w="160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81E83" w:rsidRPr="00CF3083" w:rsidRDefault="00C81E83" w:rsidP="00CF3083">
            <w:pPr>
              <w:ind w:right="432"/>
              <w:jc w:val="right"/>
            </w:pPr>
            <w:r w:rsidRPr="00CF3083">
              <w:t>1,899</w:t>
            </w:r>
          </w:p>
        </w:tc>
        <w:tc>
          <w:tcPr>
            <w:tcW w:w="108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81E83" w:rsidRPr="00CF3083" w:rsidRDefault="00C81E83" w:rsidP="00CF3083">
            <w:pPr>
              <w:ind w:right="252"/>
              <w:jc w:val="right"/>
            </w:pPr>
            <w:r w:rsidRPr="00CF3083">
              <w:t>60.6</w:t>
            </w:r>
          </w:p>
        </w:tc>
        <w:tc>
          <w:tcPr>
            <w:tcW w:w="176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81E83" w:rsidRPr="00CF3083" w:rsidRDefault="00C81E83" w:rsidP="00CF3083">
            <w:pPr>
              <w:ind w:right="402"/>
              <w:jc w:val="right"/>
            </w:pPr>
            <w:r w:rsidRPr="00CF3083">
              <w:t>158</w:t>
            </w:r>
          </w:p>
        </w:tc>
      </w:tr>
      <w:tr w:rsidR="00C81E83" w:rsidRPr="00CF3083">
        <w:tc>
          <w:tcPr>
            <w:tcW w:w="290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C81E83" w:rsidRPr="00CF3083" w:rsidRDefault="00C81E83" w:rsidP="00CF3083">
            <w:r w:rsidRPr="00CF3083">
              <w:t>Bilingual (swim lane) Core</w:t>
            </w:r>
          </w:p>
          <w:p w:rsidR="00C81E83" w:rsidRPr="00CF3083" w:rsidRDefault="00C81E83" w:rsidP="00CF3083">
            <w:pPr>
              <w:rPr>
                <w:sz w:val="16"/>
                <w:szCs w:val="16"/>
              </w:rPr>
            </w:pPr>
            <w:r w:rsidRPr="00CF3083">
              <w:rPr>
                <w:sz w:val="16"/>
                <w:szCs w:val="16"/>
              </w:rPr>
              <w:t>(NHES 2009 Screener Bilingual.pdf)</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81E83" w:rsidRPr="00CF3083" w:rsidRDefault="00C81E83" w:rsidP="00CF3083">
            <w:pPr>
              <w:ind w:right="432"/>
              <w:jc w:val="right"/>
            </w:pPr>
            <w:r w:rsidRPr="00CF3083">
              <w:t>5</w:t>
            </w:r>
          </w:p>
        </w:tc>
        <w:tc>
          <w:tcPr>
            <w:tcW w:w="86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81E83" w:rsidRPr="00CF3083" w:rsidRDefault="00C81E83" w:rsidP="00CF3083">
            <w:pPr>
              <w:ind w:right="75"/>
              <w:jc w:val="right"/>
            </w:pPr>
            <w:r w:rsidRPr="00CF3083">
              <w:t>800</w:t>
            </w:r>
          </w:p>
        </w:tc>
        <w:tc>
          <w:tcPr>
            <w:tcW w:w="160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81E83" w:rsidRPr="00CF3083" w:rsidRDefault="00C81E83" w:rsidP="00CF3083">
            <w:pPr>
              <w:ind w:right="432"/>
              <w:jc w:val="right"/>
            </w:pPr>
            <w:r w:rsidRPr="00CF3083">
              <w:t>485</w:t>
            </w:r>
          </w:p>
        </w:tc>
        <w:tc>
          <w:tcPr>
            <w:tcW w:w="108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81E83" w:rsidRPr="00CF3083" w:rsidRDefault="00C81E83" w:rsidP="00CF3083">
            <w:pPr>
              <w:ind w:right="252"/>
              <w:jc w:val="right"/>
            </w:pPr>
            <w:r w:rsidRPr="00CF3083">
              <w:t>60.6</w:t>
            </w:r>
          </w:p>
        </w:tc>
        <w:tc>
          <w:tcPr>
            <w:tcW w:w="176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81E83" w:rsidRPr="00CF3083" w:rsidRDefault="00C81E83" w:rsidP="00CF3083">
            <w:pPr>
              <w:ind w:right="402"/>
              <w:jc w:val="right"/>
            </w:pPr>
            <w:r w:rsidRPr="00CF3083">
              <w:t>40</w:t>
            </w:r>
          </w:p>
        </w:tc>
      </w:tr>
      <w:tr w:rsidR="00C81E83" w:rsidRPr="00CF3083">
        <w:tc>
          <w:tcPr>
            <w:tcW w:w="290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C81E83" w:rsidRPr="00CF3083" w:rsidRDefault="00C81E83" w:rsidP="00CF3083">
            <w:r w:rsidRPr="00CF3083">
              <w:t>Screen out Screener</w:t>
            </w:r>
          </w:p>
          <w:p w:rsidR="00C81E83" w:rsidRPr="00CF3083" w:rsidRDefault="00C81E83" w:rsidP="00CF3083">
            <w:pPr>
              <w:rPr>
                <w:sz w:val="16"/>
                <w:szCs w:val="16"/>
              </w:rPr>
            </w:pPr>
            <w:r w:rsidRPr="00CF3083">
              <w:rPr>
                <w:sz w:val="16"/>
                <w:szCs w:val="16"/>
              </w:rPr>
              <w:t>(NHES 2009 Screener Screen-out.pdf)</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81E83" w:rsidRPr="00CF3083" w:rsidRDefault="00C81E83" w:rsidP="00CF3083">
            <w:pPr>
              <w:ind w:right="432"/>
              <w:jc w:val="right"/>
            </w:pPr>
            <w:r w:rsidRPr="00CF3083">
              <w:t>3</w:t>
            </w:r>
          </w:p>
        </w:tc>
        <w:tc>
          <w:tcPr>
            <w:tcW w:w="86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81E83" w:rsidRPr="00CF3083" w:rsidRDefault="00C81E83" w:rsidP="00CF3083">
            <w:pPr>
              <w:ind w:right="75"/>
              <w:jc w:val="right"/>
            </w:pPr>
            <w:r w:rsidRPr="00CF3083">
              <w:t>3,934</w:t>
            </w:r>
          </w:p>
        </w:tc>
        <w:tc>
          <w:tcPr>
            <w:tcW w:w="160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81E83" w:rsidRPr="00CF3083" w:rsidRDefault="00C81E83" w:rsidP="00CF3083">
            <w:pPr>
              <w:ind w:right="432"/>
              <w:jc w:val="right"/>
            </w:pPr>
            <w:r w:rsidRPr="00CF3083">
              <w:t>2,384</w:t>
            </w:r>
          </w:p>
        </w:tc>
        <w:tc>
          <w:tcPr>
            <w:tcW w:w="108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81E83" w:rsidRPr="00CF3083" w:rsidRDefault="00C81E83" w:rsidP="00CF3083">
            <w:pPr>
              <w:ind w:right="252"/>
              <w:jc w:val="right"/>
            </w:pPr>
            <w:r w:rsidRPr="00CF3083">
              <w:t>60.5</w:t>
            </w:r>
          </w:p>
        </w:tc>
        <w:tc>
          <w:tcPr>
            <w:tcW w:w="176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81E83" w:rsidRPr="00CF3083" w:rsidRDefault="00C81E83" w:rsidP="00CF3083">
            <w:pPr>
              <w:ind w:right="402"/>
              <w:jc w:val="right"/>
            </w:pPr>
            <w:r w:rsidRPr="00CF3083">
              <w:t>119</w:t>
            </w:r>
          </w:p>
        </w:tc>
      </w:tr>
      <w:tr w:rsidR="00C81E83" w:rsidRPr="00CF3083">
        <w:tc>
          <w:tcPr>
            <w:tcW w:w="290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C81E83" w:rsidRPr="00CF3083" w:rsidRDefault="00C81E83" w:rsidP="00CF3083">
            <w:r w:rsidRPr="00CF3083">
              <w:t>Nonresponse Screener</w:t>
            </w:r>
          </w:p>
          <w:p w:rsidR="00C81E83" w:rsidRPr="00CF3083" w:rsidRDefault="00C81E83" w:rsidP="00CF3083">
            <w:pPr>
              <w:rPr>
                <w:sz w:val="16"/>
                <w:szCs w:val="16"/>
              </w:rPr>
            </w:pPr>
            <w:r w:rsidRPr="00CF3083">
              <w:rPr>
                <w:sz w:val="16"/>
                <w:szCs w:val="16"/>
              </w:rPr>
              <w:t>(NHES 2009 Screener Nonresponse.pdf)</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81E83" w:rsidRPr="00CF3083" w:rsidRDefault="00C81E83" w:rsidP="00CF3083">
            <w:pPr>
              <w:ind w:right="432"/>
              <w:jc w:val="right"/>
            </w:pPr>
            <w:r w:rsidRPr="00CF3083">
              <w:t>1</w:t>
            </w:r>
          </w:p>
        </w:tc>
        <w:tc>
          <w:tcPr>
            <w:tcW w:w="86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81E83" w:rsidRPr="00CF3083" w:rsidRDefault="00C81E83" w:rsidP="00CF3083">
            <w:pPr>
              <w:ind w:right="75"/>
              <w:jc w:val="right"/>
            </w:pPr>
            <w:r w:rsidRPr="00CF3083">
              <w:t>4,670</w:t>
            </w:r>
          </w:p>
        </w:tc>
        <w:tc>
          <w:tcPr>
            <w:tcW w:w="160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81E83" w:rsidRPr="00CF3083" w:rsidRDefault="00C81E83" w:rsidP="00CF3083">
            <w:pPr>
              <w:ind w:right="432"/>
              <w:jc w:val="right"/>
            </w:pPr>
            <w:r w:rsidRPr="00CF3083">
              <w:t>700</w:t>
            </w:r>
          </w:p>
        </w:tc>
        <w:tc>
          <w:tcPr>
            <w:tcW w:w="108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81E83" w:rsidRPr="00CF3083" w:rsidRDefault="00C81E83" w:rsidP="00CF3083">
            <w:pPr>
              <w:ind w:right="252"/>
              <w:jc w:val="right"/>
            </w:pPr>
            <w:r w:rsidRPr="00CF3083">
              <w:t>15.0</w:t>
            </w:r>
          </w:p>
        </w:tc>
        <w:tc>
          <w:tcPr>
            <w:tcW w:w="176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81E83" w:rsidRPr="00CF3083" w:rsidRDefault="00C81E83" w:rsidP="00CF3083">
            <w:pPr>
              <w:ind w:right="402"/>
              <w:jc w:val="right"/>
            </w:pPr>
            <w:r w:rsidRPr="00CF3083">
              <w:t>12</w:t>
            </w:r>
          </w:p>
        </w:tc>
      </w:tr>
      <w:tr w:rsidR="00C81E83" w:rsidRPr="00DD74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c>
          <w:tcPr>
            <w:tcW w:w="9438" w:type="dxa"/>
            <w:gridSpan w:val="6"/>
            <w:vAlign w:val="center"/>
          </w:tcPr>
          <w:p w:rsidR="00C81E83" w:rsidRPr="00DD7452" w:rsidRDefault="00C81E83" w:rsidP="00BD3699">
            <w:r w:rsidRPr="00DD7452">
              <w:rPr>
                <w:b/>
                <w:bCs/>
              </w:rPr>
              <w:t>Topical Surveys</w:t>
            </w:r>
          </w:p>
        </w:tc>
      </w:tr>
      <w:tr w:rsidR="00C81E83" w:rsidRPr="00CF3083">
        <w:tc>
          <w:tcPr>
            <w:tcW w:w="290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C81E83" w:rsidRPr="00CF3083" w:rsidRDefault="00C81E83" w:rsidP="00CF3083">
            <w:r w:rsidRPr="00CF3083">
              <w:t>Early Childhood Program Participation</w:t>
            </w:r>
          </w:p>
          <w:p w:rsidR="00C81E83" w:rsidRPr="00CF3083" w:rsidRDefault="00C81E83" w:rsidP="00CF3083">
            <w:pPr>
              <w:rPr>
                <w:sz w:val="16"/>
                <w:szCs w:val="16"/>
              </w:rPr>
            </w:pPr>
            <w:r w:rsidRPr="00CF3083">
              <w:rPr>
                <w:sz w:val="16"/>
                <w:szCs w:val="16"/>
              </w:rPr>
              <w:t>(NHES2009 ECPP)</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81E83" w:rsidRPr="00CF3083" w:rsidRDefault="00C81E83" w:rsidP="00CF3083">
            <w:pPr>
              <w:ind w:right="432"/>
              <w:jc w:val="right"/>
            </w:pPr>
            <w:r w:rsidRPr="00CF3083">
              <w:t>20</w:t>
            </w:r>
          </w:p>
        </w:tc>
        <w:tc>
          <w:tcPr>
            <w:tcW w:w="86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81E83" w:rsidRPr="00CF3083" w:rsidRDefault="00C81E83" w:rsidP="00CF3083">
            <w:pPr>
              <w:ind w:right="75"/>
              <w:jc w:val="right"/>
            </w:pPr>
            <w:r w:rsidRPr="00CF3083">
              <w:t>812</w:t>
            </w:r>
          </w:p>
        </w:tc>
        <w:tc>
          <w:tcPr>
            <w:tcW w:w="160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81E83" w:rsidRPr="00CF3083" w:rsidRDefault="00C81E83" w:rsidP="00CF3083">
            <w:pPr>
              <w:ind w:right="432"/>
              <w:jc w:val="right"/>
            </w:pPr>
            <w:r w:rsidRPr="00CF3083">
              <w:t>653</w:t>
            </w:r>
          </w:p>
        </w:tc>
        <w:tc>
          <w:tcPr>
            <w:tcW w:w="108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81E83" w:rsidRPr="00CF3083" w:rsidRDefault="00C81E83" w:rsidP="00CF3083">
            <w:pPr>
              <w:ind w:right="252"/>
              <w:jc w:val="right"/>
            </w:pPr>
            <w:r w:rsidRPr="00CF3083">
              <w:t>80.4</w:t>
            </w:r>
          </w:p>
        </w:tc>
        <w:tc>
          <w:tcPr>
            <w:tcW w:w="176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81E83" w:rsidRPr="00CF3083" w:rsidRDefault="00C81E83" w:rsidP="00CF3083">
            <w:pPr>
              <w:ind w:right="402"/>
              <w:jc w:val="right"/>
            </w:pPr>
            <w:r w:rsidRPr="00CF3083">
              <w:t>217</w:t>
            </w:r>
          </w:p>
        </w:tc>
      </w:tr>
      <w:tr w:rsidR="00C81E83" w:rsidRPr="00CF3083">
        <w:tc>
          <w:tcPr>
            <w:tcW w:w="290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C81E83" w:rsidRPr="00CF3083" w:rsidRDefault="00C81E83" w:rsidP="00CF3083">
            <w:r w:rsidRPr="00CF3083">
              <w:t>Parent Family Involvement– Enrolled Student</w:t>
            </w:r>
          </w:p>
          <w:p w:rsidR="00C81E83" w:rsidRPr="00CF3083" w:rsidRDefault="00C81E83" w:rsidP="00CF3083">
            <w:pPr>
              <w:rPr>
                <w:sz w:val="16"/>
                <w:szCs w:val="16"/>
              </w:rPr>
            </w:pPr>
            <w:r w:rsidRPr="00CF3083">
              <w:rPr>
                <w:sz w:val="16"/>
                <w:szCs w:val="16"/>
              </w:rPr>
              <w:t>(NHES2009 PFI-Enrolled)</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81E83" w:rsidRPr="00CF3083" w:rsidRDefault="00C81E83" w:rsidP="00CF3083">
            <w:pPr>
              <w:ind w:right="432"/>
              <w:jc w:val="right"/>
            </w:pPr>
            <w:r w:rsidRPr="00CF3083">
              <w:t>20</w:t>
            </w:r>
          </w:p>
        </w:tc>
        <w:tc>
          <w:tcPr>
            <w:tcW w:w="86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81E83" w:rsidRPr="00CF3083" w:rsidRDefault="00C81E83" w:rsidP="00CF3083">
            <w:pPr>
              <w:ind w:right="75"/>
              <w:jc w:val="right"/>
            </w:pPr>
            <w:r w:rsidRPr="00CF3083">
              <w:t>1,650</w:t>
            </w:r>
          </w:p>
        </w:tc>
        <w:tc>
          <w:tcPr>
            <w:tcW w:w="160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81E83" w:rsidRPr="00CF3083" w:rsidRDefault="00C81E83" w:rsidP="00CF3083">
            <w:pPr>
              <w:ind w:right="432"/>
              <w:jc w:val="right"/>
            </w:pPr>
            <w:r w:rsidRPr="00CF3083">
              <w:t>1,326</w:t>
            </w:r>
          </w:p>
        </w:tc>
        <w:tc>
          <w:tcPr>
            <w:tcW w:w="108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81E83" w:rsidRPr="00CF3083" w:rsidRDefault="00C81E83" w:rsidP="00CF3083">
            <w:pPr>
              <w:ind w:right="252"/>
              <w:jc w:val="right"/>
            </w:pPr>
            <w:r w:rsidRPr="00CF3083">
              <w:t>80.4</w:t>
            </w:r>
          </w:p>
        </w:tc>
        <w:tc>
          <w:tcPr>
            <w:tcW w:w="176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81E83" w:rsidRPr="00CF3083" w:rsidRDefault="00C81E83" w:rsidP="00CF3083">
            <w:pPr>
              <w:ind w:right="402"/>
              <w:jc w:val="right"/>
            </w:pPr>
            <w:r w:rsidRPr="00CF3083">
              <w:t>442</w:t>
            </w:r>
          </w:p>
        </w:tc>
      </w:tr>
      <w:tr w:rsidR="00C81E83" w:rsidRPr="00CF3083">
        <w:tc>
          <w:tcPr>
            <w:tcW w:w="290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C81E83" w:rsidRPr="00CF3083" w:rsidRDefault="00C81E83" w:rsidP="00CF3083">
            <w:r w:rsidRPr="00CF3083">
              <w:t>Parent Family Involvement -Homeschooled Student</w:t>
            </w:r>
          </w:p>
          <w:p w:rsidR="00C81E83" w:rsidRPr="00CF3083" w:rsidRDefault="00C81E83" w:rsidP="00CF3083">
            <w:pPr>
              <w:rPr>
                <w:sz w:val="16"/>
                <w:szCs w:val="16"/>
              </w:rPr>
            </w:pPr>
            <w:r w:rsidRPr="00CF3083">
              <w:rPr>
                <w:sz w:val="16"/>
                <w:szCs w:val="16"/>
              </w:rPr>
              <w:t>(NHES2009 PFI-Home-schooled)</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81E83" w:rsidRPr="00CF3083" w:rsidRDefault="00C81E83" w:rsidP="00CF3083">
            <w:pPr>
              <w:ind w:right="432"/>
              <w:jc w:val="right"/>
            </w:pPr>
            <w:r w:rsidRPr="00CF3083">
              <w:t>20</w:t>
            </w:r>
          </w:p>
        </w:tc>
        <w:tc>
          <w:tcPr>
            <w:tcW w:w="86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81E83" w:rsidRPr="00CF3083" w:rsidRDefault="00C81E83" w:rsidP="00CF3083">
            <w:pPr>
              <w:ind w:right="75"/>
              <w:jc w:val="right"/>
            </w:pPr>
            <w:r w:rsidRPr="00CF3083">
              <w:t>203</w:t>
            </w:r>
          </w:p>
        </w:tc>
        <w:tc>
          <w:tcPr>
            <w:tcW w:w="160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81E83" w:rsidRPr="00CF3083" w:rsidRDefault="00C81E83" w:rsidP="00CF3083">
            <w:pPr>
              <w:ind w:right="432"/>
              <w:jc w:val="right"/>
            </w:pPr>
            <w:r w:rsidRPr="00CF3083">
              <w:t>163</w:t>
            </w:r>
          </w:p>
        </w:tc>
        <w:tc>
          <w:tcPr>
            <w:tcW w:w="108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81E83" w:rsidRPr="00CF3083" w:rsidRDefault="00C81E83" w:rsidP="00CF3083">
            <w:pPr>
              <w:ind w:right="252"/>
              <w:jc w:val="right"/>
            </w:pPr>
            <w:r w:rsidRPr="00CF3083">
              <w:t>80.4</w:t>
            </w:r>
          </w:p>
        </w:tc>
        <w:tc>
          <w:tcPr>
            <w:tcW w:w="176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81E83" w:rsidRPr="00CF3083" w:rsidRDefault="00C81E83" w:rsidP="00CF3083">
            <w:pPr>
              <w:ind w:right="402"/>
              <w:jc w:val="right"/>
            </w:pPr>
            <w:r w:rsidRPr="00CF3083">
              <w:t>54</w:t>
            </w:r>
          </w:p>
        </w:tc>
      </w:tr>
      <w:tr w:rsidR="00C81E83" w:rsidRPr="00CF3083">
        <w:tc>
          <w:tcPr>
            <w:tcW w:w="290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C81E83" w:rsidRPr="00CF3083" w:rsidRDefault="00C81E83" w:rsidP="00CF3083">
            <w:r w:rsidRPr="00CF3083">
              <w:t>Total</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81E83" w:rsidRPr="00CF3083" w:rsidRDefault="00C81E83" w:rsidP="00CF3083">
            <w:pPr>
              <w:jc w:val="center"/>
            </w:pPr>
            <w:r w:rsidRPr="00CF3083">
              <w:t>NA</w:t>
            </w:r>
          </w:p>
        </w:tc>
        <w:tc>
          <w:tcPr>
            <w:tcW w:w="86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81E83" w:rsidRPr="00CF3083" w:rsidRDefault="00C81E83" w:rsidP="00CF3083">
            <w:pPr>
              <w:jc w:val="right"/>
            </w:pPr>
            <w:r w:rsidRPr="00CF3083">
              <w:t>NA</w:t>
            </w:r>
          </w:p>
        </w:tc>
        <w:tc>
          <w:tcPr>
            <w:tcW w:w="160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81E83" w:rsidRPr="00CF3083" w:rsidRDefault="00C81E83" w:rsidP="00CF3083">
            <w:pPr>
              <w:ind w:right="424"/>
              <w:jc w:val="right"/>
            </w:pPr>
            <w:r w:rsidRPr="00CF3083">
              <w:t>9,994</w:t>
            </w:r>
          </w:p>
        </w:tc>
        <w:tc>
          <w:tcPr>
            <w:tcW w:w="108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81E83" w:rsidRPr="00CF3083" w:rsidRDefault="00C81E83" w:rsidP="00CF3083">
            <w:pPr>
              <w:ind w:right="252"/>
              <w:jc w:val="right"/>
            </w:pPr>
            <w:r w:rsidRPr="00CF3083">
              <w:t>NA</w:t>
            </w:r>
          </w:p>
        </w:tc>
        <w:tc>
          <w:tcPr>
            <w:tcW w:w="176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81E83" w:rsidRPr="00CF3083" w:rsidRDefault="00C81E83" w:rsidP="00CF3083">
            <w:pPr>
              <w:ind w:right="402"/>
              <w:jc w:val="right"/>
            </w:pPr>
            <w:r w:rsidRPr="00CF3083">
              <w:t>1,360</w:t>
            </w:r>
          </w:p>
        </w:tc>
      </w:tr>
    </w:tbl>
    <w:p w:rsidR="00C81E83" w:rsidRPr="00CF3083" w:rsidRDefault="00C81E83" w:rsidP="00CF3083">
      <w:pPr>
        <w:pStyle w:val="P1-StandPara"/>
      </w:pPr>
    </w:p>
    <w:p w:rsidR="00C81E83" w:rsidRDefault="00C81E83">
      <w:pPr>
        <w:pStyle w:val="Heading2"/>
      </w:pPr>
      <w:bookmarkStart w:id="45" w:name="_Toc222888898"/>
      <w:r>
        <w:t>A.13.</w:t>
      </w:r>
      <w:r>
        <w:tab/>
        <w:t>Annualized Cost to Respondents</w:t>
      </w:r>
      <w:bookmarkEnd w:id="42"/>
      <w:bookmarkEnd w:id="43"/>
      <w:bookmarkEnd w:id="45"/>
      <w:r>
        <w:t xml:space="preserve"> </w:t>
      </w:r>
    </w:p>
    <w:p w:rsidR="00C81E83" w:rsidRDefault="00C81E83">
      <w:pPr>
        <w:pStyle w:val="P1-StandPara"/>
      </w:pPr>
      <w:r>
        <w:t xml:space="preserve">There are no costs beyond those presented in section A.12.  </w:t>
      </w:r>
    </w:p>
    <w:p w:rsidR="00C81E83" w:rsidRDefault="00C81E83">
      <w:pPr>
        <w:pStyle w:val="P1-StandPara"/>
      </w:pPr>
    </w:p>
    <w:p w:rsidR="00C81E83" w:rsidRDefault="00C81E83">
      <w:pPr>
        <w:pStyle w:val="Heading2"/>
      </w:pPr>
      <w:bookmarkStart w:id="46" w:name="_Toc61176390"/>
      <w:bookmarkStart w:id="47" w:name="_Toc222888899"/>
      <w:r>
        <w:t>A.14.</w:t>
      </w:r>
      <w:r>
        <w:tab/>
        <w:t>Annualized Cost to the Federal Government</w:t>
      </w:r>
      <w:bookmarkEnd w:id="46"/>
      <w:bookmarkEnd w:id="47"/>
    </w:p>
    <w:p w:rsidR="00C81E83" w:rsidRDefault="00C81E83">
      <w:pPr>
        <w:pStyle w:val="P1-StandPara"/>
      </w:pPr>
      <w:r>
        <w:t>The total cost of NHES:2009 to the government is approximately $600,000 over a period of 18 months.  This includes all direct and indirect costs of the design, data collection, analysis, and reporting phases of the study, as well as the delivery of data sets to NCES.</w:t>
      </w:r>
    </w:p>
    <w:bookmarkEnd w:id="44"/>
    <w:p w:rsidR="00C81E83" w:rsidRDefault="00C81E83">
      <w:pPr>
        <w:pStyle w:val="P1-StandPara"/>
      </w:pPr>
    </w:p>
    <w:p w:rsidR="00C81E83" w:rsidRDefault="00C81E83">
      <w:pPr>
        <w:pStyle w:val="P1-StandPara"/>
      </w:pPr>
    </w:p>
    <w:p w:rsidR="00C81E83" w:rsidRDefault="00C81E83">
      <w:pPr>
        <w:pStyle w:val="Heading2"/>
      </w:pPr>
      <w:bookmarkStart w:id="48" w:name="_Toc418057947"/>
      <w:bookmarkStart w:id="49" w:name="_Toc61176391"/>
      <w:bookmarkStart w:id="50" w:name="_Toc222888900"/>
      <w:r>
        <w:t>A.15.</w:t>
      </w:r>
      <w:r>
        <w:tab/>
        <w:t>Reasons for Program Changes</w:t>
      </w:r>
      <w:bookmarkEnd w:id="48"/>
      <w:bookmarkEnd w:id="49"/>
      <w:bookmarkEnd w:id="50"/>
    </w:p>
    <w:p w:rsidR="00C81E83" w:rsidRDefault="00C81E83">
      <w:pPr>
        <w:pStyle w:val="P1-StandPara"/>
      </w:pPr>
      <w:r>
        <w:t>This collection is a reinstatement of hours for the NHES:2009 Pilot Test, which will provide methodological data to inform the redesign and full-scale Field Test of the NHES program in 2011.</w:t>
      </w:r>
    </w:p>
    <w:p w:rsidR="00C81E83" w:rsidRDefault="00C81E83">
      <w:pPr>
        <w:pStyle w:val="P1-StandPara"/>
      </w:pPr>
    </w:p>
    <w:p w:rsidR="00C81E83" w:rsidRDefault="00C81E83">
      <w:pPr>
        <w:pStyle w:val="P1-StandPara"/>
      </w:pPr>
    </w:p>
    <w:p w:rsidR="00C81E83" w:rsidRDefault="00C81E83">
      <w:pPr>
        <w:pStyle w:val="Heading2"/>
      </w:pPr>
      <w:bookmarkStart w:id="51" w:name="_Toc418057948"/>
      <w:bookmarkStart w:id="52" w:name="_Toc61176392"/>
      <w:bookmarkStart w:id="53" w:name="_Toc222888901"/>
      <w:r>
        <w:t>A.16.</w:t>
      </w:r>
      <w:r>
        <w:tab/>
      </w:r>
      <w:bookmarkEnd w:id="51"/>
      <w:bookmarkEnd w:id="52"/>
      <w:r>
        <w:t>Publication Plans and Project Schedule</w:t>
      </w:r>
      <w:bookmarkEnd w:id="53"/>
    </w:p>
    <w:p w:rsidR="00C81E83" w:rsidRDefault="00C81E83">
      <w:pPr>
        <w:spacing w:line="360" w:lineRule="atLeast"/>
        <w:ind w:firstLine="1152"/>
        <w:jc w:val="both"/>
        <w:rPr>
          <w:sz w:val="22"/>
          <w:szCs w:val="22"/>
        </w:rPr>
      </w:pPr>
      <w:r>
        <w:rPr>
          <w:sz w:val="22"/>
          <w:szCs w:val="22"/>
        </w:rPr>
        <w:t xml:space="preserve">The primary objectives of the Pilot Test are to evaluate the operational success of the proposed methods and to get a preliminary assessment of the various methods with respect to response and cooperation rates.  </w:t>
      </w:r>
    </w:p>
    <w:p w:rsidR="00C81E83" w:rsidRDefault="00C81E83">
      <w:pPr>
        <w:spacing w:line="360" w:lineRule="atLeast"/>
        <w:ind w:firstLine="1152"/>
        <w:jc w:val="both"/>
        <w:rPr>
          <w:sz w:val="22"/>
          <w:szCs w:val="22"/>
        </w:rPr>
      </w:pPr>
    </w:p>
    <w:p w:rsidR="00C81E83" w:rsidRDefault="00C81E83">
      <w:pPr>
        <w:spacing w:line="360" w:lineRule="atLeast"/>
        <w:ind w:firstLine="1152"/>
        <w:jc w:val="both"/>
        <w:rPr>
          <w:sz w:val="22"/>
          <w:szCs w:val="22"/>
        </w:rPr>
      </w:pPr>
      <w:r>
        <w:rPr>
          <w:sz w:val="22"/>
          <w:szCs w:val="22"/>
        </w:rPr>
        <w:t>The following are outcomes that will be included in this evaluation:</w:t>
      </w:r>
    </w:p>
    <w:p w:rsidR="00C81E83" w:rsidRDefault="00C81E83">
      <w:pPr>
        <w:spacing w:line="360" w:lineRule="atLeast"/>
        <w:ind w:firstLine="1152"/>
        <w:jc w:val="both"/>
        <w:rPr>
          <w:sz w:val="22"/>
          <w:szCs w:val="22"/>
        </w:rPr>
      </w:pPr>
    </w:p>
    <w:p w:rsidR="00C81E83" w:rsidRDefault="00C81E83">
      <w:pPr>
        <w:numPr>
          <w:ilvl w:val="0"/>
          <w:numId w:val="3"/>
        </w:numPr>
        <w:spacing w:line="240" w:lineRule="atLeast"/>
        <w:rPr>
          <w:sz w:val="22"/>
          <w:szCs w:val="22"/>
        </w:rPr>
      </w:pPr>
      <w:r>
        <w:rPr>
          <w:sz w:val="22"/>
          <w:szCs w:val="22"/>
          <w:u w:val="single"/>
        </w:rPr>
        <w:t>Operational issues</w:t>
      </w:r>
      <w:r>
        <w:rPr>
          <w:sz w:val="22"/>
          <w:szCs w:val="22"/>
        </w:rPr>
        <w:t xml:space="preserve">: Any events or issues that result in a delay to the implementation of each event within the Pilot Test schedule.  Since many of these operational tasks are new, each process will need to be documented so procedures are available at implementation of Field Test data collection in 2011. </w:t>
      </w:r>
    </w:p>
    <w:p w:rsidR="00C81E83" w:rsidRDefault="00C81E83">
      <w:pPr>
        <w:ind w:left="360"/>
        <w:rPr>
          <w:sz w:val="22"/>
          <w:szCs w:val="22"/>
        </w:rPr>
      </w:pPr>
    </w:p>
    <w:p w:rsidR="00C81E83" w:rsidRDefault="00C81E83">
      <w:pPr>
        <w:numPr>
          <w:ilvl w:val="0"/>
          <w:numId w:val="4"/>
        </w:numPr>
        <w:spacing w:line="240" w:lineRule="atLeast"/>
        <w:rPr>
          <w:sz w:val="22"/>
          <w:szCs w:val="22"/>
        </w:rPr>
      </w:pPr>
      <w:r>
        <w:rPr>
          <w:sz w:val="22"/>
          <w:szCs w:val="22"/>
          <w:u w:val="single"/>
        </w:rPr>
        <w:t>Respondent feedback</w:t>
      </w:r>
      <w:r>
        <w:rPr>
          <w:sz w:val="22"/>
          <w:szCs w:val="22"/>
        </w:rPr>
        <w:t>: Any feedback received from a respondent will be evaluated for reaction to methods (e.g., reaction to the use of government funds for incentives, difficulty of mode, etc.).</w:t>
      </w:r>
    </w:p>
    <w:p w:rsidR="00C81E83" w:rsidRDefault="00C81E83">
      <w:pPr>
        <w:ind w:left="360"/>
        <w:rPr>
          <w:sz w:val="22"/>
          <w:szCs w:val="22"/>
        </w:rPr>
      </w:pPr>
    </w:p>
    <w:p w:rsidR="00C81E83" w:rsidRDefault="00C81E83">
      <w:pPr>
        <w:numPr>
          <w:ilvl w:val="0"/>
          <w:numId w:val="5"/>
        </w:numPr>
        <w:spacing w:line="240" w:lineRule="atLeast"/>
        <w:rPr>
          <w:sz w:val="22"/>
          <w:szCs w:val="22"/>
        </w:rPr>
      </w:pPr>
      <w:r>
        <w:rPr>
          <w:sz w:val="22"/>
          <w:szCs w:val="22"/>
          <w:u w:val="single"/>
        </w:rPr>
        <w:t>Response rates and components</w:t>
      </w:r>
      <w:r>
        <w:rPr>
          <w:sz w:val="22"/>
          <w:szCs w:val="22"/>
        </w:rPr>
        <w:t xml:space="preserve">: Overall and for each experimental manipulation/stage, response rates (both unit and item response rates, return rates, and any appropriate refusal conversion rates) will be tracked.  </w:t>
      </w:r>
    </w:p>
    <w:p w:rsidR="00C81E83" w:rsidRDefault="00C81E83">
      <w:pPr>
        <w:rPr>
          <w:sz w:val="22"/>
          <w:szCs w:val="22"/>
        </w:rPr>
      </w:pPr>
    </w:p>
    <w:p w:rsidR="00C81E83" w:rsidRDefault="00C81E83">
      <w:pPr>
        <w:numPr>
          <w:ilvl w:val="0"/>
          <w:numId w:val="6"/>
        </w:numPr>
        <w:spacing w:line="240" w:lineRule="atLeast"/>
        <w:rPr>
          <w:sz w:val="22"/>
          <w:szCs w:val="22"/>
        </w:rPr>
      </w:pPr>
      <w:r>
        <w:rPr>
          <w:sz w:val="22"/>
          <w:szCs w:val="22"/>
          <w:u w:val="single"/>
        </w:rPr>
        <w:t>Response timing</w:t>
      </w:r>
      <w:r>
        <w:rPr>
          <w:sz w:val="22"/>
          <w:szCs w:val="22"/>
        </w:rPr>
        <w:t>: For each manipulation, time to response/questionnaire receipt will be assessed to determine the effects on the data collection schedule.</w:t>
      </w:r>
    </w:p>
    <w:p w:rsidR="00C81E83" w:rsidRDefault="00C81E83">
      <w:pPr>
        <w:spacing w:line="360" w:lineRule="atLeast"/>
        <w:ind w:firstLine="1152"/>
        <w:jc w:val="both"/>
        <w:rPr>
          <w:sz w:val="22"/>
          <w:szCs w:val="22"/>
        </w:rPr>
      </w:pPr>
    </w:p>
    <w:p w:rsidR="00C81E83" w:rsidRDefault="00C81E83">
      <w:pPr>
        <w:spacing w:line="360" w:lineRule="atLeast"/>
        <w:ind w:firstLine="1152"/>
        <w:jc w:val="both"/>
        <w:rPr>
          <w:sz w:val="22"/>
          <w:szCs w:val="22"/>
        </w:rPr>
      </w:pPr>
      <w:r>
        <w:rPr>
          <w:sz w:val="22"/>
          <w:szCs w:val="22"/>
        </w:rPr>
        <w:t>The NHES:2009 Pilot Test includes survey questionnaires that continue the content of the NHES program and reflect the types of instruments that NCES expects to field in future NHES collections.  The two topical surveys designated for the NHES:2009 Pilot Test are based on a set of research questions and priorities developed over several survey cycles and based on reviews of literature and consultations with experts in the respective fields.  The Pilot Test, however, is not intended to produce survey estimates; rather, the topical surveys are included in order to reflect types of surveys anticipated for future NHES collections.</w:t>
      </w:r>
    </w:p>
    <w:p w:rsidR="00C81E83" w:rsidRDefault="00C81E83">
      <w:pPr>
        <w:spacing w:line="360" w:lineRule="atLeast"/>
        <w:ind w:firstLine="1152"/>
        <w:jc w:val="both"/>
        <w:rPr>
          <w:sz w:val="22"/>
          <w:szCs w:val="22"/>
        </w:rPr>
      </w:pPr>
    </w:p>
    <w:p w:rsidR="00C81E83" w:rsidRDefault="00C81E83">
      <w:pPr>
        <w:pStyle w:val="P1-StandPara"/>
        <w:rPr>
          <w:rStyle w:val="footnotetex"/>
          <w:sz w:val="22"/>
          <w:szCs w:val="22"/>
          <w:lang w:eastAsia="en-US"/>
        </w:rPr>
      </w:pPr>
    </w:p>
    <w:p w:rsidR="00C81E83" w:rsidRDefault="00C81E83">
      <w:pPr>
        <w:pStyle w:val="Heading3"/>
        <w:ind w:left="0" w:firstLine="0"/>
      </w:pPr>
      <w:r>
        <w:tab/>
        <w:t>Project Schedule</w:t>
      </w:r>
    </w:p>
    <w:p w:rsidR="00C81E83" w:rsidRDefault="00C81E83">
      <w:pPr>
        <w:pStyle w:val="P1-StandPara"/>
      </w:pPr>
      <w:r>
        <w:t>Exhibit 4 presents a schedule of major project activities.</w:t>
      </w:r>
    </w:p>
    <w:p w:rsidR="00C81E83" w:rsidRDefault="00C81E83">
      <w:pPr>
        <w:pStyle w:val="P1-StandPara"/>
      </w:pPr>
    </w:p>
    <w:p w:rsidR="00C81E83" w:rsidRDefault="00C81E83">
      <w:pPr>
        <w:pStyle w:val="Exhibittitle"/>
      </w:pPr>
      <w:bookmarkStart w:id="54" w:name="_Toc61170094"/>
      <w:r>
        <w:br w:type="page"/>
        <w:t>Exhibit 4.</w:t>
      </w:r>
      <w:r>
        <w:t> </w:t>
      </w:r>
      <w:r>
        <w:t> </w:t>
      </w:r>
      <w:r>
        <w:t>NHES:2009 schedule of major activities</w:t>
      </w:r>
      <w:bookmarkEnd w:id="54"/>
    </w:p>
    <w:p w:rsidR="00C81E83" w:rsidRDefault="00C81E83">
      <w:pPr>
        <w:tabs>
          <w:tab w:val="left" w:pos="-1440"/>
          <w:tab w:val="left" w:pos="-720"/>
          <w:tab w:val="left" w:pos="1195"/>
          <w:tab w:val="left" w:pos="1728"/>
          <w:tab w:val="left" w:pos="2160"/>
        </w:tabs>
        <w:suppressAutoHyphens/>
        <w:spacing w:line="360" w:lineRule="auto"/>
        <w:rPr>
          <w:b/>
          <w:bCs/>
        </w:rPr>
      </w:pPr>
    </w:p>
    <w:tbl>
      <w:tblPr>
        <w:tblW w:w="0" w:type="auto"/>
        <w:tblInd w:w="120" w:type="dxa"/>
        <w:tblLayout w:type="fixed"/>
        <w:tblCellMar>
          <w:left w:w="120" w:type="dxa"/>
          <w:right w:w="120" w:type="dxa"/>
        </w:tblCellMar>
        <w:tblLook w:val="0000"/>
      </w:tblPr>
      <w:tblGrid>
        <w:gridCol w:w="4680"/>
        <w:gridCol w:w="4680"/>
      </w:tblGrid>
      <w:tr w:rsidR="00C81E83">
        <w:trPr>
          <w:trHeight w:val="378"/>
        </w:trPr>
        <w:tc>
          <w:tcPr>
            <w:tcW w:w="4680" w:type="dxa"/>
          </w:tcPr>
          <w:p w:rsidR="00C81E83" w:rsidRDefault="00C81E83">
            <w:pPr>
              <w:tabs>
                <w:tab w:val="left" w:pos="-1440"/>
                <w:tab w:val="left" w:pos="-720"/>
                <w:tab w:val="left" w:pos="1195"/>
                <w:tab w:val="left" w:pos="1728"/>
                <w:tab w:val="left" w:pos="2160"/>
              </w:tabs>
              <w:suppressAutoHyphens/>
              <w:spacing w:before="8" w:after="54"/>
              <w:ind w:right="144"/>
              <w:rPr>
                <w:sz w:val="22"/>
                <w:szCs w:val="22"/>
                <w:u w:val="single"/>
              </w:rPr>
            </w:pPr>
            <w:r>
              <w:rPr>
                <w:sz w:val="22"/>
                <w:szCs w:val="22"/>
                <w:u w:val="single"/>
              </w:rPr>
              <w:t>Task</w:t>
            </w:r>
          </w:p>
        </w:tc>
        <w:tc>
          <w:tcPr>
            <w:tcW w:w="4680" w:type="dxa"/>
          </w:tcPr>
          <w:p w:rsidR="00C81E83" w:rsidRDefault="00C81E83">
            <w:pPr>
              <w:tabs>
                <w:tab w:val="left" w:pos="-1440"/>
                <w:tab w:val="left" w:pos="-720"/>
                <w:tab w:val="left" w:pos="1195"/>
                <w:tab w:val="left" w:pos="1728"/>
                <w:tab w:val="left" w:pos="2160"/>
              </w:tabs>
              <w:suppressAutoHyphens/>
              <w:spacing w:before="8" w:after="54"/>
              <w:rPr>
                <w:sz w:val="22"/>
                <w:szCs w:val="22"/>
              </w:rPr>
            </w:pPr>
            <w:r>
              <w:rPr>
                <w:sz w:val="22"/>
                <w:szCs w:val="22"/>
                <w:u w:val="single"/>
              </w:rPr>
              <w:t>Date of Scheduled Conduct/Completion</w:t>
            </w:r>
          </w:p>
        </w:tc>
      </w:tr>
      <w:tr w:rsidR="00C81E83">
        <w:tc>
          <w:tcPr>
            <w:tcW w:w="4680" w:type="dxa"/>
          </w:tcPr>
          <w:p w:rsidR="00C81E83" w:rsidRDefault="00C81E83">
            <w:pPr>
              <w:tabs>
                <w:tab w:val="left" w:pos="-1440"/>
                <w:tab w:val="left" w:pos="-720"/>
                <w:tab w:val="left" w:pos="1195"/>
                <w:tab w:val="left" w:pos="1728"/>
                <w:tab w:val="left" w:pos="2160"/>
              </w:tabs>
              <w:suppressAutoHyphens/>
              <w:spacing w:before="8" w:after="54"/>
              <w:ind w:right="144"/>
              <w:rPr>
                <w:sz w:val="22"/>
                <w:szCs w:val="22"/>
              </w:rPr>
            </w:pPr>
            <w:r>
              <w:rPr>
                <w:sz w:val="22"/>
                <w:szCs w:val="22"/>
              </w:rPr>
              <w:t>IMT/OMB Submission</w:t>
            </w:r>
          </w:p>
        </w:tc>
        <w:tc>
          <w:tcPr>
            <w:tcW w:w="4680" w:type="dxa"/>
          </w:tcPr>
          <w:p w:rsidR="00C81E83" w:rsidRDefault="00C81E83">
            <w:pPr>
              <w:tabs>
                <w:tab w:val="left" w:pos="-1440"/>
                <w:tab w:val="left" w:pos="-720"/>
                <w:tab w:val="left" w:pos="1195"/>
                <w:tab w:val="left" w:pos="1728"/>
                <w:tab w:val="left" w:pos="2160"/>
              </w:tabs>
              <w:suppressAutoHyphens/>
              <w:spacing w:before="8" w:after="54"/>
              <w:rPr>
                <w:sz w:val="22"/>
                <w:szCs w:val="22"/>
              </w:rPr>
            </w:pPr>
            <w:r>
              <w:rPr>
                <w:sz w:val="22"/>
                <w:szCs w:val="22"/>
              </w:rPr>
              <w:t>March 13, 2009</w:t>
            </w:r>
          </w:p>
        </w:tc>
      </w:tr>
      <w:tr w:rsidR="00C81E83">
        <w:tc>
          <w:tcPr>
            <w:tcW w:w="4680" w:type="dxa"/>
          </w:tcPr>
          <w:p w:rsidR="00C81E83" w:rsidRDefault="00C81E83">
            <w:pPr>
              <w:tabs>
                <w:tab w:val="left" w:pos="-1440"/>
                <w:tab w:val="left" w:pos="-720"/>
                <w:tab w:val="left" w:pos="1195"/>
                <w:tab w:val="left" w:pos="1728"/>
                <w:tab w:val="left" w:pos="2160"/>
              </w:tabs>
              <w:suppressAutoHyphens/>
              <w:spacing w:before="8" w:after="54"/>
              <w:ind w:right="144"/>
              <w:rPr>
                <w:sz w:val="22"/>
                <w:szCs w:val="22"/>
              </w:rPr>
            </w:pPr>
            <w:r>
              <w:rPr>
                <w:sz w:val="22"/>
                <w:szCs w:val="22"/>
              </w:rPr>
              <w:t>Cognitive Research</w:t>
            </w:r>
          </w:p>
        </w:tc>
        <w:tc>
          <w:tcPr>
            <w:tcW w:w="4680" w:type="dxa"/>
          </w:tcPr>
          <w:p w:rsidR="00C81E83" w:rsidRDefault="00C81E83">
            <w:pPr>
              <w:tabs>
                <w:tab w:val="left" w:pos="-1440"/>
                <w:tab w:val="left" w:pos="-720"/>
                <w:tab w:val="left" w:pos="1195"/>
                <w:tab w:val="left" w:pos="1728"/>
                <w:tab w:val="left" w:pos="2160"/>
              </w:tabs>
              <w:suppressAutoHyphens/>
              <w:spacing w:before="8" w:after="54"/>
              <w:rPr>
                <w:sz w:val="22"/>
                <w:szCs w:val="22"/>
              </w:rPr>
            </w:pPr>
            <w:r>
              <w:rPr>
                <w:sz w:val="22"/>
                <w:szCs w:val="22"/>
              </w:rPr>
              <w:t>March 16 to April 30, 2009</w:t>
            </w:r>
          </w:p>
        </w:tc>
      </w:tr>
      <w:tr w:rsidR="00C81E83">
        <w:tc>
          <w:tcPr>
            <w:tcW w:w="4680" w:type="dxa"/>
          </w:tcPr>
          <w:p w:rsidR="00C81E83" w:rsidRDefault="00C81E83">
            <w:pPr>
              <w:tabs>
                <w:tab w:val="left" w:pos="-1440"/>
                <w:tab w:val="left" w:pos="-720"/>
                <w:tab w:val="left" w:pos="1195"/>
                <w:tab w:val="left" w:pos="1728"/>
                <w:tab w:val="left" w:pos="2160"/>
              </w:tabs>
              <w:suppressAutoHyphens/>
              <w:spacing w:before="8" w:after="54"/>
              <w:ind w:right="144"/>
              <w:rPr>
                <w:sz w:val="22"/>
                <w:szCs w:val="22"/>
              </w:rPr>
            </w:pPr>
            <w:r>
              <w:rPr>
                <w:sz w:val="22"/>
                <w:szCs w:val="22"/>
              </w:rPr>
              <w:t>Cognitive Report and Recommendations</w:t>
            </w:r>
          </w:p>
        </w:tc>
        <w:tc>
          <w:tcPr>
            <w:tcW w:w="4680" w:type="dxa"/>
          </w:tcPr>
          <w:p w:rsidR="00C81E83" w:rsidRDefault="00C81E83">
            <w:pPr>
              <w:tabs>
                <w:tab w:val="left" w:pos="-1440"/>
                <w:tab w:val="left" w:pos="-720"/>
                <w:tab w:val="left" w:pos="1195"/>
                <w:tab w:val="left" w:pos="1728"/>
                <w:tab w:val="left" w:pos="2160"/>
              </w:tabs>
              <w:suppressAutoHyphens/>
              <w:spacing w:before="8" w:after="54"/>
              <w:rPr>
                <w:sz w:val="22"/>
                <w:szCs w:val="22"/>
              </w:rPr>
            </w:pPr>
            <w:r>
              <w:rPr>
                <w:sz w:val="22"/>
                <w:szCs w:val="22"/>
              </w:rPr>
              <w:t>May 15, 2009</w:t>
            </w:r>
          </w:p>
        </w:tc>
      </w:tr>
      <w:tr w:rsidR="00C81E83">
        <w:tc>
          <w:tcPr>
            <w:tcW w:w="4680" w:type="dxa"/>
          </w:tcPr>
          <w:p w:rsidR="00C81E83" w:rsidRDefault="00C81E83">
            <w:pPr>
              <w:tabs>
                <w:tab w:val="left" w:pos="-1440"/>
                <w:tab w:val="left" w:pos="-720"/>
                <w:tab w:val="left" w:pos="1195"/>
                <w:tab w:val="left" w:pos="1728"/>
                <w:tab w:val="left" w:pos="2160"/>
              </w:tabs>
              <w:suppressAutoHyphens/>
              <w:spacing w:before="8" w:after="54"/>
              <w:ind w:right="144"/>
              <w:rPr>
                <w:sz w:val="22"/>
                <w:szCs w:val="22"/>
              </w:rPr>
            </w:pPr>
            <w:r>
              <w:rPr>
                <w:sz w:val="22"/>
                <w:szCs w:val="22"/>
              </w:rPr>
              <w:t>Revised Teleform Questionnaires to NCES</w:t>
            </w:r>
          </w:p>
        </w:tc>
        <w:tc>
          <w:tcPr>
            <w:tcW w:w="4680" w:type="dxa"/>
          </w:tcPr>
          <w:p w:rsidR="00C81E83" w:rsidRDefault="00C81E83">
            <w:pPr>
              <w:tabs>
                <w:tab w:val="left" w:pos="-1440"/>
                <w:tab w:val="left" w:pos="-720"/>
                <w:tab w:val="left" w:pos="1195"/>
                <w:tab w:val="left" w:pos="1728"/>
                <w:tab w:val="left" w:pos="2160"/>
              </w:tabs>
              <w:suppressAutoHyphens/>
              <w:spacing w:before="8" w:after="54"/>
              <w:rPr>
                <w:sz w:val="22"/>
                <w:szCs w:val="22"/>
              </w:rPr>
            </w:pPr>
            <w:r>
              <w:rPr>
                <w:sz w:val="22"/>
                <w:szCs w:val="22"/>
              </w:rPr>
              <w:t>June 1, 2009</w:t>
            </w:r>
          </w:p>
        </w:tc>
      </w:tr>
      <w:tr w:rsidR="00C81E83">
        <w:tc>
          <w:tcPr>
            <w:tcW w:w="4680" w:type="dxa"/>
          </w:tcPr>
          <w:p w:rsidR="00C81E83" w:rsidRDefault="00C81E83">
            <w:pPr>
              <w:tabs>
                <w:tab w:val="left" w:pos="-1440"/>
                <w:tab w:val="left" w:pos="-720"/>
                <w:tab w:val="left" w:pos="1195"/>
                <w:tab w:val="left" w:pos="1728"/>
                <w:tab w:val="left" w:pos="2160"/>
              </w:tabs>
              <w:suppressAutoHyphens/>
              <w:spacing w:before="8" w:after="54"/>
              <w:ind w:right="144"/>
              <w:rPr>
                <w:sz w:val="22"/>
                <w:szCs w:val="22"/>
              </w:rPr>
            </w:pPr>
            <w:r>
              <w:rPr>
                <w:sz w:val="22"/>
                <w:szCs w:val="22"/>
              </w:rPr>
              <w:t>CATI Questionnaires to NCES</w:t>
            </w:r>
          </w:p>
        </w:tc>
        <w:tc>
          <w:tcPr>
            <w:tcW w:w="4680" w:type="dxa"/>
          </w:tcPr>
          <w:p w:rsidR="00C81E83" w:rsidRDefault="00C81E83">
            <w:pPr>
              <w:tabs>
                <w:tab w:val="left" w:pos="-1440"/>
                <w:tab w:val="left" w:pos="-720"/>
                <w:tab w:val="left" w:pos="1195"/>
                <w:tab w:val="left" w:pos="1728"/>
                <w:tab w:val="left" w:pos="2160"/>
              </w:tabs>
              <w:suppressAutoHyphens/>
              <w:spacing w:before="8" w:after="54"/>
              <w:rPr>
                <w:sz w:val="22"/>
                <w:szCs w:val="22"/>
              </w:rPr>
            </w:pPr>
            <w:r>
              <w:rPr>
                <w:sz w:val="22"/>
                <w:szCs w:val="22"/>
              </w:rPr>
              <w:t>July 1, 2009</w:t>
            </w:r>
          </w:p>
        </w:tc>
      </w:tr>
      <w:tr w:rsidR="00C81E83">
        <w:tc>
          <w:tcPr>
            <w:tcW w:w="4680" w:type="dxa"/>
          </w:tcPr>
          <w:p w:rsidR="00C81E83" w:rsidRDefault="00C81E83">
            <w:pPr>
              <w:tabs>
                <w:tab w:val="left" w:pos="-1440"/>
                <w:tab w:val="left" w:pos="-720"/>
                <w:tab w:val="left" w:pos="1195"/>
                <w:tab w:val="left" w:pos="1728"/>
                <w:tab w:val="left" w:pos="2160"/>
              </w:tabs>
              <w:suppressAutoHyphens/>
              <w:spacing w:before="8" w:after="54"/>
              <w:ind w:right="144"/>
              <w:rPr>
                <w:sz w:val="22"/>
                <w:szCs w:val="22"/>
              </w:rPr>
            </w:pPr>
            <w:r>
              <w:rPr>
                <w:sz w:val="22"/>
                <w:szCs w:val="22"/>
              </w:rPr>
              <w:t>OMB Clearance Completed</w:t>
            </w:r>
          </w:p>
        </w:tc>
        <w:tc>
          <w:tcPr>
            <w:tcW w:w="4680" w:type="dxa"/>
          </w:tcPr>
          <w:p w:rsidR="00C81E83" w:rsidRDefault="00C81E83">
            <w:pPr>
              <w:tabs>
                <w:tab w:val="left" w:pos="-1440"/>
                <w:tab w:val="left" w:pos="-720"/>
                <w:tab w:val="left" w:pos="1195"/>
                <w:tab w:val="left" w:pos="1728"/>
                <w:tab w:val="left" w:pos="2160"/>
              </w:tabs>
              <w:suppressAutoHyphens/>
              <w:spacing w:before="8" w:after="54"/>
              <w:rPr>
                <w:sz w:val="22"/>
                <w:szCs w:val="22"/>
              </w:rPr>
            </w:pPr>
            <w:r>
              <w:rPr>
                <w:sz w:val="22"/>
                <w:szCs w:val="22"/>
              </w:rPr>
              <w:t>August 1, 2009</w:t>
            </w:r>
          </w:p>
        </w:tc>
      </w:tr>
      <w:tr w:rsidR="00C81E83">
        <w:tc>
          <w:tcPr>
            <w:tcW w:w="4680" w:type="dxa"/>
          </w:tcPr>
          <w:p w:rsidR="00C81E83" w:rsidRDefault="00C81E83">
            <w:pPr>
              <w:tabs>
                <w:tab w:val="left" w:pos="-1440"/>
                <w:tab w:val="left" w:pos="-720"/>
                <w:tab w:val="left" w:pos="1195"/>
                <w:tab w:val="left" w:pos="1728"/>
                <w:tab w:val="left" w:pos="2160"/>
              </w:tabs>
              <w:suppressAutoHyphens/>
              <w:spacing w:before="8" w:after="54"/>
              <w:ind w:right="144"/>
              <w:rPr>
                <w:sz w:val="22"/>
                <w:szCs w:val="22"/>
              </w:rPr>
            </w:pPr>
            <w:r>
              <w:rPr>
                <w:sz w:val="22"/>
                <w:szCs w:val="22"/>
              </w:rPr>
              <w:t>Interviewer Training Materials</w:t>
            </w:r>
          </w:p>
        </w:tc>
        <w:tc>
          <w:tcPr>
            <w:tcW w:w="4680" w:type="dxa"/>
          </w:tcPr>
          <w:p w:rsidR="00C81E83" w:rsidRDefault="00C81E83">
            <w:pPr>
              <w:tabs>
                <w:tab w:val="left" w:pos="-1440"/>
                <w:tab w:val="left" w:pos="-720"/>
                <w:tab w:val="left" w:pos="1195"/>
                <w:tab w:val="left" w:pos="1728"/>
                <w:tab w:val="left" w:pos="2160"/>
              </w:tabs>
              <w:suppressAutoHyphens/>
              <w:spacing w:before="8" w:after="54"/>
              <w:rPr>
                <w:sz w:val="22"/>
                <w:szCs w:val="22"/>
              </w:rPr>
            </w:pPr>
            <w:r>
              <w:rPr>
                <w:sz w:val="22"/>
                <w:szCs w:val="22"/>
              </w:rPr>
              <w:t>August 1, 2009</w:t>
            </w:r>
          </w:p>
        </w:tc>
      </w:tr>
      <w:tr w:rsidR="00C81E83">
        <w:tc>
          <w:tcPr>
            <w:tcW w:w="4680" w:type="dxa"/>
          </w:tcPr>
          <w:p w:rsidR="00C81E83" w:rsidRDefault="00C81E83">
            <w:pPr>
              <w:tabs>
                <w:tab w:val="left" w:pos="-1440"/>
                <w:tab w:val="left" w:pos="-720"/>
                <w:tab w:val="left" w:pos="1195"/>
                <w:tab w:val="left" w:pos="1728"/>
                <w:tab w:val="left" w:pos="2160"/>
              </w:tabs>
              <w:suppressAutoHyphens/>
              <w:spacing w:before="8" w:after="54"/>
              <w:ind w:right="144"/>
              <w:rPr>
                <w:sz w:val="22"/>
                <w:szCs w:val="22"/>
              </w:rPr>
            </w:pPr>
            <w:r>
              <w:rPr>
                <w:sz w:val="22"/>
                <w:szCs w:val="22"/>
              </w:rPr>
              <w:t xml:space="preserve">Spanish Hard Copy Instruments </w:t>
            </w:r>
          </w:p>
        </w:tc>
        <w:tc>
          <w:tcPr>
            <w:tcW w:w="4680" w:type="dxa"/>
          </w:tcPr>
          <w:p w:rsidR="00C81E83" w:rsidRDefault="00C81E83">
            <w:pPr>
              <w:tabs>
                <w:tab w:val="left" w:pos="-1440"/>
                <w:tab w:val="left" w:pos="-720"/>
                <w:tab w:val="left" w:pos="1195"/>
                <w:tab w:val="left" w:pos="1728"/>
                <w:tab w:val="left" w:pos="2160"/>
              </w:tabs>
              <w:suppressAutoHyphens/>
              <w:spacing w:before="8" w:after="54"/>
              <w:rPr>
                <w:sz w:val="22"/>
                <w:szCs w:val="22"/>
              </w:rPr>
            </w:pPr>
            <w:r>
              <w:rPr>
                <w:sz w:val="22"/>
                <w:szCs w:val="22"/>
              </w:rPr>
              <w:t>August 1, 2009</w:t>
            </w:r>
          </w:p>
        </w:tc>
      </w:tr>
      <w:tr w:rsidR="00C81E83">
        <w:tc>
          <w:tcPr>
            <w:tcW w:w="4680" w:type="dxa"/>
          </w:tcPr>
          <w:p w:rsidR="00C81E83" w:rsidRDefault="00C81E83">
            <w:pPr>
              <w:tabs>
                <w:tab w:val="left" w:pos="-1440"/>
                <w:tab w:val="left" w:pos="-720"/>
                <w:tab w:val="left" w:pos="1195"/>
                <w:tab w:val="left" w:pos="1728"/>
                <w:tab w:val="left" w:pos="2160"/>
              </w:tabs>
              <w:suppressAutoHyphens/>
              <w:spacing w:before="8" w:after="54"/>
              <w:ind w:right="144"/>
              <w:rPr>
                <w:sz w:val="22"/>
                <w:szCs w:val="22"/>
              </w:rPr>
            </w:pPr>
            <w:r>
              <w:rPr>
                <w:sz w:val="22"/>
                <w:szCs w:val="22"/>
              </w:rPr>
              <w:t>Pilot Test Begins (Screener mailing)</w:t>
            </w:r>
          </w:p>
        </w:tc>
        <w:tc>
          <w:tcPr>
            <w:tcW w:w="4680" w:type="dxa"/>
          </w:tcPr>
          <w:p w:rsidR="00C81E83" w:rsidRDefault="00C81E83">
            <w:pPr>
              <w:tabs>
                <w:tab w:val="left" w:pos="-1440"/>
                <w:tab w:val="left" w:pos="-720"/>
                <w:tab w:val="left" w:pos="1195"/>
                <w:tab w:val="left" w:pos="1728"/>
                <w:tab w:val="left" w:pos="2160"/>
              </w:tabs>
              <w:suppressAutoHyphens/>
              <w:spacing w:before="8" w:after="54"/>
              <w:rPr>
                <w:sz w:val="22"/>
                <w:szCs w:val="22"/>
              </w:rPr>
            </w:pPr>
            <w:r>
              <w:rPr>
                <w:sz w:val="22"/>
                <w:szCs w:val="22"/>
              </w:rPr>
              <w:t>September 1, 2009</w:t>
            </w:r>
          </w:p>
        </w:tc>
      </w:tr>
      <w:tr w:rsidR="00C81E83">
        <w:tc>
          <w:tcPr>
            <w:tcW w:w="4680" w:type="dxa"/>
          </w:tcPr>
          <w:p w:rsidR="00C81E83" w:rsidRDefault="00C81E83">
            <w:pPr>
              <w:tabs>
                <w:tab w:val="left" w:pos="-1440"/>
                <w:tab w:val="left" w:pos="-720"/>
                <w:tab w:val="left" w:pos="1195"/>
                <w:tab w:val="left" w:pos="1728"/>
                <w:tab w:val="left" w:pos="2160"/>
              </w:tabs>
              <w:suppressAutoHyphens/>
              <w:spacing w:before="8" w:after="54"/>
              <w:ind w:right="144"/>
              <w:rPr>
                <w:sz w:val="22"/>
                <w:szCs w:val="22"/>
              </w:rPr>
            </w:pPr>
            <w:r>
              <w:rPr>
                <w:sz w:val="22"/>
                <w:szCs w:val="22"/>
              </w:rPr>
              <w:t>Outline for Field Test Report</w:t>
            </w:r>
          </w:p>
        </w:tc>
        <w:tc>
          <w:tcPr>
            <w:tcW w:w="4680" w:type="dxa"/>
          </w:tcPr>
          <w:p w:rsidR="00C81E83" w:rsidRDefault="00C81E83">
            <w:pPr>
              <w:tabs>
                <w:tab w:val="left" w:pos="-1440"/>
                <w:tab w:val="left" w:pos="-720"/>
                <w:tab w:val="left" w:pos="1195"/>
                <w:tab w:val="left" w:pos="1728"/>
                <w:tab w:val="left" w:pos="2160"/>
              </w:tabs>
              <w:suppressAutoHyphens/>
              <w:spacing w:before="8" w:after="54"/>
              <w:rPr>
                <w:sz w:val="22"/>
                <w:szCs w:val="22"/>
              </w:rPr>
            </w:pPr>
            <w:r>
              <w:rPr>
                <w:sz w:val="22"/>
                <w:szCs w:val="22"/>
              </w:rPr>
              <w:t>October 1, 2009</w:t>
            </w:r>
          </w:p>
        </w:tc>
      </w:tr>
      <w:tr w:rsidR="00C81E83">
        <w:tc>
          <w:tcPr>
            <w:tcW w:w="4680" w:type="dxa"/>
          </w:tcPr>
          <w:p w:rsidR="00C81E83" w:rsidRDefault="00C81E83">
            <w:pPr>
              <w:tabs>
                <w:tab w:val="left" w:pos="-1440"/>
                <w:tab w:val="left" w:pos="-720"/>
                <w:tab w:val="left" w:pos="1195"/>
                <w:tab w:val="left" w:pos="1728"/>
                <w:tab w:val="left" w:pos="2160"/>
              </w:tabs>
              <w:suppressAutoHyphens/>
              <w:spacing w:before="8" w:after="54"/>
              <w:ind w:right="144"/>
              <w:rPr>
                <w:sz w:val="22"/>
                <w:szCs w:val="22"/>
              </w:rPr>
            </w:pPr>
            <w:r>
              <w:rPr>
                <w:sz w:val="22"/>
                <w:szCs w:val="22"/>
              </w:rPr>
              <w:t xml:space="preserve">Pilot Test Ends </w:t>
            </w:r>
          </w:p>
        </w:tc>
        <w:tc>
          <w:tcPr>
            <w:tcW w:w="4680" w:type="dxa"/>
          </w:tcPr>
          <w:p w:rsidR="00C81E83" w:rsidRDefault="00C81E83">
            <w:pPr>
              <w:tabs>
                <w:tab w:val="left" w:pos="-1440"/>
                <w:tab w:val="left" w:pos="-720"/>
                <w:tab w:val="left" w:pos="1195"/>
                <w:tab w:val="left" w:pos="1728"/>
                <w:tab w:val="left" w:pos="2160"/>
              </w:tabs>
              <w:suppressAutoHyphens/>
              <w:spacing w:before="8" w:after="54"/>
              <w:rPr>
                <w:sz w:val="22"/>
                <w:szCs w:val="22"/>
              </w:rPr>
            </w:pPr>
            <w:r>
              <w:rPr>
                <w:sz w:val="22"/>
                <w:szCs w:val="22"/>
              </w:rPr>
              <w:t>December 18, 2009</w:t>
            </w:r>
          </w:p>
        </w:tc>
      </w:tr>
      <w:tr w:rsidR="00C81E83">
        <w:tc>
          <w:tcPr>
            <w:tcW w:w="4680" w:type="dxa"/>
          </w:tcPr>
          <w:p w:rsidR="00C81E83" w:rsidRDefault="00C81E83">
            <w:pPr>
              <w:tabs>
                <w:tab w:val="left" w:pos="-1440"/>
                <w:tab w:val="left" w:pos="-720"/>
                <w:tab w:val="left" w:pos="1195"/>
                <w:tab w:val="left" w:pos="1728"/>
                <w:tab w:val="left" w:pos="2160"/>
              </w:tabs>
              <w:suppressAutoHyphens/>
              <w:spacing w:before="8" w:after="54"/>
              <w:ind w:right="144"/>
              <w:rPr>
                <w:sz w:val="22"/>
                <w:szCs w:val="22"/>
              </w:rPr>
            </w:pPr>
            <w:r>
              <w:rPr>
                <w:sz w:val="22"/>
                <w:szCs w:val="22"/>
              </w:rPr>
              <w:t>Draft Pilot Test Report</w:t>
            </w:r>
          </w:p>
        </w:tc>
        <w:tc>
          <w:tcPr>
            <w:tcW w:w="4680" w:type="dxa"/>
          </w:tcPr>
          <w:p w:rsidR="00C81E83" w:rsidRDefault="00C81E83">
            <w:pPr>
              <w:tabs>
                <w:tab w:val="left" w:pos="-1440"/>
                <w:tab w:val="left" w:pos="-720"/>
                <w:tab w:val="left" w:pos="1195"/>
                <w:tab w:val="left" w:pos="1728"/>
                <w:tab w:val="left" w:pos="2160"/>
              </w:tabs>
              <w:suppressAutoHyphens/>
              <w:spacing w:before="8" w:after="54"/>
              <w:rPr>
                <w:sz w:val="22"/>
                <w:szCs w:val="22"/>
              </w:rPr>
            </w:pPr>
            <w:r>
              <w:rPr>
                <w:sz w:val="22"/>
                <w:szCs w:val="22"/>
              </w:rPr>
              <w:t>March 1, 2010</w:t>
            </w:r>
          </w:p>
        </w:tc>
      </w:tr>
      <w:tr w:rsidR="00C81E83">
        <w:tc>
          <w:tcPr>
            <w:tcW w:w="4680" w:type="dxa"/>
          </w:tcPr>
          <w:p w:rsidR="00C81E83" w:rsidRDefault="00C81E83">
            <w:pPr>
              <w:tabs>
                <w:tab w:val="left" w:pos="-1440"/>
                <w:tab w:val="left" w:pos="-720"/>
                <w:tab w:val="left" w:pos="1195"/>
                <w:tab w:val="left" w:pos="1728"/>
                <w:tab w:val="left" w:pos="2160"/>
              </w:tabs>
              <w:suppressAutoHyphens/>
              <w:spacing w:before="8" w:after="54"/>
              <w:ind w:right="144"/>
              <w:rPr>
                <w:sz w:val="22"/>
                <w:szCs w:val="22"/>
              </w:rPr>
            </w:pPr>
            <w:r>
              <w:rPr>
                <w:sz w:val="22"/>
                <w:szCs w:val="22"/>
              </w:rPr>
              <w:t xml:space="preserve">Revised Field Test Report </w:t>
            </w:r>
          </w:p>
        </w:tc>
        <w:tc>
          <w:tcPr>
            <w:tcW w:w="4680" w:type="dxa"/>
          </w:tcPr>
          <w:p w:rsidR="00C81E83" w:rsidRDefault="00C81E83">
            <w:pPr>
              <w:tabs>
                <w:tab w:val="left" w:pos="-1440"/>
                <w:tab w:val="left" w:pos="-720"/>
                <w:tab w:val="left" w:pos="1195"/>
                <w:tab w:val="left" w:pos="1728"/>
                <w:tab w:val="left" w:pos="2160"/>
              </w:tabs>
              <w:suppressAutoHyphens/>
              <w:spacing w:before="8" w:after="54"/>
              <w:rPr>
                <w:sz w:val="22"/>
                <w:szCs w:val="22"/>
              </w:rPr>
            </w:pPr>
            <w:r>
              <w:rPr>
                <w:sz w:val="22"/>
                <w:szCs w:val="22"/>
              </w:rPr>
              <w:t>April 16, 2010</w:t>
            </w:r>
          </w:p>
        </w:tc>
      </w:tr>
    </w:tbl>
    <w:p w:rsidR="00C81E83" w:rsidRDefault="00C81E83">
      <w:pPr>
        <w:tabs>
          <w:tab w:val="center" w:pos="4680"/>
        </w:tabs>
        <w:suppressAutoHyphens/>
        <w:spacing w:line="360" w:lineRule="auto"/>
        <w:rPr>
          <w:sz w:val="22"/>
          <w:szCs w:val="22"/>
        </w:rPr>
      </w:pPr>
    </w:p>
    <w:p w:rsidR="00C81E83" w:rsidRDefault="00C81E83">
      <w:pPr>
        <w:tabs>
          <w:tab w:val="center" w:pos="4680"/>
        </w:tabs>
        <w:suppressAutoHyphens/>
        <w:spacing w:line="360" w:lineRule="auto"/>
        <w:rPr>
          <w:sz w:val="22"/>
          <w:szCs w:val="22"/>
        </w:rPr>
      </w:pPr>
    </w:p>
    <w:p w:rsidR="00C81E83" w:rsidRDefault="00C81E83">
      <w:pPr>
        <w:tabs>
          <w:tab w:val="center" w:pos="4680"/>
        </w:tabs>
        <w:suppressAutoHyphens/>
        <w:spacing w:line="360" w:lineRule="auto"/>
        <w:rPr>
          <w:sz w:val="22"/>
          <w:szCs w:val="22"/>
        </w:rPr>
      </w:pPr>
    </w:p>
    <w:p w:rsidR="00C81E83" w:rsidRDefault="00C81E83">
      <w:pPr>
        <w:pStyle w:val="Heading2"/>
      </w:pPr>
      <w:bookmarkStart w:id="55" w:name="_Toc61176393"/>
      <w:bookmarkStart w:id="56" w:name="_Toc222888902"/>
      <w:r>
        <w:t>A.17.</w:t>
      </w:r>
      <w:r>
        <w:tab/>
        <w:t>Approval for Not Displaying the Expiration Date for OMB Approval</w:t>
      </w:r>
      <w:bookmarkEnd w:id="55"/>
      <w:bookmarkEnd w:id="56"/>
    </w:p>
    <w:p w:rsidR="00C81E83" w:rsidRDefault="00C81E83">
      <w:pPr>
        <w:pStyle w:val="P1-StandPara"/>
      </w:pPr>
      <w:r>
        <w:t>The OMB authorization number and expiration date will be displayed on the hard copy questionnaire but not on the CATI instruments.  Telephone interviewers will have the OMB authorization number in their study materials and can give this information to respondents upon request.</w:t>
      </w:r>
    </w:p>
    <w:p w:rsidR="00C81E83" w:rsidRDefault="00C81E83">
      <w:pPr>
        <w:pStyle w:val="P1-StandPara"/>
      </w:pPr>
    </w:p>
    <w:p w:rsidR="00C81E83" w:rsidRDefault="00C81E83">
      <w:pPr>
        <w:pStyle w:val="Heading2"/>
      </w:pPr>
      <w:bookmarkStart w:id="57" w:name="_Toc61176394"/>
      <w:bookmarkStart w:id="58" w:name="_Toc222888903"/>
      <w:r>
        <w:t>A.18.</w:t>
      </w:r>
      <w:r>
        <w:tab/>
        <w:t>Exceptions to the Certification Statement</w:t>
      </w:r>
      <w:bookmarkEnd w:id="57"/>
      <w:bookmarkEnd w:id="58"/>
    </w:p>
    <w:p w:rsidR="00C81E83" w:rsidRDefault="00C81E83">
      <w:pPr>
        <w:pStyle w:val="P1-StandPara"/>
      </w:pPr>
      <w:r>
        <w:t>Not applicable.  There are no exceptions to the certification statement.</w:t>
      </w:r>
    </w:p>
    <w:sectPr w:rsidR="00C81E83" w:rsidSect="00E5754C">
      <w:headerReference w:type="even" r:id="rId41"/>
      <w:headerReference w:type="default" r:id="rId42"/>
      <w:footerReference w:type="even" r:id="rId43"/>
      <w:footerReference w:type="default" r:id="rId44"/>
      <w:pgSz w:w="12240" w:h="15840"/>
      <w:pgMar w:top="1440" w:right="1440" w:bottom="1440" w:left="1440" w:header="720" w:footer="720" w:gutter="0"/>
      <w:lnNumType w:countBy="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E83" w:rsidRDefault="00C81E83">
      <w:r>
        <w:separator/>
      </w:r>
    </w:p>
  </w:endnote>
  <w:endnote w:type="continuationSeparator" w:id="0">
    <w:p w:rsidR="00C81E83" w:rsidRDefault="00C81E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Univers">
    <w:panose1 w:val="00000000000000000000"/>
    <w:charset w:val="00"/>
    <w:family w:val="swiss"/>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odern">
    <w:panose1 w:val="00000000000000000000"/>
    <w:charset w:val="FF"/>
    <w:family w:val="modern"/>
    <w:notTrueType/>
    <w:pitch w:val="variable"/>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SimSun">
    <w:altName w:val="??¨¬?"/>
    <w:panose1 w:val="02010600030101010101"/>
    <w:charset w:val="86"/>
    <w:family w:val="auto"/>
    <w:pitch w:val="variable"/>
    <w:sig w:usb0="00000003" w:usb1="08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E83" w:rsidRDefault="00C81E83">
    <w:pPr>
      <w:pStyle w:val="Footer"/>
      <w:pBdr>
        <w:top w:val="single" w:sz="4" w:space="1" w:color="auto"/>
      </w:pBdr>
      <w:rPr>
        <w:rStyle w:val="PageNumber"/>
      </w:rPr>
    </w:pPr>
  </w:p>
  <w:p w:rsidR="00C81E83" w:rsidRDefault="00C81E83">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54</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E83" w:rsidRDefault="00C81E83">
    <w:pPr>
      <w:pStyle w:val="Footer"/>
      <w:pBdr>
        <w:top w:val="single" w:sz="4" w:space="1" w:color="auto"/>
      </w:pBdr>
      <w:tabs>
        <w:tab w:val="left" w:pos="8550"/>
      </w:tabs>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54</w:t>
    </w:r>
    <w:r>
      <w:rPr>
        <w:rStyle w:val="PageNumber"/>
      </w:rPr>
      <w:fldChar w:fldCharType="end"/>
    </w:r>
  </w:p>
  <w:p w:rsidR="00C81E83" w:rsidRDefault="00C81E8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E83" w:rsidRDefault="00C81E83">
    <w:pPr>
      <w:pStyle w:val="Footer"/>
      <w:pBdr>
        <w:top w:val="single" w:sz="4" w:space="1" w:color="auto"/>
      </w:pBdr>
      <w:tabs>
        <w:tab w:val="left" w:pos="8550"/>
      </w:tabs>
      <w:rPr>
        <w:rStyle w:val="PageNumber"/>
      </w:rPr>
    </w:pPr>
  </w:p>
  <w:p w:rsidR="00C81E83" w:rsidRDefault="00C81E83">
    <w:pPr>
      <w:pStyle w:val="Footer"/>
      <w:pBdr>
        <w:top w:val="single" w:sz="4" w:space="1" w:color="auto"/>
      </w:pBdr>
      <w:tabs>
        <w:tab w:val="left" w:pos="8550"/>
      </w:tabs>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E83" w:rsidRDefault="00C81E83">
    <w:pPr>
      <w:pStyle w:val="Footer"/>
      <w:pBdr>
        <w:top w:val="single" w:sz="4" w:space="1" w:color="auto"/>
      </w:pBdr>
      <w:tabs>
        <w:tab w:val="left" w:pos="8550"/>
      </w:tabs>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p>
  <w:p w:rsidR="00C81E83" w:rsidRDefault="00C81E83"/>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E83" w:rsidRDefault="00C81E83">
    <w:pPr>
      <w:pStyle w:val="Footer"/>
      <w:pBdr>
        <w:top w:val="single" w:sz="4" w:space="1" w:color="auto"/>
      </w:pBdr>
      <w:tabs>
        <w:tab w:val="left" w:pos="8550"/>
      </w:tabs>
      <w:jc w:val="right"/>
      <w:rPr>
        <w:rStyle w:val="PageNumber"/>
      </w:rPr>
    </w:pPr>
  </w:p>
  <w:p w:rsidR="00C81E83" w:rsidRDefault="00C81E83">
    <w:pPr>
      <w:pStyle w:val="Footer"/>
      <w:pBdr>
        <w:top w:val="single" w:sz="4" w:space="1" w:color="auto"/>
      </w:pBdr>
      <w:tabs>
        <w:tab w:val="left" w:pos="8550"/>
      </w:tabs>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p w:rsidR="00C81E83" w:rsidRDefault="00C81E83"/>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E83" w:rsidRDefault="00C81E83">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E83" w:rsidRDefault="00C81E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E83" w:rsidRDefault="00C81E83">
      <w:r>
        <w:separator/>
      </w:r>
    </w:p>
  </w:footnote>
  <w:footnote w:type="continuationSeparator" w:id="0">
    <w:p w:rsidR="00C81E83" w:rsidRDefault="00C81E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E83" w:rsidRDefault="00C81E8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E83" w:rsidRDefault="00C81E8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E83" w:rsidRDefault="00C81E83">
    <w:pPr>
      <w:pStyle w:val="Header"/>
      <w:pBdr>
        <w:bottom w:val="single" w:sz="4" w:space="1" w:color="auto"/>
      </w:pBdr>
      <w:rPr>
        <w:i/>
        <w:iCs/>
      </w:rPr>
    </w:pPr>
    <w:r>
      <w:rPr>
        <w:i/>
        <w:iCs/>
      </w:rPr>
      <w:t>Part A:  Justification</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E83" w:rsidRDefault="00C81E83">
    <w:pPr>
      <w:pStyle w:val="Header"/>
      <w:pBdr>
        <w:bottom w:val="single" w:sz="4" w:space="1" w:color="auto"/>
      </w:pBdr>
      <w:jc w:val="right"/>
      <w:rPr>
        <w:i/>
        <w:iCs/>
      </w:rPr>
    </w:pPr>
    <w:r>
      <w:rPr>
        <w:i/>
        <w:iCs/>
      </w:rPr>
      <w:t>Part A: Justification</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E83" w:rsidRDefault="00C81E83">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E83" w:rsidRDefault="00C81E8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94F77"/>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
    <w:nsid w:val="09687B4E"/>
    <w:multiLevelType w:val="hybridMultilevel"/>
    <w:tmpl w:val="5D7A6EC8"/>
    <w:lvl w:ilvl="0" w:tplc="04090001">
      <w:start w:val="1"/>
      <w:numFmt w:val="bullet"/>
      <w:lvlText w:val=""/>
      <w:lvlJc w:val="left"/>
      <w:pPr>
        <w:tabs>
          <w:tab w:val="num" w:pos="1620"/>
        </w:tabs>
        <w:ind w:left="1620" w:hanging="360"/>
      </w:pPr>
      <w:rPr>
        <w:rFonts w:ascii="Symbol" w:hAnsi="Symbol" w:cs="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
    <w:nsid w:val="233301C4"/>
    <w:multiLevelType w:val="hybridMultilevel"/>
    <w:tmpl w:val="DC6EF0D8"/>
    <w:lvl w:ilvl="0" w:tplc="04090001">
      <w:start w:val="1"/>
      <w:numFmt w:val="bullet"/>
      <w:lvlText w:val=""/>
      <w:lvlJc w:val="left"/>
      <w:pPr>
        <w:tabs>
          <w:tab w:val="num" w:pos="1620"/>
        </w:tabs>
        <w:ind w:left="1620" w:hanging="360"/>
      </w:pPr>
      <w:rPr>
        <w:rFonts w:ascii="Symbol" w:hAnsi="Symbol" w:cs="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
    <w:nsid w:val="24754DC5"/>
    <w:multiLevelType w:val="hybridMultilevel"/>
    <w:tmpl w:val="802CB93A"/>
    <w:lvl w:ilvl="0" w:tplc="04090001">
      <w:start w:val="1"/>
      <w:numFmt w:val="bullet"/>
      <w:lvlText w:val=""/>
      <w:lvlJc w:val="left"/>
      <w:pPr>
        <w:tabs>
          <w:tab w:val="num" w:pos="1620"/>
        </w:tabs>
        <w:ind w:left="1620" w:hanging="360"/>
      </w:pPr>
      <w:rPr>
        <w:rFonts w:ascii="Symbol" w:hAnsi="Symbol" w:cs="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4">
    <w:nsid w:val="3FDC1BDD"/>
    <w:multiLevelType w:val="hybridMultilevel"/>
    <w:tmpl w:val="4ADC41D6"/>
    <w:lvl w:ilvl="0" w:tplc="DCC61882">
      <w:start w:val="1"/>
      <w:numFmt w:val="bullet"/>
      <w:lvlText w:val=""/>
      <w:lvlJc w:val="left"/>
      <w:pPr>
        <w:tabs>
          <w:tab w:val="num" w:pos="1872"/>
        </w:tabs>
        <w:ind w:left="1872" w:hanging="360"/>
      </w:pPr>
      <w:rPr>
        <w:rFonts w:ascii="Symbol" w:hAnsi="Symbol" w:cs="Symbol" w:hint="default"/>
      </w:rPr>
    </w:lvl>
    <w:lvl w:ilvl="1" w:tplc="80663362" w:tentative="1">
      <w:start w:val="1"/>
      <w:numFmt w:val="bullet"/>
      <w:lvlText w:val="o"/>
      <w:lvlJc w:val="left"/>
      <w:pPr>
        <w:tabs>
          <w:tab w:val="num" w:pos="2592"/>
        </w:tabs>
        <w:ind w:left="2592" w:hanging="360"/>
      </w:pPr>
      <w:rPr>
        <w:rFonts w:ascii="Courier New" w:hAnsi="Courier New" w:cs="Courier New" w:hint="default"/>
      </w:rPr>
    </w:lvl>
    <w:lvl w:ilvl="2" w:tplc="98B84B48" w:tentative="1">
      <w:start w:val="1"/>
      <w:numFmt w:val="bullet"/>
      <w:lvlText w:val=""/>
      <w:lvlJc w:val="left"/>
      <w:pPr>
        <w:tabs>
          <w:tab w:val="num" w:pos="3312"/>
        </w:tabs>
        <w:ind w:left="3312" w:hanging="360"/>
      </w:pPr>
      <w:rPr>
        <w:rFonts w:ascii="Wingdings" w:hAnsi="Wingdings" w:cs="Wingdings" w:hint="default"/>
      </w:rPr>
    </w:lvl>
    <w:lvl w:ilvl="3" w:tplc="607A7CBC" w:tentative="1">
      <w:start w:val="1"/>
      <w:numFmt w:val="bullet"/>
      <w:lvlText w:val=""/>
      <w:lvlJc w:val="left"/>
      <w:pPr>
        <w:tabs>
          <w:tab w:val="num" w:pos="4032"/>
        </w:tabs>
        <w:ind w:left="4032" w:hanging="360"/>
      </w:pPr>
      <w:rPr>
        <w:rFonts w:ascii="Symbol" w:hAnsi="Symbol" w:cs="Symbol" w:hint="default"/>
      </w:rPr>
    </w:lvl>
    <w:lvl w:ilvl="4" w:tplc="94AAC1BC" w:tentative="1">
      <w:start w:val="1"/>
      <w:numFmt w:val="bullet"/>
      <w:lvlText w:val="o"/>
      <w:lvlJc w:val="left"/>
      <w:pPr>
        <w:tabs>
          <w:tab w:val="num" w:pos="4752"/>
        </w:tabs>
        <w:ind w:left="4752" w:hanging="360"/>
      </w:pPr>
      <w:rPr>
        <w:rFonts w:ascii="Courier New" w:hAnsi="Courier New" w:cs="Courier New" w:hint="default"/>
      </w:rPr>
    </w:lvl>
    <w:lvl w:ilvl="5" w:tplc="DA5E0236" w:tentative="1">
      <w:start w:val="1"/>
      <w:numFmt w:val="bullet"/>
      <w:lvlText w:val=""/>
      <w:lvlJc w:val="left"/>
      <w:pPr>
        <w:tabs>
          <w:tab w:val="num" w:pos="5472"/>
        </w:tabs>
        <w:ind w:left="5472" w:hanging="360"/>
      </w:pPr>
      <w:rPr>
        <w:rFonts w:ascii="Wingdings" w:hAnsi="Wingdings" w:cs="Wingdings" w:hint="default"/>
      </w:rPr>
    </w:lvl>
    <w:lvl w:ilvl="6" w:tplc="139A3F2E" w:tentative="1">
      <w:start w:val="1"/>
      <w:numFmt w:val="bullet"/>
      <w:lvlText w:val=""/>
      <w:lvlJc w:val="left"/>
      <w:pPr>
        <w:tabs>
          <w:tab w:val="num" w:pos="6192"/>
        </w:tabs>
        <w:ind w:left="6192" w:hanging="360"/>
      </w:pPr>
      <w:rPr>
        <w:rFonts w:ascii="Symbol" w:hAnsi="Symbol" w:cs="Symbol" w:hint="default"/>
      </w:rPr>
    </w:lvl>
    <w:lvl w:ilvl="7" w:tplc="2878DFDE" w:tentative="1">
      <w:start w:val="1"/>
      <w:numFmt w:val="bullet"/>
      <w:lvlText w:val="o"/>
      <w:lvlJc w:val="left"/>
      <w:pPr>
        <w:tabs>
          <w:tab w:val="num" w:pos="6912"/>
        </w:tabs>
        <w:ind w:left="6912" w:hanging="360"/>
      </w:pPr>
      <w:rPr>
        <w:rFonts w:ascii="Courier New" w:hAnsi="Courier New" w:cs="Courier New" w:hint="default"/>
      </w:rPr>
    </w:lvl>
    <w:lvl w:ilvl="8" w:tplc="E7C862CA" w:tentative="1">
      <w:start w:val="1"/>
      <w:numFmt w:val="bullet"/>
      <w:lvlText w:val=""/>
      <w:lvlJc w:val="left"/>
      <w:pPr>
        <w:tabs>
          <w:tab w:val="num" w:pos="7632"/>
        </w:tabs>
        <w:ind w:left="7632" w:hanging="360"/>
      </w:pPr>
      <w:rPr>
        <w:rFonts w:ascii="Wingdings" w:hAnsi="Wingdings" w:cs="Wingdings" w:hint="default"/>
      </w:rPr>
    </w:lvl>
  </w:abstractNum>
  <w:abstractNum w:abstractNumId="5">
    <w:nsid w:val="426304B3"/>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46B12CBF"/>
    <w:multiLevelType w:val="hybridMultilevel"/>
    <w:tmpl w:val="948C5CF4"/>
    <w:lvl w:ilvl="0" w:tplc="04090001">
      <w:start w:val="1"/>
      <w:numFmt w:val="bullet"/>
      <w:lvlText w:val=""/>
      <w:lvlJc w:val="left"/>
      <w:pPr>
        <w:tabs>
          <w:tab w:val="num" w:pos="1620"/>
        </w:tabs>
        <w:ind w:left="1620" w:hanging="360"/>
      </w:pPr>
      <w:rPr>
        <w:rFonts w:ascii="Symbol" w:hAnsi="Symbol" w:cs="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7">
    <w:nsid w:val="71EC4355"/>
    <w:multiLevelType w:val="hybridMultilevel"/>
    <w:tmpl w:val="4BD0F0D8"/>
    <w:lvl w:ilvl="0" w:tplc="284E9334">
      <w:start w:val="1"/>
      <w:numFmt w:val="bullet"/>
      <w:pStyle w:val="N2-2ndBullet"/>
      <w:lvlText w:val=""/>
      <w:lvlJc w:val="left"/>
      <w:pPr>
        <w:tabs>
          <w:tab w:val="num" w:pos="1440"/>
        </w:tabs>
        <w:ind w:left="144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4"/>
  </w:num>
  <w:num w:numId="3">
    <w:abstractNumId w:val="1"/>
  </w:num>
  <w:num w:numId="4">
    <w:abstractNumId w:val="2"/>
  </w:num>
  <w:num w:numId="5">
    <w:abstractNumId w:val="3"/>
  </w:num>
  <w:num w:numId="6">
    <w:abstractNumId w:val="6"/>
  </w:num>
  <w:num w:numId="7">
    <w:abstractNumId w:val="7"/>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embedSystemFonts/>
  <w:stylePaneFormatFilter w:val="3F01"/>
  <w:defaultTabStop w:val="720"/>
  <w:evenAndOddHeaders/>
  <w:drawingGridHorizontalSpacing w:val="10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0276"/>
    <w:rsid w:val="000966B9"/>
    <w:rsid w:val="00131798"/>
    <w:rsid w:val="001D67B2"/>
    <w:rsid w:val="00272B05"/>
    <w:rsid w:val="00330197"/>
    <w:rsid w:val="003E16F1"/>
    <w:rsid w:val="00421E32"/>
    <w:rsid w:val="00455088"/>
    <w:rsid w:val="00481075"/>
    <w:rsid w:val="004B1F6F"/>
    <w:rsid w:val="004C3CC6"/>
    <w:rsid w:val="004E6550"/>
    <w:rsid w:val="005522A7"/>
    <w:rsid w:val="005D0276"/>
    <w:rsid w:val="005E5ED2"/>
    <w:rsid w:val="00795054"/>
    <w:rsid w:val="007C1FA6"/>
    <w:rsid w:val="007D66A3"/>
    <w:rsid w:val="00871342"/>
    <w:rsid w:val="00974E83"/>
    <w:rsid w:val="00986944"/>
    <w:rsid w:val="009A3665"/>
    <w:rsid w:val="009B4E44"/>
    <w:rsid w:val="009C672B"/>
    <w:rsid w:val="00A020BC"/>
    <w:rsid w:val="00A35F2C"/>
    <w:rsid w:val="00A529B9"/>
    <w:rsid w:val="00A6543B"/>
    <w:rsid w:val="00A905F6"/>
    <w:rsid w:val="00A92798"/>
    <w:rsid w:val="00AA56FF"/>
    <w:rsid w:val="00B24FD6"/>
    <w:rsid w:val="00B82591"/>
    <w:rsid w:val="00BA7A81"/>
    <w:rsid w:val="00BC1551"/>
    <w:rsid w:val="00BD3699"/>
    <w:rsid w:val="00BF32BC"/>
    <w:rsid w:val="00C23272"/>
    <w:rsid w:val="00C4364D"/>
    <w:rsid w:val="00C81E83"/>
    <w:rsid w:val="00CA17E6"/>
    <w:rsid w:val="00CF3083"/>
    <w:rsid w:val="00D52C8D"/>
    <w:rsid w:val="00D56BC6"/>
    <w:rsid w:val="00DC63B5"/>
    <w:rsid w:val="00DD7452"/>
    <w:rsid w:val="00E258F5"/>
    <w:rsid w:val="00E5754C"/>
    <w:rsid w:val="00E66F96"/>
    <w:rsid w:val="00EF5B87"/>
    <w:rsid w:val="00F17BF3"/>
    <w:rsid w:val="00F2205D"/>
    <w:rsid w:val="00F2312B"/>
    <w:rsid w:val="00F5752C"/>
    <w:rsid w:val="00FC419E"/>
    <w:rsid w:val="00FE60C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6" w:uiPriority="39" w:unhideWhenUsed="1"/>
    <w:lsdException w:name="toc 7" w:uiPriority="39" w:unhideWhenUsed="1"/>
    <w:lsdException w:name="toc 8" w:uiPriority="39" w:unhideWhenUsed="1"/>
    <w:lsdException w:name="Normal Indent" w:unhideWhenUsed="1"/>
    <w:lsdException w:name="index heading" w:unhideWhenUsed="1"/>
    <w:lsdException w:name="caption" w:semiHidden="0" w:qFormat="1"/>
    <w:lsdException w:name="envelope address" w:unhideWhenUsed="1"/>
    <w:lsdException w:name="endnote reference" w:unhideWhenUsed="1"/>
    <w:lsdException w:name="endnote text" w:unhideWhenUsed="1"/>
    <w:lsdException w:name="table of authorities"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Strong" w:semiHidden="0" w:qFormat="1"/>
    <w:lsdException w:name="Emphasis" w:semiHidden="0" w:qFormat="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F3083"/>
    <w:rPr>
      <w:sz w:val="20"/>
      <w:szCs w:val="20"/>
    </w:rPr>
  </w:style>
  <w:style w:type="paragraph" w:styleId="Heading1">
    <w:name w:val="heading 1"/>
    <w:aliases w:val="H1-Sec.Head,H1-Sec.Hea"/>
    <w:basedOn w:val="Normal"/>
    <w:next w:val="P1-StandPara"/>
    <w:link w:val="Heading1Char"/>
    <w:uiPriority w:val="99"/>
    <w:qFormat/>
    <w:rsid w:val="00AA56FF"/>
    <w:pPr>
      <w:keepNext/>
      <w:tabs>
        <w:tab w:val="left" w:pos="1152"/>
      </w:tabs>
      <w:spacing w:after="360" w:line="240" w:lineRule="atLeast"/>
      <w:jc w:val="center"/>
      <w:outlineLvl w:val="0"/>
    </w:pPr>
    <w:rPr>
      <w:b/>
      <w:bCs/>
      <w:sz w:val="24"/>
      <w:szCs w:val="24"/>
    </w:rPr>
  </w:style>
  <w:style w:type="paragraph" w:styleId="Heading2">
    <w:name w:val="heading 2"/>
    <w:aliases w:val="H2-Sec. Head,H2-Sec. He"/>
    <w:basedOn w:val="Normal"/>
    <w:next w:val="P1-StandPara"/>
    <w:link w:val="Heading2Char"/>
    <w:uiPriority w:val="99"/>
    <w:qFormat/>
    <w:rsid w:val="00AA56FF"/>
    <w:pPr>
      <w:keepNext/>
      <w:tabs>
        <w:tab w:val="left" w:pos="1170"/>
        <w:tab w:val="right" w:pos="9270"/>
      </w:tabs>
      <w:spacing w:after="360" w:line="240" w:lineRule="atLeast"/>
      <w:outlineLvl w:val="1"/>
    </w:pPr>
    <w:rPr>
      <w:b/>
      <w:bCs/>
      <w:sz w:val="22"/>
      <w:szCs w:val="22"/>
    </w:rPr>
  </w:style>
  <w:style w:type="paragraph" w:styleId="Heading3">
    <w:name w:val="heading 3"/>
    <w:aliases w:val="H3-Sec. Head,H3-Sec. He"/>
    <w:basedOn w:val="Normal"/>
    <w:next w:val="P1-StandPara"/>
    <w:link w:val="Heading3Char"/>
    <w:uiPriority w:val="99"/>
    <w:qFormat/>
    <w:rsid w:val="00AA56FF"/>
    <w:pPr>
      <w:keepNext/>
      <w:tabs>
        <w:tab w:val="left" w:pos="1152"/>
      </w:tabs>
      <w:spacing w:after="360" w:line="240" w:lineRule="atLeast"/>
      <w:ind w:left="2304" w:hanging="1152"/>
      <w:outlineLvl w:val="2"/>
    </w:pPr>
    <w:rPr>
      <w:b/>
      <w:bCs/>
      <w:sz w:val="22"/>
      <w:szCs w:val="22"/>
    </w:rPr>
  </w:style>
  <w:style w:type="paragraph" w:styleId="Heading4">
    <w:name w:val="heading 4"/>
    <w:aliases w:val="H4 Sec.Heading,H4 Sec.Hea"/>
    <w:basedOn w:val="Normal"/>
    <w:next w:val="P1-StandPara"/>
    <w:link w:val="Heading4Char"/>
    <w:uiPriority w:val="99"/>
    <w:qFormat/>
    <w:rsid w:val="00AA56FF"/>
    <w:pPr>
      <w:keepNext/>
      <w:tabs>
        <w:tab w:val="left" w:pos="1152"/>
      </w:tabs>
      <w:spacing w:after="360" w:line="240" w:lineRule="atLeast"/>
      <w:ind w:left="2304" w:hanging="1152"/>
      <w:outlineLvl w:val="3"/>
    </w:pPr>
    <w:rPr>
      <w:b/>
      <w:bCs/>
      <w:sz w:val="22"/>
      <w:szCs w:val="22"/>
    </w:rPr>
  </w:style>
  <w:style w:type="paragraph" w:styleId="Heading5">
    <w:name w:val="heading 5"/>
    <w:basedOn w:val="Normal"/>
    <w:next w:val="Normal"/>
    <w:link w:val="Heading5Char"/>
    <w:uiPriority w:val="99"/>
    <w:qFormat/>
    <w:rsid w:val="00AA56FF"/>
    <w:pPr>
      <w:keepNext/>
      <w:jc w:val="center"/>
      <w:outlineLvl w:val="4"/>
    </w:pPr>
    <w:rPr>
      <w:b/>
      <w:bCs/>
    </w:rPr>
  </w:style>
  <w:style w:type="paragraph" w:styleId="Heading6">
    <w:name w:val="heading 6"/>
    <w:basedOn w:val="Normal"/>
    <w:next w:val="Normal"/>
    <w:link w:val="Heading6Char"/>
    <w:uiPriority w:val="99"/>
    <w:qFormat/>
    <w:rsid w:val="00AA56FF"/>
    <w:pPr>
      <w:keepNext/>
      <w:spacing w:after="480" w:line="240" w:lineRule="atLeast"/>
      <w:ind w:left="720" w:hanging="720"/>
      <w:jc w:val="center"/>
      <w:outlineLvl w:val="5"/>
    </w:pPr>
    <w:rPr>
      <w:b/>
      <w:bCs/>
      <w:sz w:val="22"/>
      <w:szCs w:val="22"/>
    </w:rPr>
  </w:style>
  <w:style w:type="paragraph" w:styleId="Heading7">
    <w:name w:val="heading 7"/>
    <w:basedOn w:val="Normal"/>
    <w:next w:val="Normal"/>
    <w:link w:val="Heading7Char"/>
    <w:uiPriority w:val="99"/>
    <w:qFormat/>
    <w:rsid w:val="00AA56FF"/>
    <w:pPr>
      <w:keepNext/>
      <w:outlineLvl w:val="6"/>
    </w:pPr>
    <w:rPr>
      <w:b/>
      <w:bCs/>
    </w:rPr>
  </w:style>
  <w:style w:type="paragraph" w:styleId="Heading8">
    <w:name w:val="heading 8"/>
    <w:basedOn w:val="Normal"/>
    <w:next w:val="Normal"/>
    <w:link w:val="Heading8Char"/>
    <w:uiPriority w:val="99"/>
    <w:qFormat/>
    <w:rsid w:val="00AA56FF"/>
    <w:pPr>
      <w:keepNext/>
      <w:spacing w:line="240" w:lineRule="atLeast"/>
      <w:ind w:left="720"/>
      <w:jc w:val="both"/>
      <w:outlineLvl w:val="7"/>
    </w:pPr>
    <w:rPr>
      <w:i/>
      <w:iCs/>
      <w:sz w:val="22"/>
      <w:szCs w:val="22"/>
      <w:u w:val="single"/>
    </w:rPr>
  </w:style>
  <w:style w:type="paragraph" w:styleId="Heading9">
    <w:name w:val="heading 9"/>
    <w:basedOn w:val="Normal"/>
    <w:next w:val="Normal"/>
    <w:link w:val="Heading9Char"/>
    <w:uiPriority w:val="99"/>
    <w:qFormat/>
    <w:rsid w:val="00AA56FF"/>
    <w:pPr>
      <w:keepNext/>
      <w:outlineLvl w:val="8"/>
    </w:pPr>
    <w:rPr>
      <w:sz w:val="22"/>
      <w:szCs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H1-Sec.Hea Char"/>
    <w:basedOn w:val="DefaultParagraphFont"/>
    <w:link w:val="Heading1"/>
    <w:uiPriority w:val="99"/>
    <w:rsid w:val="00AA56FF"/>
    <w:rPr>
      <w:rFonts w:ascii="Cambria" w:hAnsi="Cambria" w:cs="Cambria"/>
      <w:b/>
      <w:bCs/>
      <w:kern w:val="32"/>
      <w:sz w:val="32"/>
      <w:szCs w:val="32"/>
    </w:rPr>
  </w:style>
  <w:style w:type="character" w:customStyle="1" w:styleId="Heading2Char">
    <w:name w:val="Heading 2 Char"/>
    <w:aliases w:val="H2-Sec. Head Char,H2-Sec. He Char"/>
    <w:basedOn w:val="DefaultParagraphFont"/>
    <w:link w:val="Heading2"/>
    <w:uiPriority w:val="99"/>
    <w:semiHidden/>
    <w:rsid w:val="00AA56FF"/>
    <w:rPr>
      <w:rFonts w:ascii="Cambria" w:hAnsi="Cambria" w:cs="Cambria"/>
      <w:b/>
      <w:bCs/>
      <w:i/>
      <w:iCs/>
      <w:sz w:val="28"/>
      <w:szCs w:val="28"/>
    </w:rPr>
  </w:style>
  <w:style w:type="character" w:customStyle="1" w:styleId="Heading3Char">
    <w:name w:val="Heading 3 Char"/>
    <w:aliases w:val="H3-Sec. Head Char,H3-Sec. He Char"/>
    <w:basedOn w:val="DefaultParagraphFont"/>
    <w:link w:val="Heading3"/>
    <w:uiPriority w:val="99"/>
    <w:semiHidden/>
    <w:rsid w:val="00AA56FF"/>
    <w:rPr>
      <w:rFonts w:ascii="Cambria" w:hAnsi="Cambria" w:cs="Cambria"/>
      <w:b/>
      <w:bCs/>
      <w:sz w:val="26"/>
      <w:szCs w:val="26"/>
    </w:rPr>
  </w:style>
  <w:style w:type="character" w:customStyle="1" w:styleId="Heading4Char">
    <w:name w:val="Heading 4 Char"/>
    <w:aliases w:val="H4 Sec.Heading Char,H4 Sec.Hea Char"/>
    <w:basedOn w:val="DefaultParagraphFont"/>
    <w:link w:val="Heading4"/>
    <w:uiPriority w:val="99"/>
    <w:semiHidden/>
    <w:rsid w:val="00AA56FF"/>
    <w:rPr>
      <w:rFonts w:ascii="Calibri" w:hAnsi="Calibri" w:cs="Calibri"/>
      <w:b/>
      <w:bCs/>
      <w:sz w:val="28"/>
      <w:szCs w:val="28"/>
    </w:rPr>
  </w:style>
  <w:style w:type="character" w:customStyle="1" w:styleId="Heading5Char">
    <w:name w:val="Heading 5 Char"/>
    <w:basedOn w:val="DefaultParagraphFont"/>
    <w:link w:val="Heading5"/>
    <w:uiPriority w:val="99"/>
    <w:semiHidden/>
    <w:rsid w:val="00AA56FF"/>
    <w:rPr>
      <w:rFonts w:ascii="Calibri" w:hAnsi="Calibri" w:cs="Calibri"/>
      <w:b/>
      <w:bCs/>
      <w:i/>
      <w:iCs/>
      <w:sz w:val="26"/>
      <w:szCs w:val="26"/>
    </w:rPr>
  </w:style>
  <w:style w:type="character" w:customStyle="1" w:styleId="Heading6Char">
    <w:name w:val="Heading 6 Char"/>
    <w:basedOn w:val="DefaultParagraphFont"/>
    <w:link w:val="Heading6"/>
    <w:uiPriority w:val="99"/>
    <w:semiHidden/>
    <w:rsid w:val="00AA56FF"/>
    <w:rPr>
      <w:rFonts w:ascii="Calibri" w:hAnsi="Calibri" w:cs="Calibri"/>
      <w:b/>
      <w:bCs/>
      <w:sz w:val="22"/>
      <w:szCs w:val="22"/>
    </w:rPr>
  </w:style>
  <w:style w:type="character" w:customStyle="1" w:styleId="Heading7Char">
    <w:name w:val="Heading 7 Char"/>
    <w:basedOn w:val="DefaultParagraphFont"/>
    <w:link w:val="Heading7"/>
    <w:uiPriority w:val="99"/>
    <w:semiHidden/>
    <w:rsid w:val="00AA56FF"/>
    <w:rPr>
      <w:rFonts w:ascii="Calibri" w:hAnsi="Calibri" w:cs="Calibri"/>
      <w:sz w:val="24"/>
      <w:szCs w:val="24"/>
    </w:rPr>
  </w:style>
  <w:style w:type="character" w:customStyle="1" w:styleId="Heading8Char">
    <w:name w:val="Heading 8 Char"/>
    <w:basedOn w:val="DefaultParagraphFont"/>
    <w:link w:val="Heading8"/>
    <w:uiPriority w:val="99"/>
    <w:semiHidden/>
    <w:rsid w:val="00AA56FF"/>
    <w:rPr>
      <w:rFonts w:ascii="Calibri" w:hAnsi="Calibri" w:cs="Calibri"/>
      <w:i/>
      <w:iCs/>
      <w:sz w:val="24"/>
      <w:szCs w:val="24"/>
    </w:rPr>
  </w:style>
  <w:style w:type="character" w:customStyle="1" w:styleId="Heading9Char">
    <w:name w:val="Heading 9 Char"/>
    <w:basedOn w:val="DefaultParagraphFont"/>
    <w:link w:val="Heading9"/>
    <w:uiPriority w:val="99"/>
    <w:semiHidden/>
    <w:rsid w:val="00AA56FF"/>
    <w:rPr>
      <w:rFonts w:ascii="Cambria" w:hAnsi="Cambria" w:cs="Cambria"/>
      <w:sz w:val="22"/>
      <w:szCs w:val="22"/>
    </w:rPr>
  </w:style>
  <w:style w:type="paragraph" w:customStyle="1" w:styleId="P1-StandPara">
    <w:name w:val="P1-Stand Para"/>
    <w:uiPriority w:val="99"/>
    <w:rsid w:val="00AA56FF"/>
    <w:pPr>
      <w:spacing w:line="360" w:lineRule="atLeast"/>
      <w:ind w:firstLine="1152"/>
      <w:jc w:val="both"/>
    </w:pPr>
  </w:style>
  <w:style w:type="paragraph" w:customStyle="1" w:styleId="N1-1stBullet">
    <w:name w:val="N1-1st Bullet"/>
    <w:basedOn w:val="Normal"/>
    <w:autoRedefine/>
    <w:uiPriority w:val="99"/>
    <w:rsid w:val="00AA56FF"/>
    <w:pPr>
      <w:tabs>
        <w:tab w:val="left" w:pos="1260"/>
      </w:tabs>
      <w:spacing w:after="120"/>
      <w:ind w:left="576" w:hanging="576"/>
      <w:jc w:val="center"/>
    </w:pPr>
    <w:rPr>
      <w:sz w:val="22"/>
      <w:szCs w:val="22"/>
    </w:rPr>
  </w:style>
  <w:style w:type="paragraph" w:customStyle="1" w:styleId="N2-2ndBullet">
    <w:name w:val="N2-2nd Bullet"/>
    <w:basedOn w:val="Normal"/>
    <w:autoRedefine/>
    <w:uiPriority w:val="99"/>
    <w:rsid w:val="00AA56FF"/>
    <w:pPr>
      <w:numPr>
        <w:numId w:val="7"/>
      </w:numPr>
      <w:spacing w:after="240" w:line="240" w:lineRule="atLeast"/>
      <w:jc w:val="both"/>
    </w:pPr>
    <w:rPr>
      <w:sz w:val="22"/>
      <w:szCs w:val="22"/>
    </w:rPr>
  </w:style>
  <w:style w:type="character" w:styleId="Hyperlink">
    <w:name w:val="Hyperlink"/>
    <w:basedOn w:val="DefaultParagraphFont"/>
    <w:uiPriority w:val="99"/>
    <w:rsid w:val="00AA56FF"/>
    <w:rPr>
      <w:color w:val="0000FF"/>
      <w:u w:val="single"/>
    </w:rPr>
  </w:style>
  <w:style w:type="paragraph" w:styleId="Caption">
    <w:name w:val="caption"/>
    <w:basedOn w:val="Normal"/>
    <w:next w:val="Normal"/>
    <w:uiPriority w:val="99"/>
    <w:qFormat/>
    <w:rsid w:val="00AA56FF"/>
    <w:rPr>
      <w:rFonts w:ascii="CG Times" w:hAnsi="CG Times" w:cs="CG Times"/>
      <w:sz w:val="24"/>
      <w:szCs w:val="24"/>
    </w:rPr>
  </w:style>
  <w:style w:type="paragraph" w:customStyle="1" w:styleId="SL-FlLftSgl">
    <w:name w:val="SL-Fl Lft Sgl"/>
    <w:uiPriority w:val="99"/>
    <w:rsid w:val="00AA56FF"/>
    <w:pPr>
      <w:spacing w:line="240" w:lineRule="atLeast"/>
      <w:jc w:val="both"/>
    </w:pPr>
  </w:style>
  <w:style w:type="paragraph" w:customStyle="1" w:styleId="C3-CtrSp12">
    <w:name w:val="C3-Ctr Sp&amp;1/2"/>
    <w:uiPriority w:val="99"/>
    <w:rsid w:val="00AA56FF"/>
    <w:pPr>
      <w:keepLines/>
      <w:spacing w:line="360" w:lineRule="atLeast"/>
      <w:jc w:val="center"/>
    </w:pPr>
  </w:style>
  <w:style w:type="paragraph" w:customStyle="1" w:styleId="C1-CtrBoldHd">
    <w:name w:val="C1-Ctr BoldHd"/>
    <w:autoRedefine/>
    <w:uiPriority w:val="99"/>
    <w:rsid w:val="00AA56FF"/>
    <w:pPr>
      <w:keepNext/>
      <w:spacing w:line="240" w:lineRule="atLeast"/>
      <w:jc w:val="center"/>
      <w:outlineLvl w:val="0"/>
    </w:pPr>
    <w:rPr>
      <w:sz w:val="18"/>
      <w:szCs w:val="18"/>
    </w:rPr>
  </w:style>
  <w:style w:type="paragraph" w:customStyle="1" w:styleId="C2-CtrSglSp">
    <w:name w:val="C2-Ctr Sgl Sp"/>
    <w:uiPriority w:val="99"/>
    <w:rsid w:val="00AA56FF"/>
    <w:pPr>
      <w:keepLines/>
      <w:spacing w:line="240" w:lineRule="atLeast"/>
      <w:jc w:val="center"/>
    </w:pPr>
  </w:style>
  <w:style w:type="paragraph" w:customStyle="1" w:styleId="SP-SglSpPara">
    <w:name w:val="SP-Sgl Sp Para"/>
    <w:uiPriority w:val="99"/>
    <w:rsid w:val="00AA56FF"/>
    <w:pPr>
      <w:tabs>
        <w:tab w:val="left" w:pos="576"/>
      </w:tabs>
      <w:spacing w:line="240" w:lineRule="atLeast"/>
      <w:ind w:firstLine="576"/>
      <w:jc w:val="both"/>
    </w:pPr>
  </w:style>
  <w:style w:type="paragraph" w:customStyle="1" w:styleId="N0-FlLftBullet">
    <w:name w:val="N0-Fl Lft Bullet"/>
    <w:basedOn w:val="Normal"/>
    <w:uiPriority w:val="99"/>
    <w:rsid w:val="00AA56FF"/>
    <w:pPr>
      <w:tabs>
        <w:tab w:val="left" w:pos="576"/>
      </w:tabs>
      <w:spacing w:after="240" w:line="240" w:lineRule="atLeast"/>
      <w:ind w:left="576" w:hanging="576"/>
      <w:jc w:val="both"/>
    </w:pPr>
    <w:rPr>
      <w:sz w:val="22"/>
      <w:szCs w:val="22"/>
    </w:rPr>
  </w:style>
  <w:style w:type="character" w:customStyle="1" w:styleId="ALT-uunderlining">
    <w:name w:val="ALT-u underlining"/>
    <w:uiPriority w:val="99"/>
    <w:rsid w:val="00AA56FF"/>
    <w:rPr>
      <w:rFonts w:ascii="Times" w:hAnsi="Times" w:cs="Times"/>
      <w:sz w:val="22"/>
      <w:szCs w:val="22"/>
      <w:u w:val="single"/>
    </w:rPr>
  </w:style>
  <w:style w:type="character" w:styleId="PageNumber">
    <w:name w:val="page number"/>
    <w:basedOn w:val="DefaultParagraphFont"/>
    <w:uiPriority w:val="99"/>
    <w:rsid w:val="00AA56FF"/>
  </w:style>
  <w:style w:type="paragraph" w:styleId="Footer">
    <w:name w:val="footer"/>
    <w:basedOn w:val="Normal"/>
    <w:link w:val="FooterChar"/>
    <w:uiPriority w:val="99"/>
    <w:rsid w:val="00AA56FF"/>
    <w:pPr>
      <w:tabs>
        <w:tab w:val="center" w:pos="4320"/>
        <w:tab w:val="right" w:pos="8640"/>
      </w:tabs>
      <w:spacing w:line="240" w:lineRule="atLeast"/>
      <w:ind w:left="720" w:hanging="720"/>
      <w:jc w:val="both"/>
    </w:pPr>
    <w:rPr>
      <w:sz w:val="22"/>
      <w:szCs w:val="22"/>
    </w:rPr>
  </w:style>
  <w:style w:type="character" w:customStyle="1" w:styleId="FooterChar">
    <w:name w:val="Footer Char"/>
    <w:basedOn w:val="DefaultParagraphFont"/>
    <w:link w:val="Footer"/>
    <w:uiPriority w:val="99"/>
    <w:semiHidden/>
    <w:rsid w:val="00AA56FF"/>
  </w:style>
  <w:style w:type="character" w:styleId="FollowedHyperlink">
    <w:name w:val="FollowedHyperlink"/>
    <w:basedOn w:val="DefaultParagraphFont"/>
    <w:uiPriority w:val="99"/>
    <w:rsid w:val="00AA56FF"/>
    <w:rPr>
      <w:color w:val="800080"/>
      <w:u w:val="single"/>
    </w:rPr>
  </w:style>
  <w:style w:type="paragraph" w:styleId="Header">
    <w:name w:val="header"/>
    <w:basedOn w:val="Normal"/>
    <w:link w:val="HeaderChar"/>
    <w:uiPriority w:val="99"/>
    <w:rsid w:val="00AA56FF"/>
    <w:pPr>
      <w:tabs>
        <w:tab w:val="center" w:pos="4320"/>
        <w:tab w:val="right" w:pos="8640"/>
      </w:tabs>
    </w:pPr>
  </w:style>
  <w:style w:type="character" w:customStyle="1" w:styleId="HeaderChar">
    <w:name w:val="Header Char"/>
    <w:basedOn w:val="DefaultParagraphFont"/>
    <w:link w:val="Header"/>
    <w:uiPriority w:val="99"/>
    <w:semiHidden/>
    <w:rsid w:val="00AA56FF"/>
  </w:style>
  <w:style w:type="paragraph" w:customStyle="1" w:styleId="TT-TableTitle">
    <w:name w:val="TT-Table Title"/>
    <w:autoRedefine/>
    <w:uiPriority w:val="99"/>
    <w:rsid w:val="00AA56FF"/>
    <w:pPr>
      <w:spacing w:line="240" w:lineRule="atLeast"/>
      <w:ind w:left="1066" w:hanging="1066"/>
      <w:jc w:val="both"/>
    </w:pPr>
    <w:rPr>
      <w:b/>
      <w:bCs/>
    </w:rPr>
  </w:style>
  <w:style w:type="paragraph" w:styleId="Title">
    <w:name w:val="Title"/>
    <w:basedOn w:val="Normal"/>
    <w:link w:val="TitleChar"/>
    <w:uiPriority w:val="99"/>
    <w:qFormat/>
    <w:rsid w:val="00AA56FF"/>
    <w:pPr>
      <w:jc w:val="center"/>
    </w:pPr>
    <w:rPr>
      <w:b/>
      <w:bCs/>
      <w:sz w:val="22"/>
      <w:szCs w:val="22"/>
    </w:rPr>
  </w:style>
  <w:style w:type="character" w:customStyle="1" w:styleId="TitleChar">
    <w:name w:val="Title Char"/>
    <w:basedOn w:val="DefaultParagraphFont"/>
    <w:link w:val="Title"/>
    <w:uiPriority w:val="99"/>
    <w:rsid w:val="00AA56FF"/>
    <w:rPr>
      <w:rFonts w:ascii="Cambria" w:hAnsi="Cambria" w:cs="Cambria"/>
      <w:b/>
      <w:bCs/>
      <w:kern w:val="28"/>
      <w:sz w:val="32"/>
      <w:szCs w:val="32"/>
    </w:rPr>
  </w:style>
  <w:style w:type="paragraph" w:customStyle="1" w:styleId="N1-2ndBullet">
    <w:name w:val="N1-2nd Bullet"/>
    <w:autoRedefine/>
    <w:uiPriority w:val="99"/>
    <w:rsid w:val="00AA56FF"/>
    <w:pPr>
      <w:keepNext/>
      <w:tabs>
        <w:tab w:val="left" w:pos="180"/>
        <w:tab w:val="right" w:pos="1530"/>
        <w:tab w:val="right" w:leader="dot" w:pos="6462"/>
        <w:tab w:val="right" w:pos="7632"/>
      </w:tabs>
      <w:spacing w:line="240" w:lineRule="atLeast"/>
      <w:jc w:val="center"/>
    </w:pPr>
    <w:rPr>
      <w:noProof/>
      <w:sz w:val="18"/>
      <w:szCs w:val="18"/>
    </w:rPr>
  </w:style>
  <w:style w:type="paragraph" w:customStyle="1" w:styleId="E1-Equation">
    <w:name w:val="E1-Equation"/>
    <w:uiPriority w:val="99"/>
    <w:rsid w:val="00AA56FF"/>
    <w:pPr>
      <w:tabs>
        <w:tab w:val="center" w:pos="4680"/>
        <w:tab w:val="right" w:pos="9360"/>
      </w:tabs>
      <w:spacing w:line="240" w:lineRule="atLeast"/>
      <w:jc w:val="both"/>
    </w:pPr>
  </w:style>
  <w:style w:type="paragraph" w:styleId="BodyTextIndent2">
    <w:name w:val="Body Text Indent 2"/>
    <w:basedOn w:val="Normal"/>
    <w:link w:val="BodyTextIndent2Char"/>
    <w:uiPriority w:val="99"/>
    <w:rsid w:val="00AA56FF"/>
    <w:pPr>
      <w:spacing w:line="240" w:lineRule="atLeast"/>
      <w:ind w:left="720"/>
    </w:pPr>
    <w:rPr>
      <w:sz w:val="22"/>
      <w:szCs w:val="22"/>
    </w:rPr>
  </w:style>
  <w:style w:type="character" w:customStyle="1" w:styleId="BodyTextIndent2Char">
    <w:name w:val="Body Text Indent 2 Char"/>
    <w:basedOn w:val="DefaultParagraphFont"/>
    <w:link w:val="BodyTextIndent2"/>
    <w:uiPriority w:val="99"/>
    <w:semiHidden/>
    <w:rsid w:val="00AA56FF"/>
  </w:style>
  <w:style w:type="paragraph" w:styleId="BodyText">
    <w:name w:val="Body Text"/>
    <w:basedOn w:val="Normal"/>
    <w:link w:val="BodyTextChar"/>
    <w:uiPriority w:val="99"/>
    <w:rsid w:val="00AA56FF"/>
    <w:pPr>
      <w:jc w:val="both"/>
    </w:pPr>
    <w:rPr>
      <w:sz w:val="22"/>
      <w:szCs w:val="22"/>
    </w:rPr>
  </w:style>
  <w:style w:type="character" w:customStyle="1" w:styleId="BodyTextChar">
    <w:name w:val="Body Text Char"/>
    <w:basedOn w:val="DefaultParagraphFont"/>
    <w:link w:val="BodyText"/>
    <w:uiPriority w:val="99"/>
    <w:semiHidden/>
    <w:rsid w:val="00AA56FF"/>
  </w:style>
  <w:style w:type="character" w:customStyle="1" w:styleId="footnotetex">
    <w:name w:val="footnote tex"/>
    <w:basedOn w:val="DefaultParagraphFont"/>
    <w:uiPriority w:val="99"/>
    <w:rsid w:val="00AA56FF"/>
    <w:rPr>
      <w:rFonts w:ascii="Times New Roman" w:hAnsi="Times New Roman" w:cs="Times New Roman"/>
      <w:sz w:val="24"/>
      <w:szCs w:val="24"/>
      <w:lang w:val="en-US"/>
    </w:rPr>
  </w:style>
  <w:style w:type="paragraph" w:customStyle="1" w:styleId="OMBSecHead">
    <w:name w:val="OMBSecHead"/>
    <w:basedOn w:val="Normal"/>
    <w:uiPriority w:val="99"/>
    <w:rsid w:val="00AA56FF"/>
    <w:pPr>
      <w:tabs>
        <w:tab w:val="left" w:pos="0"/>
        <w:tab w:val="left" w:pos="1194"/>
        <w:tab w:val="left" w:pos="1728"/>
        <w:tab w:val="left" w:pos="2160"/>
      </w:tabs>
      <w:suppressAutoHyphens/>
      <w:spacing w:line="360" w:lineRule="auto"/>
      <w:jc w:val="both"/>
    </w:pPr>
    <w:rPr>
      <w:b/>
      <w:bCs/>
      <w:spacing w:val="-2"/>
      <w:sz w:val="22"/>
      <w:szCs w:val="22"/>
    </w:rPr>
  </w:style>
  <w:style w:type="character" w:styleId="FootnoteReference">
    <w:name w:val="footnote reference"/>
    <w:basedOn w:val="DefaultParagraphFont"/>
    <w:uiPriority w:val="99"/>
    <w:semiHidden/>
    <w:rsid w:val="00AA56FF"/>
    <w:rPr>
      <w:vertAlign w:val="superscript"/>
    </w:rPr>
  </w:style>
  <w:style w:type="paragraph" w:customStyle="1" w:styleId="OMBRef">
    <w:name w:val="OMBRef"/>
    <w:basedOn w:val="P1-StandPara"/>
    <w:uiPriority w:val="99"/>
    <w:rsid w:val="00AA56FF"/>
    <w:pPr>
      <w:spacing w:line="240" w:lineRule="auto"/>
      <w:ind w:left="432" w:hanging="432"/>
    </w:pPr>
  </w:style>
  <w:style w:type="paragraph" w:styleId="FootnoteText">
    <w:name w:val="footnote text"/>
    <w:aliases w:val="F1"/>
    <w:basedOn w:val="Normal"/>
    <w:link w:val="FootnoteTextChar"/>
    <w:uiPriority w:val="99"/>
    <w:semiHidden/>
    <w:rsid w:val="00AA56FF"/>
    <w:pPr>
      <w:tabs>
        <w:tab w:val="left" w:pos="120"/>
      </w:tabs>
      <w:spacing w:before="120" w:line="200" w:lineRule="atLeast"/>
      <w:ind w:left="115" w:hanging="115"/>
      <w:jc w:val="both"/>
    </w:pPr>
    <w:rPr>
      <w:sz w:val="16"/>
      <w:szCs w:val="16"/>
    </w:rPr>
  </w:style>
  <w:style w:type="character" w:customStyle="1" w:styleId="FootnoteTextChar">
    <w:name w:val="Footnote Text Char"/>
    <w:aliases w:val="F1 Char"/>
    <w:basedOn w:val="DefaultParagraphFont"/>
    <w:link w:val="FootnoteText"/>
    <w:uiPriority w:val="99"/>
    <w:rsid w:val="00AA56FF"/>
    <w:rPr>
      <w:sz w:val="16"/>
      <w:szCs w:val="16"/>
      <w:lang w:val="en-US" w:eastAsia="en-US"/>
    </w:rPr>
  </w:style>
  <w:style w:type="paragraph" w:styleId="BodyText2">
    <w:name w:val="Body Text 2"/>
    <w:basedOn w:val="Normal"/>
    <w:link w:val="BodyText2Char"/>
    <w:uiPriority w:val="99"/>
    <w:rsid w:val="00AA56FF"/>
    <w:rPr>
      <w:b/>
      <w:bCs/>
      <w:sz w:val="22"/>
      <w:szCs w:val="22"/>
    </w:rPr>
  </w:style>
  <w:style w:type="character" w:customStyle="1" w:styleId="BodyText2Char">
    <w:name w:val="Body Text 2 Char"/>
    <w:basedOn w:val="DefaultParagraphFont"/>
    <w:link w:val="BodyText2"/>
    <w:uiPriority w:val="99"/>
    <w:rsid w:val="00AA56FF"/>
    <w:rPr>
      <w:b/>
      <w:bCs/>
      <w:sz w:val="22"/>
      <w:szCs w:val="22"/>
      <w:lang w:val="en-US" w:eastAsia="en-US"/>
    </w:rPr>
  </w:style>
  <w:style w:type="character" w:customStyle="1" w:styleId="BodyTextIndentChar">
    <w:name w:val="Body Text Indent Char"/>
    <w:basedOn w:val="DefaultParagraphFont"/>
    <w:link w:val="BodyText2"/>
    <w:uiPriority w:val="99"/>
    <w:rsid w:val="00AA56FF"/>
    <w:rPr>
      <w:sz w:val="22"/>
      <w:szCs w:val="22"/>
      <w:lang w:val="en-US" w:eastAsia="en-US"/>
    </w:rPr>
  </w:style>
  <w:style w:type="paragraph" w:customStyle="1" w:styleId="SH-SglSpHead">
    <w:name w:val="SH-Sgl Sp Head"/>
    <w:uiPriority w:val="99"/>
    <w:rsid w:val="00AA56FF"/>
    <w:pPr>
      <w:keepNext/>
      <w:tabs>
        <w:tab w:val="left" w:pos="576"/>
      </w:tabs>
      <w:spacing w:line="240" w:lineRule="atLeast"/>
      <w:ind w:left="576" w:hanging="576"/>
    </w:pPr>
    <w:rPr>
      <w:b/>
      <w:bCs/>
    </w:rPr>
  </w:style>
  <w:style w:type="paragraph" w:styleId="TOC1">
    <w:name w:val="toc 1"/>
    <w:basedOn w:val="Normal"/>
    <w:autoRedefine/>
    <w:uiPriority w:val="99"/>
    <w:semiHidden/>
    <w:rsid w:val="00AA56FF"/>
    <w:pPr>
      <w:tabs>
        <w:tab w:val="right" w:leader="dot" w:pos="9350"/>
      </w:tabs>
      <w:spacing w:line="240" w:lineRule="atLeast"/>
      <w:ind w:left="720" w:hanging="720"/>
    </w:pPr>
    <w:rPr>
      <w:sz w:val="22"/>
      <w:szCs w:val="22"/>
    </w:rPr>
  </w:style>
  <w:style w:type="paragraph" w:styleId="TOC2">
    <w:name w:val="toc 2"/>
    <w:basedOn w:val="Normal"/>
    <w:autoRedefine/>
    <w:uiPriority w:val="99"/>
    <w:semiHidden/>
    <w:rsid w:val="00AA56FF"/>
    <w:pPr>
      <w:tabs>
        <w:tab w:val="left" w:pos="1440"/>
        <w:tab w:val="right" w:leader="dot" w:pos="9350"/>
      </w:tabs>
      <w:spacing w:line="240" w:lineRule="atLeast"/>
      <w:ind w:left="2160" w:hanging="720"/>
    </w:pPr>
    <w:rPr>
      <w:sz w:val="22"/>
      <w:szCs w:val="22"/>
    </w:rPr>
  </w:style>
  <w:style w:type="paragraph" w:styleId="TableofFigures">
    <w:name w:val="table of figures"/>
    <w:basedOn w:val="Normal"/>
    <w:next w:val="Normal"/>
    <w:uiPriority w:val="99"/>
    <w:semiHidden/>
    <w:rsid w:val="00AA56FF"/>
    <w:pPr>
      <w:spacing w:line="240" w:lineRule="atLeast"/>
      <w:ind w:left="1440" w:right="1440" w:hanging="1440"/>
      <w:jc w:val="both"/>
    </w:pPr>
    <w:rPr>
      <w:sz w:val="22"/>
      <w:szCs w:val="22"/>
    </w:rPr>
  </w:style>
  <w:style w:type="paragraph" w:styleId="DocumentMap">
    <w:name w:val="Document Map"/>
    <w:basedOn w:val="Normal"/>
    <w:link w:val="DocumentMapChar"/>
    <w:uiPriority w:val="99"/>
    <w:semiHidden/>
    <w:rsid w:val="00AA56F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AA56FF"/>
    <w:rPr>
      <w:sz w:val="2"/>
      <w:szCs w:val="2"/>
    </w:rPr>
  </w:style>
  <w:style w:type="paragraph" w:styleId="TOAHeading">
    <w:name w:val="toa heading"/>
    <w:basedOn w:val="Normal"/>
    <w:next w:val="Normal"/>
    <w:uiPriority w:val="99"/>
    <w:semiHidden/>
    <w:rsid w:val="00AA56FF"/>
    <w:pPr>
      <w:tabs>
        <w:tab w:val="left" w:pos="720"/>
        <w:tab w:val="left" w:pos="1440"/>
        <w:tab w:val="left" w:pos="2160"/>
        <w:tab w:val="right" w:pos="9360"/>
        <w:tab w:val="right" w:leader="dot" w:pos="9720"/>
      </w:tabs>
      <w:suppressAutoHyphens/>
      <w:spacing w:line="240" w:lineRule="atLeast"/>
      <w:jc w:val="both"/>
    </w:pPr>
    <w:rPr>
      <w:rFonts w:ascii="Arial" w:hAnsi="Arial" w:cs="Arial"/>
      <w:noProof/>
    </w:rPr>
  </w:style>
  <w:style w:type="paragraph" w:customStyle="1" w:styleId="f1">
    <w:name w:val="f1"/>
    <w:uiPriority w:val="99"/>
    <w:rsid w:val="00AA56FF"/>
    <w:pPr>
      <w:widowControl w:val="0"/>
      <w:tabs>
        <w:tab w:val="left" w:pos="0"/>
      </w:tabs>
      <w:suppressAutoHyphens/>
    </w:pPr>
    <w:rPr>
      <w:rFonts w:ascii="CG Times" w:hAnsi="CG Times" w:cs="CG Times"/>
      <w:sz w:val="18"/>
      <w:szCs w:val="18"/>
    </w:rPr>
  </w:style>
  <w:style w:type="paragraph" w:styleId="MacroText">
    <w:name w:val="macro"/>
    <w:link w:val="MacroTextChar"/>
    <w:uiPriority w:val="99"/>
    <w:semiHidden/>
    <w:rsid w:val="00AA56FF"/>
    <w:pPr>
      <w:widowControl w:val="0"/>
      <w:tabs>
        <w:tab w:val="left" w:pos="0"/>
        <w:tab w:val="left" w:pos="480"/>
        <w:tab w:val="left" w:pos="960"/>
        <w:tab w:val="left" w:pos="1440"/>
        <w:tab w:val="left" w:pos="1920"/>
        <w:tab w:val="left" w:pos="2400"/>
        <w:tab w:val="left" w:pos="2880"/>
        <w:tab w:val="left" w:pos="3360"/>
        <w:tab w:val="left" w:pos="3840"/>
        <w:tab w:val="left" w:pos="4320"/>
      </w:tabs>
      <w:suppressAutoHyphens/>
      <w:jc w:val="both"/>
    </w:pPr>
    <w:rPr>
      <w:rFonts w:ascii="Courier New" w:hAnsi="Courier New" w:cs="Courier New"/>
      <w:spacing w:val="-2"/>
      <w:sz w:val="18"/>
      <w:szCs w:val="18"/>
    </w:rPr>
  </w:style>
  <w:style w:type="character" w:customStyle="1" w:styleId="MacroTextChar">
    <w:name w:val="Macro Text Char"/>
    <w:basedOn w:val="DefaultParagraphFont"/>
    <w:link w:val="MacroText"/>
    <w:uiPriority w:val="99"/>
    <w:semiHidden/>
    <w:rsid w:val="00AA56FF"/>
    <w:rPr>
      <w:rFonts w:ascii="Courier New" w:hAnsi="Courier New" w:cs="Courier New"/>
      <w:spacing w:val="-2"/>
      <w:sz w:val="18"/>
      <w:szCs w:val="18"/>
      <w:lang w:val="en-US" w:eastAsia="en-US"/>
    </w:rPr>
  </w:style>
  <w:style w:type="paragraph" w:customStyle="1" w:styleId="SL-Indented">
    <w:name w:val="SL-Indented"/>
    <w:basedOn w:val="SL-FlLftSgl"/>
    <w:uiPriority w:val="99"/>
    <w:rsid w:val="00AA56FF"/>
    <w:pPr>
      <w:ind w:left="173"/>
      <w:jc w:val="left"/>
    </w:pPr>
  </w:style>
  <w:style w:type="paragraph" w:customStyle="1" w:styleId="L1-FlLSp12">
    <w:name w:val="L1-FlL Sp&amp;1/2"/>
    <w:uiPriority w:val="99"/>
    <w:rsid w:val="00AA56FF"/>
    <w:pPr>
      <w:tabs>
        <w:tab w:val="left" w:pos="1152"/>
      </w:tabs>
      <w:spacing w:line="360" w:lineRule="atLeast"/>
      <w:jc w:val="both"/>
    </w:pPr>
  </w:style>
  <w:style w:type="paragraph" w:customStyle="1" w:styleId="E2-Equation">
    <w:name w:val="E2-Equation"/>
    <w:basedOn w:val="E1-Equation"/>
    <w:uiPriority w:val="99"/>
    <w:rsid w:val="00AA56FF"/>
    <w:pPr>
      <w:tabs>
        <w:tab w:val="clear" w:pos="4680"/>
        <w:tab w:val="clear" w:pos="9360"/>
        <w:tab w:val="right" w:pos="1152"/>
        <w:tab w:val="center" w:pos="1440"/>
        <w:tab w:val="left" w:pos="1728"/>
      </w:tabs>
      <w:ind w:left="1728" w:hanging="1728"/>
    </w:pPr>
  </w:style>
  <w:style w:type="paragraph" w:customStyle="1" w:styleId="N3-3rdBullet">
    <w:name w:val="N3-3rd Bullet"/>
    <w:basedOn w:val="Normal"/>
    <w:uiPriority w:val="99"/>
    <w:rsid w:val="00AA56FF"/>
    <w:pPr>
      <w:tabs>
        <w:tab w:val="left" w:pos="2304"/>
      </w:tabs>
      <w:spacing w:after="240" w:line="240" w:lineRule="atLeast"/>
      <w:ind w:left="2304" w:hanging="576"/>
      <w:jc w:val="both"/>
    </w:pPr>
    <w:rPr>
      <w:sz w:val="22"/>
      <w:szCs w:val="22"/>
    </w:rPr>
  </w:style>
  <w:style w:type="paragraph" w:customStyle="1" w:styleId="N4-4thBullet">
    <w:name w:val="N4-4th Bullet"/>
    <w:basedOn w:val="Normal"/>
    <w:uiPriority w:val="99"/>
    <w:rsid w:val="00AA56FF"/>
    <w:pPr>
      <w:tabs>
        <w:tab w:val="left" w:pos="2880"/>
      </w:tabs>
      <w:spacing w:after="240" w:line="240" w:lineRule="atLeast"/>
      <w:ind w:left="2880" w:hanging="576"/>
      <w:jc w:val="both"/>
    </w:pPr>
    <w:rPr>
      <w:sz w:val="22"/>
      <w:szCs w:val="22"/>
    </w:rPr>
  </w:style>
  <w:style w:type="paragraph" w:customStyle="1" w:styleId="N5-5thBullet">
    <w:name w:val="N5-5th Bullet"/>
    <w:basedOn w:val="Normal"/>
    <w:uiPriority w:val="99"/>
    <w:rsid w:val="00AA56FF"/>
    <w:pPr>
      <w:tabs>
        <w:tab w:val="left" w:pos="3456"/>
      </w:tabs>
      <w:spacing w:after="240" w:line="240" w:lineRule="atLeast"/>
      <w:ind w:left="3456" w:hanging="576"/>
      <w:jc w:val="both"/>
    </w:pPr>
    <w:rPr>
      <w:sz w:val="22"/>
      <w:szCs w:val="22"/>
    </w:rPr>
  </w:style>
  <w:style w:type="paragraph" w:customStyle="1" w:styleId="N6-DateInd">
    <w:name w:val="N6-Date Ind."/>
    <w:basedOn w:val="Normal"/>
    <w:uiPriority w:val="99"/>
    <w:rsid w:val="00AA56FF"/>
    <w:pPr>
      <w:tabs>
        <w:tab w:val="left" w:pos="5400"/>
      </w:tabs>
      <w:spacing w:line="240" w:lineRule="atLeast"/>
      <w:ind w:left="5400"/>
      <w:jc w:val="both"/>
    </w:pPr>
    <w:rPr>
      <w:sz w:val="22"/>
      <w:szCs w:val="22"/>
    </w:rPr>
  </w:style>
  <w:style w:type="paragraph" w:customStyle="1" w:styleId="N7-3Block">
    <w:name w:val="N7-3&quot; Block"/>
    <w:basedOn w:val="Normal"/>
    <w:uiPriority w:val="99"/>
    <w:rsid w:val="00AA56FF"/>
    <w:pPr>
      <w:tabs>
        <w:tab w:val="left" w:pos="1152"/>
      </w:tabs>
      <w:spacing w:line="240" w:lineRule="atLeast"/>
      <w:ind w:left="1152" w:right="1152"/>
      <w:jc w:val="both"/>
    </w:pPr>
    <w:rPr>
      <w:sz w:val="22"/>
      <w:szCs w:val="22"/>
    </w:rPr>
  </w:style>
  <w:style w:type="paragraph" w:customStyle="1" w:styleId="N8-QxQBlock">
    <w:name w:val="N8-QxQ Block"/>
    <w:uiPriority w:val="99"/>
    <w:rsid w:val="00AA56FF"/>
    <w:pPr>
      <w:tabs>
        <w:tab w:val="left" w:pos="1152"/>
      </w:tabs>
      <w:spacing w:after="360" w:line="360" w:lineRule="atLeast"/>
      <w:ind w:left="1152" w:hanging="1152"/>
      <w:jc w:val="both"/>
    </w:pPr>
  </w:style>
  <w:style w:type="paragraph" w:customStyle="1" w:styleId="Q1-BestFinQ">
    <w:name w:val="Q1-Best/Fin Q"/>
    <w:uiPriority w:val="99"/>
    <w:rsid w:val="00AA56FF"/>
    <w:pPr>
      <w:tabs>
        <w:tab w:val="left" w:pos="1152"/>
      </w:tabs>
      <w:spacing w:after="360" w:line="240" w:lineRule="atLeast"/>
      <w:ind w:left="1152" w:hanging="1152"/>
      <w:jc w:val="both"/>
    </w:pPr>
    <w:rPr>
      <w:b/>
      <w:bCs/>
    </w:rPr>
  </w:style>
  <w:style w:type="paragraph" w:customStyle="1" w:styleId="T0-ChapPgHd">
    <w:name w:val="T0-Chap/Pg Hd"/>
    <w:uiPriority w:val="99"/>
    <w:rsid w:val="00AA56FF"/>
    <w:pPr>
      <w:tabs>
        <w:tab w:val="left" w:pos="8640"/>
      </w:tabs>
      <w:spacing w:line="240" w:lineRule="atLeast"/>
      <w:jc w:val="both"/>
    </w:pPr>
    <w:rPr>
      <w:u w:val="words"/>
    </w:rPr>
  </w:style>
  <w:style w:type="paragraph" w:customStyle="1" w:styleId="CT-ContractInformation">
    <w:name w:val="CT-Contract Information"/>
    <w:uiPriority w:val="99"/>
    <w:rsid w:val="00AA56FF"/>
    <w:pPr>
      <w:tabs>
        <w:tab w:val="left" w:pos="1958"/>
      </w:tabs>
      <w:spacing w:line="240" w:lineRule="exact"/>
    </w:pPr>
    <w:rPr>
      <w:vanish/>
    </w:rPr>
  </w:style>
  <w:style w:type="paragraph" w:customStyle="1" w:styleId="R1-ResPara">
    <w:name w:val="R1-Res. Para"/>
    <w:uiPriority w:val="99"/>
    <w:rsid w:val="00AA56FF"/>
    <w:pPr>
      <w:spacing w:line="240" w:lineRule="exact"/>
      <w:ind w:left="288"/>
      <w:jc w:val="both"/>
    </w:pPr>
  </w:style>
  <w:style w:type="paragraph" w:customStyle="1" w:styleId="R2-ResBullet">
    <w:name w:val="R2-Res Bullet"/>
    <w:uiPriority w:val="99"/>
    <w:rsid w:val="00AA56FF"/>
    <w:pPr>
      <w:tabs>
        <w:tab w:val="left" w:pos="720"/>
      </w:tabs>
      <w:spacing w:line="240" w:lineRule="exact"/>
      <w:ind w:left="720" w:hanging="432"/>
      <w:jc w:val="both"/>
    </w:pPr>
  </w:style>
  <w:style w:type="paragraph" w:customStyle="1" w:styleId="RF-Reference">
    <w:name w:val="RF-Reference"/>
    <w:uiPriority w:val="99"/>
    <w:rsid w:val="00AA56FF"/>
    <w:pPr>
      <w:spacing w:line="240" w:lineRule="exact"/>
      <w:ind w:left="216" w:hanging="216"/>
    </w:pPr>
  </w:style>
  <w:style w:type="paragraph" w:customStyle="1" w:styleId="RH-SglSpHead">
    <w:name w:val="RH-Sgl Sp Head"/>
    <w:basedOn w:val="Normal"/>
    <w:next w:val="RL-FlLftSgl"/>
    <w:uiPriority w:val="99"/>
    <w:rsid w:val="00AA56FF"/>
    <w:pPr>
      <w:keepNext/>
      <w:pBdr>
        <w:bottom w:val="double" w:sz="6" w:space="1" w:color="auto"/>
      </w:pBdr>
      <w:spacing w:after="480" w:line="240" w:lineRule="exact"/>
    </w:pPr>
    <w:rPr>
      <w:b/>
      <w:bCs/>
      <w:sz w:val="22"/>
      <w:szCs w:val="22"/>
    </w:rPr>
  </w:style>
  <w:style w:type="paragraph" w:customStyle="1" w:styleId="RL-FlLftSgl">
    <w:name w:val="RL-Fl Lft Sgl"/>
    <w:basedOn w:val="Normal"/>
    <w:uiPriority w:val="99"/>
    <w:rsid w:val="00AA56FF"/>
    <w:pPr>
      <w:keepNext/>
      <w:spacing w:line="240" w:lineRule="exact"/>
      <w:jc w:val="both"/>
    </w:pPr>
    <w:rPr>
      <w:b/>
      <w:bCs/>
      <w:sz w:val="22"/>
      <w:szCs w:val="22"/>
    </w:rPr>
  </w:style>
  <w:style w:type="paragraph" w:customStyle="1" w:styleId="SU-FlLftUndln">
    <w:name w:val="SU-Fl Lft Undln"/>
    <w:uiPriority w:val="99"/>
    <w:rsid w:val="00AA56FF"/>
    <w:pPr>
      <w:keepNext/>
      <w:spacing w:line="240" w:lineRule="exact"/>
    </w:pPr>
    <w:rPr>
      <w:u w:val="single"/>
    </w:rPr>
  </w:style>
  <w:style w:type="paragraph" w:styleId="BalloonText">
    <w:name w:val="Balloon Text"/>
    <w:basedOn w:val="Normal"/>
    <w:link w:val="BalloonTextChar"/>
    <w:uiPriority w:val="99"/>
    <w:semiHidden/>
    <w:rsid w:val="00AA56FF"/>
    <w:pPr>
      <w:spacing w:line="240" w:lineRule="atLeast"/>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56FF"/>
    <w:rPr>
      <w:sz w:val="2"/>
      <w:szCs w:val="2"/>
    </w:rPr>
  </w:style>
  <w:style w:type="character" w:customStyle="1" w:styleId="txtparagraph1">
    <w:name w:val="txtparagraph1"/>
    <w:basedOn w:val="DefaultParagraphFont"/>
    <w:uiPriority w:val="99"/>
    <w:rsid w:val="00AA56FF"/>
    <w:rPr>
      <w:rFonts w:ascii="Arial" w:hAnsi="Arial" w:cs="Arial"/>
      <w:color w:val="333333"/>
      <w:sz w:val="18"/>
      <w:szCs w:val="18"/>
    </w:rPr>
  </w:style>
  <w:style w:type="paragraph" w:styleId="HTMLPreformatted">
    <w:name w:val="HTML Preformatted"/>
    <w:basedOn w:val="Normal"/>
    <w:link w:val="HTMLPreformattedChar"/>
    <w:uiPriority w:val="99"/>
    <w:rsid w:val="00AA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AA56FF"/>
    <w:rPr>
      <w:rFonts w:ascii="Courier New" w:hAnsi="Courier New" w:cs="Courier New"/>
    </w:rPr>
  </w:style>
  <w:style w:type="character" w:customStyle="1" w:styleId="txtfacultyphone1">
    <w:name w:val="txtfacultyphone1"/>
    <w:basedOn w:val="DefaultParagraphFont"/>
    <w:uiPriority w:val="99"/>
    <w:rsid w:val="00AA56FF"/>
    <w:rPr>
      <w:rFonts w:ascii="Arial" w:hAnsi="Arial" w:cs="Arial"/>
      <w:color w:val="656565"/>
      <w:sz w:val="20"/>
      <w:szCs w:val="20"/>
    </w:rPr>
  </w:style>
  <w:style w:type="paragraph" w:customStyle="1" w:styleId="Exhibittitle">
    <w:name w:val="Exhibit title"/>
    <w:basedOn w:val="TT-TableTitle"/>
    <w:next w:val="SL-FlLftSgl"/>
    <w:autoRedefine/>
    <w:uiPriority w:val="99"/>
    <w:rsid w:val="00AA56FF"/>
    <w:pPr>
      <w:ind w:firstLine="0"/>
      <w:jc w:val="center"/>
    </w:pPr>
  </w:style>
  <w:style w:type="paragraph" w:styleId="TOC5">
    <w:name w:val="toc 5"/>
    <w:basedOn w:val="Normal"/>
    <w:next w:val="Normal"/>
    <w:autoRedefine/>
    <w:uiPriority w:val="99"/>
    <w:semiHidden/>
    <w:rsid w:val="00AA56FF"/>
    <w:pPr>
      <w:ind w:left="800"/>
    </w:pPr>
  </w:style>
  <w:style w:type="paragraph" w:styleId="TOC3">
    <w:name w:val="toc 3"/>
    <w:basedOn w:val="Normal"/>
    <w:next w:val="Normal"/>
    <w:autoRedefine/>
    <w:uiPriority w:val="99"/>
    <w:semiHidden/>
    <w:rsid w:val="00AA56FF"/>
    <w:pPr>
      <w:ind w:left="400"/>
    </w:pPr>
  </w:style>
  <w:style w:type="paragraph" w:styleId="TOC4">
    <w:name w:val="toc 4"/>
    <w:basedOn w:val="Normal"/>
    <w:next w:val="Normal"/>
    <w:autoRedefine/>
    <w:uiPriority w:val="99"/>
    <w:semiHidden/>
    <w:rsid w:val="00AA56FF"/>
    <w:pPr>
      <w:ind w:left="600"/>
    </w:pPr>
  </w:style>
  <w:style w:type="paragraph" w:styleId="NormalWeb">
    <w:name w:val="Normal (Web)"/>
    <w:basedOn w:val="Normal"/>
    <w:uiPriority w:val="99"/>
    <w:rsid w:val="00AA56FF"/>
    <w:pPr>
      <w:spacing w:before="100" w:beforeAutospacing="1" w:after="100" w:afterAutospacing="1"/>
    </w:pPr>
    <w:rPr>
      <w:sz w:val="24"/>
      <w:szCs w:val="24"/>
    </w:rPr>
  </w:style>
  <w:style w:type="paragraph" w:styleId="TOC9">
    <w:name w:val="toc 9"/>
    <w:basedOn w:val="Normal"/>
    <w:next w:val="Normal"/>
    <w:autoRedefine/>
    <w:uiPriority w:val="99"/>
    <w:semiHidden/>
    <w:rsid w:val="00AA56FF"/>
    <w:pPr>
      <w:ind w:left="1600"/>
    </w:pPr>
  </w:style>
  <w:style w:type="character" w:styleId="LineNumber">
    <w:name w:val="line number"/>
    <w:basedOn w:val="DefaultParagraphFont"/>
    <w:uiPriority w:val="99"/>
    <w:rsid w:val="00AA56FF"/>
  </w:style>
  <w:style w:type="character" w:customStyle="1" w:styleId="SD">
    <w:name w:val="SD"/>
    <w:basedOn w:val="DefaultParagraphFont"/>
    <w:uiPriority w:val="99"/>
    <w:rsid w:val="00AA56FF"/>
    <w:rPr>
      <w:rFonts w:ascii="Arial" w:hAnsi="Arial" w:cs="Arial"/>
      <w:sz w:val="20"/>
      <w:szCs w:val="20"/>
      <w:lang w:val="en-US"/>
    </w:rPr>
  </w:style>
  <w:style w:type="paragraph" w:customStyle="1" w:styleId="Q1">
    <w:name w:val="Q1"/>
    <w:uiPriority w:val="99"/>
    <w:rsid w:val="00AA56FF"/>
    <w:pPr>
      <w:widowControl w:val="0"/>
      <w:tabs>
        <w:tab w:val="left" w:pos="0"/>
        <w:tab w:val="left" w:pos="1195"/>
      </w:tabs>
      <w:suppressAutoHyphens/>
      <w:ind w:left="1195" w:hanging="1195"/>
      <w:jc w:val="both"/>
    </w:pPr>
    <w:rPr>
      <w:rFonts w:ascii="CG Times" w:hAnsi="CG Times" w:cs="CG Times"/>
      <w:spacing w:val="-2"/>
    </w:rPr>
  </w:style>
  <w:style w:type="character" w:customStyle="1" w:styleId="SC">
    <w:name w:val="SC"/>
    <w:basedOn w:val="DefaultParagraphFont"/>
    <w:uiPriority w:val="99"/>
    <w:rsid w:val="00AA56FF"/>
    <w:rPr>
      <w:rFonts w:ascii="CG Times" w:hAnsi="CG Times" w:cs="CG Times"/>
      <w:smallCaps/>
      <w:sz w:val="22"/>
      <w:szCs w:val="22"/>
      <w:lang w:val="en-US"/>
    </w:rPr>
  </w:style>
  <w:style w:type="paragraph" w:styleId="Subtitle">
    <w:name w:val="Subtitle"/>
    <w:basedOn w:val="Normal"/>
    <w:link w:val="SubtitleChar"/>
    <w:uiPriority w:val="99"/>
    <w:qFormat/>
    <w:rsid w:val="00AA56FF"/>
    <w:pPr>
      <w:tabs>
        <w:tab w:val="left" w:pos="-720"/>
        <w:tab w:val="left" w:pos="0"/>
        <w:tab w:val="left" w:pos="720"/>
        <w:tab w:val="left" w:pos="1440"/>
        <w:tab w:val="left" w:pos="2160"/>
        <w:tab w:val="right" w:leader="dot" w:pos="7200"/>
        <w:tab w:val="left" w:pos="7488"/>
      </w:tabs>
      <w:suppressAutoHyphens/>
      <w:ind w:right="-792"/>
    </w:pPr>
    <w:rPr>
      <w:rFonts w:ascii="Univers" w:hAnsi="Univers" w:cs="Univers"/>
      <w:i/>
      <w:iCs/>
    </w:rPr>
  </w:style>
  <w:style w:type="character" w:customStyle="1" w:styleId="SubtitleChar">
    <w:name w:val="Subtitle Char"/>
    <w:basedOn w:val="DefaultParagraphFont"/>
    <w:link w:val="Subtitle"/>
    <w:uiPriority w:val="99"/>
    <w:rsid w:val="00AA56FF"/>
    <w:rPr>
      <w:rFonts w:ascii="Cambria" w:hAnsi="Cambria" w:cs="Cambria"/>
      <w:sz w:val="24"/>
      <w:szCs w:val="24"/>
    </w:rPr>
  </w:style>
  <w:style w:type="paragraph" w:styleId="BodyTextIndent3">
    <w:name w:val="Body Text Indent 3"/>
    <w:basedOn w:val="Normal"/>
    <w:link w:val="BodyTextIndent3Char"/>
    <w:uiPriority w:val="99"/>
    <w:rsid w:val="00AA56FF"/>
    <w:pPr>
      <w:tabs>
        <w:tab w:val="left" w:pos="-720"/>
        <w:tab w:val="left" w:pos="0"/>
        <w:tab w:val="left" w:pos="720"/>
        <w:tab w:val="left" w:pos="1440"/>
        <w:tab w:val="left" w:pos="2160"/>
        <w:tab w:val="right" w:leader="dot" w:pos="7200"/>
        <w:tab w:val="left" w:pos="7488"/>
      </w:tabs>
      <w:suppressAutoHyphens/>
      <w:ind w:left="1440" w:hanging="1440"/>
      <w:jc w:val="both"/>
    </w:pPr>
    <w:rPr>
      <w:rFonts w:ascii="Univers" w:hAnsi="Univers" w:cs="Univers"/>
    </w:rPr>
  </w:style>
  <w:style w:type="character" w:customStyle="1" w:styleId="BodyTextIndent3Char">
    <w:name w:val="Body Text Indent 3 Char"/>
    <w:basedOn w:val="DefaultParagraphFont"/>
    <w:link w:val="BodyTextIndent3"/>
    <w:uiPriority w:val="99"/>
    <w:semiHidden/>
    <w:rsid w:val="00AA56FF"/>
    <w:rPr>
      <w:sz w:val="16"/>
      <w:szCs w:val="16"/>
    </w:rPr>
  </w:style>
  <w:style w:type="paragraph" w:styleId="BlockText">
    <w:name w:val="Block Text"/>
    <w:basedOn w:val="Normal"/>
    <w:uiPriority w:val="99"/>
    <w:rsid w:val="00AA56FF"/>
    <w:pPr>
      <w:pBdr>
        <w:top w:val="double" w:sz="4" w:space="1" w:color="auto"/>
        <w:left w:val="double" w:sz="4" w:space="4" w:color="auto"/>
        <w:bottom w:val="double" w:sz="4" w:space="1" w:color="auto"/>
        <w:right w:val="double" w:sz="4" w:space="4" w:color="auto"/>
      </w:pBdr>
      <w:tabs>
        <w:tab w:val="left" w:pos="-720"/>
        <w:tab w:val="left" w:pos="0"/>
        <w:tab w:val="left" w:pos="720"/>
        <w:tab w:val="left" w:pos="2160"/>
        <w:tab w:val="right" w:leader="dot" w:pos="7200"/>
        <w:tab w:val="left" w:pos="7488"/>
      </w:tabs>
      <w:suppressAutoHyphens/>
      <w:ind w:left="2160" w:right="2160"/>
      <w:jc w:val="center"/>
    </w:pPr>
    <w:rPr>
      <w:rFonts w:ascii="Arial" w:hAnsi="Arial" w:cs="Arial"/>
      <w:i/>
      <w:iCs/>
    </w:rPr>
  </w:style>
  <w:style w:type="paragraph" w:styleId="BodyText3">
    <w:name w:val="Body Text 3"/>
    <w:basedOn w:val="Normal"/>
    <w:link w:val="BodyText3Char"/>
    <w:uiPriority w:val="99"/>
    <w:rsid w:val="00AA56FF"/>
    <w:pPr>
      <w:tabs>
        <w:tab w:val="left" w:pos="-720"/>
        <w:tab w:val="left" w:pos="0"/>
        <w:tab w:val="left" w:pos="720"/>
        <w:tab w:val="left" w:pos="1440"/>
        <w:tab w:val="left" w:pos="2160"/>
        <w:tab w:val="right" w:leader="dot" w:pos="7200"/>
        <w:tab w:val="left" w:pos="7488"/>
      </w:tabs>
      <w:suppressAutoHyphens/>
      <w:ind w:right="72"/>
    </w:pPr>
    <w:rPr>
      <w:rFonts w:ascii="Arial" w:hAnsi="Arial" w:cs="Arial"/>
      <w:sz w:val="16"/>
      <w:szCs w:val="16"/>
    </w:rPr>
  </w:style>
  <w:style w:type="character" w:customStyle="1" w:styleId="BodyText3Char">
    <w:name w:val="Body Text 3 Char"/>
    <w:basedOn w:val="DefaultParagraphFont"/>
    <w:link w:val="BodyText3"/>
    <w:uiPriority w:val="99"/>
    <w:semiHidden/>
    <w:rsid w:val="00AA56FF"/>
    <w:rPr>
      <w:sz w:val="16"/>
      <w:szCs w:val="16"/>
    </w:rPr>
  </w:style>
  <w:style w:type="character" w:customStyle="1" w:styleId="kwang">
    <w:name w:val="kwang"/>
    <w:basedOn w:val="DefaultParagraphFont"/>
    <w:uiPriority w:val="99"/>
    <w:rsid w:val="00AA56FF"/>
    <w:rPr>
      <w:rFonts w:ascii="Arial" w:hAnsi="Arial" w:cs="Arial"/>
      <w:b/>
      <w:bCs/>
      <w:smallCaps/>
      <w:sz w:val="20"/>
      <w:szCs w:val="20"/>
    </w:rPr>
  </w:style>
  <w:style w:type="paragraph" w:customStyle="1" w:styleId="C1-CtrSglSp">
    <w:name w:val="C1-Ctr Sgl Sp"/>
    <w:uiPriority w:val="99"/>
    <w:rsid w:val="00AA56FF"/>
    <w:pPr>
      <w:keepLines/>
      <w:spacing w:line="240" w:lineRule="atLeast"/>
      <w:jc w:val="center"/>
    </w:pPr>
    <w:rPr>
      <w:rFonts w:ascii="CG Times (WN)" w:hAnsi="CG Times (WN)" w:cs="CG Times (WN)"/>
    </w:rPr>
  </w:style>
  <w:style w:type="paragraph" w:customStyle="1" w:styleId="N9-DateInd">
    <w:name w:val="N9-Date Ind."/>
    <w:uiPriority w:val="99"/>
    <w:rsid w:val="00AA56FF"/>
    <w:pPr>
      <w:tabs>
        <w:tab w:val="left" w:pos="5400"/>
      </w:tabs>
      <w:spacing w:line="240" w:lineRule="atLeast"/>
      <w:ind w:left="6005" w:hanging="605"/>
      <w:jc w:val="both"/>
    </w:pPr>
    <w:rPr>
      <w:rFonts w:ascii="CG Times (WN)" w:hAnsi="CG Times (WN)" w:cs="CG Times (WN)"/>
    </w:rPr>
  </w:style>
  <w:style w:type="character" w:styleId="Emphasis">
    <w:name w:val="Emphasis"/>
    <w:basedOn w:val="DefaultParagraphFont"/>
    <w:uiPriority w:val="99"/>
    <w:qFormat/>
    <w:rsid w:val="00AA56FF"/>
    <w:rPr>
      <w:i/>
      <w:iCs/>
    </w:rPr>
  </w:style>
  <w:style w:type="paragraph" w:customStyle="1" w:styleId="Footnotetext0">
    <w:name w:val="Footnote text"/>
    <w:uiPriority w:val="99"/>
    <w:rsid w:val="00AA56FF"/>
    <w:pPr>
      <w:widowControl w:val="0"/>
      <w:suppressAutoHyphens/>
    </w:pPr>
    <w:rPr>
      <w:rFonts w:ascii="Modern" w:hAnsi="Modern" w:cs="Modern"/>
      <w:sz w:val="20"/>
      <w:szCs w:val="20"/>
    </w:rPr>
  </w:style>
  <w:style w:type="paragraph" w:styleId="EnvelopeReturn">
    <w:name w:val="envelope return"/>
    <w:basedOn w:val="Normal"/>
    <w:uiPriority w:val="99"/>
    <w:rsid w:val="00AA56FF"/>
    <w:pPr>
      <w:widowControl w:val="0"/>
      <w:tabs>
        <w:tab w:val="left" w:pos="-720"/>
      </w:tabs>
      <w:suppressAutoHyphens/>
      <w:jc w:val="both"/>
    </w:pPr>
    <w:rPr>
      <w:spacing w:val="-2"/>
    </w:rPr>
  </w:style>
  <w:style w:type="paragraph" w:customStyle="1" w:styleId="Footnoterefer">
    <w:name w:val="Footnote refer"/>
    <w:uiPriority w:val="99"/>
    <w:rsid w:val="00AA56FF"/>
    <w:pPr>
      <w:tabs>
        <w:tab w:val="left" w:pos="-720"/>
      </w:tabs>
      <w:suppressAutoHyphens/>
    </w:pPr>
    <w:rPr>
      <w:rFonts w:ascii="Modern" w:hAnsi="Modern" w:cs="Modern"/>
      <w:sz w:val="18"/>
      <w:szCs w:val="18"/>
      <w:vertAlign w:val="superscript"/>
    </w:rPr>
  </w:style>
  <w:style w:type="paragraph" w:customStyle="1" w:styleId="F2-Footnote2">
    <w:name w:val="F2-Footnote2"/>
    <w:uiPriority w:val="99"/>
    <w:rsid w:val="00AA56FF"/>
    <w:pPr>
      <w:tabs>
        <w:tab w:val="left" w:pos="0"/>
        <w:tab w:val="left" w:pos="240"/>
        <w:tab w:val="left" w:pos="720"/>
      </w:tabs>
      <w:suppressAutoHyphens/>
      <w:jc w:val="both"/>
    </w:pPr>
    <w:rPr>
      <w:spacing w:val="-2"/>
      <w:sz w:val="16"/>
      <w:szCs w:val="16"/>
    </w:rPr>
  </w:style>
  <w:style w:type="character" w:customStyle="1" w:styleId="MTEquationSection">
    <w:name w:val="MTEquationSection"/>
    <w:basedOn w:val="DefaultParagraphFont"/>
    <w:uiPriority w:val="99"/>
    <w:rsid w:val="00AA56FF"/>
    <w:rPr>
      <w:b/>
      <w:bCs/>
      <w:vanish/>
      <w:color w:val="FF0000"/>
    </w:rPr>
  </w:style>
  <w:style w:type="character" w:customStyle="1" w:styleId="P1-StandParaChar">
    <w:name w:val="P1-Stand Para Char"/>
    <w:basedOn w:val="DefaultParagraphFont"/>
    <w:uiPriority w:val="99"/>
    <w:rsid w:val="00AA56FF"/>
    <w:rPr>
      <w:sz w:val="22"/>
      <w:szCs w:val="22"/>
      <w:lang w:val="en-US" w:eastAsia="en-US"/>
    </w:rPr>
  </w:style>
  <w:style w:type="paragraph" w:styleId="PlainText">
    <w:name w:val="Plain Text"/>
    <w:basedOn w:val="Normal"/>
    <w:link w:val="PlainTextChar"/>
    <w:uiPriority w:val="99"/>
    <w:rsid w:val="00AA56FF"/>
    <w:rPr>
      <w:rFonts w:ascii="Courier New" w:hAnsi="Courier New" w:cs="Courier New"/>
    </w:rPr>
  </w:style>
  <w:style w:type="character" w:customStyle="1" w:styleId="PlainTextChar">
    <w:name w:val="Plain Text Char"/>
    <w:basedOn w:val="DefaultParagraphFont"/>
    <w:link w:val="PlainText"/>
    <w:uiPriority w:val="99"/>
    <w:semiHidden/>
    <w:rsid w:val="00AA56FF"/>
    <w:rPr>
      <w:rFonts w:ascii="Courier New" w:hAnsi="Courier New" w:cs="Courier New"/>
    </w:rPr>
  </w:style>
  <w:style w:type="paragraph" w:customStyle="1" w:styleId="FootnoteTable">
    <w:name w:val="Footnote Table"/>
    <w:basedOn w:val="FootnoteText"/>
    <w:uiPriority w:val="99"/>
    <w:rsid w:val="00AA56FF"/>
    <w:pPr>
      <w:spacing w:before="0" w:line="240" w:lineRule="atLeast"/>
      <w:ind w:left="0" w:firstLine="0"/>
    </w:pPr>
    <w:rPr>
      <w:sz w:val="22"/>
      <w:szCs w:val="22"/>
    </w:rPr>
  </w:style>
  <w:style w:type="paragraph" w:customStyle="1" w:styleId="CharCharCharCharCharCharCharChar">
    <w:name w:val="Char Char Char Char Char Char Char Char"/>
    <w:basedOn w:val="Normal"/>
    <w:uiPriority w:val="99"/>
    <w:rsid w:val="00AA56FF"/>
    <w:pPr>
      <w:spacing w:before="80" w:after="80"/>
      <w:ind w:left="4320"/>
      <w:jc w:val="both"/>
    </w:pPr>
    <w:rPr>
      <w:rFonts w:ascii="Arial" w:hAnsi="Arial" w:cs="Arial"/>
    </w:rPr>
  </w:style>
  <w:style w:type="character" w:customStyle="1" w:styleId="N1-1stBulletChar">
    <w:name w:val="N1-1st Bullet Char"/>
    <w:basedOn w:val="DefaultParagraphFont"/>
    <w:uiPriority w:val="99"/>
    <w:rsid w:val="00AA56FF"/>
    <w:rPr>
      <w:sz w:val="22"/>
      <w:szCs w:val="22"/>
      <w:lang w:val="en-US" w:eastAsia="en-US"/>
    </w:rPr>
  </w:style>
  <w:style w:type="character" w:styleId="Strong">
    <w:name w:val="Strong"/>
    <w:basedOn w:val="DefaultParagraphFont"/>
    <w:uiPriority w:val="99"/>
    <w:qFormat/>
    <w:rsid w:val="00AA56FF"/>
    <w:rPr>
      <w:b/>
      <w:bCs/>
    </w:rPr>
  </w:style>
  <w:style w:type="character" w:customStyle="1" w:styleId="contentpage-bodytext1">
    <w:name w:val="contentpage-bodytext1"/>
    <w:basedOn w:val="DefaultParagraphFont"/>
    <w:uiPriority w:val="99"/>
    <w:rsid w:val="00AA56FF"/>
    <w:rPr>
      <w:rFonts w:ascii="Georgia" w:hAnsi="Georgia" w:cs="Georgia"/>
      <w:color w:val="3A3838"/>
      <w:sz w:val="20"/>
      <w:szCs w:val="20"/>
    </w:rPr>
  </w:style>
  <w:style w:type="paragraph" w:customStyle="1" w:styleId="Default">
    <w:name w:val="Default"/>
    <w:uiPriority w:val="99"/>
    <w:rsid w:val="00AA56FF"/>
    <w:pPr>
      <w:autoSpaceDE w:val="0"/>
      <w:autoSpaceDN w:val="0"/>
      <w:adjustRightInd w:val="0"/>
    </w:pPr>
    <w:rPr>
      <w:rFonts w:ascii="TimesNewRoman" w:hAnsi="TimesNewRoman" w:cs="TimesNewRoman"/>
      <w:sz w:val="20"/>
      <w:szCs w:val="20"/>
    </w:rPr>
  </w:style>
  <w:style w:type="character" w:styleId="CommentReference">
    <w:name w:val="annotation reference"/>
    <w:basedOn w:val="DefaultParagraphFont"/>
    <w:uiPriority w:val="99"/>
    <w:semiHidden/>
    <w:rsid w:val="00AA56FF"/>
    <w:rPr>
      <w:sz w:val="16"/>
      <w:szCs w:val="16"/>
    </w:rPr>
  </w:style>
  <w:style w:type="paragraph" w:styleId="CommentText">
    <w:name w:val="annotation text"/>
    <w:basedOn w:val="Normal"/>
    <w:link w:val="CommentTextChar"/>
    <w:uiPriority w:val="99"/>
    <w:semiHidden/>
    <w:rsid w:val="00AA56FF"/>
  </w:style>
  <w:style w:type="character" w:customStyle="1" w:styleId="CommentTextChar">
    <w:name w:val="Comment Text Char"/>
    <w:basedOn w:val="DefaultParagraphFont"/>
    <w:link w:val="CommentText"/>
    <w:uiPriority w:val="99"/>
    <w:rsid w:val="00AA56FF"/>
  </w:style>
  <w:style w:type="paragraph" w:styleId="CommentSubject">
    <w:name w:val="annotation subject"/>
    <w:basedOn w:val="CommentText"/>
    <w:next w:val="CommentText"/>
    <w:link w:val="CommentSubjectChar"/>
    <w:uiPriority w:val="99"/>
    <w:semiHidden/>
    <w:rsid w:val="00AA56FF"/>
    <w:rPr>
      <w:b/>
      <w:bCs/>
    </w:rPr>
  </w:style>
  <w:style w:type="character" w:customStyle="1" w:styleId="CommentSubjectChar">
    <w:name w:val="Comment Subject Char"/>
    <w:basedOn w:val="CommentTextChar"/>
    <w:link w:val="CommentSubject"/>
    <w:uiPriority w:val="99"/>
    <w:semiHidden/>
    <w:rsid w:val="00AA56FF"/>
    <w:rPr>
      <w:b/>
      <w:bCs/>
    </w:rPr>
  </w:style>
  <w:style w:type="paragraph" w:customStyle="1" w:styleId="CharCharCharCharCharCharCharChar1">
    <w:name w:val="Char Char Char Char Char Char Char Char1"/>
    <w:basedOn w:val="Normal"/>
    <w:uiPriority w:val="99"/>
    <w:rsid w:val="00D56BC6"/>
    <w:pPr>
      <w:spacing w:before="80" w:after="80"/>
      <w:ind w:left="432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594170293">
      <w:marLeft w:val="0"/>
      <w:marRight w:val="0"/>
      <w:marTop w:val="0"/>
      <w:marBottom w:val="0"/>
      <w:divBdr>
        <w:top w:val="none" w:sz="0" w:space="0" w:color="auto"/>
        <w:left w:val="none" w:sz="0" w:space="0" w:color="auto"/>
        <w:bottom w:val="none" w:sz="0" w:space="0" w:color="auto"/>
        <w:right w:val="none" w:sz="0" w:space="0" w:color="auto"/>
      </w:divBdr>
    </w:div>
    <w:div w:id="1594170294">
      <w:marLeft w:val="0"/>
      <w:marRight w:val="0"/>
      <w:marTop w:val="0"/>
      <w:marBottom w:val="0"/>
      <w:divBdr>
        <w:top w:val="none" w:sz="0" w:space="0" w:color="auto"/>
        <w:left w:val="none" w:sz="0" w:space="0" w:color="auto"/>
        <w:bottom w:val="none" w:sz="0" w:space="0" w:color="auto"/>
        <w:right w:val="none" w:sz="0" w:space="0" w:color="auto"/>
      </w:divBdr>
    </w:div>
    <w:div w:id="1594170295">
      <w:marLeft w:val="0"/>
      <w:marRight w:val="0"/>
      <w:marTop w:val="0"/>
      <w:marBottom w:val="0"/>
      <w:divBdr>
        <w:top w:val="none" w:sz="0" w:space="0" w:color="auto"/>
        <w:left w:val="none" w:sz="0" w:space="0" w:color="auto"/>
        <w:bottom w:val="none" w:sz="0" w:space="0" w:color="auto"/>
        <w:right w:val="none" w:sz="0" w:space="0" w:color="auto"/>
      </w:divBdr>
    </w:div>
    <w:div w:id="1594170296">
      <w:marLeft w:val="0"/>
      <w:marRight w:val="0"/>
      <w:marTop w:val="0"/>
      <w:marBottom w:val="0"/>
      <w:divBdr>
        <w:top w:val="none" w:sz="0" w:space="0" w:color="auto"/>
        <w:left w:val="none" w:sz="0" w:space="0" w:color="auto"/>
        <w:bottom w:val="none" w:sz="0" w:space="0" w:color="auto"/>
        <w:right w:val="none" w:sz="0" w:space="0" w:color="auto"/>
      </w:divBdr>
    </w:div>
    <w:div w:id="15941702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yperlink" Target="mailto:pbeatty@cdc.gov" TargetMode="External"/><Relationship Id="rId26" Type="http://schemas.openxmlformats.org/officeDocument/2006/relationships/hyperlink" Target="mailto:RTourango@survey.umd.edu" TargetMode="External"/><Relationship Id="rId39"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yperlink" Target="mailto:mcouper@umich.edu" TargetMode="External"/><Relationship Id="rId34" Type="http://schemas.openxmlformats.org/officeDocument/2006/relationships/hyperlink" Target="mailto:alareau@sas.upenn.edu" TargetMode="External"/><Relationship Id="rId42" Type="http://schemas.openxmlformats.org/officeDocument/2006/relationships/header" Target="header6.xml"/><Relationship Id="rId7" Type="http://schemas.openxmlformats.org/officeDocument/2006/relationships/image" Target="media/image1.wmf"/><Relationship Id="rId12" Type="http://schemas.openxmlformats.org/officeDocument/2006/relationships/footer" Target="footer3.xml"/><Relationship Id="rId17" Type="http://schemas.openxmlformats.org/officeDocument/2006/relationships/hyperlink" Target="mailto:nancy.a.bates@census.gov" TargetMode="External"/><Relationship Id="rId25" Type="http://schemas.openxmlformats.org/officeDocument/2006/relationships/hyperlink" Target="mailto:kolson5@unl.edu" TargetMode="External"/><Relationship Id="rId33" Type="http://schemas.openxmlformats.org/officeDocument/2006/relationships/hyperlink" Target="mailto:brandon@u.washington.edu" TargetMode="External"/><Relationship Id="rId38" Type="http://schemas.openxmlformats.org/officeDocument/2006/relationships/header" Target="header4.xm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nces.ed.gov/pubsearch/pubsinfo.asp?pubid=2009029" TargetMode="External"/><Relationship Id="rId20" Type="http://schemas.openxmlformats.org/officeDocument/2006/relationships/hyperlink" Target="mailto:stephen.blumberg@cdc.hhs.gov" TargetMode="External"/><Relationship Id="rId29" Type="http://schemas.openxmlformats.org/officeDocument/2006/relationships/hyperlink" Target="mailto:Ann_Collins@abtassociates.com" TargetMode="External"/><Relationship Id="rId41"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mailto:skeeter@pewresearch.org" TargetMode="External"/><Relationship Id="rId32" Type="http://schemas.openxmlformats.org/officeDocument/2006/relationships/hyperlink" Target="mailto:lynda.l.laughlin@census.gov" TargetMode="External"/><Relationship Id="rId37" Type="http://schemas.openxmlformats.org/officeDocument/2006/relationships/header" Target="header3.xml"/><Relationship Id="rId40" Type="http://schemas.openxmlformats.org/officeDocument/2006/relationships/image" Target="media/image2.jpeg"/><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nced.ed.gov/nhes" TargetMode="External"/><Relationship Id="rId23" Type="http://schemas.openxmlformats.org/officeDocument/2006/relationships/hyperlink" Target="mailto:bgroves@isr.umich.edu" TargetMode="External"/><Relationship Id="rId28" Type="http://schemas.openxmlformats.org/officeDocument/2006/relationships/hyperlink" Target="mailto:jwest@mathematica-mpr.com" TargetMode="External"/><Relationship Id="rId36" Type="http://schemas.openxmlformats.org/officeDocument/2006/relationships/hyperlink" Target="mailto:lawrence.aber@nyu.edu" TargetMode="External"/><Relationship Id="rId10" Type="http://schemas.openxmlformats.org/officeDocument/2006/relationships/header" Target="header1.xml"/><Relationship Id="rId19" Type="http://schemas.openxmlformats.org/officeDocument/2006/relationships/hyperlink" Target="mailto:Johnny_Blair@AbtAssoc.com" TargetMode="External"/><Relationship Id="rId31" Type="http://schemas.openxmlformats.org/officeDocument/2006/relationships/hyperlink" Target="mailto:ivelisse.martinezbeck@acf.hhs.gov" TargetMode="External"/><Relationship Id="rId44"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nces.ed.gov/nhes" TargetMode="External"/><Relationship Id="rId22" Type="http://schemas.openxmlformats.org/officeDocument/2006/relationships/hyperlink" Target="mailto:dillman@wsu.edu" TargetMode="External"/><Relationship Id="rId27" Type="http://schemas.openxmlformats.org/officeDocument/2006/relationships/hyperlink" Target="mailto:willisg@mail.nih.gov" TargetMode="External"/><Relationship Id="rId30" Type="http://schemas.openxmlformats.org/officeDocument/2006/relationships/hyperlink" Target="mailto:rhaskins@brookings.edu" TargetMode="External"/><Relationship Id="rId35" Type="http://schemas.openxmlformats.org/officeDocument/2006/relationships/hyperlink" Target="mailto:jepstein@csos.jhu.edu" TargetMode="External"/><Relationship Id="rId43"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TotalTime>
  <Pages>27</Pages>
  <Words>7011</Words>
  <Characters>-32766</Characters>
  <Application>Microsoft Office Outlook</Application>
  <DocSecurity>0</DocSecurity>
  <Lines>0</Lines>
  <Paragraphs>0</Paragraphs>
  <ScaleCrop>false</ScaleCrop>
  <Company>Westat,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WAITS_T</dc:creator>
  <cp:keywords/>
  <dc:description/>
  <cp:lastModifiedBy>Doug</cp:lastModifiedBy>
  <cp:revision>7</cp:revision>
  <cp:lastPrinted>2009-05-26T15:15:00Z</cp:lastPrinted>
  <dcterms:created xsi:type="dcterms:W3CDTF">2009-06-08T12:56:00Z</dcterms:created>
  <dcterms:modified xsi:type="dcterms:W3CDTF">2009-08-06T15:26:00Z</dcterms:modified>
</cp:coreProperties>
</file>