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55" w:rsidRDefault="000F7755">
      <w:pPr>
        <w:pStyle w:val="Title"/>
        <w:rPr>
          <w:b/>
          <w:bCs/>
          <w:sz w:val="28"/>
        </w:rPr>
      </w:pPr>
    </w:p>
    <w:p w:rsidR="000F7755" w:rsidRDefault="000F7755">
      <w:pPr>
        <w:pStyle w:val="Title"/>
        <w:rPr>
          <w:b/>
          <w:bCs/>
          <w:sz w:val="28"/>
        </w:rPr>
      </w:pPr>
    </w:p>
    <w:p w:rsidR="000F7755" w:rsidRDefault="000F7755" w:rsidP="0060198C">
      <w:pPr>
        <w:pStyle w:val="Title"/>
        <w:tabs>
          <w:tab w:val="left" w:pos="720"/>
        </w:tabs>
        <w:rPr>
          <w:b/>
          <w:bCs/>
          <w:sz w:val="28"/>
          <w:szCs w:val="28"/>
        </w:rPr>
      </w:pPr>
      <w:r>
        <w:rPr>
          <w:b/>
          <w:bCs/>
          <w:sz w:val="28"/>
          <w:szCs w:val="28"/>
        </w:rPr>
        <w:t xml:space="preserve">MOVE! Weight Management Program for Veterans </w:t>
      </w:r>
    </w:p>
    <w:p w:rsidR="000F7755" w:rsidRDefault="000F7755" w:rsidP="0060198C">
      <w:pPr>
        <w:pStyle w:val="Title"/>
        <w:tabs>
          <w:tab w:val="left" w:pos="720"/>
        </w:tabs>
        <w:rPr>
          <w:b/>
          <w:bCs/>
          <w:sz w:val="28"/>
          <w:szCs w:val="28"/>
        </w:rPr>
      </w:pPr>
      <w:r>
        <w:rPr>
          <w:b/>
          <w:bCs/>
          <w:sz w:val="28"/>
          <w:szCs w:val="28"/>
        </w:rPr>
        <w:t>Survey of Patient Experiences</w:t>
      </w:r>
    </w:p>
    <w:p w:rsidR="000F7755" w:rsidRDefault="000F7755" w:rsidP="0060198C">
      <w:pPr>
        <w:pStyle w:val="Title"/>
        <w:tabs>
          <w:tab w:val="left" w:pos="720"/>
        </w:tabs>
        <w:rPr>
          <w:b/>
          <w:bCs/>
          <w:sz w:val="28"/>
          <w:szCs w:val="28"/>
        </w:rPr>
      </w:pPr>
    </w:p>
    <w:p w:rsidR="000F7755" w:rsidRDefault="000F7755" w:rsidP="0060198C">
      <w:pPr>
        <w:pStyle w:val="Title"/>
        <w:tabs>
          <w:tab w:val="left" w:pos="720"/>
        </w:tabs>
        <w:rPr>
          <w:b/>
          <w:sz w:val="28"/>
          <w:szCs w:val="28"/>
        </w:rPr>
      </w:pPr>
    </w:p>
    <w:p w:rsidR="000F7755" w:rsidRPr="0060198C" w:rsidRDefault="000F7755" w:rsidP="0060198C">
      <w:pPr>
        <w:pStyle w:val="Title"/>
        <w:tabs>
          <w:tab w:val="left" w:pos="720"/>
        </w:tabs>
        <w:rPr>
          <w:b/>
          <w:sz w:val="28"/>
          <w:szCs w:val="28"/>
        </w:rPr>
      </w:pPr>
    </w:p>
    <w:p w:rsidR="000F7755" w:rsidRPr="00AF6D6B" w:rsidRDefault="000F7755">
      <w:pPr>
        <w:pStyle w:val="Heading1"/>
        <w:tabs>
          <w:tab w:val="left" w:pos="720"/>
        </w:tabs>
        <w:rPr>
          <w:i/>
          <w:szCs w:val="24"/>
        </w:rPr>
      </w:pPr>
      <w:r w:rsidRPr="00AF6D6B">
        <w:rPr>
          <w:i/>
          <w:szCs w:val="24"/>
        </w:rPr>
        <w:t>Introduction</w:t>
      </w:r>
    </w:p>
    <w:p w:rsidR="000F7755" w:rsidRPr="00AF6D6B" w:rsidRDefault="000F7755" w:rsidP="003354A6">
      <w:pPr>
        <w:rPr>
          <w:sz w:val="24"/>
          <w:szCs w:val="24"/>
        </w:rPr>
      </w:pPr>
    </w:p>
    <w:p w:rsidR="000F7755" w:rsidRPr="00AF6D6B" w:rsidRDefault="000F7755" w:rsidP="00AF0194">
      <w:pPr>
        <w:tabs>
          <w:tab w:val="left" w:pos="547"/>
          <w:tab w:val="left" w:pos="1080"/>
          <w:tab w:val="left" w:pos="1627"/>
          <w:tab w:val="left" w:pos="2160"/>
          <w:tab w:val="left" w:pos="2880"/>
        </w:tabs>
        <w:rPr>
          <w:sz w:val="24"/>
          <w:szCs w:val="24"/>
        </w:rPr>
      </w:pPr>
      <w:r>
        <w:rPr>
          <w:sz w:val="24"/>
          <w:szCs w:val="24"/>
        </w:rPr>
        <w:t>As the</w:t>
      </w:r>
      <w:r w:rsidRPr="00AF6D6B">
        <w:rPr>
          <w:sz w:val="24"/>
          <w:szCs w:val="24"/>
        </w:rPr>
        <w:t xml:space="preserve"> Veteran Health Administration’s (VHA) National Program Office responsible for policy and oversight regardin</w:t>
      </w:r>
      <w:r>
        <w:rPr>
          <w:sz w:val="24"/>
          <w:szCs w:val="24"/>
        </w:rPr>
        <w:t xml:space="preserve">g weight management treatment, </w:t>
      </w:r>
      <w:r w:rsidRPr="00AF6D6B">
        <w:rPr>
          <w:sz w:val="24"/>
          <w:szCs w:val="24"/>
        </w:rPr>
        <w:t xml:space="preserve">we will use the information collected through this </w:t>
      </w:r>
      <w:r>
        <w:rPr>
          <w:sz w:val="24"/>
          <w:szCs w:val="24"/>
        </w:rPr>
        <w:t xml:space="preserve">research </w:t>
      </w:r>
      <w:r w:rsidRPr="00AF6D6B">
        <w:rPr>
          <w:sz w:val="24"/>
          <w:szCs w:val="24"/>
        </w:rPr>
        <w:t>study to evaluate and improve the MOVE! Weight Management Program for Veterans.  The MOVE! Weight Management Program for Veterans is a behaviorally-based, supported self-management program governed by VHA Handbook 1101.1</w:t>
      </w:r>
      <w:r w:rsidRPr="00AF6D6B">
        <w:rPr>
          <w:rStyle w:val="EndnoteReference"/>
          <w:sz w:val="24"/>
          <w:szCs w:val="24"/>
        </w:rPr>
        <w:endnoteReference w:id="1"/>
      </w:r>
      <w:r>
        <w:rPr>
          <w:sz w:val="24"/>
          <w:szCs w:val="24"/>
        </w:rPr>
        <w:t xml:space="preserve"> and the </w:t>
      </w:r>
      <w:r w:rsidRPr="00AF6D6B">
        <w:rPr>
          <w:sz w:val="24"/>
          <w:szCs w:val="24"/>
        </w:rPr>
        <w:t>effectiveness of such programs is largely based on patient involvement and engagement, which makes obtaining information about patient program experiences directly from patients critical.  As of September 2009, nearly 204,000 patients have been seen with MOVE! at more than 1,047,000 visits at over 350 sites of care (Medical Centers, Independent Outpatient Clinics, Community Based Outpatient Clinics).</w:t>
      </w:r>
      <w:r w:rsidRPr="00AF6D6B">
        <w:rPr>
          <w:rStyle w:val="EndnoteReference"/>
          <w:sz w:val="24"/>
          <w:szCs w:val="24"/>
        </w:rPr>
        <w:endnoteReference w:id="2"/>
      </w:r>
      <w:r w:rsidRPr="00AF6D6B">
        <w:rPr>
          <w:sz w:val="24"/>
          <w:szCs w:val="24"/>
        </w:rPr>
        <w:t xml:space="preserve"> To date, no systematic investigation of patient experiences with MOVE! has been undertaken.  </w:t>
      </w:r>
    </w:p>
    <w:p w:rsidR="000F7755" w:rsidRPr="00AF6D6B" w:rsidRDefault="000F7755" w:rsidP="00AF0194">
      <w:pPr>
        <w:tabs>
          <w:tab w:val="left" w:pos="547"/>
          <w:tab w:val="left" w:pos="1080"/>
          <w:tab w:val="left" w:pos="1627"/>
          <w:tab w:val="left" w:pos="2160"/>
          <w:tab w:val="left" w:pos="2880"/>
        </w:tabs>
        <w:rPr>
          <w:sz w:val="24"/>
          <w:szCs w:val="24"/>
        </w:rPr>
      </w:pPr>
    </w:p>
    <w:p w:rsidR="000F7755" w:rsidRDefault="000F7755" w:rsidP="005B2AAC">
      <w:pPr>
        <w:tabs>
          <w:tab w:val="left" w:pos="547"/>
          <w:tab w:val="left" w:pos="1080"/>
          <w:tab w:val="left" w:pos="1627"/>
          <w:tab w:val="left" w:pos="2160"/>
          <w:tab w:val="left" w:pos="2880"/>
        </w:tabs>
        <w:rPr>
          <w:sz w:val="24"/>
          <w:szCs w:val="24"/>
        </w:rPr>
      </w:pPr>
      <w:r w:rsidRPr="00AF6D6B">
        <w:rPr>
          <w:sz w:val="24"/>
          <w:szCs w:val="24"/>
        </w:rPr>
        <w:t>The primary purpos</w:t>
      </w:r>
      <w:r>
        <w:rPr>
          <w:sz w:val="24"/>
          <w:szCs w:val="24"/>
        </w:rPr>
        <w:t>e of the survey is to evaluate</w:t>
      </w:r>
      <w:r w:rsidRPr="00AF6D6B">
        <w:rPr>
          <w:sz w:val="24"/>
          <w:szCs w:val="24"/>
        </w:rPr>
        <w:t xml:space="preserve"> overall patient satisfaction with the </w:t>
      </w:r>
      <w:r>
        <w:rPr>
          <w:sz w:val="24"/>
          <w:szCs w:val="24"/>
        </w:rPr>
        <w:t xml:space="preserve">MOVE! </w:t>
      </w:r>
      <w:r w:rsidRPr="00AF6D6B">
        <w:rPr>
          <w:sz w:val="24"/>
          <w:szCs w:val="24"/>
        </w:rPr>
        <w:t>program.  Based on the information we collect, the MOVE! Program will be further refined and improved for local implement</w:t>
      </w:r>
      <w:r>
        <w:rPr>
          <w:sz w:val="24"/>
          <w:szCs w:val="24"/>
        </w:rPr>
        <w:t xml:space="preserve">ation. </w:t>
      </w:r>
      <w:r w:rsidRPr="00AF6D6B">
        <w:rPr>
          <w:sz w:val="24"/>
          <w:szCs w:val="24"/>
        </w:rPr>
        <w:t xml:space="preserve">Secondary </w:t>
      </w:r>
      <w:r>
        <w:rPr>
          <w:sz w:val="24"/>
          <w:szCs w:val="24"/>
        </w:rPr>
        <w:t xml:space="preserve">research </w:t>
      </w:r>
      <w:r w:rsidRPr="00AF6D6B">
        <w:rPr>
          <w:sz w:val="24"/>
          <w:szCs w:val="24"/>
        </w:rPr>
        <w:t>aims include determining dietary and physical activity behaviors and neighborhood characteristics for those who are receiving or who have received treatment. A number of VHA researches with subject matter expertise in these areas contributed to the development of the survey instrument</w:t>
      </w:r>
      <w:r>
        <w:rPr>
          <w:sz w:val="24"/>
          <w:szCs w:val="24"/>
        </w:rPr>
        <w:t>,</w:t>
      </w:r>
      <w:r w:rsidRPr="00AF6D6B">
        <w:rPr>
          <w:sz w:val="24"/>
          <w:szCs w:val="24"/>
        </w:rPr>
        <w:t xml:space="preserve"> such that the information we learn from this survey can guide f</w:t>
      </w:r>
      <w:r>
        <w:rPr>
          <w:sz w:val="24"/>
          <w:szCs w:val="24"/>
        </w:rPr>
        <w:t>uture research in these areas. This research study has been approved by the Durham Veterans Affairs Medical Center Institutional Review Board and has been granted a Waiver of Informed Consent and a Waiver of HIPPA Authorization.</w:t>
      </w:r>
    </w:p>
    <w:p w:rsidR="000F7755" w:rsidRDefault="000F7755" w:rsidP="005B2AAC">
      <w:pPr>
        <w:tabs>
          <w:tab w:val="left" w:pos="547"/>
          <w:tab w:val="left" w:pos="1080"/>
          <w:tab w:val="left" w:pos="1627"/>
          <w:tab w:val="left" w:pos="2160"/>
          <w:tab w:val="left" w:pos="2880"/>
        </w:tabs>
        <w:rPr>
          <w:sz w:val="24"/>
          <w:szCs w:val="24"/>
        </w:rPr>
      </w:pPr>
    </w:p>
    <w:p w:rsidR="000F7755" w:rsidRPr="00AE0941" w:rsidRDefault="000F7755">
      <w:pPr>
        <w:pStyle w:val="Heading3"/>
        <w:tabs>
          <w:tab w:val="clear" w:pos="720"/>
          <w:tab w:val="clear" w:pos="810"/>
          <w:tab w:val="left" w:pos="2880"/>
        </w:tabs>
        <w:jc w:val="left"/>
        <w:rPr>
          <w:i/>
          <w:sz w:val="24"/>
        </w:rPr>
      </w:pPr>
      <w:r w:rsidRPr="00AE0941">
        <w:rPr>
          <w:i/>
          <w:sz w:val="24"/>
        </w:rPr>
        <w:t>Methods</w:t>
      </w:r>
    </w:p>
    <w:p w:rsidR="000F7755" w:rsidRDefault="000F7755" w:rsidP="00C842A4"/>
    <w:p w:rsidR="000F7755" w:rsidRPr="00AF6D6B" w:rsidRDefault="000F7755" w:rsidP="00C842A4">
      <w:pPr>
        <w:rPr>
          <w:i/>
          <w:sz w:val="24"/>
          <w:szCs w:val="24"/>
        </w:rPr>
      </w:pPr>
      <w:r w:rsidRPr="00AF6D6B">
        <w:rPr>
          <w:i/>
          <w:sz w:val="24"/>
          <w:szCs w:val="24"/>
        </w:rPr>
        <w:t>Design:</w:t>
      </w:r>
    </w:p>
    <w:p w:rsidR="000F7755" w:rsidRPr="00AF6D6B" w:rsidRDefault="000F7755" w:rsidP="00C842A4">
      <w:pPr>
        <w:rPr>
          <w:sz w:val="24"/>
          <w:szCs w:val="24"/>
        </w:rPr>
      </w:pPr>
      <w:r w:rsidRPr="00AF6D6B">
        <w:rPr>
          <w:sz w:val="24"/>
          <w:szCs w:val="24"/>
        </w:rPr>
        <w:t xml:space="preserve">This cross-sectional study will be conducted using a postal survey mailed to a sample of 5,000 eligible study subjects.  </w:t>
      </w:r>
    </w:p>
    <w:p w:rsidR="000F7755" w:rsidRPr="00AF6D6B" w:rsidRDefault="000F7755" w:rsidP="00C842A4">
      <w:pPr>
        <w:rPr>
          <w:sz w:val="24"/>
          <w:szCs w:val="24"/>
        </w:rPr>
      </w:pPr>
    </w:p>
    <w:p w:rsidR="000F7755" w:rsidRPr="00AF6D6B" w:rsidRDefault="000F7755" w:rsidP="00C842A4">
      <w:pPr>
        <w:rPr>
          <w:i/>
          <w:sz w:val="24"/>
          <w:szCs w:val="24"/>
        </w:rPr>
      </w:pPr>
      <w:r w:rsidRPr="00AF6D6B">
        <w:rPr>
          <w:i/>
          <w:sz w:val="24"/>
          <w:szCs w:val="24"/>
        </w:rPr>
        <w:t xml:space="preserve">Study Population: </w:t>
      </w:r>
    </w:p>
    <w:p w:rsidR="000F7755" w:rsidRPr="00AF6D6B" w:rsidRDefault="000F7755" w:rsidP="00AF6D6B">
      <w:pPr>
        <w:pStyle w:val="Header"/>
        <w:tabs>
          <w:tab w:val="clear" w:pos="4320"/>
          <w:tab w:val="clear" w:pos="8640"/>
          <w:tab w:val="left" w:pos="547"/>
          <w:tab w:val="left" w:pos="1080"/>
          <w:tab w:val="left" w:pos="1627"/>
          <w:tab w:val="left" w:pos="2160"/>
          <w:tab w:val="left" w:pos="2880"/>
        </w:tabs>
        <w:rPr>
          <w:sz w:val="24"/>
          <w:szCs w:val="24"/>
        </w:rPr>
      </w:pPr>
      <w:r w:rsidRPr="00AF6D6B">
        <w:rPr>
          <w:sz w:val="24"/>
          <w:szCs w:val="24"/>
        </w:rPr>
        <w:t>The Study Population (also known as Universe) is the collection of patients with at least 2 MOVE! Weight Management treatment-related visits in FY09</w:t>
      </w:r>
      <w:r>
        <w:rPr>
          <w:sz w:val="24"/>
          <w:szCs w:val="24"/>
        </w:rPr>
        <w:t xml:space="preserve"> </w:t>
      </w:r>
      <w:r w:rsidRPr="009D7297">
        <w:rPr>
          <w:sz w:val="24"/>
          <w:szCs w:val="24"/>
        </w:rPr>
        <w:t>and/or FY10 to date</w:t>
      </w:r>
      <w:r w:rsidRPr="00AF6D6B">
        <w:rPr>
          <w:sz w:val="24"/>
          <w:szCs w:val="24"/>
        </w:rPr>
        <w:t xml:space="preserve"> as identified by Decision Support Service (DSS) identifiers (“stop codes”) 372 or 373, which are exclusively reserved for the use of MOVE! Weight Management related treatment clinic visits or telephone contacts.  We will use the </w:t>
      </w:r>
      <w:r w:rsidRPr="00E7262D">
        <w:rPr>
          <w:sz w:val="24"/>
          <w:szCs w:val="24"/>
        </w:rPr>
        <w:t>OPC treatment file</w:t>
      </w:r>
      <w:r>
        <w:rPr>
          <w:sz w:val="24"/>
          <w:szCs w:val="24"/>
        </w:rPr>
        <w:t xml:space="preserve"> (MDPPRD.MDP.SAS.SE09)</w:t>
      </w:r>
      <w:r w:rsidRPr="00AF6D6B">
        <w:rPr>
          <w:sz w:val="24"/>
          <w:szCs w:val="24"/>
        </w:rPr>
        <w:t xml:space="preserve"> located at the Austin Information Technology Center (AITC) to identify the universe of respondents.  We will limit the potential universe by excluding the following subjects:</w:t>
      </w:r>
    </w:p>
    <w:p w:rsidR="000F7755" w:rsidRPr="00AF6D6B" w:rsidRDefault="000F7755" w:rsidP="00AF6D6B">
      <w:pPr>
        <w:pStyle w:val="Header"/>
        <w:numPr>
          <w:ilvl w:val="0"/>
          <w:numId w:val="13"/>
        </w:numPr>
        <w:tabs>
          <w:tab w:val="clear" w:pos="4320"/>
          <w:tab w:val="clear" w:pos="8640"/>
          <w:tab w:val="left" w:pos="547"/>
          <w:tab w:val="left" w:pos="1080"/>
          <w:tab w:val="left" w:pos="1627"/>
          <w:tab w:val="left" w:pos="2160"/>
          <w:tab w:val="left" w:pos="2880"/>
        </w:tabs>
        <w:rPr>
          <w:sz w:val="24"/>
          <w:szCs w:val="24"/>
        </w:rPr>
      </w:pPr>
      <w:r w:rsidRPr="00AF6D6B">
        <w:rPr>
          <w:sz w:val="24"/>
          <w:szCs w:val="24"/>
        </w:rPr>
        <w:t>Patients who received bariatric surgery within or outside VHA (i.e. fee basis) during FY09</w:t>
      </w:r>
      <w:r>
        <w:rPr>
          <w:sz w:val="24"/>
          <w:szCs w:val="24"/>
        </w:rPr>
        <w:t xml:space="preserve"> </w:t>
      </w:r>
      <w:r w:rsidRPr="009D7297">
        <w:rPr>
          <w:sz w:val="24"/>
          <w:szCs w:val="24"/>
        </w:rPr>
        <w:t>or FY10 to date</w:t>
      </w:r>
    </w:p>
    <w:p w:rsidR="000F7755" w:rsidRPr="00AF6D6B" w:rsidRDefault="000F7755" w:rsidP="00AF6D6B">
      <w:pPr>
        <w:pStyle w:val="Header"/>
        <w:numPr>
          <w:ilvl w:val="0"/>
          <w:numId w:val="13"/>
        </w:numPr>
        <w:tabs>
          <w:tab w:val="clear" w:pos="4320"/>
          <w:tab w:val="clear" w:pos="8640"/>
          <w:tab w:val="left" w:pos="547"/>
          <w:tab w:val="left" w:pos="1080"/>
          <w:tab w:val="left" w:pos="1627"/>
          <w:tab w:val="left" w:pos="2160"/>
          <w:tab w:val="left" w:pos="2880"/>
        </w:tabs>
        <w:ind w:left="1080" w:hanging="180"/>
        <w:rPr>
          <w:sz w:val="24"/>
          <w:szCs w:val="24"/>
        </w:rPr>
      </w:pPr>
      <w:r>
        <w:rPr>
          <w:sz w:val="24"/>
          <w:szCs w:val="24"/>
        </w:rPr>
        <w:t>Employee-p</w:t>
      </w:r>
      <w:r w:rsidRPr="00AF6D6B">
        <w:rPr>
          <w:sz w:val="24"/>
          <w:szCs w:val="24"/>
        </w:rPr>
        <w:t>atients who received MOVE! related treatment identified with occupational health DSS identifiers</w:t>
      </w:r>
    </w:p>
    <w:p w:rsidR="000F7755" w:rsidRPr="00AF6D6B" w:rsidRDefault="000F7755" w:rsidP="00BE6710">
      <w:pPr>
        <w:pStyle w:val="bodytext"/>
        <w:spacing w:after="0" w:line="240" w:lineRule="auto"/>
        <w:ind w:firstLine="0"/>
        <w:rPr>
          <w:szCs w:val="24"/>
        </w:rPr>
      </w:pPr>
    </w:p>
    <w:p w:rsidR="000F7755" w:rsidRPr="00AF6D6B" w:rsidRDefault="000F7755" w:rsidP="00BE6710">
      <w:pPr>
        <w:pStyle w:val="bodytext"/>
        <w:spacing w:after="0" w:line="240" w:lineRule="auto"/>
        <w:ind w:firstLine="0"/>
        <w:rPr>
          <w:szCs w:val="24"/>
        </w:rPr>
      </w:pPr>
      <w:r w:rsidRPr="00AF6D6B">
        <w:rPr>
          <w:szCs w:val="24"/>
        </w:rPr>
        <w:t xml:space="preserve">The remaining subjects within the universe will be assigned to the facility where they have received the majority of treatment (more than half their visits). Facilities included in this study are those located in the continental US, Alaska and Hawaii. Patients from Philippines and Puerto Rico or from CBOCs that are contracted will be excluded from the universe. </w:t>
      </w:r>
    </w:p>
    <w:p w:rsidR="000F7755" w:rsidRPr="00AF6D6B" w:rsidRDefault="000F7755" w:rsidP="00BE6710">
      <w:pPr>
        <w:pStyle w:val="Heading1"/>
        <w:rPr>
          <w:szCs w:val="24"/>
        </w:rPr>
      </w:pPr>
      <w:bookmarkStart w:id="0" w:name="_Toc241636624"/>
    </w:p>
    <w:p w:rsidR="000F7755" w:rsidRPr="00AF6D6B" w:rsidRDefault="000F7755" w:rsidP="00BE6710">
      <w:pPr>
        <w:pStyle w:val="Heading1"/>
        <w:rPr>
          <w:b w:val="0"/>
          <w:i/>
          <w:szCs w:val="24"/>
        </w:rPr>
      </w:pPr>
      <w:r w:rsidRPr="00AF6D6B">
        <w:rPr>
          <w:b w:val="0"/>
          <w:i/>
          <w:szCs w:val="24"/>
        </w:rPr>
        <w:t>Sampling</w:t>
      </w:r>
      <w:bookmarkEnd w:id="0"/>
      <w:r w:rsidRPr="00AF6D6B">
        <w:rPr>
          <w:b w:val="0"/>
          <w:i/>
          <w:szCs w:val="24"/>
        </w:rPr>
        <w:t>:</w:t>
      </w:r>
    </w:p>
    <w:p w:rsidR="000F7755" w:rsidRPr="00AF6D6B" w:rsidRDefault="000F7755" w:rsidP="00BE6710">
      <w:pPr>
        <w:pStyle w:val="bodytext"/>
        <w:spacing w:after="0" w:line="240" w:lineRule="auto"/>
        <w:ind w:firstLine="0"/>
        <w:rPr>
          <w:szCs w:val="24"/>
        </w:rPr>
      </w:pPr>
      <w:r w:rsidRPr="00AF6D6B">
        <w:rPr>
          <w:szCs w:val="24"/>
        </w:rPr>
        <w:t>A two-stage</w:t>
      </w:r>
      <w:r>
        <w:rPr>
          <w:szCs w:val="24"/>
        </w:rPr>
        <w:t>,</w:t>
      </w:r>
      <w:r w:rsidRPr="00AF6D6B">
        <w:rPr>
          <w:szCs w:val="24"/>
        </w:rPr>
        <w:t xml:space="preserve"> stratified cluster sampling design will be used to select eligible subjects fro</w:t>
      </w:r>
      <w:r>
        <w:rPr>
          <w:szCs w:val="24"/>
        </w:rPr>
        <w:t>m facilities. VA h</w:t>
      </w:r>
      <w:r w:rsidRPr="00AF6D6B">
        <w:rPr>
          <w:szCs w:val="24"/>
        </w:rPr>
        <w:t xml:space="preserve">ospitals and non-contracted </w:t>
      </w:r>
      <w:r>
        <w:rPr>
          <w:szCs w:val="24"/>
        </w:rPr>
        <w:t>community-b</w:t>
      </w:r>
      <w:r w:rsidRPr="00AF6D6B">
        <w:rPr>
          <w:szCs w:val="24"/>
        </w:rPr>
        <w:t>ase</w:t>
      </w:r>
      <w:r>
        <w:rPr>
          <w:szCs w:val="24"/>
        </w:rPr>
        <w:t>d outpatient c</w:t>
      </w:r>
      <w:r w:rsidRPr="00AF6D6B">
        <w:rPr>
          <w:szCs w:val="24"/>
        </w:rPr>
        <w:t>linic (CBOC) constitute the primary sampling units (PSU). VA Hospitals will be stratified based on their facility complexity criteria, 1a, 1b, 1c, 2 or 3, where 1a comprises the more complex facilities and 3 corresponds to the least complex facilities. This complexity model was developed by the VHA National Leadership Board to provide a consistent and systematic approach to classifying VHA facilities for the purposes of comparison.</w:t>
      </w:r>
      <w:r w:rsidRPr="00AF6D6B">
        <w:rPr>
          <w:rStyle w:val="EndnoteReference"/>
          <w:szCs w:val="24"/>
        </w:rPr>
        <w:endnoteReference w:id="3"/>
      </w:r>
      <w:r w:rsidRPr="00AF6D6B">
        <w:rPr>
          <w:szCs w:val="24"/>
        </w:rPr>
        <w:t xml:space="preserve">  </w:t>
      </w:r>
      <w:r>
        <w:rPr>
          <w:szCs w:val="24"/>
        </w:rPr>
        <w:t>(</w:t>
      </w:r>
      <w:r w:rsidRPr="00AF6D6B">
        <w:rPr>
          <w:szCs w:val="24"/>
        </w:rPr>
        <w:t>Note: Orlando (VISN 8, Facility #675) and New Orleans (VISN 16, Facility #629) were not assigned a complexity level during the latest model refinement, thus we assigned them both to complexity level 3 given how other large outpatient independent clinics are assigned.</w:t>
      </w:r>
      <w:r>
        <w:rPr>
          <w:szCs w:val="24"/>
        </w:rPr>
        <w:t>)</w:t>
      </w:r>
      <w:r w:rsidRPr="00AF6D6B">
        <w:rPr>
          <w:szCs w:val="24"/>
        </w:rPr>
        <w:t xml:space="preserve">  </w:t>
      </w:r>
      <w:r>
        <w:rPr>
          <w:szCs w:val="24"/>
        </w:rPr>
        <w:t xml:space="preserve">We classified </w:t>
      </w:r>
      <w:r w:rsidRPr="00AF6D6B">
        <w:rPr>
          <w:szCs w:val="24"/>
        </w:rPr>
        <w:t xml:space="preserve">CBOCs </w:t>
      </w:r>
      <w:r>
        <w:rPr>
          <w:szCs w:val="24"/>
        </w:rPr>
        <w:t xml:space="preserve">into </w:t>
      </w:r>
      <w:r w:rsidRPr="00AF6D6B">
        <w:rPr>
          <w:szCs w:val="24"/>
        </w:rPr>
        <w:t xml:space="preserve">four strata (small, </w:t>
      </w:r>
      <w:r>
        <w:rPr>
          <w:szCs w:val="24"/>
        </w:rPr>
        <w:t xml:space="preserve">medium, large, and very large) </w:t>
      </w:r>
      <w:r w:rsidRPr="00AF6D6B">
        <w:rPr>
          <w:szCs w:val="24"/>
        </w:rPr>
        <w:t>based on the FY 2009 total outpatient</w:t>
      </w:r>
      <w:r>
        <w:rPr>
          <w:szCs w:val="24"/>
        </w:rPr>
        <w:t xml:space="preserve"> census at the CBOC.</w:t>
      </w:r>
      <w:r w:rsidRPr="00AF6D6B">
        <w:rPr>
          <w:szCs w:val="24"/>
        </w:rPr>
        <w:t xml:space="preserve"> </w:t>
      </w:r>
    </w:p>
    <w:p w:rsidR="000F7755" w:rsidRDefault="000F7755" w:rsidP="00BE6710">
      <w:pPr>
        <w:pStyle w:val="bodytext"/>
        <w:spacing w:after="0" w:line="240" w:lineRule="auto"/>
        <w:ind w:firstLine="0"/>
        <w:rPr>
          <w:szCs w:val="24"/>
        </w:rPr>
      </w:pPr>
    </w:p>
    <w:p w:rsidR="000F7755" w:rsidRPr="00AF6D6B" w:rsidRDefault="000F7755" w:rsidP="00AF6D6B">
      <w:pPr>
        <w:rPr>
          <w:sz w:val="24"/>
          <w:szCs w:val="24"/>
        </w:rPr>
      </w:pPr>
      <w:r w:rsidRPr="00AF6D6B">
        <w:rPr>
          <w:sz w:val="24"/>
          <w:szCs w:val="24"/>
        </w:rPr>
        <w:t>The desired final sample size for this survey is 5,000 and was selected based on several factors including statistical considerations (precision and validity of estimates) and feasibility factors (resources required for survey deployment and analysis). The final sample size will be allocated as 60% (n=3,000) for VA Hospitals (strata 1a to 3) and 40% (n=2000) for CBOCs (strata “small” to “very large”). Previous studies suggest that a 66% response rate is a reasonable assumption for this study. This assumption is based on the current response rate for the VHA Survey of Healthcare Experiences of Patients (SHEP), a similarly designed and deployed VHA patient satisfaction survey.  Based on this information, it is expected at least 3,300 (=5,000 x .66) will return a fully or partially completed survey.</w:t>
      </w:r>
    </w:p>
    <w:p w:rsidR="000F7755" w:rsidRPr="00AF6D6B" w:rsidRDefault="000F7755" w:rsidP="00BE6710">
      <w:pPr>
        <w:pStyle w:val="bodytext"/>
        <w:spacing w:after="0" w:line="240" w:lineRule="auto"/>
        <w:ind w:firstLine="0"/>
        <w:rPr>
          <w:szCs w:val="24"/>
        </w:rPr>
      </w:pPr>
    </w:p>
    <w:p w:rsidR="000F7755" w:rsidRDefault="000F7755" w:rsidP="00BE6710">
      <w:pPr>
        <w:pStyle w:val="TableTitle"/>
        <w:spacing w:before="0" w:after="0"/>
        <w:rPr>
          <w:sz w:val="20"/>
        </w:rPr>
      </w:pPr>
      <w:bookmarkStart w:id="1" w:name="_Toc239749208"/>
    </w:p>
    <w:p w:rsidR="000F7755" w:rsidRDefault="000F7755" w:rsidP="00AF6D6B">
      <w:pPr>
        <w:pStyle w:val="TableTitle"/>
        <w:spacing w:before="0" w:after="0"/>
        <w:ind w:left="0" w:firstLine="0"/>
        <w:rPr>
          <w:sz w:val="20"/>
        </w:rPr>
      </w:pPr>
    </w:p>
    <w:p w:rsidR="000F7755" w:rsidRPr="00AF6D6B" w:rsidRDefault="000F7755" w:rsidP="00BE6710">
      <w:pPr>
        <w:pStyle w:val="TableTitle"/>
        <w:spacing w:before="0" w:after="0"/>
        <w:rPr>
          <w:sz w:val="20"/>
        </w:rPr>
      </w:pPr>
      <w:r w:rsidRPr="00AF6D6B">
        <w:rPr>
          <w:sz w:val="20"/>
        </w:rPr>
        <w:t>Table 1. VA Hospital</w:t>
      </w:r>
      <w:r>
        <w:rPr>
          <w:sz w:val="20"/>
        </w:rPr>
        <w:t>s and CBOCs by Stratum and FY09</w:t>
      </w:r>
      <w:r w:rsidRPr="00AF6D6B">
        <w:rPr>
          <w:sz w:val="20"/>
        </w:rPr>
        <w:t xml:space="preserve"> Total MOVE </w:t>
      </w:r>
      <w:r>
        <w:rPr>
          <w:sz w:val="20"/>
        </w:rPr>
        <w:t xml:space="preserve">Unique Patient </w:t>
      </w:r>
      <w:r w:rsidRPr="00AF6D6B">
        <w:rPr>
          <w:sz w:val="20"/>
        </w:rPr>
        <w:t>Counts</w:t>
      </w:r>
      <w:bookmarkEnd w:id="1"/>
      <w:r w:rsidRPr="00AF6D6B">
        <w:rPr>
          <w:sz w:val="20"/>
        </w:rPr>
        <w:t xml:space="preserve"> </w:t>
      </w:r>
    </w:p>
    <w:tbl>
      <w:tblPr>
        <w:tblW w:w="9504" w:type="dxa"/>
        <w:tblBorders>
          <w:top w:val="double" w:sz="4" w:space="0" w:color="auto"/>
          <w:bottom w:val="double" w:sz="4" w:space="0" w:color="auto"/>
        </w:tblBorders>
        <w:tblLayout w:type="fixed"/>
        <w:tblCellMar>
          <w:left w:w="67" w:type="dxa"/>
          <w:right w:w="67" w:type="dxa"/>
        </w:tblCellMar>
        <w:tblLook w:val="0000"/>
      </w:tblPr>
      <w:tblGrid>
        <w:gridCol w:w="1780"/>
        <w:gridCol w:w="1103"/>
        <w:gridCol w:w="1103"/>
        <w:gridCol w:w="1103"/>
        <w:gridCol w:w="1105"/>
        <w:gridCol w:w="1103"/>
        <w:gridCol w:w="1103"/>
        <w:gridCol w:w="1104"/>
      </w:tblGrid>
      <w:tr w:rsidR="000F7755" w:rsidRPr="00AF6D6B" w:rsidTr="002F1BFF">
        <w:trPr>
          <w:cantSplit/>
          <w:trHeight w:val="1158"/>
        </w:trPr>
        <w:tc>
          <w:tcPr>
            <w:tcW w:w="936" w:type="pct"/>
            <w:tcBorders>
              <w:top w:val="double" w:sz="4" w:space="0" w:color="auto"/>
              <w:bottom w:val="single" w:sz="4" w:space="0" w:color="auto"/>
            </w:tcBorders>
            <w:vAlign w:val="bottom"/>
          </w:tcPr>
          <w:p w:rsidR="000F7755" w:rsidRPr="00AF6D6B" w:rsidRDefault="000F7755" w:rsidP="00BE6710">
            <w:pPr>
              <w:adjustRightInd w:val="0"/>
              <w:rPr>
                <w:bCs/>
                <w:color w:val="000000"/>
              </w:rPr>
            </w:pPr>
            <w:r w:rsidRPr="00AF6D6B">
              <w:rPr>
                <w:bCs/>
                <w:color w:val="000000"/>
              </w:rPr>
              <w:t>Stratum</w:t>
            </w:r>
          </w:p>
        </w:tc>
        <w:tc>
          <w:tcPr>
            <w:tcW w:w="580" w:type="pct"/>
            <w:tcBorders>
              <w:top w:val="double" w:sz="4" w:space="0" w:color="auto"/>
              <w:bottom w:val="single" w:sz="4" w:space="0" w:color="auto"/>
            </w:tcBorders>
            <w:vAlign w:val="bottom"/>
          </w:tcPr>
          <w:p w:rsidR="000F7755" w:rsidRPr="00AF6D6B" w:rsidRDefault="000F7755" w:rsidP="00BE6710">
            <w:pPr>
              <w:keepNext/>
              <w:adjustRightInd w:val="0"/>
              <w:jc w:val="center"/>
              <w:rPr>
                <w:bCs/>
                <w:color w:val="000000"/>
              </w:rPr>
            </w:pPr>
            <w:r w:rsidRPr="00AF6D6B">
              <w:rPr>
                <w:bCs/>
                <w:color w:val="000000"/>
              </w:rPr>
              <w:t># PSUs</w:t>
            </w:r>
            <w:r>
              <w:rPr>
                <w:bCs/>
                <w:color w:val="000000"/>
              </w:rPr>
              <w:t>*</w:t>
            </w:r>
          </w:p>
        </w:tc>
        <w:tc>
          <w:tcPr>
            <w:tcW w:w="580" w:type="pct"/>
            <w:tcBorders>
              <w:top w:val="double" w:sz="4" w:space="0" w:color="auto"/>
              <w:bottom w:val="single" w:sz="4" w:space="0" w:color="auto"/>
            </w:tcBorders>
            <w:vAlign w:val="bottom"/>
          </w:tcPr>
          <w:p w:rsidR="000F7755" w:rsidRPr="00AF6D6B" w:rsidRDefault="000F7755" w:rsidP="00BE6710">
            <w:pPr>
              <w:keepNext/>
              <w:adjustRightInd w:val="0"/>
              <w:jc w:val="center"/>
              <w:rPr>
                <w:bCs/>
                <w:color w:val="000000"/>
              </w:rPr>
            </w:pPr>
            <w:r w:rsidRPr="00AF6D6B">
              <w:rPr>
                <w:bCs/>
                <w:color w:val="000000"/>
              </w:rPr>
              <w:t>FY09 Total MOVE</w:t>
            </w:r>
            <w:r>
              <w:rPr>
                <w:bCs/>
                <w:color w:val="000000"/>
              </w:rPr>
              <w:t xml:space="preserve"> Unique Patients</w:t>
            </w:r>
          </w:p>
        </w:tc>
        <w:tc>
          <w:tcPr>
            <w:tcW w:w="580" w:type="pct"/>
            <w:tcBorders>
              <w:top w:val="double" w:sz="4" w:space="0" w:color="auto"/>
              <w:bottom w:val="single" w:sz="4" w:space="0" w:color="auto"/>
            </w:tcBorders>
            <w:vAlign w:val="bottom"/>
          </w:tcPr>
          <w:p w:rsidR="000F7755" w:rsidRPr="00AF6D6B" w:rsidDel="003D388B" w:rsidRDefault="000F7755" w:rsidP="00BE6710">
            <w:pPr>
              <w:keepNext/>
              <w:adjustRightInd w:val="0"/>
              <w:jc w:val="center"/>
              <w:rPr>
                <w:bCs/>
                <w:color w:val="000000"/>
              </w:rPr>
            </w:pPr>
            <w:r w:rsidRPr="00AF6D6B">
              <w:rPr>
                <w:bCs/>
                <w:color w:val="000000"/>
              </w:rPr>
              <w:t># PSUs</w:t>
            </w:r>
            <w:r>
              <w:rPr>
                <w:bCs/>
                <w:color w:val="000000"/>
              </w:rPr>
              <w:t xml:space="preserve"> with &lt; </w:t>
            </w:r>
            <w:r w:rsidRPr="00AF6D6B">
              <w:rPr>
                <w:bCs/>
                <w:color w:val="000000"/>
              </w:rPr>
              <w:t>30 MOVE Patients</w:t>
            </w:r>
          </w:p>
        </w:tc>
        <w:tc>
          <w:tcPr>
            <w:tcW w:w="581" w:type="pct"/>
            <w:tcBorders>
              <w:top w:val="double" w:sz="4" w:space="0" w:color="auto"/>
              <w:bottom w:val="single" w:sz="4" w:space="0" w:color="auto"/>
            </w:tcBorders>
            <w:vAlign w:val="bottom"/>
          </w:tcPr>
          <w:p w:rsidR="000F7755" w:rsidRPr="00AF6D6B" w:rsidDel="003D388B" w:rsidRDefault="000F7755" w:rsidP="003453AB">
            <w:pPr>
              <w:keepNext/>
              <w:adjustRightInd w:val="0"/>
              <w:jc w:val="center"/>
              <w:rPr>
                <w:bCs/>
                <w:color w:val="000000"/>
              </w:rPr>
            </w:pPr>
            <w:r w:rsidRPr="00AF6D6B">
              <w:rPr>
                <w:bCs/>
                <w:color w:val="000000"/>
              </w:rPr>
              <w:t xml:space="preserve">Sample Size </w:t>
            </w:r>
          </w:p>
        </w:tc>
        <w:tc>
          <w:tcPr>
            <w:tcW w:w="580" w:type="pct"/>
            <w:tcBorders>
              <w:top w:val="double" w:sz="4" w:space="0" w:color="auto"/>
              <w:bottom w:val="single" w:sz="4" w:space="0" w:color="auto"/>
            </w:tcBorders>
            <w:vAlign w:val="bottom"/>
          </w:tcPr>
          <w:p w:rsidR="000F7755" w:rsidRPr="00AF6D6B" w:rsidRDefault="000F7755" w:rsidP="00BE6710">
            <w:pPr>
              <w:keepNext/>
              <w:adjustRightInd w:val="0"/>
              <w:jc w:val="center"/>
              <w:rPr>
                <w:bCs/>
                <w:color w:val="000000"/>
              </w:rPr>
            </w:pPr>
            <w:r w:rsidRPr="00AF6D6B">
              <w:rPr>
                <w:bCs/>
                <w:color w:val="000000"/>
              </w:rPr>
              <w:t>FY09 Female Total MOVE</w:t>
            </w:r>
          </w:p>
        </w:tc>
        <w:tc>
          <w:tcPr>
            <w:tcW w:w="580" w:type="pct"/>
            <w:tcBorders>
              <w:top w:val="double" w:sz="4" w:space="0" w:color="auto"/>
              <w:bottom w:val="single" w:sz="4" w:space="0" w:color="auto"/>
            </w:tcBorders>
            <w:vAlign w:val="bottom"/>
          </w:tcPr>
          <w:p w:rsidR="000F7755" w:rsidRPr="00AF6D6B" w:rsidRDefault="000F7755" w:rsidP="00BE6710">
            <w:pPr>
              <w:keepNext/>
              <w:adjustRightInd w:val="0"/>
              <w:jc w:val="center"/>
              <w:rPr>
                <w:bCs/>
                <w:color w:val="000000"/>
              </w:rPr>
            </w:pPr>
            <w:r w:rsidRPr="00AF6D6B">
              <w:rPr>
                <w:bCs/>
                <w:color w:val="000000"/>
              </w:rPr>
              <w:t>Expected Sample Size of Females</w:t>
            </w:r>
          </w:p>
        </w:tc>
        <w:tc>
          <w:tcPr>
            <w:tcW w:w="581" w:type="pct"/>
            <w:tcBorders>
              <w:top w:val="double" w:sz="4" w:space="0" w:color="auto"/>
              <w:bottom w:val="single" w:sz="4" w:space="0" w:color="auto"/>
            </w:tcBorders>
            <w:vAlign w:val="bottom"/>
          </w:tcPr>
          <w:p w:rsidR="000F7755" w:rsidRPr="00AF6D6B" w:rsidRDefault="000F7755" w:rsidP="00BE6710">
            <w:pPr>
              <w:keepNext/>
              <w:adjustRightInd w:val="0"/>
              <w:jc w:val="center"/>
              <w:rPr>
                <w:bCs/>
                <w:color w:val="000000"/>
              </w:rPr>
            </w:pPr>
            <w:r w:rsidRPr="00AF6D6B">
              <w:rPr>
                <w:bCs/>
                <w:color w:val="000000"/>
              </w:rPr>
              <w:t>Desired Sample Size of Females</w:t>
            </w:r>
          </w:p>
        </w:tc>
      </w:tr>
      <w:tr w:rsidR="000F7755" w:rsidRPr="00AF6D6B" w:rsidTr="00BE6710">
        <w:trPr>
          <w:cantSplit/>
        </w:trPr>
        <w:tc>
          <w:tcPr>
            <w:tcW w:w="936" w:type="pct"/>
            <w:tcBorders>
              <w:top w:val="single" w:sz="4" w:space="0" w:color="auto"/>
            </w:tcBorders>
          </w:tcPr>
          <w:p w:rsidR="000F7755" w:rsidRPr="00AF6D6B" w:rsidRDefault="000F7755" w:rsidP="00BE6710">
            <w:pPr>
              <w:adjustRightInd w:val="0"/>
              <w:rPr>
                <w:color w:val="000000"/>
              </w:rPr>
            </w:pPr>
            <w:r w:rsidRPr="00AF6D6B">
              <w:rPr>
                <w:color w:val="000000"/>
              </w:rPr>
              <w:t>1a</w:t>
            </w:r>
          </w:p>
        </w:tc>
        <w:tc>
          <w:tcPr>
            <w:tcW w:w="580" w:type="pct"/>
            <w:tcBorders>
              <w:top w:val="single" w:sz="4" w:space="0" w:color="auto"/>
            </w:tcBorders>
          </w:tcPr>
          <w:p w:rsidR="000F7755" w:rsidRPr="00AF6D6B" w:rsidRDefault="000F7755" w:rsidP="00BE6710">
            <w:pPr>
              <w:tabs>
                <w:tab w:val="decimal" w:pos="625"/>
              </w:tabs>
              <w:adjustRightInd w:val="0"/>
              <w:rPr>
                <w:color w:val="000000"/>
              </w:rPr>
            </w:pPr>
            <w:r w:rsidRPr="00AF6D6B">
              <w:rPr>
                <w:color w:val="000000"/>
              </w:rPr>
              <w:t>34</w:t>
            </w:r>
          </w:p>
        </w:tc>
        <w:tc>
          <w:tcPr>
            <w:tcW w:w="580" w:type="pct"/>
            <w:tcBorders>
              <w:top w:val="single" w:sz="4" w:space="0" w:color="auto"/>
            </w:tcBorders>
          </w:tcPr>
          <w:p w:rsidR="000F7755" w:rsidRPr="00AF6D6B" w:rsidRDefault="000F7755" w:rsidP="00BE6710">
            <w:pPr>
              <w:tabs>
                <w:tab w:val="decimal" w:pos="814"/>
              </w:tabs>
            </w:pPr>
            <w:r w:rsidRPr="00AF6D6B">
              <w:t>20,108</w:t>
            </w:r>
          </w:p>
        </w:tc>
        <w:tc>
          <w:tcPr>
            <w:tcW w:w="580" w:type="pct"/>
            <w:tcBorders>
              <w:top w:val="single" w:sz="4" w:space="0" w:color="auto"/>
            </w:tcBorders>
          </w:tcPr>
          <w:p w:rsidR="000F7755" w:rsidRPr="00AF6D6B" w:rsidDel="003D388B" w:rsidRDefault="000F7755" w:rsidP="00BE6710">
            <w:pPr>
              <w:tabs>
                <w:tab w:val="decimal" w:pos="516"/>
              </w:tabs>
            </w:pPr>
            <w:r w:rsidRPr="00AF6D6B">
              <w:rPr>
                <w:color w:val="000000"/>
              </w:rPr>
              <w:t>0</w:t>
            </w:r>
          </w:p>
        </w:tc>
        <w:tc>
          <w:tcPr>
            <w:tcW w:w="581" w:type="pct"/>
            <w:tcBorders>
              <w:top w:val="single" w:sz="4" w:space="0" w:color="auto"/>
            </w:tcBorders>
          </w:tcPr>
          <w:p w:rsidR="000F7755" w:rsidRPr="00AF6D6B" w:rsidRDefault="000F7755" w:rsidP="00BE6710">
            <w:pPr>
              <w:tabs>
                <w:tab w:val="decimal" w:pos="671"/>
              </w:tabs>
              <w:adjustRightInd w:val="0"/>
              <w:rPr>
                <w:color w:val="000000"/>
              </w:rPr>
            </w:pPr>
            <w:r w:rsidRPr="00AF6D6B">
              <w:rPr>
                <w:color w:val="000000"/>
              </w:rPr>
              <w:t>1,177</w:t>
            </w:r>
          </w:p>
        </w:tc>
        <w:tc>
          <w:tcPr>
            <w:tcW w:w="580" w:type="pct"/>
            <w:tcBorders>
              <w:top w:val="single" w:sz="4" w:space="0" w:color="auto"/>
            </w:tcBorders>
          </w:tcPr>
          <w:p w:rsidR="000F7755" w:rsidRPr="00AF6D6B" w:rsidRDefault="000F7755" w:rsidP="00BE6710">
            <w:pPr>
              <w:tabs>
                <w:tab w:val="decimal" w:pos="688"/>
              </w:tabs>
            </w:pPr>
            <w:r w:rsidRPr="00AF6D6B">
              <w:t>2,469</w:t>
            </w:r>
          </w:p>
        </w:tc>
        <w:tc>
          <w:tcPr>
            <w:tcW w:w="580" w:type="pct"/>
            <w:tcBorders>
              <w:top w:val="single" w:sz="4" w:space="0" w:color="auto"/>
            </w:tcBorders>
          </w:tcPr>
          <w:p w:rsidR="000F7755" w:rsidRPr="00AF6D6B" w:rsidRDefault="000F7755" w:rsidP="00BE6710">
            <w:pPr>
              <w:tabs>
                <w:tab w:val="decimal" w:pos="615"/>
              </w:tabs>
            </w:pPr>
            <w:r w:rsidRPr="00AF6D6B">
              <w:t>480</w:t>
            </w:r>
          </w:p>
        </w:tc>
        <w:tc>
          <w:tcPr>
            <w:tcW w:w="581" w:type="pct"/>
            <w:tcBorders>
              <w:top w:val="single" w:sz="4" w:space="0" w:color="auto"/>
            </w:tcBorders>
          </w:tcPr>
          <w:p w:rsidR="000F7755" w:rsidRPr="00AF6D6B" w:rsidRDefault="000F7755" w:rsidP="00BE6710">
            <w:pPr>
              <w:tabs>
                <w:tab w:val="decimal" w:pos="674"/>
              </w:tabs>
            </w:pPr>
            <w:r w:rsidRPr="00AF6D6B">
              <w:t>588</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1b</w:t>
            </w:r>
          </w:p>
        </w:tc>
        <w:tc>
          <w:tcPr>
            <w:tcW w:w="580" w:type="pct"/>
          </w:tcPr>
          <w:p w:rsidR="000F7755" w:rsidRPr="00AF6D6B" w:rsidRDefault="000F7755" w:rsidP="00BE6710">
            <w:pPr>
              <w:tabs>
                <w:tab w:val="decimal" w:pos="625"/>
              </w:tabs>
              <w:adjustRightInd w:val="0"/>
              <w:rPr>
                <w:color w:val="000000"/>
              </w:rPr>
            </w:pPr>
            <w:r w:rsidRPr="00AF6D6B">
              <w:rPr>
                <w:color w:val="000000"/>
              </w:rPr>
              <w:t>15</w:t>
            </w:r>
          </w:p>
        </w:tc>
        <w:tc>
          <w:tcPr>
            <w:tcW w:w="580" w:type="pct"/>
          </w:tcPr>
          <w:p w:rsidR="000F7755" w:rsidRPr="00AF6D6B" w:rsidRDefault="000F7755" w:rsidP="00BE6710">
            <w:pPr>
              <w:tabs>
                <w:tab w:val="decimal" w:pos="814"/>
              </w:tabs>
            </w:pPr>
            <w:r w:rsidRPr="00AF6D6B">
              <w:t>7,470</w:t>
            </w:r>
          </w:p>
        </w:tc>
        <w:tc>
          <w:tcPr>
            <w:tcW w:w="580" w:type="pct"/>
          </w:tcPr>
          <w:p w:rsidR="000F7755" w:rsidRPr="00AF6D6B" w:rsidDel="003D388B" w:rsidRDefault="000F7755" w:rsidP="00BE6710">
            <w:pPr>
              <w:tabs>
                <w:tab w:val="decimal" w:pos="516"/>
              </w:tabs>
            </w:pPr>
            <w:r w:rsidRPr="00AF6D6B">
              <w:rPr>
                <w:color w:val="000000"/>
              </w:rPr>
              <w:t>0</w:t>
            </w:r>
          </w:p>
        </w:tc>
        <w:tc>
          <w:tcPr>
            <w:tcW w:w="581" w:type="pct"/>
          </w:tcPr>
          <w:p w:rsidR="000F7755" w:rsidRPr="00AF6D6B" w:rsidRDefault="000F7755" w:rsidP="00BE6710">
            <w:pPr>
              <w:tabs>
                <w:tab w:val="decimal" w:pos="671"/>
              </w:tabs>
              <w:adjustRightInd w:val="0"/>
              <w:rPr>
                <w:color w:val="000000"/>
              </w:rPr>
            </w:pPr>
            <w:r w:rsidRPr="00AF6D6B">
              <w:rPr>
                <w:color w:val="000000"/>
              </w:rPr>
              <w:t>437</w:t>
            </w:r>
          </w:p>
        </w:tc>
        <w:tc>
          <w:tcPr>
            <w:tcW w:w="580" w:type="pct"/>
          </w:tcPr>
          <w:p w:rsidR="000F7755" w:rsidRPr="00AF6D6B" w:rsidRDefault="000F7755" w:rsidP="00BE6710">
            <w:pPr>
              <w:tabs>
                <w:tab w:val="decimal" w:pos="688"/>
              </w:tabs>
            </w:pPr>
            <w:r w:rsidRPr="00AF6D6B">
              <w:t>796</w:t>
            </w:r>
          </w:p>
        </w:tc>
        <w:tc>
          <w:tcPr>
            <w:tcW w:w="580" w:type="pct"/>
          </w:tcPr>
          <w:p w:rsidR="000F7755" w:rsidRPr="00AF6D6B" w:rsidRDefault="000F7755" w:rsidP="00BE6710">
            <w:pPr>
              <w:tabs>
                <w:tab w:val="decimal" w:pos="615"/>
              </w:tabs>
            </w:pPr>
            <w:r w:rsidRPr="00AF6D6B">
              <w:t>58</w:t>
            </w:r>
          </w:p>
        </w:tc>
        <w:tc>
          <w:tcPr>
            <w:tcW w:w="581" w:type="pct"/>
          </w:tcPr>
          <w:p w:rsidR="000F7755" w:rsidRPr="00AF6D6B" w:rsidRDefault="000F7755" w:rsidP="00BE6710">
            <w:pPr>
              <w:tabs>
                <w:tab w:val="decimal" w:pos="674"/>
              </w:tabs>
            </w:pPr>
            <w:r w:rsidRPr="00AF6D6B">
              <w:t>218</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1c</w:t>
            </w:r>
          </w:p>
        </w:tc>
        <w:tc>
          <w:tcPr>
            <w:tcW w:w="580" w:type="pct"/>
          </w:tcPr>
          <w:p w:rsidR="000F7755" w:rsidRPr="00AF6D6B" w:rsidRDefault="000F7755" w:rsidP="00BE6710">
            <w:pPr>
              <w:tabs>
                <w:tab w:val="decimal" w:pos="625"/>
              </w:tabs>
              <w:adjustRightInd w:val="0"/>
              <w:rPr>
                <w:color w:val="000000"/>
              </w:rPr>
            </w:pPr>
            <w:r w:rsidRPr="00AF6D6B">
              <w:rPr>
                <w:color w:val="000000"/>
              </w:rPr>
              <w:t>17</w:t>
            </w:r>
          </w:p>
        </w:tc>
        <w:tc>
          <w:tcPr>
            <w:tcW w:w="580" w:type="pct"/>
          </w:tcPr>
          <w:p w:rsidR="000F7755" w:rsidRPr="00AF6D6B" w:rsidRDefault="000F7755" w:rsidP="00BE6710">
            <w:pPr>
              <w:tabs>
                <w:tab w:val="decimal" w:pos="814"/>
              </w:tabs>
            </w:pPr>
            <w:r w:rsidRPr="00AF6D6B">
              <w:t>6,428</w:t>
            </w:r>
          </w:p>
        </w:tc>
        <w:tc>
          <w:tcPr>
            <w:tcW w:w="580" w:type="pct"/>
          </w:tcPr>
          <w:p w:rsidR="000F7755" w:rsidRPr="00AF6D6B" w:rsidDel="003D388B" w:rsidRDefault="000F7755" w:rsidP="00BE6710">
            <w:pPr>
              <w:tabs>
                <w:tab w:val="decimal" w:pos="516"/>
              </w:tabs>
            </w:pPr>
            <w:r w:rsidRPr="00AF6D6B">
              <w:rPr>
                <w:color w:val="000000"/>
              </w:rPr>
              <w:t>0</w:t>
            </w:r>
          </w:p>
        </w:tc>
        <w:tc>
          <w:tcPr>
            <w:tcW w:w="581" w:type="pct"/>
          </w:tcPr>
          <w:p w:rsidR="000F7755" w:rsidRPr="00AF6D6B" w:rsidRDefault="000F7755" w:rsidP="00BE6710">
            <w:pPr>
              <w:tabs>
                <w:tab w:val="decimal" w:pos="671"/>
              </w:tabs>
              <w:adjustRightInd w:val="0"/>
              <w:rPr>
                <w:color w:val="000000"/>
              </w:rPr>
            </w:pPr>
            <w:r w:rsidRPr="00AF6D6B">
              <w:rPr>
                <w:color w:val="000000"/>
              </w:rPr>
              <w:t>376</w:t>
            </w:r>
          </w:p>
        </w:tc>
        <w:tc>
          <w:tcPr>
            <w:tcW w:w="580" w:type="pct"/>
          </w:tcPr>
          <w:p w:rsidR="000F7755" w:rsidRPr="00AF6D6B" w:rsidRDefault="000F7755" w:rsidP="00BE6710">
            <w:pPr>
              <w:tabs>
                <w:tab w:val="decimal" w:pos="688"/>
              </w:tabs>
            </w:pPr>
            <w:r w:rsidRPr="00AF6D6B">
              <w:t>833</w:t>
            </w:r>
          </w:p>
        </w:tc>
        <w:tc>
          <w:tcPr>
            <w:tcW w:w="580" w:type="pct"/>
          </w:tcPr>
          <w:p w:rsidR="000F7755" w:rsidRPr="00AF6D6B" w:rsidRDefault="000F7755" w:rsidP="00BE6710">
            <w:pPr>
              <w:tabs>
                <w:tab w:val="decimal" w:pos="615"/>
              </w:tabs>
            </w:pPr>
            <w:r w:rsidRPr="00AF6D6B">
              <w:t>52</w:t>
            </w:r>
          </w:p>
        </w:tc>
        <w:tc>
          <w:tcPr>
            <w:tcW w:w="581" w:type="pct"/>
          </w:tcPr>
          <w:p w:rsidR="000F7755" w:rsidRPr="00AF6D6B" w:rsidRDefault="000F7755" w:rsidP="00BE6710">
            <w:pPr>
              <w:tabs>
                <w:tab w:val="decimal" w:pos="674"/>
              </w:tabs>
            </w:pPr>
            <w:r w:rsidRPr="00AF6D6B">
              <w:t>188</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2</w:t>
            </w:r>
          </w:p>
        </w:tc>
        <w:tc>
          <w:tcPr>
            <w:tcW w:w="580" w:type="pct"/>
          </w:tcPr>
          <w:p w:rsidR="000F7755" w:rsidRPr="00AF6D6B" w:rsidRDefault="000F7755" w:rsidP="00BE6710">
            <w:pPr>
              <w:tabs>
                <w:tab w:val="decimal" w:pos="625"/>
              </w:tabs>
              <w:adjustRightInd w:val="0"/>
              <w:rPr>
                <w:color w:val="000000"/>
              </w:rPr>
            </w:pPr>
            <w:r w:rsidRPr="00AF6D6B">
              <w:rPr>
                <w:color w:val="000000"/>
              </w:rPr>
              <w:t>34</w:t>
            </w:r>
          </w:p>
        </w:tc>
        <w:tc>
          <w:tcPr>
            <w:tcW w:w="580" w:type="pct"/>
          </w:tcPr>
          <w:p w:rsidR="000F7755" w:rsidRPr="00AF6D6B" w:rsidRDefault="000F7755" w:rsidP="00BE6710">
            <w:pPr>
              <w:tabs>
                <w:tab w:val="decimal" w:pos="814"/>
              </w:tabs>
            </w:pPr>
            <w:r w:rsidRPr="00AF6D6B">
              <w:t>8,992</w:t>
            </w:r>
          </w:p>
        </w:tc>
        <w:tc>
          <w:tcPr>
            <w:tcW w:w="580" w:type="pct"/>
          </w:tcPr>
          <w:p w:rsidR="000F7755" w:rsidRPr="00AF6D6B" w:rsidDel="003D388B" w:rsidRDefault="000F7755" w:rsidP="00BE6710">
            <w:pPr>
              <w:tabs>
                <w:tab w:val="decimal" w:pos="516"/>
              </w:tabs>
            </w:pPr>
            <w:r w:rsidRPr="00AF6D6B">
              <w:rPr>
                <w:color w:val="000000"/>
              </w:rPr>
              <w:t>1</w:t>
            </w:r>
          </w:p>
        </w:tc>
        <w:tc>
          <w:tcPr>
            <w:tcW w:w="581" w:type="pct"/>
          </w:tcPr>
          <w:p w:rsidR="000F7755" w:rsidRPr="00AF6D6B" w:rsidRDefault="000F7755" w:rsidP="00BE6710">
            <w:pPr>
              <w:tabs>
                <w:tab w:val="decimal" w:pos="671"/>
              </w:tabs>
              <w:adjustRightInd w:val="0"/>
              <w:rPr>
                <w:color w:val="000000"/>
              </w:rPr>
            </w:pPr>
            <w:r w:rsidRPr="00AF6D6B">
              <w:rPr>
                <w:color w:val="000000"/>
              </w:rPr>
              <w:t>526</w:t>
            </w:r>
          </w:p>
        </w:tc>
        <w:tc>
          <w:tcPr>
            <w:tcW w:w="580" w:type="pct"/>
          </w:tcPr>
          <w:p w:rsidR="000F7755" w:rsidRPr="00AF6D6B" w:rsidRDefault="000F7755" w:rsidP="00BE6710">
            <w:pPr>
              <w:tabs>
                <w:tab w:val="decimal" w:pos="688"/>
              </w:tabs>
            </w:pPr>
            <w:r w:rsidRPr="00AF6D6B">
              <w:t>1,015</w:t>
            </w:r>
          </w:p>
        </w:tc>
        <w:tc>
          <w:tcPr>
            <w:tcW w:w="580" w:type="pct"/>
          </w:tcPr>
          <w:p w:rsidR="000F7755" w:rsidRPr="00AF6D6B" w:rsidRDefault="000F7755" w:rsidP="00BE6710">
            <w:pPr>
              <w:tabs>
                <w:tab w:val="decimal" w:pos="615"/>
              </w:tabs>
            </w:pPr>
            <w:r w:rsidRPr="00AF6D6B">
              <w:t>88</w:t>
            </w:r>
          </w:p>
        </w:tc>
        <w:tc>
          <w:tcPr>
            <w:tcW w:w="581" w:type="pct"/>
          </w:tcPr>
          <w:p w:rsidR="000F7755" w:rsidRPr="00AF6D6B" w:rsidRDefault="000F7755" w:rsidP="00BE6710">
            <w:pPr>
              <w:tabs>
                <w:tab w:val="decimal" w:pos="674"/>
              </w:tabs>
            </w:pPr>
            <w:r w:rsidRPr="00AF6D6B">
              <w:t>263</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3</w:t>
            </w:r>
          </w:p>
        </w:tc>
        <w:tc>
          <w:tcPr>
            <w:tcW w:w="580" w:type="pct"/>
          </w:tcPr>
          <w:p w:rsidR="000F7755" w:rsidRPr="00AF6D6B" w:rsidRDefault="000F7755" w:rsidP="00BE6710">
            <w:pPr>
              <w:tabs>
                <w:tab w:val="decimal" w:pos="625"/>
              </w:tabs>
              <w:adjustRightInd w:val="0"/>
              <w:rPr>
                <w:color w:val="000000"/>
              </w:rPr>
            </w:pPr>
            <w:r w:rsidRPr="00AF6D6B">
              <w:rPr>
                <w:color w:val="000000"/>
              </w:rPr>
              <w:t>39</w:t>
            </w:r>
          </w:p>
        </w:tc>
        <w:tc>
          <w:tcPr>
            <w:tcW w:w="580" w:type="pct"/>
          </w:tcPr>
          <w:p w:rsidR="000F7755" w:rsidRPr="00AF6D6B" w:rsidRDefault="000F7755" w:rsidP="00BE6710">
            <w:pPr>
              <w:tabs>
                <w:tab w:val="decimal" w:pos="814"/>
              </w:tabs>
            </w:pPr>
            <w:r w:rsidRPr="00AF6D6B">
              <w:t>8,263</w:t>
            </w:r>
          </w:p>
        </w:tc>
        <w:tc>
          <w:tcPr>
            <w:tcW w:w="580" w:type="pct"/>
          </w:tcPr>
          <w:p w:rsidR="000F7755" w:rsidRPr="00AF6D6B" w:rsidDel="003D388B" w:rsidRDefault="000F7755" w:rsidP="00BE6710">
            <w:pPr>
              <w:tabs>
                <w:tab w:val="decimal" w:pos="516"/>
              </w:tabs>
            </w:pPr>
            <w:r w:rsidRPr="00AF6D6B">
              <w:t>3</w:t>
            </w:r>
          </w:p>
        </w:tc>
        <w:tc>
          <w:tcPr>
            <w:tcW w:w="581" w:type="pct"/>
          </w:tcPr>
          <w:p w:rsidR="000F7755" w:rsidRPr="00AF6D6B" w:rsidRDefault="000F7755" w:rsidP="00BE6710">
            <w:pPr>
              <w:tabs>
                <w:tab w:val="decimal" w:pos="671"/>
              </w:tabs>
              <w:adjustRightInd w:val="0"/>
              <w:rPr>
                <w:color w:val="000000"/>
              </w:rPr>
            </w:pPr>
            <w:r w:rsidRPr="00AF6D6B">
              <w:rPr>
                <w:color w:val="000000"/>
              </w:rPr>
              <w:t>484</w:t>
            </w:r>
          </w:p>
        </w:tc>
        <w:tc>
          <w:tcPr>
            <w:tcW w:w="580" w:type="pct"/>
          </w:tcPr>
          <w:p w:rsidR="000F7755" w:rsidRPr="00AF6D6B" w:rsidRDefault="000F7755" w:rsidP="00BE6710">
            <w:pPr>
              <w:tabs>
                <w:tab w:val="decimal" w:pos="688"/>
              </w:tabs>
            </w:pPr>
            <w:r w:rsidRPr="00AF6D6B">
              <w:t>935</w:t>
            </w:r>
          </w:p>
        </w:tc>
        <w:tc>
          <w:tcPr>
            <w:tcW w:w="580" w:type="pct"/>
          </w:tcPr>
          <w:p w:rsidR="000F7755" w:rsidRPr="00AF6D6B" w:rsidRDefault="000F7755" w:rsidP="00BE6710">
            <w:pPr>
              <w:tabs>
                <w:tab w:val="decimal" w:pos="615"/>
              </w:tabs>
            </w:pPr>
            <w:r w:rsidRPr="00AF6D6B">
              <w:t>75</w:t>
            </w:r>
          </w:p>
        </w:tc>
        <w:tc>
          <w:tcPr>
            <w:tcW w:w="581" w:type="pct"/>
          </w:tcPr>
          <w:p w:rsidR="000F7755" w:rsidRPr="00AF6D6B" w:rsidRDefault="000F7755" w:rsidP="00BE6710">
            <w:pPr>
              <w:tabs>
                <w:tab w:val="decimal" w:pos="674"/>
              </w:tabs>
            </w:pPr>
            <w:r w:rsidRPr="00AF6D6B">
              <w:t>242</w:t>
            </w:r>
          </w:p>
        </w:tc>
      </w:tr>
      <w:tr w:rsidR="000F7755" w:rsidRPr="00AF6D6B" w:rsidTr="00BE6710">
        <w:trPr>
          <w:cantSplit/>
        </w:trPr>
        <w:tc>
          <w:tcPr>
            <w:tcW w:w="936" w:type="pct"/>
          </w:tcPr>
          <w:p w:rsidR="000F7755" w:rsidRPr="00AF6D6B" w:rsidRDefault="000F7755" w:rsidP="00BE6710">
            <w:pPr>
              <w:adjustRightInd w:val="0"/>
              <w:ind w:left="180"/>
              <w:rPr>
                <w:bCs/>
                <w:color w:val="000000"/>
              </w:rPr>
            </w:pPr>
            <w:r w:rsidRPr="00AF6D6B">
              <w:rPr>
                <w:bCs/>
                <w:color w:val="000000"/>
              </w:rPr>
              <w:t>Subtotal</w:t>
            </w:r>
          </w:p>
        </w:tc>
        <w:tc>
          <w:tcPr>
            <w:tcW w:w="580" w:type="pct"/>
          </w:tcPr>
          <w:p w:rsidR="000F7755" w:rsidRPr="00AF6D6B" w:rsidRDefault="000F7755" w:rsidP="00BE6710">
            <w:pPr>
              <w:tabs>
                <w:tab w:val="decimal" w:pos="625"/>
              </w:tabs>
              <w:adjustRightInd w:val="0"/>
              <w:rPr>
                <w:bCs/>
                <w:color w:val="000000"/>
              </w:rPr>
            </w:pPr>
            <w:r w:rsidRPr="00AF6D6B">
              <w:rPr>
                <w:bCs/>
                <w:color w:val="000000"/>
              </w:rPr>
              <w:t>139</w:t>
            </w:r>
          </w:p>
        </w:tc>
        <w:tc>
          <w:tcPr>
            <w:tcW w:w="580" w:type="pct"/>
          </w:tcPr>
          <w:p w:rsidR="000F7755" w:rsidRPr="00AF6D6B" w:rsidRDefault="000F7755" w:rsidP="00BE6710">
            <w:pPr>
              <w:tabs>
                <w:tab w:val="decimal" w:pos="814"/>
              </w:tabs>
              <w:adjustRightInd w:val="0"/>
              <w:rPr>
                <w:bCs/>
                <w:color w:val="000000"/>
              </w:rPr>
            </w:pPr>
            <w:r w:rsidRPr="00AF6D6B">
              <w:rPr>
                <w:bCs/>
                <w:color w:val="000000"/>
              </w:rPr>
              <w:t>51,261</w:t>
            </w:r>
          </w:p>
        </w:tc>
        <w:tc>
          <w:tcPr>
            <w:tcW w:w="580" w:type="pct"/>
          </w:tcPr>
          <w:p w:rsidR="000F7755" w:rsidRPr="00AF6D6B" w:rsidDel="003D388B" w:rsidRDefault="000F7755" w:rsidP="00BE6710">
            <w:pPr>
              <w:tabs>
                <w:tab w:val="decimal" w:pos="516"/>
              </w:tabs>
              <w:adjustRightInd w:val="0"/>
              <w:rPr>
                <w:bCs/>
                <w:color w:val="000000"/>
              </w:rPr>
            </w:pPr>
            <w:r w:rsidRPr="00AF6D6B">
              <w:rPr>
                <w:bCs/>
                <w:color w:val="000000"/>
              </w:rPr>
              <w:t>4</w:t>
            </w:r>
          </w:p>
        </w:tc>
        <w:tc>
          <w:tcPr>
            <w:tcW w:w="581" w:type="pct"/>
          </w:tcPr>
          <w:p w:rsidR="000F7755" w:rsidRPr="00AF6D6B" w:rsidDel="003D388B" w:rsidRDefault="000F7755" w:rsidP="00BE6710">
            <w:pPr>
              <w:tabs>
                <w:tab w:val="decimal" w:pos="671"/>
              </w:tabs>
              <w:adjustRightInd w:val="0"/>
              <w:rPr>
                <w:bCs/>
                <w:color w:val="000000"/>
              </w:rPr>
            </w:pPr>
            <w:r w:rsidRPr="00AF6D6B">
              <w:rPr>
                <w:bCs/>
                <w:color w:val="000000"/>
              </w:rPr>
              <w:t>3,000</w:t>
            </w:r>
          </w:p>
        </w:tc>
        <w:tc>
          <w:tcPr>
            <w:tcW w:w="580" w:type="pct"/>
          </w:tcPr>
          <w:p w:rsidR="000F7755" w:rsidRPr="00AF6D6B" w:rsidRDefault="000F7755" w:rsidP="00BE6710">
            <w:pPr>
              <w:tabs>
                <w:tab w:val="decimal" w:pos="688"/>
              </w:tabs>
              <w:rPr>
                <w:bCs/>
              </w:rPr>
            </w:pPr>
            <w:r w:rsidRPr="00AF6D6B">
              <w:rPr>
                <w:bCs/>
              </w:rPr>
              <w:t>6,048</w:t>
            </w:r>
          </w:p>
        </w:tc>
        <w:tc>
          <w:tcPr>
            <w:tcW w:w="580" w:type="pct"/>
          </w:tcPr>
          <w:p w:rsidR="000F7755" w:rsidRPr="00AF6D6B" w:rsidRDefault="000F7755" w:rsidP="00BE6710">
            <w:pPr>
              <w:tabs>
                <w:tab w:val="decimal" w:pos="615"/>
              </w:tabs>
              <w:adjustRightInd w:val="0"/>
              <w:rPr>
                <w:bCs/>
                <w:color w:val="000000"/>
              </w:rPr>
            </w:pPr>
            <w:r w:rsidRPr="00AF6D6B">
              <w:rPr>
                <w:bCs/>
                <w:color w:val="000000"/>
              </w:rPr>
              <w:t>753</w:t>
            </w:r>
          </w:p>
        </w:tc>
        <w:tc>
          <w:tcPr>
            <w:tcW w:w="581" w:type="pct"/>
          </w:tcPr>
          <w:p w:rsidR="000F7755" w:rsidRPr="00AF6D6B" w:rsidRDefault="000F7755" w:rsidP="00BE6710">
            <w:pPr>
              <w:tabs>
                <w:tab w:val="decimal" w:pos="674"/>
              </w:tabs>
              <w:rPr>
                <w:bCs/>
              </w:rPr>
            </w:pPr>
            <w:r w:rsidRPr="00AF6D6B">
              <w:rPr>
                <w:bCs/>
              </w:rPr>
              <w:t>1,500</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 xml:space="preserve">CBOC—Small </w:t>
            </w:r>
          </w:p>
        </w:tc>
        <w:tc>
          <w:tcPr>
            <w:tcW w:w="580" w:type="pct"/>
          </w:tcPr>
          <w:p w:rsidR="000F7755" w:rsidRPr="00AF6D6B" w:rsidRDefault="000F7755" w:rsidP="00BE6710">
            <w:pPr>
              <w:tabs>
                <w:tab w:val="decimal" w:pos="625"/>
              </w:tabs>
            </w:pPr>
            <w:r w:rsidRPr="00AF6D6B">
              <w:t>64</w:t>
            </w:r>
          </w:p>
        </w:tc>
        <w:tc>
          <w:tcPr>
            <w:tcW w:w="580" w:type="pct"/>
          </w:tcPr>
          <w:p w:rsidR="000F7755" w:rsidRPr="00AF6D6B" w:rsidRDefault="000F7755" w:rsidP="00BE6710">
            <w:pPr>
              <w:tabs>
                <w:tab w:val="decimal" w:pos="814"/>
              </w:tabs>
            </w:pPr>
            <w:r w:rsidRPr="00AF6D6B">
              <w:t>1,242</w:t>
            </w:r>
          </w:p>
        </w:tc>
        <w:tc>
          <w:tcPr>
            <w:tcW w:w="580" w:type="pct"/>
          </w:tcPr>
          <w:p w:rsidR="000F7755" w:rsidRPr="00AF6D6B" w:rsidDel="003D388B" w:rsidRDefault="000F7755" w:rsidP="00BE6710">
            <w:pPr>
              <w:tabs>
                <w:tab w:val="decimal" w:pos="516"/>
              </w:tabs>
            </w:pPr>
            <w:r w:rsidRPr="00AF6D6B">
              <w:rPr>
                <w:color w:val="000000"/>
              </w:rPr>
              <w:t>50</w:t>
            </w:r>
          </w:p>
        </w:tc>
        <w:tc>
          <w:tcPr>
            <w:tcW w:w="581" w:type="pct"/>
          </w:tcPr>
          <w:p w:rsidR="000F7755" w:rsidRPr="00AF6D6B" w:rsidRDefault="000F7755" w:rsidP="00BE6710">
            <w:pPr>
              <w:tabs>
                <w:tab w:val="decimal" w:pos="671"/>
              </w:tabs>
            </w:pPr>
            <w:r w:rsidRPr="00AF6D6B">
              <w:t>166</w:t>
            </w:r>
          </w:p>
        </w:tc>
        <w:tc>
          <w:tcPr>
            <w:tcW w:w="580" w:type="pct"/>
          </w:tcPr>
          <w:p w:rsidR="000F7755" w:rsidRPr="00AF6D6B" w:rsidRDefault="000F7755" w:rsidP="00BE6710">
            <w:pPr>
              <w:tabs>
                <w:tab w:val="decimal" w:pos="688"/>
              </w:tabs>
            </w:pPr>
            <w:r w:rsidRPr="00AF6D6B">
              <w:t>78</w:t>
            </w:r>
          </w:p>
        </w:tc>
        <w:tc>
          <w:tcPr>
            <w:tcW w:w="580" w:type="pct"/>
          </w:tcPr>
          <w:p w:rsidR="000F7755" w:rsidRPr="00AF6D6B" w:rsidRDefault="000F7755" w:rsidP="00BE6710">
            <w:pPr>
              <w:tabs>
                <w:tab w:val="decimal" w:pos="615"/>
              </w:tabs>
              <w:adjustRightInd w:val="0"/>
              <w:rPr>
                <w:color w:val="000000"/>
              </w:rPr>
            </w:pPr>
            <w:r w:rsidRPr="00AF6D6B">
              <w:rPr>
                <w:color w:val="000000"/>
              </w:rPr>
              <w:t>10</w:t>
            </w:r>
          </w:p>
        </w:tc>
        <w:tc>
          <w:tcPr>
            <w:tcW w:w="581" w:type="pct"/>
          </w:tcPr>
          <w:p w:rsidR="000F7755" w:rsidRPr="00AF6D6B" w:rsidRDefault="000F7755" w:rsidP="00BE6710">
            <w:pPr>
              <w:tabs>
                <w:tab w:val="decimal" w:pos="674"/>
              </w:tabs>
            </w:pPr>
            <w:r w:rsidRPr="00AF6D6B">
              <w:t>90</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CBOC—Medium</w:t>
            </w:r>
          </w:p>
        </w:tc>
        <w:tc>
          <w:tcPr>
            <w:tcW w:w="580" w:type="pct"/>
          </w:tcPr>
          <w:p w:rsidR="000F7755" w:rsidRPr="00AF6D6B" w:rsidRDefault="000F7755" w:rsidP="00BE6710">
            <w:pPr>
              <w:tabs>
                <w:tab w:val="decimal" w:pos="625"/>
              </w:tabs>
            </w:pPr>
            <w:r w:rsidRPr="00AF6D6B">
              <w:t>107</w:t>
            </w:r>
          </w:p>
        </w:tc>
        <w:tc>
          <w:tcPr>
            <w:tcW w:w="580" w:type="pct"/>
          </w:tcPr>
          <w:p w:rsidR="000F7755" w:rsidRPr="00AF6D6B" w:rsidRDefault="000F7755" w:rsidP="00BE6710">
            <w:pPr>
              <w:tabs>
                <w:tab w:val="decimal" w:pos="814"/>
              </w:tabs>
            </w:pPr>
            <w:r w:rsidRPr="00AF6D6B">
              <w:t>4,165</w:t>
            </w:r>
          </w:p>
        </w:tc>
        <w:tc>
          <w:tcPr>
            <w:tcW w:w="580" w:type="pct"/>
          </w:tcPr>
          <w:p w:rsidR="000F7755" w:rsidRPr="00AF6D6B" w:rsidDel="003D388B" w:rsidRDefault="000F7755" w:rsidP="00BE6710">
            <w:pPr>
              <w:tabs>
                <w:tab w:val="decimal" w:pos="516"/>
              </w:tabs>
            </w:pPr>
            <w:r w:rsidRPr="00AF6D6B">
              <w:rPr>
                <w:color w:val="000000"/>
              </w:rPr>
              <w:t>55</w:t>
            </w:r>
          </w:p>
        </w:tc>
        <w:tc>
          <w:tcPr>
            <w:tcW w:w="581" w:type="pct"/>
          </w:tcPr>
          <w:p w:rsidR="000F7755" w:rsidRPr="00AF6D6B" w:rsidRDefault="000F7755" w:rsidP="00BE6710">
            <w:pPr>
              <w:tabs>
                <w:tab w:val="decimal" w:pos="671"/>
              </w:tabs>
            </w:pPr>
            <w:r w:rsidRPr="00AF6D6B">
              <w:t>600</w:t>
            </w:r>
          </w:p>
        </w:tc>
        <w:tc>
          <w:tcPr>
            <w:tcW w:w="580" w:type="pct"/>
          </w:tcPr>
          <w:p w:rsidR="000F7755" w:rsidRPr="00AF6D6B" w:rsidRDefault="000F7755" w:rsidP="00BE6710">
            <w:pPr>
              <w:tabs>
                <w:tab w:val="decimal" w:pos="688"/>
              </w:tabs>
            </w:pPr>
            <w:r w:rsidRPr="00AF6D6B">
              <w:t>391</w:t>
            </w:r>
          </w:p>
        </w:tc>
        <w:tc>
          <w:tcPr>
            <w:tcW w:w="580" w:type="pct"/>
          </w:tcPr>
          <w:p w:rsidR="000F7755" w:rsidRPr="00AF6D6B" w:rsidRDefault="000F7755" w:rsidP="00BE6710">
            <w:pPr>
              <w:tabs>
                <w:tab w:val="decimal" w:pos="615"/>
              </w:tabs>
              <w:adjustRightInd w:val="0"/>
              <w:rPr>
                <w:color w:val="000000"/>
              </w:rPr>
            </w:pPr>
            <w:r w:rsidRPr="00AF6D6B">
              <w:rPr>
                <w:color w:val="000000"/>
              </w:rPr>
              <w:t>167</w:t>
            </w:r>
          </w:p>
        </w:tc>
        <w:tc>
          <w:tcPr>
            <w:tcW w:w="581" w:type="pct"/>
          </w:tcPr>
          <w:p w:rsidR="000F7755" w:rsidRPr="00AF6D6B" w:rsidRDefault="000F7755" w:rsidP="00BE6710">
            <w:pPr>
              <w:tabs>
                <w:tab w:val="decimal" w:pos="674"/>
              </w:tabs>
            </w:pPr>
            <w:r w:rsidRPr="00AF6D6B">
              <w:t>303</w:t>
            </w:r>
          </w:p>
        </w:tc>
      </w:tr>
      <w:tr w:rsidR="000F7755" w:rsidRPr="00AF6D6B" w:rsidTr="00BE6710">
        <w:trPr>
          <w:cantSplit/>
        </w:trPr>
        <w:tc>
          <w:tcPr>
            <w:tcW w:w="936" w:type="pct"/>
          </w:tcPr>
          <w:p w:rsidR="000F7755" w:rsidRPr="00AF6D6B" w:rsidRDefault="000F7755" w:rsidP="00BE6710">
            <w:pPr>
              <w:keepNext/>
              <w:adjustRightInd w:val="0"/>
              <w:rPr>
                <w:color w:val="000000"/>
              </w:rPr>
            </w:pPr>
            <w:r w:rsidRPr="00AF6D6B">
              <w:rPr>
                <w:color w:val="000000"/>
              </w:rPr>
              <w:t xml:space="preserve">CBOC—Large </w:t>
            </w:r>
          </w:p>
        </w:tc>
        <w:tc>
          <w:tcPr>
            <w:tcW w:w="580" w:type="pct"/>
          </w:tcPr>
          <w:p w:rsidR="000F7755" w:rsidRPr="00AF6D6B" w:rsidRDefault="000F7755" w:rsidP="00BE6710">
            <w:pPr>
              <w:tabs>
                <w:tab w:val="decimal" w:pos="625"/>
              </w:tabs>
            </w:pPr>
            <w:r w:rsidRPr="00AF6D6B">
              <w:t>49</w:t>
            </w:r>
          </w:p>
        </w:tc>
        <w:tc>
          <w:tcPr>
            <w:tcW w:w="580" w:type="pct"/>
          </w:tcPr>
          <w:p w:rsidR="000F7755" w:rsidRPr="00AF6D6B" w:rsidRDefault="000F7755" w:rsidP="00BE6710">
            <w:pPr>
              <w:tabs>
                <w:tab w:val="decimal" w:pos="814"/>
              </w:tabs>
            </w:pPr>
            <w:r w:rsidRPr="00AF6D6B">
              <w:t>4,283</w:t>
            </w:r>
          </w:p>
        </w:tc>
        <w:tc>
          <w:tcPr>
            <w:tcW w:w="580" w:type="pct"/>
          </w:tcPr>
          <w:p w:rsidR="000F7755" w:rsidRPr="00AF6D6B" w:rsidDel="003D388B" w:rsidRDefault="000F7755" w:rsidP="00BE6710">
            <w:pPr>
              <w:tabs>
                <w:tab w:val="decimal" w:pos="516"/>
              </w:tabs>
            </w:pPr>
            <w:r w:rsidRPr="00AF6D6B">
              <w:rPr>
                <w:color w:val="000000"/>
              </w:rPr>
              <w:t>11</w:t>
            </w:r>
          </w:p>
        </w:tc>
        <w:tc>
          <w:tcPr>
            <w:tcW w:w="581" w:type="pct"/>
          </w:tcPr>
          <w:p w:rsidR="000F7755" w:rsidRPr="00AF6D6B" w:rsidRDefault="000F7755" w:rsidP="00BE6710">
            <w:pPr>
              <w:tabs>
                <w:tab w:val="decimal" w:pos="671"/>
              </w:tabs>
            </w:pPr>
            <w:r w:rsidRPr="00AF6D6B">
              <w:t>624</w:t>
            </w:r>
          </w:p>
        </w:tc>
        <w:tc>
          <w:tcPr>
            <w:tcW w:w="580" w:type="pct"/>
          </w:tcPr>
          <w:p w:rsidR="000F7755" w:rsidRPr="00AF6D6B" w:rsidRDefault="000F7755" w:rsidP="00BE6710">
            <w:pPr>
              <w:tabs>
                <w:tab w:val="decimal" w:pos="688"/>
              </w:tabs>
            </w:pPr>
            <w:r w:rsidRPr="00AF6D6B">
              <w:t>414</w:t>
            </w:r>
          </w:p>
        </w:tc>
        <w:tc>
          <w:tcPr>
            <w:tcW w:w="580" w:type="pct"/>
          </w:tcPr>
          <w:p w:rsidR="000F7755" w:rsidRPr="00AF6D6B" w:rsidRDefault="000F7755" w:rsidP="00BE6710">
            <w:pPr>
              <w:tabs>
                <w:tab w:val="decimal" w:pos="615"/>
              </w:tabs>
              <w:adjustRightInd w:val="0"/>
              <w:rPr>
                <w:color w:val="000000"/>
              </w:rPr>
            </w:pPr>
            <w:r w:rsidRPr="00AF6D6B">
              <w:rPr>
                <w:color w:val="000000"/>
              </w:rPr>
              <w:t>183</w:t>
            </w:r>
          </w:p>
        </w:tc>
        <w:tc>
          <w:tcPr>
            <w:tcW w:w="581" w:type="pct"/>
          </w:tcPr>
          <w:p w:rsidR="000F7755" w:rsidRPr="00AF6D6B" w:rsidRDefault="000F7755" w:rsidP="00BE6710">
            <w:pPr>
              <w:tabs>
                <w:tab w:val="decimal" w:pos="674"/>
              </w:tabs>
            </w:pPr>
            <w:r w:rsidRPr="00AF6D6B">
              <w:t>312</w:t>
            </w:r>
          </w:p>
        </w:tc>
      </w:tr>
      <w:tr w:rsidR="000F7755" w:rsidRPr="00AF6D6B" w:rsidTr="00BE6710">
        <w:trPr>
          <w:cantSplit/>
        </w:trPr>
        <w:tc>
          <w:tcPr>
            <w:tcW w:w="936" w:type="pct"/>
          </w:tcPr>
          <w:p w:rsidR="000F7755" w:rsidRPr="00AF6D6B" w:rsidRDefault="000F7755" w:rsidP="00BE6710">
            <w:pPr>
              <w:adjustRightInd w:val="0"/>
              <w:rPr>
                <w:color w:val="000000"/>
              </w:rPr>
            </w:pPr>
            <w:r w:rsidRPr="00AF6D6B">
              <w:rPr>
                <w:color w:val="000000"/>
              </w:rPr>
              <w:t>CBOC—Very large</w:t>
            </w:r>
          </w:p>
        </w:tc>
        <w:tc>
          <w:tcPr>
            <w:tcW w:w="580" w:type="pct"/>
          </w:tcPr>
          <w:p w:rsidR="000F7755" w:rsidRPr="00AF6D6B" w:rsidRDefault="000F7755" w:rsidP="00BE6710">
            <w:pPr>
              <w:tabs>
                <w:tab w:val="decimal" w:pos="625"/>
              </w:tabs>
            </w:pPr>
            <w:r w:rsidRPr="00AF6D6B">
              <w:t>31</w:t>
            </w:r>
          </w:p>
        </w:tc>
        <w:tc>
          <w:tcPr>
            <w:tcW w:w="580" w:type="pct"/>
          </w:tcPr>
          <w:p w:rsidR="000F7755" w:rsidRPr="00AF6D6B" w:rsidRDefault="000F7755" w:rsidP="00BE6710">
            <w:pPr>
              <w:tabs>
                <w:tab w:val="decimal" w:pos="814"/>
              </w:tabs>
            </w:pPr>
            <w:r w:rsidRPr="00AF6D6B">
              <w:t>4,048</w:t>
            </w:r>
          </w:p>
        </w:tc>
        <w:tc>
          <w:tcPr>
            <w:tcW w:w="580" w:type="pct"/>
          </w:tcPr>
          <w:p w:rsidR="000F7755" w:rsidRPr="00AF6D6B" w:rsidDel="003D388B" w:rsidRDefault="000F7755" w:rsidP="00BE6710">
            <w:pPr>
              <w:tabs>
                <w:tab w:val="decimal" w:pos="516"/>
              </w:tabs>
            </w:pPr>
            <w:r w:rsidRPr="00AF6D6B">
              <w:rPr>
                <w:color w:val="000000"/>
              </w:rPr>
              <w:t>3</w:t>
            </w:r>
          </w:p>
        </w:tc>
        <w:tc>
          <w:tcPr>
            <w:tcW w:w="581" w:type="pct"/>
          </w:tcPr>
          <w:p w:rsidR="000F7755" w:rsidRPr="00AF6D6B" w:rsidRDefault="000F7755" w:rsidP="00BE6710">
            <w:pPr>
              <w:tabs>
                <w:tab w:val="decimal" w:pos="671"/>
              </w:tabs>
            </w:pPr>
            <w:r w:rsidRPr="00AF6D6B">
              <w:t>589</w:t>
            </w:r>
          </w:p>
        </w:tc>
        <w:tc>
          <w:tcPr>
            <w:tcW w:w="580" w:type="pct"/>
          </w:tcPr>
          <w:p w:rsidR="000F7755" w:rsidRPr="00AF6D6B" w:rsidRDefault="000F7755" w:rsidP="00BE6710">
            <w:pPr>
              <w:tabs>
                <w:tab w:val="decimal" w:pos="688"/>
              </w:tabs>
            </w:pPr>
            <w:r w:rsidRPr="00AF6D6B">
              <w:t>532</w:t>
            </w:r>
          </w:p>
        </w:tc>
        <w:tc>
          <w:tcPr>
            <w:tcW w:w="580" w:type="pct"/>
          </w:tcPr>
          <w:p w:rsidR="000F7755" w:rsidRPr="00AF6D6B" w:rsidRDefault="000F7755" w:rsidP="00BE6710">
            <w:pPr>
              <w:keepNext/>
              <w:tabs>
                <w:tab w:val="decimal" w:pos="615"/>
              </w:tabs>
              <w:adjustRightInd w:val="0"/>
              <w:rPr>
                <w:color w:val="000000"/>
              </w:rPr>
            </w:pPr>
            <w:r w:rsidRPr="00AF6D6B">
              <w:rPr>
                <w:color w:val="000000"/>
              </w:rPr>
              <w:t>221</w:t>
            </w:r>
          </w:p>
        </w:tc>
        <w:tc>
          <w:tcPr>
            <w:tcW w:w="581" w:type="pct"/>
          </w:tcPr>
          <w:p w:rsidR="000F7755" w:rsidRPr="00AF6D6B" w:rsidRDefault="000F7755" w:rsidP="00BE6710">
            <w:pPr>
              <w:tabs>
                <w:tab w:val="decimal" w:pos="674"/>
              </w:tabs>
            </w:pPr>
            <w:r w:rsidRPr="00AF6D6B">
              <w:t>295</w:t>
            </w:r>
          </w:p>
        </w:tc>
      </w:tr>
      <w:tr w:rsidR="000F7755" w:rsidRPr="00AF6D6B" w:rsidTr="00BE6710">
        <w:trPr>
          <w:cantSplit/>
        </w:trPr>
        <w:tc>
          <w:tcPr>
            <w:tcW w:w="936" w:type="pct"/>
          </w:tcPr>
          <w:p w:rsidR="000F7755" w:rsidRPr="00AF6D6B" w:rsidRDefault="000F7755" w:rsidP="00BE6710">
            <w:pPr>
              <w:adjustRightInd w:val="0"/>
              <w:ind w:left="180"/>
              <w:rPr>
                <w:bCs/>
                <w:color w:val="000000"/>
              </w:rPr>
            </w:pPr>
            <w:r w:rsidRPr="00AF6D6B">
              <w:rPr>
                <w:bCs/>
                <w:color w:val="000000"/>
              </w:rPr>
              <w:t>Subtotal</w:t>
            </w:r>
          </w:p>
        </w:tc>
        <w:tc>
          <w:tcPr>
            <w:tcW w:w="580" w:type="pct"/>
          </w:tcPr>
          <w:p w:rsidR="000F7755" w:rsidRPr="00AF6D6B" w:rsidRDefault="000F7755" w:rsidP="00BE6710">
            <w:pPr>
              <w:tabs>
                <w:tab w:val="decimal" w:pos="625"/>
              </w:tabs>
              <w:adjustRightInd w:val="0"/>
              <w:rPr>
                <w:bCs/>
                <w:color w:val="000000"/>
              </w:rPr>
            </w:pPr>
            <w:r w:rsidRPr="00AF6D6B">
              <w:rPr>
                <w:bCs/>
                <w:color w:val="000000"/>
              </w:rPr>
              <w:t>251</w:t>
            </w:r>
          </w:p>
        </w:tc>
        <w:tc>
          <w:tcPr>
            <w:tcW w:w="580" w:type="pct"/>
          </w:tcPr>
          <w:p w:rsidR="000F7755" w:rsidRPr="00AF6D6B" w:rsidRDefault="000F7755" w:rsidP="00BE6710">
            <w:pPr>
              <w:tabs>
                <w:tab w:val="decimal" w:pos="814"/>
              </w:tabs>
              <w:rPr>
                <w:bCs/>
              </w:rPr>
            </w:pPr>
            <w:r w:rsidRPr="00AF6D6B">
              <w:rPr>
                <w:bCs/>
              </w:rPr>
              <w:t>13,738</w:t>
            </w:r>
          </w:p>
        </w:tc>
        <w:tc>
          <w:tcPr>
            <w:tcW w:w="580" w:type="pct"/>
          </w:tcPr>
          <w:p w:rsidR="000F7755" w:rsidRPr="00AF6D6B" w:rsidDel="003D388B" w:rsidRDefault="000F7755" w:rsidP="00BE6710">
            <w:pPr>
              <w:tabs>
                <w:tab w:val="decimal" w:pos="516"/>
              </w:tabs>
              <w:adjustRightInd w:val="0"/>
              <w:rPr>
                <w:bCs/>
                <w:color w:val="000000"/>
              </w:rPr>
            </w:pPr>
            <w:r w:rsidRPr="00AF6D6B">
              <w:rPr>
                <w:bCs/>
                <w:color w:val="000000"/>
              </w:rPr>
              <w:t>119</w:t>
            </w:r>
          </w:p>
        </w:tc>
        <w:tc>
          <w:tcPr>
            <w:tcW w:w="581" w:type="pct"/>
          </w:tcPr>
          <w:p w:rsidR="000F7755" w:rsidRPr="00AF6D6B" w:rsidDel="003D388B" w:rsidRDefault="000F7755" w:rsidP="00BE6710">
            <w:pPr>
              <w:tabs>
                <w:tab w:val="decimal" w:pos="671"/>
              </w:tabs>
              <w:adjustRightInd w:val="0"/>
              <w:rPr>
                <w:bCs/>
                <w:color w:val="000000"/>
              </w:rPr>
            </w:pPr>
            <w:r w:rsidRPr="00AF6D6B">
              <w:rPr>
                <w:bCs/>
                <w:color w:val="000000"/>
              </w:rPr>
              <w:t>2,000</w:t>
            </w:r>
          </w:p>
        </w:tc>
        <w:tc>
          <w:tcPr>
            <w:tcW w:w="580" w:type="pct"/>
          </w:tcPr>
          <w:p w:rsidR="000F7755" w:rsidRPr="00AF6D6B" w:rsidRDefault="000F7755" w:rsidP="00BE6710">
            <w:pPr>
              <w:tabs>
                <w:tab w:val="decimal" w:pos="688"/>
              </w:tabs>
              <w:rPr>
                <w:bCs/>
              </w:rPr>
            </w:pPr>
            <w:r w:rsidRPr="00AF6D6B">
              <w:rPr>
                <w:bCs/>
              </w:rPr>
              <w:t>1,581</w:t>
            </w:r>
          </w:p>
        </w:tc>
        <w:tc>
          <w:tcPr>
            <w:tcW w:w="580" w:type="pct"/>
          </w:tcPr>
          <w:p w:rsidR="000F7755" w:rsidRPr="00AF6D6B" w:rsidRDefault="000F7755" w:rsidP="00BE6710">
            <w:pPr>
              <w:tabs>
                <w:tab w:val="decimal" w:pos="615"/>
              </w:tabs>
              <w:adjustRightInd w:val="0"/>
              <w:rPr>
                <w:bCs/>
                <w:color w:val="000000"/>
              </w:rPr>
            </w:pPr>
            <w:r w:rsidRPr="00AF6D6B">
              <w:rPr>
                <w:bCs/>
                <w:color w:val="000000"/>
              </w:rPr>
              <w:t>581</w:t>
            </w:r>
          </w:p>
        </w:tc>
        <w:tc>
          <w:tcPr>
            <w:tcW w:w="581" w:type="pct"/>
          </w:tcPr>
          <w:p w:rsidR="000F7755" w:rsidRPr="00AF6D6B" w:rsidRDefault="000F7755" w:rsidP="00BE6710">
            <w:pPr>
              <w:tabs>
                <w:tab w:val="decimal" w:pos="674"/>
              </w:tabs>
              <w:rPr>
                <w:bCs/>
              </w:rPr>
            </w:pPr>
            <w:r w:rsidRPr="00AF6D6B">
              <w:rPr>
                <w:bCs/>
              </w:rPr>
              <w:t>1,000</w:t>
            </w:r>
          </w:p>
        </w:tc>
      </w:tr>
      <w:tr w:rsidR="000F7755" w:rsidRPr="00AF6D6B" w:rsidTr="00BE6710">
        <w:trPr>
          <w:cantSplit/>
        </w:trPr>
        <w:tc>
          <w:tcPr>
            <w:tcW w:w="936" w:type="pct"/>
            <w:tcBorders>
              <w:bottom w:val="double" w:sz="4" w:space="0" w:color="auto"/>
            </w:tcBorders>
          </w:tcPr>
          <w:p w:rsidR="000F7755" w:rsidRPr="00AF6D6B" w:rsidRDefault="000F7755" w:rsidP="00BE6710">
            <w:pPr>
              <w:adjustRightInd w:val="0"/>
              <w:rPr>
                <w:bCs/>
                <w:color w:val="000000"/>
              </w:rPr>
            </w:pPr>
            <w:r w:rsidRPr="00AF6D6B">
              <w:rPr>
                <w:bCs/>
                <w:color w:val="000000"/>
              </w:rPr>
              <w:t>Total</w:t>
            </w:r>
          </w:p>
        </w:tc>
        <w:tc>
          <w:tcPr>
            <w:tcW w:w="580" w:type="pct"/>
            <w:tcBorders>
              <w:bottom w:val="double" w:sz="4" w:space="0" w:color="auto"/>
            </w:tcBorders>
          </w:tcPr>
          <w:p w:rsidR="000F7755" w:rsidRPr="00AF6D6B" w:rsidRDefault="000F7755" w:rsidP="00BE6710">
            <w:pPr>
              <w:tabs>
                <w:tab w:val="decimal" w:pos="625"/>
              </w:tabs>
              <w:adjustRightInd w:val="0"/>
              <w:rPr>
                <w:bCs/>
                <w:color w:val="000000"/>
              </w:rPr>
            </w:pPr>
            <w:r w:rsidRPr="00AF6D6B">
              <w:rPr>
                <w:bCs/>
                <w:color w:val="000000"/>
              </w:rPr>
              <w:t>390</w:t>
            </w:r>
          </w:p>
        </w:tc>
        <w:tc>
          <w:tcPr>
            <w:tcW w:w="580" w:type="pct"/>
            <w:tcBorders>
              <w:bottom w:val="double" w:sz="4" w:space="0" w:color="auto"/>
            </w:tcBorders>
          </w:tcPr>
          <w:p w:rsidR="000F7755" w:rsidRPr="00AF6D6B" w:rsidRDefault="000F7755" w:rsidP="00BE6710">
            <w:pPr>
              <w:tabs>
                <w:tab w:val="decimal" w:pos="814"/>
              </w:tabs>
              <w:adjustRightInd w:val="0"/>
              <w:rPr>
                <w:bCs/>
                <w:color w:val="000000"/>
              </w:rPr>
            </w:pPr>
            <w:r w:rsidRPr="00AF6D6B">
              <w:rPr>
                <w:bCs/>
                <w:color w:val="000000"/>
              </w:rPr>
              <w:t>64,999</w:t>
            </w:r>
          </w:p>
        </w:tc>
        <w:tc>
          <w:tcPr>
            <w:tcW w:w="580" w:type="pct"/>
            <w:tcBorders>
              <w:bottom w:val="double" w:sz="4" w:space="0" w:color="auto"/>
            </w:tcBorders>
          </w:tcPr>
          <w:p w:rsidR="000F7755" w:rsidRPr="00AF6D6B" w:rsidDel="003D388B" w:rsidRDefault="000F7755" w:rsidP="00BE6710">
            <w:pPr>
              <w:tabs>
                <w:tab w:val="decimal" w:pos="516"/>
              </w:tabs>
              <w:adjustRightInd w:val="0"/>
              <w:rPr>
                <w:bCs/>
                <w:color w:val="000000"/>
              </w:rPr>
            </w:pPr>
            <w:r w:rsidRPr="00AF6D6B">
              <w:rPr>
                <w:bCs/>
                <w:color w:val="000000"/>
              </w:rPr>
              <w:t>123</w:t>
            </w:r>
          </w:p>
        </w:tc>
        <w:tc>
          <w:tcPr>
            <w:tcW w:w="581" w:type="pct"/>
            <w:tcBorders>
              <w:bottom w:val="double" w:sz="4" w:space="0" w:color="auto"/>
            </w:tcBorders>
          </w:tcPr>
          <w:p w:rsidR="000F7755" w:rsidRPr="00AF6D6B" w:rsidDel="003D388B" w:rsidRDefault="000F7755" w:rsidP="00BE6710">
            <w:pPr>
              <w:tabs>
                <w:tab w:val="decimal" w:pos="671"/>
              </w:tabs>
              <w:adjustRightInd w:val="0"/>
              <w:rPr>
                <w:bCs/>
                <w:color w:val="000000"/>
              </w:rPr>
            </w:pPr>
            <w:r w:rsidRPr="00AF6D6B">
              <w:rPr>
                <w:bCs/>
                <w:color w:val="000000"/>
              </w:rPr>
              <w:t>5,000</w:t>
            </w:r>
          </w:p>
        </w:tc>
        <w:tc>
          <w:tcPr>
            <w:tcW w:w="580" w:type="pct"/>
            <w:tcBorders>
              <w:bottom w:val="double" w:sz="4" w:space="0" w:color="auto"/>
            </w:tcBorders>
          </w:tcPr>
          <w:p w:rsidR="000F7755" w:rsidRPr="00AF6D6B" w:rsidRDefault="000F7755" w:rsidP="00BE6710">
            <w:pPr>
              <w:tabs>
                <w:tab w:val="decimal" w:pos="688"/>
              </w:tabs>
              <w:adjustRightInd w:val="0"/>
              <w:rPr>
                <w:bCs/>
                <w:color w:val="000000"/>
              </w:rPr>
            </w:pPr>
            <w:r w:rsidRPr="00AF6D6B">
              <w:rPr>
                <w:bCs/>
                <w:color w:val="000000"/>
              </w:rPr>
              <w:t>7,629</w:t>
            </w:r>
          </w:p>
        </w:tc>
        <w:tc>
          <w:tcPr>
            <w:tcW w:w="580" w:type="pct"/>
            <w:tcBorders>
              <w:bottom w:val="double" w:sz="4" w:space="0" w:color="auto"/>
            </w:tcBorders>
          </w:tcPr>
          <w:p w:rsidR="000F7755" w:rsidRPr="00AF6D6B" w:rsidRDefault="000F7755" w:rsidP="00BE6710">
            <w:pPr>
              <w:tabs>
                <w:tab w:val="decimal" w:pos="615"/>
              </w:tabs>
              <w:adjustRightInd w:val="0"/>
              <w:rPr>
                <w:bCs/>
                <w:color w:val="000000"/>
              </w:rPr>
            </w:pPr>
            <w:r w:rsidRPr="00AF6D6B">
              <w:rPr>
                <w:bCs/>
                <w:color w:val="000000"/>
              </w:rPr>
              <w:t>1,334</w:t>
            </w:r>
          </w:p>
        </w:tc>
        <w:tc>
          <w:tcPr>
            <w:tcW w:w="581" w:type="pct"/>
            <w:tcBorders>
              <w:bottom w:val="double" w:sz="4" w:space="0" w:color="auto"/>
            </w:tcBorders>
          </w:tcPr>
          <w:p w:rsidR="000F7755" w:rsidRPr="00AF6D6B" w:rsidRDefault="000F7755" w:rsidP="00BE6710">
            <w:pPr>
              <w:tabs>
                <w:tab w:val="decimal" w:pos="674"/>
              </w:tabs>
              <w:rPr>
                <w:bCs/>
              </w:rPr>
            </w:pPr>
            <w:r w:rsidRPr="00AF6D6B">
              <w:rPr>
                <w:bCs/>
              </w:rPr>
              <w:t>2,500</w:t>
            </w:r>
          </w:p>
        </w:tc>
      </w:tr>
    </w:tbl>
    <w:p w:rsidR="000F7755" w:rsidRPr="00AF6D6B" w:rsidRDefault="000F7755" w:rsidP="00BE6710">
      <w:pPr>
        <w:pStyle w:val="tabfigsource"/>
        <w:spacing w:before="0" w:after="0"/>
        <w:rPr>
          <w:sz w:val="24"/>
          <w:szCs w:val="24"/>
        </w:rPr>
      </w:pPr>
      <w:r>
        <w:rPr>
          <w:sz w:val="24"/>
          <w:szCs w:val="24"/>
        </w:rPr>
        <w:t>*PSU=primary sampling unit</w:t>
      </w:r>
    </w:p>
    <w:p w:rsidR="000F7755" w:rsidRPr="00AF6D6B" w:rsidRDefault="000F7755" w:rsidP="00A02E01">
      <w:pPr>
        <w:pStyle w:val="bodytext"/>
        <w:spacing w:after="0" w:line="240" w:lineRule="auto"/>
        <w:ind w:firstLine="0"/>
        <w:rPr>
          <w:szCs w:val="24"/>
        </w:rPr>
      </w:pPr>
    </w:p>
    <w:p w:rsidR="000F7755" w:rsidRPr="00AF6D6B" w:rsidRDefault="000F7755" w:rsidP="00A02E01">
      <w:pPr>
        <w:pStyle w:val="bodytext"/>
        <w:spacing w:after="0" w:line="240" w:lineRule="auto"/>
        <w:ind w:firstLine="0"/>
        <w:rPr>
          <w:szCs w:val="24"/>
        </w:rPr>
      </w:pPr>
      <w:r w:rsidRPr="00AF6D6B">
        <w:rPr>
          <w:szCs w:val="24"/>
        </w:rPr>
        <w:t xml:space="preserve">Given the observed range in the number of MOVE outpatients across PSU in FY09, each stratum will be divided in two sub-strata, PSUs with less than 30 MOVE patients and PSUs with 31 or more MOVE patients. All PSUs with less than 30 MOVE patients will be removed from the population frame as they are deemed “start up” sites. </w:t>
      </w:r>
    </w:p>
    <w:p w:rsidR="000F7755" w:rsidRPr="00AF6D6B" w:rsidRDefault="000F7755" w:rsidP="00A02E01">
      <w:pPr>
        <w:pStyle w:val="bodytext"/>
        <w:spacing w:after="0" w:line="240" w:lineRule="auto"/>
        <w:ind w:firstLine="0"/>
        <w:rPr>
          <w:szCs w:val="24"/>
        </w:rPr>
      </w:pPr>
    </w:p>
    <w:p w:rsidR="000F7755" w:rsidRPr="00AF6D6B" w:rsidRDefault="000F7755" w:rsidP="00A02E01">
      <w:pPr>
        <w:pStyle w:val="bodytext"/>
        <w:spacing w:after="0" w:line="240" w:lineRule="auto"/>
        <w:ind w:firstLine="0"/>
        <w:rPr>
          <w:szCs w:val="24"/>
        </w:rPr>
      </w:pPr>
      <w:r w:rsidRPr="00AF6D6B">
        <w:rPr>
          <w:szCs w:val="24"/>
        </w:rPr>
        <w:t>A sample of PSUs will be selected at random from each stratum using probability proportional to the size (number of MOVE outpatients). Proportional allocation will be used to determine the size of the random sample that will be drawn from each stratum within the Facilities and CBOCs. In proportional allocation the more units the stratum contains, the larger the sample will be for this stratum. This allocation will result in a representative sample in the sense that it will have an outpatient distribution similar to the population’s distribution</w:t>
      </w:r>
      <w:r w:rsidRPr="00AF6D6B">
        <w:rPr>
          <w:rStyle w:val="EndnoteReference"/>
          <w:szCs w:val="24"/>
        </w:rPr>
        <w:endnoteReference w:id="4"/>
      </w:r>
      <w:r w:rsidRPr="00AF6D6B">
        <w:rPr>
          <w:szCs w:val="24"/>
        </w:rPr>
        <w:t>.  Table 1 shows the expected size of a sample of outpatients (both genders) and the expected number of females that will be drawn from each stratum using proportional allocation. The expected number of female outpatients (see “Expected Sample Size of Females” in Table 1) in the sample was estimated using the stratum gender distribution from 2009 data. Female patients will be oversampled to ensure sufficient statistical power to detect differences in outcomes and to provide estimates with enough precision for both genders.</w:t>
      </w:r>
    </w:p>
    <w:p w:rsidR="000F7755" w:rsidRPr="00AF6D6B" w:rsidRDefault="000F7755" w:rsidP="00A02E01">
      <w:pPr>
        <w:pStyle w:val="bodytext"/>
        <w:spacing w:after="0" w:line="240" w:lineRule="auto"/>
        <w:ind w:firstLine="0"/>
        <w:rPr>
          <w:szCs w:val="24"/>
        </w:rPr>
      </w:pPr>
    </w:p>
    <w:p w:rsidR="000F7755" w:rsidRPr="00AF6D6B" w:rsidRDefault="000F7755" w:rsidP="00A02E01">
      <w:pPr>
        <w:pStyle w:val="bodytext"/>
        <w:spacing w:after="0" w:line="240" w:lineRule="auto"/>
        <w:ind w:firstLine="0"/>
        <w:rPr>
          <w:szCs w:val="24"/>
        </w:rPr>
      </w:pPr>
      <w:r w:rsidRPr="00AF6D6B">
        <w:rPr>
          <w:szCs w:val="24"/>
        </w:rPr>
        <w:t xml:space="preserve">Since information regarding the gender of patients is available in advance, we will stratify the listings of MOVE outpatients of the selected PSUs by gender, and within each gender (male and female) we will select a random sample of approximately the same number for both males and females. For example, if a selected PSU was assigned 36 sampling units, then we will select 18 females and 18 males at random from the list of MOVE patients attending the selected PSU. </w:t>
      </w:r>
    </w:p>
    <w:p w:rsidR="000F7755" w:rsidRPr="00AF6D6B" w:rsidRDefault="000F7755" w:rsidP="00A02E01">
      <w:pPr>
        <w:pStyle w:val="bodytext"/>
        <w:spacing w:after="0" w:line="240" w:lineRule="auto"/>
        <w:ind w:firstLine="0"/>
        <w:rPr>
          <w:szCs w:val="24"/>
        </w:rPr>
      </w:pPr>
    </w:p>
    <w:p w:rsidR="000F7755" w:rsidRPr="00AF6D6B" w:rsidRDefault="000F7755" w:rsidP="00A02E01">
      <w:pPr>
        <w:pStyle w:val="bodytext"/>
        <w:spacing w:after="0" w:line="240" w:lineRule="auto"/>
        <w:ind w:firstLine="0"/>
        <w:rPr>
          <w:szCs w:val="24"/>
        </w:rPr>
      </w:pPr>
      <w:r w:rsidRPr="00AF6D6B">
        <w:rPr>
          <w:szCs w:val="24"/>
        </w:rPr>
        <w:t xml:space="preserve">If the sample allocated to a selected PSU is larger than the actual number of MOVE females and/or </w:t>
      </w:r>
      <w:r>
        <w:rPr>
          <w:szCs w:val="24"/>
        </w:rPr>
        <w:t>males</w:t>
      </w:r>
      <w:r w:rsidRPr="00AF6D6B">
        <w:rPr>
          <w:szCs w:val="24"/>
        </w:rPr>
        <w:t>, then we will include all the sampling units in the selected PSU and the remaining number of units to be sampled will be reallocated using the same procedure used before. For example, if the sample size for a selected PSU is 120 outpatients, then the number of females to be selected is about 60. If the number of female outpatients in the PSU is 40, then we will include the 40 female patients in the sample, and the remaining 20 females will be reallocated to the other strata using proportional allocation.</w:t>
      </w:r>
    </w:p>
    <w:p w:rsidR="000F7755" w:rsidRPr="00AF6D6B" w:rsidRDefault="000F7755" w:rsidP="00A02E01">
      <w:pPr>
        <w:pStyle w:val="bodytext"/>
        <w:spacing w:after="0" w:line="240" w:lineRule="auto"/>
        <w:ind w:firstLine="0"/>
        <w:rPr>
          <w:szCs w:val="24"/>
        </w:rPr>
      </w:pPr>
    </w:p>
    <w:p w:rsidR="000F7755" w:rsidRPr="00AF6D6B" w:rsidRDefault="000F7755" w:rsidP="00AF6D6B">
      <w:pPr>
        <w:pStyle w:val="bodytext"/>
        <w:spacing w:after="0" w:line="240" w:lineRule="auto"/>
        <w:ind w:firstLine="0"/>
        <w:rPr>
          <w:szCs w:val="24"/>
        </w:rPr>
      </w:pPr>
      <w:r w:rsidRPr="00AF6D6B">
        <w:rPr>
          <w:szCs w:val="24"/>
        </w:rPr>
        <w:t>Two general rules of thumb frequently used when deciding the selection on the number of primary sampling units and the cluster sizes are: the more PSUs are selected in the sample the better, as both geographic representation, or spread, and overall reliability will be improved; the smaller the cluster size, the more reliable the estimates will be</w:t>
      </w:r>
      <w:r w:rsidRPr="00AF6D6B">
        <w:rPr>
          <w:rStyle w:val="EndnoteReference"/>
          <w:szCs w:val="24"/>
        </w:rPr>
        <w:endnoteReference w:id="5"/>
      </w:r>
      <w:r w:rsidRPr="00AF6D6B">
        <w:rPr>
          <w:szCs w:val="24"/>
          <w:vertAlign w:val="superscript"/>
        </w:rPr>
        <w:t>,</w:t>
      </w:r>
      <w:r w:rsidRPr="00AF6D6B">
        <w:rPr>
          <w:rStyle w:val="EndnoteReference"/>
          <w:szCs w:val="24"/>
        </w:rPr>
        <w:endnoteReference w:id="6"/>
      </w:r>
      <w:r w:rsidRPr="00AF6D6B">
        <w:rPr>
          <w:szCs w:val="24"/>
        </w:rPr>
        <w:t>. Another consideration in determining the number of PSUs and respondents from PSUs selected is based on the level where comparisons are desired. If a research goal is to compare among subpopulations (e.g. strata or gender), then similar sample size is desired for each sub-population.</w:t>
      </w:r>
    </w:p>
    <w:p w:rsidR="000F7755" w:rsidRPr="00AF6D6B" w:rsidRDefault="000F7755" w:rsidP="00AF6D6B">
      <w:pPr>
        <w:pStyle w:val="bodytext"/>
        <w:spacing w:after="0" w:line="240" w:lineRule="auto"/>
        <w:ind w:firstLine="0"/>
        <w:rPr>
          <w:szCs w:val="24"/>
        </w:rPr>
      </w:pPr>
    </w:p>
    <w:p w:rsidR="000F7755" w:rsidRPr="00AF6D6B" w:rsidRDefault="000F7755" w:rsidP="00AF6D6B">
      <w:pPr>
        <w:pStyle w:val="bodytext"/>
        <w:spacing w:after="0" w:line="240" w:lineRule="auto"/>
        <w:ind w:firstLine="0"/>
        <w:rPr>
          <w:szCs w:val="24"/>
        </w:rPr>
      </w:pPr>
      <w:r w:rsidRPr="00AF6D6B">
        <w:rPr>
          <w:szCs w:val="24"/>
        </w:rPr>
        <w:t>In order to have enough sample size at different levels to obtain reliable estimates when comparing estimates for detecting differences across strata, PSUs groups, or other subgroups (sub domains) of interest (e.g., between female and males within strata) a sample size of 30–40 participants per PSU is required, which results in 75 to 100 PSUs selected from the VA Hospitals and 50 to 67 PSUs selected from the CBOCs. The use of 30–40 as minimum number of samples per cluster is based on the Central Limit Theorem (CLT), which postulates that for sample size greater than 30 the sample mean will be approximately normally distributed for most distribution functions. This is relevant since the normality assumption is mostly used for testing hypothesis</w:t>
      </w:r>
      <w:r w:rsidRPr="00AF6D6B">
        <w:rPr>
          <w:rStyle w:val="EndnoteReference"/>
          <w:szCs w:val="24"/>
        </w:rPr>
        <w:endnoteReference w:id="7"/>
      </w:r>
      <w:r w:rsidRPr="00AF6D6B">
        <w:rPr>
          <w:szCs w:val="24"/>
        </w:rPr>
        <w:t>.</w:t>
      </w:r>
    </w:p>
    <w:p w:rsidR="000F7755" w:rsidRPr="00AF6D6B" w:rsidRDefault="000F7755" w:rsidP="00BE6710">
      <w:pPr>
        <w:rPr>
          <w:i/>
          <w:sz w:val="24"/>
          <w:szCs w:val="24"/>
        </w:rPr>
      </w:pPr>
    </w:p>
    <w:p w:rsidR="000F7755" w:rsidRPr="00AE0941" w:rsidRDefault="000F7755" w:rsidP="00C842A4">
      <w:pPr>
        <w:pStyle w:val="Header"/>
        <w:tabs>
          <w:tab w:val="clear" w:pos="4320"/>
          <w:tab w:val="clear" w:pos="8640"/>
          <w:tab w:val="left" w:pos="547"/>
          <w:tab w:val="left" w:pos="1080"/>
          <w:tab w:val="left" w:pos="1627"/>
          <w:tab w:val="left" w:pos="2160"/>
          <w:tab w:val="left" w:pos="2880"/>
        </w:tabs>
        <w:rPr>
          <w:sz w:val="22"/>
          <w:szCs w:val="22"/>
        </w:rPr>
      </w:pPr>
    </w:p>
    <w:p w:rsidR="000F7755" w:rsidRDefault="000F7755" w:rsidP="00C842A4">
      <w:pPr>
        <w:pStyle w:val="Header"/>
        <w:tabs>
          <w:tab w:val="clear" w:pos="4320"/>
          <w:tab w:val="clear" w:pos="8640"/>
          <w:tab w:val="left" w:pos="547"/>
          <w:tab w:val="left" w:pos="1080"/>
          <w:tab w:val="left" w:pos="1627"/>
          <w:tab w:val="left" w:pos="2160"/>
          <w:tab w:val="left" w:pos="2880"/>
        </w:tabs>
        <w:rPr>
          <w:i/>
          <w:sz w:val="22"/>
          <w:szCs w:val="22"/>
        </w:rPr>
      </w:pPr>
      <w:r w:rsidRPr="00AF6D6B">
        <w:rPr>
          <w:i/>
          <w:sz w:val="22"/>
          <w:szCs w:val="22"/>
        </w:rPr>
        <w:t>Enrollment:</w:t>
      </w:r>
    </w:p>
    <w:p w:rsidR="000F7755" w:rsidRDefault="000F7755" w:rsidP="00AF6D6B">
      <w:pPr>
        <w:pStyle w:val="Header"/>
        <w:tabs>
          <w:tab w:val="clear" w:pos="4320"/>
          <w:tab w:val="clear" w:pos="8640"/>
          <w:tab w:val="left" w:pos="547"/>
          <w:tab w:val="left" w:pos="1080"/>
          <w:tab w:val="left" w:pos="1627"/>
          <w:tab w:val="left" w:pos="2160"/>
          <w:tab w:val="left" w:pos="2880"/>
        </w:tabs>
        <w:rPr>
          <w:sz w:val="24"/>
        </w:rPr>
      </w:pPr>
    </w:p>
    <w:p w:rsidR="000F7755" w:rsidRDefault="000F7755" w:rsidP="00AF6D6B">
      <w:pPr>
        <w:pStyle w:val="Header"/>
        <w:tabs>
          <w:tab w:val="clear" w:pos="4320"/>
          <w:tab w:val="clear" w:pos="8640"/>
          <w:tab w:val="left" w:pos="547"/>
          <w:tab w:val="left" w:pos="1080"/>
          <w:tab w:val="left" w:pos="1627"/>
          <w:tab w:val="left" w:pos="2160"/>
          <w:tab w:val="left" w:pos="2880"/>
        </w:tabs>
        <w:rPr>
          <w:sz w:val="24"/>
        </w:rPr>
      </w:pPr>
      <w:r>
        <w:rPr>
          <w:sz w:val="24"/>
        </w:rPr>
        <w:t xml:space="preserve">Subjects will be enrolled in the study </w:t>
      </w:r>
      <w:r w:rsidRPr="00EB0A84">
        <w:rPr>
          <w:sz w:val="24"/>
        </w:rPr>
        <w:t>using a modified Dillman approach</w:t>
      </w:r>
      <w:r>
        <w:rPr>
          <w:rStyle w:val="EndnoteReference"/>
          <w:sz w:val="24"/>
        </w:rPr>
        <w:endnoteReference w:id="8"/>
      </w:r>
      <w:r w:rsidRPr="00EB0A84">
        <w:rPr>
          <w:sz w:val="24"/>
        </w:rPr>
        <w:t xml:space="preserve">, which includes a pre-notification </w:t>
      </w:r>
      <w:r>
        <w:rPr>
          <w:sz w:val="24"/>
        </w:rPr>
        <w:t>letter</w:t>
      </w:r>
      <w:r w:rsidRPr="00EB0A84">
        <w:rPr>
          <w:sz w:val="24"/>
        </w:rPr>
        <w:t xml:space="preserve">, </w:t>
      </w:r>
      <w:r>
        <w:rPr>
          <w:sz w:val="24"/>
        </w:rPr>
        <w:t xml:space="preserve">personalized survey </w:t>
      </w:r>
      <w:r w:rsidRPr="00EB0A84">
        <w:rPr>
          <w:sz w:val="24"/>
        </w:rPr>
        <w:t xml:space="preserve">cover letter </w:t>
      </w:r>
      <w:r>
        <w:rPr>
          <w:sz w:val="24"/>
        </w:rPr>
        <w:t xml:space="preserve">with </w:t>
      </w:r>
      <w:r w:rsidRPr="00EB0A84">
        <w:rPr>
          <w:sz w:val="24"/>
        </w:rPr>
        <w:t xml:space="preserve">pre-paid return envelope, and </w:t>
      </w:r>
      <w:r w:rsidRPr="002544E1">
        <w:rPr>
          <w:sz w:val="24"/>
        </w:rPr>
        <w:t>a thank you/reminder post-card in 4 weeks if no survey is returned (see attached).  While the c</w:t>
      </w:r>
      <w:r>
        <w:rPr>
          <w:sz w:val="24"/>
        </w:rPr>
        <w:t xml:space="preserve">over letter indicates that participation in the survey is voluntary, it is not feasible for us to obtain verbal or written informed consent from study participants due to the size of the study population (N=5,000) and the national scope of the survey, thus we are requesting a Waiver of Informed Consent and a Waiver of HIPAA Authorization (see waiver request included as part of the protocol amendment submission).  Subjects who return a partially or fully completed survey will be considered enrolled responders.  Subjects who are mailed a survey, but who do not return a survey will be considered enrolled non-responders. Subjects who return a survey but who mark the following item will be removed from the study population and considered not enrolled. </w:t>
      </w:r>
    </w:p>
    <w:p w:rsidR="000F7755" w:rsidRDefault="000F7755" w:rsidP="00AF6D6B">
      <w:pPr>
        <w:pStyle w:val="Header"/>
        <w:tabs>
          <w:tab w:val="clear" w:pos="4320"/>
          <w:tab w:val="clear" w:pos="8640"/>
          <w:tab w:val="left" w:pos="547"/>
          <w:tab w:val="left" w:pos="1080"/>
          <w:tab w:val="left" w:pos="1627"/>
          <w:tab w:val="left" w:pos="2160"/>
          <w:tab w:val="left" w:pos="2880"/>
        </w:tabs>
        <w:rPr>
          <w:sz w:val="24"/>
        </w:rPr>
      </w:pPr>
    </w:p>
    <w:p w:rsidR="000F7755" w:rsidRDefault="000F7755" w:rsidP="00AE1F6F">
      <w:pPr>
        <w:ind w:left="720"/>
        <w:rPr>
          <w:rFonts w:ascii="Arial" w:hAnsi="Arial" w:cs="Arial"/>
          <w:b/>
          <w:sz w:val="22"/>
          <w:szCs w:val="22"/>
        </w:rPr>
      </w:pPr>
      <w:r w:rsidRPr="0093464B">
        <w:rPr>
          <w:rFonts w:ascii="Arial" w:hAnsi="Arial" w:cs="Arial"/>
          <w:b/>
          <w:sz w:val="22"/>
          <w:szCs w:val="22"/>
        </w:rPr>
        <w:t>If you have not received</w:t>
      </w:r>
      <w:r>
        <w:rPr>
          <w:rFonts w:ascii="Arial" w:hAnsi="Arial" w:cs="Arial"/>
          <w:b/>
          <w:sz w:val="22"/>
          <w:szCs w:val="22"/>
        </w:rPr>
        <w:t xml:space="preserve"> </w:t>
      </w:r>
      <w:r w:rsidRPr="0093464B">
        <w:rPr>
          <w:rFonts w:ascii="Arial" w:hAnsi="Arial" w:cs="Arial"/>
          <w:b/>
          <w:sz w:val="22"/>
          <w:szCs w:val="22"/>
        </w:rPr>
        <w:t>MOVE! Weight Management treatment a</w:t>
      </w:r>
      <w:r>
        <w:rPr>
          <w:rFonts w:ascii="Arial" w:hAnsi="Arial" w:cs="Arial"/>
          <w:b/>
          <w:sz w:val="22"/>
          <w:szCs w:val="22"/>
        </w:rPr>
        <w:t xml:space="preserve">t a VA medical center or clinic </w:t>
      </w:r>
      <w:r w:rsidRPr="0093464B">
        <w:rPr>
          <w:rFonts w:ascii="Arial" w:hAnsi="Arial" w:cs="Arial"/>
          <w:b/>
          <w:sz w:val="22"/>
          <w:szCs w:val="22"/>
        </w:rPr>
        <w:t xml:space="preserve">and believe that you may have received this survey in error, please check this box </w:t>
      </w:r>
      <w:r w:rsidRPr="001E1D76">
        <w:rPr>
          <w:rFonts w:ascii="Arial" w:hAnsi="Arial" w:cs="Arial"/>
          <w:sz w:val="22"/>
          <w:szCs w:val="22"/>
        </w:rPr>
        <w:fldChar w:fldCharType="begin">
          <w:ffData>
            <w:name w:val=""/>
            <w:enabled/>
            <w:calcOnExit w:val="0"/>
            <w:checkBox>
              <w:sizeAuto/>
              <w:default w:val="0"/>
            </w:checkBox>
          </w:ffData>
        </w:fldChar>
      </w:r>
      <w:r w:rsidRPr="001E1D76">
        <w:rPr>
          <w:rFonts w:ascii="Arial" w:hAnsi="Arial" w:cs="Arial"/>
          <w:sz w:val="22"/>
          <w:szCs w:val="22"/>
        </w:rPr>
        <w:instrText xml:space="preserve"> FORMCHECKBOX </w:instrText>
      </w:r>
      <w:r w:rsidRPr="001E1D76">
        <w:rPr>
          <w:rFonts w:ascii="Arial" w:hAnsi="Arial" w:cs="Arial"/>
          <w:sz w:val="22"/>
          <w:szCs w:val="22"/>
        </w:rPr>
      </w:r>
      <w:r w:rsidRPr="001E1D76">
        <w:rPr>
          <w:rFonts w:ascii="Arial" w:hAnsi="Arial" w:cs="Arial"/>
          <w:sz w:val="22"/>
          <w:szCs w:val="22"/>
        </w:rPr>
        <w:fldChar w:fldCharType="end"/>
      </w:r>
      <w:r>
        <w:rPr>
          <w:rFonts w:ascii="Arial" w:hAnsi="Arial" w:cs="Arial"/>
          <w:b/>
          <w:sz w:val="48"/>
          <w:szCs w:val="48"/>
        </w:rPr>
        <w:t xml:space="preserve"> </w:t>
      </w:r>
      <w:r w:rsidRPr="0093464B">
        <w:rPr>
          <w:rFonts w:ascii="Arial" w:hAnsi="Arial" w:cs="Arial"/>
          <w:b/>
          <w:sz w:val="22"/>
          <w:szCs w:val="22"/>
        </w:rPr>
        <w:t>and return the survey in the enclosed envelope.</w:t>
      </w:r>
    </w:p>
    <w:p w:rsidR="000F7755" w:rsidRDefault="000F7755" w:rsidP="00AF6D6B">
      <w:pPr>
        <w:pStyle w:val="Header"/>
        <w:tabs>
          <w:tab w:val="clear" w:pos="4320"/>
          <w:tab w:val="clear" w:pos="8640"/>
          <w:tab w:val="left" w:pos="547"/>
          <w:tab w:val="left" w:pos="1080"/>
          <w:tab w:val="left" w:pos="1627"/>
          <w:tab w:val="left" w:pos="2160"/>
          <w:tab w:val="left" w:pos="2880"/>
        </w:tabs>
        <w:rPr>
          <w:sz w:val="24"/>
        </w:rPr>
      </w:pPr>
    </w:p>
    <w:p w:rsidR="000F7755" w:rsidRDefault="000F7755" w:rsidP="00C842A4">
      <w:pPr>
        <w:rPr>
          <w:sz w:val="22"/>
          <w:szCs w:val="22"/>
        </w:rPr>
      </w:pPr>
    </w:p>
    <w:p w:rsidR="000F7755" w:rsidRPr="00AE1F6F" w:rsidRDefault="000F7755" w:rsidP="00C842A4">
      <w:pPr>
        <w:rPr>
          <w:i/>
          <w:sz w:val="22"/>
          <w:szCs w:val="22"/>
        </w:rPr>
      </w:pPr>
      <w:r w:rsidRPr="00AE1F6F">
        <w:rPr>
          <w:i/>
          <w:sz w:val="22"/>
          <w:szCs w:val="22"/>
        </w:rPr>
        <w:t>Survey Instrument</w:t>
      </w:r>
      <w:r>
        <w:rPr>
          <w:i/>
          <w:sz w:val="22"/>
          <w:szCs w:val="22"/>
        </w:rPr>
        <w:t>:</w:t>
      </w:r>
    </w:p>
    <w:p w:rsidR="000F7755" w:rsidRDefault="000F7755" w:rsidP="00C842A4">
      <w:pPr>
        <w:rPr>
          <w:sz w:val="22"/>
          <w:szCs w:val="22"/>
        </w:rPr>
      </w:pPr>
    </w:p>
    <w:p w:rsidR="000F7755" w:rsidRPr="00215D64" w:rsidRDefault="000F7755" w:rsidP="00C842A4">
      <w:pPr>
        <w:rPr>
          <w:sz w:val="24"/>
          <w:szCs w:val="24"/>
        </w:rPr>
      </w:pPr>
      <w:r w:rsidRPr="00215D64">
        <w:rPr>
          <w:sz w:val="24"/>
          <w:szCs w:val="24"/>
        </w:rPr>
        <w:t xml:space="preserve">The survey instrument is a 26-item instrument developed in collaboration with subject matter experts in the areas of survey design, health behaviors including diet and physical activity, patient satisfaction, self-management, weight management, </w:t>
      </w:r>
      <w:r>
        <w:rPr>
          <w:sz w:val="24"/>
          <w:szCs w:val="24"/>
        </w:rPr>
        <w:t xml:space="preserve">and </w:t>
      </w:r>
      <w:r w:rsidRPr="00215D64">
        <w:rPr>
          <w:sz w:val="24"/>
          <w:szCs w:val="24"/>
        </w:rPr>
        <w:t xml:space="preserve">health literacy.  Approximately one-half of the survey items were adopted word-for-word from existing surveys and instruments.  This includes the items assessing self-reported diet and physical activity behaviors, neighborhood characteristics, health-related quality of life, and demographic information. The use of existing items with established validity and reliability improves the accuracy with which we can measure these domains.  </w:t>
      </w:r>
      <w:r>
        <w:rPr>
          <w:sz w:val="24"/>
          <w:szCs w:val="24"/>
        </w:rPr>
        <w:t>W</w:t>
      </w:r>
      <w:r w:rsidRPr="00215D64">
        <w:rPr>
          <w:sz w:val="24"/>
          <w:szCs w:val="24"/>
        </w:rPr>
        <w:t xml:space="preserve">e could not locate suitable existing items to measure patient satisfaction with weight management treatment, </w:t>
      </w:r>
      <w:r>
        <w:rPr>
          <w:sz w:val="24"/>
          <w:szCs w:val="24"/>
        </w:rPr>
        <w:t xml:space="preserve">some </w:t>
      </w:r>
      <w:r w:rsidRPr="00215D64">
        <w:rPr>
          <w:sz w:val="24"/>
          <w:szCs w:val="24"/>
        </w:rPr>
        <w:t>weight management-related behaviors, and MOVE</w:t>
      </w:r>
      <w:r>
        <w:rPr>
          <w:sz w:val="24"/>
          <w:szCs w:val="24"/>
        </w:rPr>
        <w:t>!</w:t>
      </w:r>
      <w:r w:rsidRPr="00215D64">
        <w:rPr>
          <w:sz w:val="24"/>
          <w:szCs w:val="24"/>
        </w:rPr>
        <w:t xml:space="preserve"> specific items.  Thus, we either designed items to assess these domains, or adapted items from other surveys.  </w:t>
      </w:r>
    </w:p>
    <w:p w:rsidR="000F7755" w:rsidRPr="00215D64" w:rsidRDefault="000F7755" w:rsidP="00C842A4">
      <w:pPr>
        <w:rPr>
          <w:sz w:val="24"/>
          <w:szCs w:val="24"/>
        </w:rPr>
      </w:pPr>
    </w:p>
    <w:p w:rsidR="000F7755" w:rsidRPr="00215D64" w:rsidRDefault="000F7755" w:rsidP="00C842A4">
      <w:pPr>
        <w:rPr>
          <w:i/>
          <w:sz w:val="24"/>
          <w:szCs w:val="24"/>
        </w:rPr>
      </w:pPr>
      <w:r w:rsidRPr="00215D64">
        <w:rPr>
          <w:sz w:val="24"/>
          <w:szCs w:val="24"/>
        </w:rPr>
        <w:t>The survey was pilot tested with 8 subjects currently receiving MOV</w:t>
      </w:r>
      <w:r>
        <w:rPr>
          <w:sz w:val="24"/>
          <w:szCs w:val="24"/>
        </w:rPr>
        <w:t>E! treatment at the Durham VAMC as part of the pilot phase of this study.</w:t>
      </w:r>
      <w:r w:rsidRPr="00215D64">
        <w:rPr>
          <w:sz w:val="24"/>
          <w:szCs w:val="24"/>
        </w:rPr>
        <w:t xml:space="preserve">  Very minor revisions to improve clarity and readability were made based on this pilot test</w:t>
      </w:r>
      <w:r>
        <w:rPr>
          <w:sz w:val="24"/>
          <w:szCs w:val="24"/>
        </w:rPr>
        <w:t>.</w:t>
      </w:r>
    </w:p>
    <w:p w:rsidR="000F7755" w:rsidRDefault="000F7755" w:rsidP="00C842A4">
      <w:pPr>
        <w:rPr>
          <w:i/>
          <w:sz w:val="24"/>
          <w:szCs w:val="24"/>
        </w:rPr>
      </w:pPr>
    </w:p>
    <w:p w:rsidR="000F7755" w:rsidRPr="00215D64" w:rsidRDefault="000F7755" w:rsidP="00C842A4">
      <w:pPr>
        <w:rPr>
          <w:i/>
          <w:sz w:val="24"/>
          <w:szCs w:val="24"/>
        </w:rPr>
      </w:pPr>
      <w:r w:rsidRPr="00215D64">
        <w:rPr>
          <w:i/>
          <w:sz w:val="24"/>
          <w:szCs w:val="24"/>
        </w:rPr>
        <w:t>Other Data Proposed for Use:</w:t>
      </w:r>
    </w:p>
    <w:p w:rsidR="000F7755" w:rsidRPr="00215D64" w:rsidRDefault="000F7755" w:rsidP="00C842A4">
      <w:pPr>
        <w:rPr>
          <w:i/>
          <w:sz w:val="24"/>
          <w:szCs w:val="24"/>
        </w:rPr>
      </w:pPr>
    </w:p>
    <w:p w:rsidR="000F7755" w:rsidRPr="00215D64" w:rsidRDefault="000F7755" w:rsidP="00C842A4">
      <w:pPr>
        <w:rPr>
          <w:sz w:val="24"/>
          <w:szCs w:val="24"/>
        </w:rPr>
      </w:pPr>
      <w:r>
        <w:rPr>
          <w:sz w:val="24"/>
          <w:szCs w:val="24"/>
        </w:rPr>
        <w:t>W</w:t>
      </w:r>
      <w:r w:rsidRPr="00215D64">
        <w:rPr>
          <w:sz w:val="24"/>
          <w:szCs w:val="24"/>
        </w:rPr>
        <w:t xml:space="preserve">e propose </w:t>
      </w:r>
      <w:r>
        <w:rPr>
          <w:sz w:val="24"/>
          <w:szCs w:val="24"/>
        </w:rPr>
        <w:t xml:space="preserve">using </w:t>
      </w:r>
      <w:r w:rsidRPr="00215D64">
        <w:rPr>
          <w:sz w:val="24"/>
          <w:szCs w:val="24"/>
        </w:rPr>
        <w:t xml:space="preserve">the following </w:t>
      </w:r>
      <w:r>
        <w:rPr>
          <w:sz w:val="24"/>
          <w:szCs w:val="24"/>
        </w:rPr>
        <w:t>VHA data to be extracted from existing VA databases</w:t>
      </w:r>
      <w:r w:rsidRPr="00215D64">
        <w:rPr>
          <w:sz w:val="24"/>
          <w:szCs w:val="24"/>
        </w:rPr>
        <w:t xml:space="preserve"> to obtain </w:t>
      </w:r>
      <w:r>
        <w:rPr>
          <w:sz w:val="24"/>
          <w:szCs w:val="24"/>
        </w:rPr>
        <w:t xml:space="preserve">names, mailing addresses, and </w:t>
      </w:r>
      <w:r w:rsidRPr="00215D64">
        <w:rPr>
          <w:sz w:val="24"/>
          <w:szCs w:val="24"/>
        </w:rPr>
        <w:t xml:space="preserve">additional variables to further characterize </w:t>
      </w:r>
      <w:r>
        <w:rPr>
          <w:sz w:val="24"/>
          <w:szCs w:val="24"/>
        </w:rPr>
        <w:t xml:space="preserve">subjects, assess the degree </w:t>
      </w:r>
      <w:r w:rsidRPr="00215D64">
        <w:rPr>
          <w:sz w:val="24"/>
          <w:szCs w:val="24"/>
        </w:rPr>
        <w:t>of non-response bias</w:t>
      </w:r>
      <w:r>
        <w:rPr>
          <w:sz w:val="24"/>
          <w:szCs w:val="24"/>
        </w:rPr>
        <w:t xml:space="preserve">, and conduct linked analyses with the respondent’s survey data. </w:t>
      </w:r>
    </w:p>
    <w:p w:rsidR="000F7755" w:rsidRPr="00C842A4" w:rsidRDefault="000F7755" w:rsidP="00C842A4"/>
    <w:tbl>
      <w:tblPr>
        <w:tblpPr w:leftFromText="180" w:rightFromText="180" w:vertAnchor="text" w:horzAnchor="margin"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9"/>
        <w:gridCol w:w="5378"/>
        <w:gridCol w:w="2305"/>
      </w:tblGrid>
      <w:tr w:rsidR="000F7755" w:rsidRPr="000A2423" w:rsidTr="00A22A27">
        <w:tc>
          <w:tcPr>
            <w:tcW w:w="2469" w:type="dxa"/>
          </w:tcPr>
          <w:p w:rsidR="000F7755" w:rsidRPr="00B10942" w:rsidRDefault="000F7755" w:rsidP="000A2423">
            <w:pPr>
              <w:pStyle w:val="BodyText0"/>
              <w:tabs>
                <w:tab w:val="left" w:pos="2880"/>
              </w:tabs>
              <w:rPr>
                <w:b/>
                <w:sz w:val="24"/>
              </w:rPr>
            </w:pPr>
            <w:r w:rsidRPr="004F3F5D">
              <w:rPr>
                <w:b/>
                <w:sz w:val="24"/>
              </w:rPr>
              <w:t>Variable</w:t>
            </w:r>
          </w:p>
        </w:tc>
        <w:tc>
          <w:tcPr>
            <w:tcW w:w="5378" w:type="dxa"/>
          </w:tcPr>
          <w:p w:rsidR="000F7755" w:rsidRPr="00B10942" w:rsidRDefault="000F7755" w:rsidP="000A2423">
            <w:pPr>
              <w:pStyle w:val="BodyText0"/>
              <w:tabs>
                <w:tab w:val="left" w:pos="2880"/>
              </w:tabs>
              <w:rPr>
                <w:b/>
                <w:sz w:val="24"/>
              </w:rPr>
            </w:pPr>
            <w:r w:rsidRPr="004F3F5D">
              <w:rPr>
                <w:b/>
                <w:sz w:val="24"/>
              </w:rPr>
              <w:t>VA Corporate Dataset Name</w:t>
            </w:r>
            <w:r>
              <w:rPr>
                <w:b/>
                <w:sz w:val="24"/>
              </w:rPr>
              <w:t>/Identifier</w:t>
            </w:r>
          </w:p>
        </w:tc>
        <w:tc>
          <w:tcPr>
            <w:tcW w:w="2305" w:type="dxa"/>
          </w:tcPr>
          <w:p w:rsidR="000F7755" w:rsidRPr="00B10942" w:rsidRDefault="000F7755" w:rsidP="000A2423">
            <w:pPr>
              <w:pStyle w:val="BodyText0"/>
              <w:tabs>
                <w:tab w:val="left" w:pos="2880"/>
              </w:tabs>
              <w:rPr>
                <w:b/>
                <w:sz w:val="24"/>
              </w:rPr>
            </w:pPr>
            <w:r w:rsidRPr="004F3F5D">
              <w:rPr>
                <w:b/>
                <w:sz w:val="24"/>
              </w:rPr>
              <w:t>Comments</w:t>
            </w:r>
          </w:p>
        </w:tc>
      </w:tr>
      <w:tr w:rsidR="000F7755" w:rsidRPr="000A2423" w:rsidTr="00A22A27">
        <w:tc>
          <w:tcPr>
            <w:tcW w:w="2469" w:type="dxa"/>
          </w:tcPr>
          <w:p w:rsidR="000F7755" w:rsidRPr="000A2423" w:rsidRDefault="000F7755" w:rsidP="00A22A27">
            <w:pPr>
              <w:pStyle w:val="BodyText0"/>
              <w:tabs>
                <w:tab w:val="left" w:pos="2880"/>
              </w:tabs>
              <w:rPr>
                <w:sz w:val="24"/>
              </w:rPr>
            </w:pPr>
            <w:r>
              <w:rPr>
                <w:sz w:val="24"/>
              </w:rPr>
              <w:t>Scrambled SSN</w:t>
            </w:r>
          </w:p>
        </w:tc>
        <w:tc>
          <w:tcPr>
            <w:tcW w:w="5378" w:type="dxa"/>
          </w:tcPr>
          <w:p w:rsidR="000F7755" w:rsidRPr="000A2423" w:rsidRDefault="000F7755" w:rsidP="00A22A27">
            <w:pPr>
              <w:pStyle w:val="BodyText0"/>
              <w:tabs>
                <w:tab w:val="left" w:pos="2880"/>
              </w:tabs>
              <w:rPr>
                <w:sz w:val="24"/>
              </w:rPr>
            </w:pPr>
            <w:r w:rsidRPr="00C75C8E">
              <w:rPr>
                <w:sz w:val="24"/>
              </w:rPr>
              <w:t>MDPPRD.MDP.SAS.SE09</w:t>
            </w:r>
          </w:p>
        </w:tc>
        <w:tc>
          <w:tcPr>
            <w:tcW w:w="2305" w:type="dxa"/>
          </w:tcPr>
          <w:p w:rsidR="000F7755" w:rsidRPr="009D7297" w:rsidRDefault="000F7755" w:rsidP="00A22A27">
            <w:pPr>
              <w:pStyle w:val="BodyText0"/>
              <w:tabs>
                <w:tab w:val="left" w:pos="2880"/>
              </w:tabs>
              <w:rPr>
                <w:sz w:val="24"/>
              </w:rPr>
            </w:pPr>
            <w:r w:rsidRPr="009D7297">
              <w:rPr>
                <w:sz w:val="24"/>
              </w:rPr>
              <w:t>FY09, FY10</w:t>
            </w:r>
          </w:p>
        </w:tc>
      </w:tr>
      <w:tr w:rsidR="000F7755" w:rsidRPr="000A2423" w:rsidTr="00A22A27">
        <w:tc>
          <w:tcPr>
            <w:tcW w:w="2469" w:type="dxa"/>
          </w:tcPr>
          <w:p w:rsidR="000F7755" w:rsidRPr="000A2423" w:rsidRDefault="000F7755" w:rsidP="00A22A27">
            <w:pPr>
              <w:pStyle w:val="BodyText0"/>
              <w:tabs>
                <w:tab w:val="left" w:pos="2880"/>
              </w:tabs>
              <w:rPr>
                <w:sz w:val="24"/>
              </w:rPr>
            </w:pPr>
            <w:r w:rsidRPr="000A2423">
              <w:rPr>
                <w:sz w:val="24"/>
              </w:rPr>
              <w:t>Age</w:t>
            </w:r>
          </w:p>
        </w:tc>
        <w:tc>
          <w:tcPr>
            <w:tcW w:w="5378" w:type="dxa"/>
          </w:tcPr>
          <w:p w:rsidR="000F7755" w:rsidRPr="000A2423" w:rsidRDefault="000F7755" w:rsidP="00A22A27">
            <w:pPr>
              <w:pStyle w:val="BodyText0"/>
              <w:tabs>
                <w:tab w:val="left" w:pos="2880"/>
              </w:tabs>
              <w:rPr>
                <w:sz w:val="24"/>
              </w:rPr>
            </w:pPr>
            <w:r w:rsidRPr="00C75C8E">
              <w:rPr>
                <w:sz w:val="24"/>
              </w:rPr>
              <w:t>MDPPRD.MDP.SAS.SE09</w:t>
            </w:r>
          </w:p>
        </w:tc>
        <w:tc>
          <w:tcPr>
            <w:tcW w:w="2305" w:type="dxa"/>
          </w:tcPr>
          <w:p w:rsidR="000F7755" w:rsidRPr="009D7297" w:rsidRDefault="000F7755" w:rsidP="00A22A27">
            <w:pPr>
              <w:pStyle w:val="BodyText0"/>
              <w:tabs>
                <w:tab w:val="left" w:pos="2880"/>
              </w:tabs>
              <w:rPr>
                <w:sz w:val="24"/>
              </w:rPr>
            </w:pPr>
            <w:r w:rsidRPr="009D7297">
              <w:rPr>
                <w:sz w:val="24"/>
              </w:rPr>
              <w:t>FY09,  FY10</w:t>
            </w:r>
          </w:p>
        </w:tc>
      </w:tr>
      <w:tr w:rsidR="000F7755" w:rsidRPr="000A2423" w:rsidTr="00A22A27">
        <w:tc>
          <w:tcPr>
            <w:tcW w:w="2469" w:type="dxa"/>
          </w:tcPr>
          <w:p w:rsidR="000F7755" w:rsidRPr="000A2423" w:rsidRDefault="000F7755" w:rsidP="00A22A27">
            <w:pPr>
              <w:pStyle w:val="BodyText0"/>
              <w:tabs>
                <w:tab w:val="left" w:pos="2880"/>
              </w:tabs>
              <w:rPr>
                <w:sz w:val="24"/>
              </w:rPr>
            </w:pPr>
            <w:r w:rsidRPr="000A2423">
              <w:rPr>
                <w:sz w:val="24"/>
              </w:rPr>
              <w:t>Gender</w:t>
            </w:r>
          </w:p>
        </w:tc>
        <w:tc>
          <w:tcPr>
            <w:tcW w:w="5378" w:type="dxa"/>
          </w:tcPr>
          <w:p w:rsidR="000F7755" w:rsidRPr="000A2423" w:rsidRDefault="000F7755" w:rsidP="00A22A27">
            <w:pPr>
              <w:pStyle w:val="BodyText0"/>
              <w:tabs>
                <w:tab w:val="left" w:pos="2880"/>
              </w:tabs>
              <w:rPr>
                <w:sz w:val="24"/>
              </w:rPr>
            </w:pPr>
            <w:r w:rsidRPr="00C75C8E">
              <w:rPr>
                <w:sz w:val="24"/>
              </w:rPr>
              <w:t>MDPPRD.MDP.SAS.SE09</w:t>
            </w:r>
          </w:p>
        </w:tc>
        <w:tc>
          <w:tcPr>
            <w:tcW w:w="2305" w:type="dxa"/>
          </w:tcPr>
          <w:p w:rsidR="000F7755" w:rsidRPr="009D7297" w:rsidRDefault="000F7755" w:rsidP="00A22A27">
            <w:pPr>
              <w:pStyle w:val="BodyText0"/>
              <w:tabs>
                <w:tab w:val="left" w:pos="2880"/>
              </w:tabs>
              <w:rPr>
                <w:sz w:val="24"/>
              </w:rPr>
            </w:pPr>
            <w:r w:rsidRPr="009D7297">
              <w:rPr>
                <w:sz w:val="24"/>
              </w:rPr>
              <w:t>FY09,  FY10</w:t>
            </w:r>
          </w:p>
        </w:tc>
      </w:tr>
      <w:tr w:rsidR="000F7755" w:rsidRPr="000A2423" w:rsidTr="00A22A27">
        <w:tc>
          <w:tcPr>
            <w:tcW w:w="2469" w:type="dxa"/>
          </w:tcPr>
          <w:p w:rsidR="000F7755" w:rsidRPr="000A2423" w:rsidRDefault="000F7755" w:rsidP="00A22A27">
            <w:pPr>
              <w:pStyle w:val="BodyText0"/>
              <w:tabs>
                <w:tab w:val="left" w:pos="2880"/>
              </w:tabs>
              <w:rPr>
                <w:sz w:val="24"/>
              </w:rPr>
            </w:pPr>
            <w:r w:rsidRPr="000A2423">
              <w:rPr>
                <w:sz w:val="24"/>
              </w:rPr>
              <w:t>Race/ethnicity</w:t>
            </w:r>
          </w:p>
        </w:tc>
        <w:tc>
          <w:tcPr>
            <w:tcW w:w="5378" w:type="dxa"/>
          </w:tcPr>
          <w:p w:rsidR="000F7755" w:rsidRPr="000A2423" w:rsidRDefault="000F7755" w:rsidP="00A22A27">
            <w:pPr>
              <w:pStyle w:val="BodyText0"/>
              <w:tabs>
                <w:tab w:val="left" w:pos="2880"/>
              </w:tabs>
              <w:rPr>
                <w:sz w:val="24"/>
              </w:rPr>
            </w:pPr>
            <w:r w:rsidRPr="00C75C8E">
              <w:rPr>
                <w:sz w:val="24"/>
              </w:rPr>
              <w:t>MDPPRD.MDP.SAS.SE09</w:t>
            </w:r>
          </w:p>
        </w:tc>
        <w:tc>
          <w:tcPr>
            <w:tcW w:w="2305" w:type="dxa"/>
          </w:tcPr>
          <w:p w:rsidR="000F7755" w:rsidRPr="009D7297" w:rsidRDefault="000F7755" w:rsidP="00A22A27">
            <w:pPr>
              <w:pStyle w:val="BodyText0"/>
              <w:tabs>
                <w:tab w:val="left" w:pos="2880"/>
              </w:tabs>
              <w:rPr>
                <w:sz w:val="24"/>
              </w:rPr>
            </w:pPr>
            <w:r w:rsidRPr="009D7297">
              <w:rPr>
                <w:sz w:val="24"/>
              </w:rPr>
              <w:t xml:space="preserve">FY09,  FY10 </w:t>
            </w:r>
          </w:p>
          <w:p w:rsidR="000F7755" w:rsidRPr="009D7297" w:rsidRDefault="000F7755" w:rsidP="00A22A27">
            <w:pPr>
              <w:pStyle w:val="BodyText0"/>
              <w:tabs>
                <w:tab w:val="left" w:pos="2880"/>
              </w:tabs>
              <w:rPr>
                <w:sz w:val="24"/>
              </w:rPr>
            </w:pPr>
            <w:r w:rsidRPr="009D7297">
              <w:rPr>
                <w:sz w:val="24"/>
              </w:rPr>
              <w:t xml:space="preserve"> May not be completely usable due to a large percentage of missing values. </w:t>
            </w:r>
          </w:p>
        </w:tc>
      </w:tr>
      <w:tr w:rsidR="000F7755" w:rsidRPr="000A2423" w:rsidTr="00A22A27">
        <w:tc>
          <w:tcPr>
            <w:tcW w:w="2469" w:type="dxa"/>
          </w:tcPr>
          <w:p w:rsidR="000F7755" w:rsidRDefault="000F7755" w:rsidP="007D2EC0">
            <w:pPr>
              <w:pStyle w:val="BodyText0"/>
              <w:rPr>
                <w:sz w:val="24"/>
                <w:szCs w:val="24"/>
              </w:rPr>
            </w:pPr>
            <w:r>
              <w:rPr>
                <w:sz w:val="24"/>
                <w:szCs w:val="24"/>
              </w:rPr>
              <w:t>Names and mailing address</w:t>
            </w:r>
          </w:p>
        </w:tc>
        <w:tc>
          <w:tcPr>
            <w:tcW w:w="5378" w:type="dxa"/>
          </w:tcPr>
          <w:p w:rsidR="000F7755" w:rsidRDefault="000F7755" w:rsidP="007D2EC0">
            <w:pPr>
              <w:pStyle w:val="BodyText0"/>
              <w:rPr>
                <w:sz w:val="24"/>
                <w:szCs w:val="24"/>
              </w:rPr>
            </w:pPr>
            <w:r>
              <w:rPr>
                <w:sz w:val="24"/>
                <w:szCs w:val="24"/>
              </w:rPr>
              <w:t>S558TL1.NPC.MOVE.NCPPRGM.FILE1 (most current pt information from NPCD)</w:t>
            </w:r>
          </w:p>
          <w:p w:rsidR="000F7755" w:rsidRDefault="000F7755" w:rsidP="007D2EC0">
            <w:pPr>
              <w:pStyle w:val="BodyText0"/>
              <w:rPr>
                <w:sz w:val="24"/>
                <w:szCs w:val="24"/>
              </w:rPr>
            </w:pPr>
            <w:r>
              <w:rPr>
                <w:sz w:val="24"/>
                <w:szCs w:val="24"/>
              </w:rPr>
              <w:t>S558TL1.NPC.MOVE.NCPPRGM.FILE2 (duplicate/additional pt information)</w:t>
            </w:r>
          </w:p>
          <w:p w:rsidR="000F7755" w:rsidRDefault="000F7755" w:rsidP="007D2EC0">
            <w:pPr>
              <w:pStyle w:val="BodyText0"/>
              <w:rPr>
                <w:sz w:val="24"/>
                <w:szCs w:val="24"/>
              </w:rPr>
            </w:pPr>
            <w:r>
              <w:rPr>
                <w:sz w:val="24"/>
                <w:szCs w:val="24"/>
              </w:rPr>
              <w:t>S558TL1.NPC.MOVE.NCPPRGM.FILE3 (no information found in NPCD)</w:t>
            </w:r>
          </w:p>
          <w:p w:rsidR="000F7755" w:rsidRDefault="000F7755" w:rsidP="007D2EC0">
            <w:pPr>
              <w:pStyle w:val="BodyText0"/>
              <w:rPr>
                <w:sz w:val="24"/>
                <w:szCs w:val="24"/>
                <w:highlight w:val="yellow"/>
              </w:rPr>
            </w:pPr>
            <w:r>
              <w:rPr>
                <w:sz w:val="24"/>
                <w:szCs w:val="24"/>
              </w:rPr>
              <w:t>S558TL1.NPC.MOVE.NCPPRGM.FILE4 (pt information from NPCD of individuals who are deceased)</w:t>
            </w:r>
          </w:p>
        </w:tc>
        <w:tc>
          <w:tcPr>
            <w:tcW w:w="2305" w:type="dxa"/>
          </w:tcPr>
          <w:p w:rsidR="000F7755" w:rsidRPr="009D7297" w:rsidRDefault="000F7755" w:rsidP="007D2EC0">
            <w:pPr>
              <w:pStyle w:val="BodyText0"/>
              <w:rPr>
                <w:sz w:val="24"/>
                <w:szCs w:val="24"/>
              </w:rPr>
            </w:pPr>
            <w:r w:rsidRPr="009D7297">
              <w:rPr>
                <w:sz w:val="24"/>
                <w:szCs w:val="24"/>
              </w:rPr>
              <w:t>Names and mailing address</w:t>
            </w:r>
          </w:p>
        </w:tc>
      </w:tr>
      <w:tr w:rsidR="000F7755" w:rsidRPr="000A2423" w:rsidTr="00A22A27">
        <w:tc>
          <w:tcPr>
            <w:tcW w:w="2469" w:type="dxa"/>
          </w:tcPr>
          <w:p w:rsidR="000F7755" w:rsidRDefault="000F7755" w:rsidP="007D2EC0">
            <w:pPr>
              <w:pStyle w:val="BodyText0"/>
              <w:rPr>
                <w:sz w:val="24"/>
                <w:szCs w:val="24"/>
              </w:rPr>
            </w:pPr>
            <w:r>
              <w:rPr>
                <w:sz w:val="24"/>
                <w:szCs w:val="24"/>
              </w:rPr>
              <w:t>Priority Score</w:t>
            </w:r>
          </w:p>
        </w:tc>
        <w:tc>
          <w:tcPr>
            <w:tcW w:w="5378" w:type="dxa"/>
          </w:tcPr>
          <w:p w:rsidR="000F7755" w:rsidRDefault="000F7755" w:rsidP="007D2EC0">
            <w:pPr>
              <w:pStyle w:val="BodyText0"/>
              <w:rPr>
                <w:sz w:val="24"/>
                <w:szCs w:val="24"/>
              </w:rPr>
            </w:pPr>
            <w:r>
              <w:rPr>
                <w:sz w:val="24"/>
                <w:szCs w:val="24"/>
              </w:rPr>
              <w:t>RMTPRD.MED.SAS.ENROLLEE.ENONEPER</w:t>
            </w:r>
          </w:p>
        </w:tc>
        <w:tc>
          <w:tcPr>
            <w:tcW w:w="2305" w:type="dxa"/>
          </w:tcPr>
          <w:p w:rsidR="000F7755" w:rsidRPr="009D7297" w:rsidRDefault="000F7755" w:rsidP="007D2EC0">
            <w:pPr>
              <w:pStyle w:val="BodyText0"/>
              <w:rPr>
                <w:sz w:val="24"/>
                <w:szCs w:val="24"/>
              </w:rPr>
            </w:pPr>
            <w:r w:rsidRPr="009D7297">
              <w:rPr>
                <w:sz w:val="24"/>
                <w:szCs w:val="24"/>
              </w:rPr>
              <w:t>FY09</w:t>
            </w:r>
            <w:r w:rsidRPr="009D7297">
              <w:rPr>
                <w:sz w:val="24"/>
              </w:rPr>
              <w:t>,  FY10</w:t>
            </w:r>
          </w:p>
        </w:tc>
      </w:tr>
      <w:tr w:rsidR="000F7755" w:rsidRPr="000A2423" w:rsidTr="00A22A27">
        <w:tc>
          <w:tcPr>
            <w:tcW w:w="2469" w:type="dxa"/>
          </w:tcPr>
          <w:p w:rsidR="000F7755" w:rsidRPr="000A2423" w:rsidRDefault="000F7755" w:rsidP="00B10942">
            <w:pPr>
              <w:pStyle w:val="BodyText0"/>
              <w:tabs>
                <w:tab w:val="left" w:pos="2880"/>
              </w:tabs>
              <w:rPr>
                <w:sz w:val="24"/>
              </w:rPr>
            </w:pPr>
            <w:r>
              <w:rPr>
                <w:sz w:val="24"/>
              </w:rPr>
              <w:t xml:space="preserve">Comorbidity Score </w:t>
            </w:r>
          </w:p>
        </w:tc>
        <w:tc>
          <w:tcPr>
            <w:tcW w:w="5378" w:type="dxa"/>
          </w:tcPr>
          <w:p w:rsidR="000F7755" w:rsidRPr="001B7E31" w:rsidRDefault="000F7755" w:rsidP="00A22A27">
            <w:pPr>
              <w:pStyle w:val="BodyText0"/>
              <w:tabs>
                <w:tab w:val="left" w:pos="2880"/>
              </w:tabs>
              <w:rPr>
                <w:sz w:val="24"/>
                <w:szCs w:val="24"/>
              </w:rPr>
            </w:pPr>
            <w:r w:rsidRPr="001B7E31">
              <w:rPr>
                <w:sz w:val="24"/>
                <w:szCs w:val="24"/>
              </w:rPr>
              <w:t>RMTPRD.MED.DCG.RISK.SMART</w:t>
            </w:r>
            <w:r w:rsidRPr="001B7E31">
              <w:rPr>
                <w:b/>
                <w:bCs/>
                <w:sz w:val="24"/>
                <w:szCs w:val="24"/>
              </w:rPr>
              <w:t>22</w:t>
            </w:r>
            <w:r w:rsidRPr="001B7E31">
              <w:rPr>
                <w:sz w:val="24"/>
                <w:szCs w:val="24"/>
              </w:rPr>
              <w:t>.FY</w:t>
            </w:r>
            <w:r w:rsidRPr="001B7E31">
              <w:rPr>
                <w:b/>
                <w:bCs/>
                <w:sz w:val="24"/>
                <w:szCs w:val="24"/>
              </w:rPr>
              <w:t>08</w:t>
            </w:r>
          </w:p>
        </w:tc>
        <w:tc>
          <w:tcPr>
            <w:tcW w:w="2305" w:type="dxa"/>
          </w:tcPr>
          <w:p w:rsidR="000F7755" w:rsidRPr="009D7297" w:rsidRDefault="000F7755" w:rsidP="00A22A27">
            <w:pPr>
              <w:pStyle w:val="BodyText0"/>
              <w:tabs>
                <w:tab w:val="left" w:pos="2880"/>
              </w:tabs>
              <w:rPr>
                <w:sz w:val="24"/>
              </w:rPr>
            </w:pPr>
            <w:r w:rsidRPr="009D7297">
              <w:rPr>
                <w:sz w:val="24"/>
              </w:rPr>
              <w:t>FY08, FY09</w:t>
            </w:r>
          </w:p>
        </w:tc>
      </w:tr>
      <w:tr w:rsidR="000F7755" w:rsidRPr="000A2423" w:rsidTr="00A22A27">
        <w:tc>
          <w:tcPr>
            <w:tcW w:w="2469" w:type="dxa"/>
          </w:tcPr>
          <w:p w:rsidR="000F7755" w:rsidRPr="000A2423" w:rsidRDefault="000F7755" w:rsidP="00A22A27">
            <w:pPr>
              <w:pStyle w:val="BodyText0"/>
              <w:tabs>
                <w:tab w:val="left" w:pos="2880"/>
              </w:tabs>
              <w:rPr>
                <w:sz w:val="24"/>
              </w:rPr>
            </w:pPr>
            <w:r w:rsidRPr="000A2423">
              <w:rPr>
                <w:sz w:val="24"/>
              </w:rPr>
              <w:t>Geography (Urban/Rural)</w:t>
            </w:r>
          </w:p>
        </w:tc>
        <w:tc>
          <w:tcPr>
            <w:tcW w:w="5378" w:type="dxa"/>
          </w:tcPr>
          <w:p w:rsidR="000F7755" w:rsidRPr="00C75C8E" w:rsidRDefault="000F7755" w:rsidP="00A22A27">
            <w:pPr>
              <w:pStyle w:val="BodyText0"/>
              <w:tabs>
                <w:tab w:val="left" w:pos="2880"/>
              </w:tabs>
              <w:rPr>
                <w:sz w:val="24"/>
              </w:rPr>
            </w:pPr>
            <w:r>
              <w:rPr>
                <w:sz w:val="24"/>
                <w:szCs w:val="24"/>
              </w:rPr>
              <w:t>MDPPRD.MDP.SAS.NED.MAIN.SEP08</w:t>
            </w:r>
            <w:r w:rsidRPr="00C75C8E">
              <w:rPr>
                <w:sz w:val="24"/>
                <w:szCs w:val="24"/>
              </w:rPr>
              <w:t xml:space="preserve">GEO.PSSG </w:t>
            </w:r>
            <w:r w:rsidRPr="00C75C8E">
              <w:rPr>
                <w:color w:val="1F497D"/>
              </w:rPr>
              <w:t> </w:t>
            </w:r>
          </w:p>
        </w:tc>
        <w:tc>
          <w:tcPr>
            <w:tcW w:w="2305" w:type="dxa"/>
          </w:tcPr>
          <w:p w:rsidR="000F7755" w:rsidRPr="009D7297" w:rsidRDefault="000F7755" w:rsidP="00A22A27">
            <w:pPr>
              <w:pStyle w:val="BodyText0"/>
              <w:tabs>
                <w:tab w:val="left" w:pos="2880"/>
              </w:tabs>
              <w:rPr>
                <w:sz w:val="24"/>
              </w:rPr>
            </w:pPr>
            <w:r w:rsidRPr="009D7297">
              <w:rPr>
                <w:sz w:val="24"/>
              </w:rPr>
              <w:t>FY08, FY09</w:t>
            </w:r>
          </w:p>
        </w:tc>
      </w:tr>
      <w:tr w:rsidR="000F7755" w:rsidRPr="000A2423" w:rsidTr="00A22A27">
        <w:tc>
          <w:tcPr>
            <w:tcW w:w="2469" w:type="dxa"/>
          </w:tcPr>
          <w:p w:rsidR="000F7755" w:rsidRPr="000A2423" w:rsidRDefault="000F7755" w:rsidP="00A22A27">
            <w:pPr>
              <w:pStyle w:val="BodyText0"/>
              <w:tabs>
                <w:tab w:val="left" w:pos="2880"/>
              </w:tabs>
              <w:rPr>
                <w:sz w:val="24"/>
              </w:rPr>
            </w:pPr>
            <w:r>
              <w:rPr>
                <w:sz w:val="24"/>
              </w:rPr>
              <w:t>Diabetes Diagnosis</w:t>
            </w:r>
          </w:p>
        </w:tc>
        <w:tc>
          <w:tcPr>
            <w:tcW w:w="5378" w:type="dxa"/>
          </w:tcPr>
          <w:p w:rsidR="000F7755" w:rsidRPr="000A2423" w:rsidRDefault="000F7755" w:rsidP="00A22A27">
            <w:pPr>
              <w:pStyle w:val="BodyText0"/>
              <w:tabs>
                <w:tab w:val="left" w:pos="2880"/>
              </w:tabs>
              <w:rPr>
                <w:sz w:val="24"/>
              </w:rPr>
            </w:pPr>
            <w:r w:rsidRPr="00C75C8E">
              <w:rPr>
                <w:sz w:val="24"/>
              </w:rPr>
              <w:t>MDPPRD.MDP.SAS.SE09</w:t>
            </w:r>
          </w:p>
        </w:tc>
        <w:tc>
          <w:tcPr>
            <w:tcW w:w="2305" w:type="dxa"/>
          </w:tcPr>
          <w:p w:rsidR="000F7755" w:rsidRPr="009D7297" w:rsidRDefault="000F7755" w:rsidP="00A22A27">
            <w:pPr>
              <w:pStyle w:val="BodyText0"/>
              <w:tabs>
                <w:tab w:val="left" w:pos="2880"/>
              </w:tabs>
              <w:rPr>
                <w:sz w:val="24"/>
              </w:rPr>
            </w:pPr>
            <w:r w:rsidRPr="009D7297">
              <w:rPr>
                <w:sz w:val="24"/>
              </w:rPr>
              <w:t>FY09, FY10</w:t>
            </w:r>
          </w:p>
        </w:tc>
      </w:tr>
      <w:tr w:rsidR="000F7755" w:rsidRPr="000A2423" w:rsidTr="00A22A27">
        <w:tc>
          <w:tcPr>
            <w:tcW w:w="2469" w:type="dxa"/>
          </w:tcPr>
          <w:p w:rsidR="000F7755" w:rsidRDefault="000F7755" w:rsidP="00A22A27">
            <w:pPr>
              <w:pStyle w:val="BodyText0"/>
              <w:tabs>
                <w:tab w:val="left" w:pos="2880"/>
              </w:tabs>
              <w:rPr>
                <w:sz w:val="24"/>
              </w:rPr>
            </w:pPr>
            <w:r>
              <w:rPr>
                <w:sz w:val="24"/>
              </w:rPr>
              <w:t>Number of MOVE Visits, including group, individual, or telephone visits.</w:t>
            </w:r>
          </w:p>
        </w:tc>
        <w:tc>
          <w:tcPr>
            <w:tcW w:w="5378" w:type="dxa"/>
          </w:tcPr>
          <w:p w:rsidR="000F7755" w:rsidRPr="000A2423" w:rsidRDefault="000F7755" w:rsidP="00A22A27">
            <w:pPr>
              <w:pStyle w:val="BodyText0"/>
              <w:tabs>
                <w:tab w:val="left" w:pos="2880"/>
              </w:tabs>
              <w:rPr>
                <w:sz w:val="24"/>
              </w:rPr>
            </w:pPr>
            <w:r>
              <w:rPr>
                <w:sz w:val="24"/>
              </w:rPr>
              <w:t>VHA Service Support Center (VSSC) MOVE Cube encounters</w:t>
            </w:r>
          </w:p>
        </w:tc>
        <w:tc>
          <w:tcPr>
            <w:tcW w:w="2305" w:type="dxa"/>
          </w:tcPr>
          <w:p w:rsidR="000F7755" w:rsidRPr="009D7297" w:rsidRDefault="000F7755" w:rsidP="00A22A27">
            <w:pPr>
              <w:pStyle w:val="BodyText0"/>
              <w:tabs>
                <w:tab w:val="left" w:pos="2880"/>
              </w:tabs>
              <w:rPr>
                <w:sz w:val="24"/>
              </w:rPr>
            </w:pPr>
            <w:r w:rsidRPr="009D7297">
              <w:rPr>
                <w:sz w:val="24"/>
              </w:rPr>
              <w:t>FY09, FY10</w:t>
            </w:r>
          </w:p>
        </w:tc>
      </w:tr>
      <w:tr w:rsidR="000F7755" w:rsidRPr="000A2423" w:rsidTr="00A22A27">
        <w:tc>
          <w:tcPr>
            <w:tcW w:w="2469" w:type="dxa"/>
          </w:tcPr>
          <w:p w:rsidR="000F7755" w:rsidRDefault="000F7755" w:rsidP="00A22A27">
            <w:pPr>
              <w:pStyle w:val="BodyText0"/>
              <w:tabs>
                <w:tab w:val="left" w:pos="2880"/>
              </w:tabs>
              <w:rPr>
                <w:sz w:val="24"/>
              </w:rPr>
            </w:pPr>
            <w:r>
              <w:rPr>
                <w:sz w:val="24"/>
              </w:rPr>
              <w:t>Use of the weight loss medications orlistat and sibutramine</w:t>
            </w:r>
          </w:p>
        </w:tc>
        <w:tc>
          <w:tcPr>
            <w:tcW w:w="5378" w:type="dxa"/>
          </w:tcPr>
          <w:p w:rsidR="000F7755" w:rsidRPr="000A2423" w:rsidRDefault="000F7755" w:rsidP="00A22A27">
            <w:pPr>
              <w:pStyle w:val="BodyText0"/>
              <w:tabs>
                <w:tab w:val="left" w:pos="2880"/>
              </w:tabs>
              <w:rPr>
                <w:sz w:val="24"/>
              </w:rPr>
            </w:pPr>
            <w:r>
              <w:rPr>
                <w:sz w:val="24"/>
              </w:rPr>
              <w:t>VHA Pharmacy Benefits Management</w:t>
            </w:r>
          </w:p>
        </w:tc>
        <w:tc>
          <w:tcPr>
            <w:tcW w:w="2305" w:type="dxa"/>
          </w:tcPr>
          <w:p w:rsidR="000F7755" w:rsidRPr="009D7297" w:rsidRDefault="000F7755" w:rsidP="00A22A27">
            <w:pPr>
              <w:pStyle w:val="BodyText0"/>
              <w:tabs>
                <w:tab w:val="left" w:pos="2880"/>
              </w:tabs>
              <w:rPr>
                <w:sz w:val="24"/>
              </w:rPr>
            </w:pPr>
            <w:r w:rsidRPr="009D7297">
              <w:rPr>
                <w:sz w:val="24"/>
              </w:rPr>
              <w:t>FY09, FY10</w:t>
            </w:r>
          </w:p>
        </w:tc>
      </w:tr>
      <w:tr w:rsidR="000F7755" w:rsidRPr="000A2423" w:rsidTr="00A22A27">
        <w:tc>
          <w:tcPr>
            <w:tcW w:w="2469" w:type="dxa"/>
          </w:tcPr>
          <w:p w:rsidR="000F7755" w:rsidRDefault="000F7755" w:rsidP="00A22A27">
            <w:pPr>
              <w:pStyle w:val="BodyText0"/>
              <w:tabs>
                <w:tab w:val="left" w:pos="2880"/>
              </w:tabs>
              <w:rPr>
                <w:sz w:val="24"/>
              </w:rPr>
            </w:pPr>
            <w:r>
              <w:rPr>
                <w:sz w:val="24"/>
              </w:rPr>
              <w:t>Height and Weight (Body Mass Index)</w:t>
            </w:r>
          </w:p>
        </w:tc>
        <w:tc>
          <w:tcPr>
            <w:tcW w:w="5378" w:type="dxa"/>
          </w:tcPr>
          <w:p w:rsidR="000F7755" w:rsidRDefault="000F7755" w:rsidP="00A22A27">
            <w:pPr>
              <w:pStyle w:val="BodyText0"/>
              <w:tabs>
                <w:tab w:val="left" w:pos="2880"/>
              </w:tabs>
              <w:rPr>
                <w:sz w:val="24"/>
              </w:rPr>
            </w:pPr>
            <w:r>
              <w:rPr>
                <w:sz w:val="24"/>
              </w:rPr>
              <w:t xml:space="preserve">VHA Corporate Data Warehouse </w:t>
            </w:r>
          </w:p>
        </w:tc>
        <w:tc>
          <w:tcPr>
            <w:tcW w:w="2305" w:type="dxa"/>
          </w:tcPr>
          <w:p w:rsidR="000F7755" w:rsidRPr="009D7297" w:rsidRDefault="000F7755" w:rsidP="00A22A27">
            <w:pPr>
              <w:pStyle w:val="BodyText0"/>
              <w:tabs>
                <w:tab w:val="left" w:pos="2880"/>
              </w:tabs>
              <w:rPr>
                <w:sz w:val="24"/>
              </w:rPr>
            </w:pPr>
            <w:r w:rsidRPr="009D7297">
              <w:rPr>
                <w:sz w:val="24"/>
              </w:rPr>
              <w:t>FY09, FY10  for weight</w:t>
            </w:r>
          </w:p>
          <w:p w:rsidR="000F7755" w:rsidRPr="009D7297" w:rsidRDefault="000F7755" w:rsidP="00A22A27">
            <w:pPr>
              <w:pStyle w:val="BodyText0"/>
              <w:tabs>
                <w:tab w:val="left" w:pos="2880"/>
              </w:tabs>
              <w:rPr>
                <w:sz w:val="24"/>
              </w:rPr>
            </w:pPr>
            <w:r w:rsidRPr="009D7297">
              <w:rPr>
                <w:sz w:val="24"/>
              </w:rPr>
              <w:t>FY00-FY 10 for height</w:t>
            </w:r>
          </w:p>
        </w:tc>
      </w:tr>
    </w:tbl>
    <w:p w:rsidR="000F7755" w:rsidRDefault="000F7755">
      <w:pPr>
        <w:tabs>
          <w:tab w:val="left" w:pos="720"/>
        </w:tabs>
        <w:rPr>
          <w:i/>
          <w:sz w:val="24"/>
        </w:rPr>
      </w:pPr>
    </w:p>
    <w:p w:rsidR="000F7755" w:rsidRDefault="000F7755">
      <w:pPr>
        <w:tabs>
          <w:tab w:val="left" w:pos="720"/>
        </w:tabs>
        <w:rPr>
          <w:sz w:val="24"/>
        </w:rPr>
      </w:pPr>
      <w:r>
        <w:rPr>
          <w:sz w:val="24"/>
        </w:rPr>
        <w:t>In addition to the above patient-level variables, we will also use the VSSC MOVE Cube and the VSSC Uniques cube to obtain the gender distribution for MOVE! treated individuals and for the overall VHA outpatient population in FY09 and FY10 to date.</w:t>
      </w:r>
    </w:p>
    <w:p w:rsidR="000F7755" w:rsidRDefault="000F7755">
      <w:pPr>
        <w:tabs>
          <w:tab w:val="left" w:pos="720"/>
        </w:tabs>
        <w:rPr>
          <w:sz w:val="24"/>
        </w:rPr>
      </w:pPr>
    </w:p>
    <w:p w:rsidR="000F7755" w:rsidRDefault="000F7755">
      <w:pPr>
        <w:tabs>
          <w:tab w:val="left" w:pos="720"/>
        </w:tabs>
        <w:rPr>
          <w:sz w:val="24"/>
        </w:rPr>
      </w:pPr>
    </w:p>
    <w:p w:rsidR="000F7755" w:rsidRDefault="000F7755">
      <w:pPr>
        <w:tabs>
          <w:tab w:val="left" w:pos="720"/>
        </w:tabs>
        <w:rPr>
          <w:sz w:val="24"/>
        </w:rPr>
      </w:pPr>
    </w:p>
    <w:p w:rsidR="000F7755" w:rsidRDefault="000F7755">
      <w:pPr>
        <w:tabs>
          <w:tab w:val="left" w:pos="720"/>
        </w:tabs>
        <w:rPr>
          <w:sz w:val="24"/>
        </w:rPr>
      </w:pPr>
    </w:p>
    <w:p w:rsidR="000F7755" w:rsidRPr="004339DE" w:rsidRDefault="000F7755">
      <w:pPr>
        <w:tabs>
          <w:tab w:val="left" w:pos="720"/>
        </w:tabs>
        <w:rPr>
          <w:sz w:val="24"/>
        </w:rPr>
      </w:pPr>
    </w:p>
    <w:p w:rsidR="000F7755" w:rsidRDefault="000F7755">
      <w:pPr>
        <w:tabs>
          <w:tab w:val="left" w:pos="720"/>
        </w:tabs>
        <w:rPr>
          <w:i/>
          <w:sz w:val="24"/>
        </w:rPr>
      </w:pPr>
      <w:r>
        <w:rPr>
          <w:i/>
          <w:sz w:val="24"/>
        </w:rPr>
        <w:t>Survey Collection and Management:</w:t>
      </w:r>
    </w:p>
    <w:p w:rsidR="000F7755" w:rsidRDefault="000F7755">
      <w:pPr>
        <w:tabs>
          <w:tab w:val="left" w:pos="720"/>
        </w:tabs>
        <w:rPr>
          <w:i/>
          <w:sz w:val="24"/>
        </w:rPr>
      </w:pPr>
    </w:p>
    <w:p w:rsidR="000F7755" w:rsidRPr="00215D64" w:rsidRDefault="000F7755">
      <w:pPr>
        <w:tabs>
          <w:tab w:val="left" w:pos="720"/>
        </w:tabs>
        <w:rPr>
          <w:sz w:val="24"/>
          <w:szCs w:val="24"/>
        </w:rPr>
      </w:pPr>
      <w:r w:rsidRPr="00215D64">
        <w:rPr>
          <w:sz w:val="24"/>
          <w:szCs w:val="24"/>
        </w:rPr>
        <w:t xml:space="preserve">All survey collection and management activities will be handled by Synovate, Inc., the vendor awarded a contract to conduct these activities via solicitation #246-08-RQ-0229.  The scope of work involved in this contract is outlined in the contract materials </w:t>
      </w:r>
      <w:r>
        <w:rPr>
          <w:sz w:val="24"/>
          <w:szCs w:val="24"/>
        </w:rPr>
        <w:t>that are attached</w:t>
      </w:r>
      <w:r w:rsidRPr="00215D64">
        <w:rPr>
          <w:sz w:val="24"/>
          <w:szCs w:val="24"/>
        </w:rPr>
        <w:t xml:space="preserve"> and are briefly summarized as the following: </w:t>
      </w:r>
    </w:p>
    <w:p w:rsidR="000F7755" w:rsidRPr="00215D64" w:rsidRDefault="000F7755" w:rsidP="00D86836">
      <w:pPr>
        <w:numPr>
          <w:ilvl w:val="0"/>
          <w:numId w:val="14"/>
        </w:numPr>
        <w:rPr>
          <w:sz w:val="24"/>
          <w:szCs w:val="24"/>
        </w:rPr>
      </w:pPr>
      <w:r w:rsidRPr="00215D64">
        <w:rPr>
          <w:sz w:val="24"/>
          <w:szCs w:val="24"/>
        </w:rPr>
        <w:t xml:space="preserve">Survey set-up, which involves converting survey to a format and design suitable for use with their optical scanning system </w:t>
      </w:r>
    </w:p>
    <w:p w:rsidR="000F7755" w:rsidRPr="002544E1" w:rsidRDefault="000F7755" w:rsidP="00D86836">
      <w:pPr>
        <w:numPr>
          <w:ilvl w:val="0"/>
          <w:numId w:val="14"/>
        </w:numPr>
        <w:rPr>
          <w:sz w:val="24"/>
          <w:szCs w:val="24"/>
        </w:rPr>
      </w:pPr>
      <w:r w:rsidRPr="00215D64">
        <w:rPr>
          <w:sz w:val="24"/>
          <w:szCs w:val="24"/>
        </w:rPr>
        <w:t xml:space="preserve">Production of survey forms and survey-related correspondence including: pre-notification letter and envelope, survey including cover letter and envelope, reply envelope, and </w:t>
      </w:r>
      <w:r w:rsidRPr="002544E1">
        <w:rPr>
          <w:sz w:val="24"/>
          <w:szCs w:val="24"/>
        </w:rPr>
        <w:t>reminder/thank you postcard</w:t>
      </w:r>
    </w:p>
    <w:p w:rsidR="000F7755" w:rsidRPr="00215D64" w:rsidRDefault="000F7755" w:rsidP="00D86836">
      <w:pPr>
        <w:numPr>
          <w:ilvl w:val="0"/>
          <w:numId w:val="14"/>
        </w:numPr>
        <w:rPr>
          <w:sz w:val="24"/>
          <w:szCs w:val="24"/>
        </w:rPr>
      </w:pPr>
      <w:r w:rsidRPr="00215D64">
        <w:rPr>
          <w:sz w:val="24"/>
          <w:szCs w:val="24"/>
        </w:rPr>
        <w:t>Address cleaning and collating though code 1 mail streaming and national change of address (N</w:t>
      </w:r>
      <w:r>
        <w:rPr>
          <w:sz w:val="24"/>
          <w:szCs w:val="24"/>
        </w:rPr>
        <w:t xml:space="preserve">ational </w:t>
      </w:r>
      <w:r w:rsidRPr="00215D64">
        <w:rPr>
          <w:sz w:val="24"/>
          <w:szCs w:val="24"/>
        </w:rPr>
        <w:t>C</w:t>
      </w:r>
      <w:r>
        <w:rPr>
          <w:sz w:val="24"/>
          <w:szCs w:val="24"/>
        </w:rPr>
        <w:t xml:space="preserve">hange </w:t>
      </w:r>
      <w:r w:rsidRPr="00215D64">
        <w:rPr>
          <w:sz w:val="24"/>
          <w:szCs w:val="24"/>
        </w:rPr>
        <w:t>O</w:t>
      </w:r>
      <w:r>
        <w:rPr>
          <w:sz w:val="24"/>
          <w:szCs w:val="24"/>
        </w:rPr>
        <w:t xml:space="preserve">f </w:t>
      </w:r>
      <w:r w:rsidRPr="00215D64">
        <w:rPr>
          <w:sz w:val="24"/>
          <w:szCs w:val="24"/>
        </w:rPr>
        <w:t>A</w:t>
      </w:r>
      <w:r>
        <w:rPr>
          <w:sz w:val="24"/>
          <w:szCs w:val="24"/>
        </w:rPr>
        <w:t>ddress (NCOA)</w:t>
      </w:r>
      <w:r w:rsidRPr="00215D64">
        <w:rPr>
          <w:sz w:val="24"/>
          <w:szCs w:val="24"/>
        </w:rPr>
        <w:t>) cleaning.</w:t>
      </w:r>
    </w:p>
    <w:p w:rsidR="000F7755" w:rsidRPr="00215D64" w:rsidRDefault="000F7755" w:rsidP="00D86836">
      <w:pPr>
        <w:numPr>
          <w:ilvl w:val="0"/>
          <w:numId w:val="14"/>
        </w:numPr>
        <w:rPr>
          <w:sz w:val="24"/>
          <w:szCs w:val="24"/>
        </w:rPr>
      </w:pPr>
      <w:r w:rsidRPr="00215D64">
        <w:rPr>
          <w:sz w:val="24"/>
          <w:szCs w:val="24"/>
        </w:rPr>
        <w:t>Obtaining postage and mailing of all survey related correspondence</w:t>
      </w:r>
    </w:p>
    <w:p w:rsidR="000F7755" w:rsidRPr="00215D64" w:rsidRDefault="000F7755" w:rsidP="00D86836">
      <w:pPr>
        <w:numPr>
          <w:ilvl w:val="0"/>
          <w:numId w:val="14"/>
        </w:numPr>
        <w:rPr>
          <w:sz w:val="24"/>
          <w:szCs w:val="24"/>
        </w:rPr>
      </w:pPr>
      <w:r w:rsidRPr="00215D64">
        <w:rPr>
          <w:sz w:val="24"/>
          <w:szCs w:val="24"/>
        </w:rPr>
        <w:t>Survey and whitemail processing</w:t>
      </w:r>
    </w:p>
    <w:p w:rsidR="000F7755" w:rsidRPr="00215D64" w:rsidRDefault="000F7755" w:rsidP="00D86836">
      <w:pPr>
        <w:numPr>
          <w:ilvl w:val="0"/>
          <w:numId w:val="14"/>
        </w:numPr>
        <w:rPr>
          <w:sz w:val="24"/>
          <w:szCs w:val="24"/>
        </w:rPr>
      </w:pPr>
      <w:r w:rsidRPr="00215D64">
        <w:rPr>
          <w:sz w:val="24"/>
          <w:szCs w:val="24"/>
        </w:rPr>
        <w:t>Data collection using optical scanning or digital image capture techniques</w:t>
      </w:r>
    </w:p>
    <w:p w:rsidR="000F7755" w:rsidRPr="00215D64" w:rsidRDefault="000F7755" w:rsidP="00D86836">
      <w:pPr>
        <w:numPr>
          <w:ilvl w:val="0"/>
          <w:numId w:val="14"/>
        </w:numPr>
        <w:rPr>
          <w:sz w:val="24"/>
          <w:szCs w:val="24"/>
        </w:rPr>
      </w:pPr>
      <w:r w:rsidRPr="00215D64">
        <w:rPr>
          <w:sz w:val="24"/>
          <w:szCs w:val="24"/>
        </w:rPr>
        <w:t>Data cleaning, quality control, and documentation.</w:t>
      </w:r>
    </w:p>
    <w:p w:rsidR="000F7755" w:rsidRDefault="000F7755">
      <w:pPr>
        <w:tabs>
          <w:tab w:val="left" w:pos="720"/>
        </w:tabs>
        <w:rPr>
          <w:sz w:val="24"/>
          <w:szCs w:val="24"/>
        </w:rPr>
      </w:pPr>
    </w:p>
    <w:p w:rsidR="000F7755" w:rsidRDefault="000F7755">
      <w:pPr>
        <w:tabs>
          <w:tab w:val="left" w:pos="720"/>
        </w:tabs>
        <w:rPr>
          <w:i/>
          <w:sz w:val="24"/>
          <w:szCs w:val="24"/>
        </w:rPr>
      </w:pPr>
    </w:p>
    <w:p w:rsidR="000F7755" w:rsidRPr="00215D64" w:rsidRDefault="000F7755">
      <w:pPr>
        <w:tabs>
          <w:tab w:val="left" w:pos="720"/>
        </w:tabs>
        <w:rPr>
          <w:i/>
          <w:sz w:val="24"/>
          <w:szCs w:val="24"/>
        </w:rPr>
      </w:pPr>
      <w:r w:rsidRPr="00215D64">
        <w:rPr>
          <w:i/>
          <w:sz w:val="24"/>
          <w:szCs w:val="24"/>
        </w:rPr>
        <w:t>Analyses:</w:t>
      </w:r>
    </w:p>
    <w:p w:rsidR="000F7755" w:rsidRPr="00215D64" w:rsidRDefault="000F7755">
      <w:pPr>
        <w:tabs>
          <w:tab w:val="left" w:pos="720"/>
        </w:tabs>
        <w:rPr>
          <w:sz w:val="24"/>
          <w:szCs w:val="24"/>
        </w:rPr>
      </w:pPr>
    </w:p>
    <w:p w:rsidR="000F7755" w:rsidRPr="00215D64" w:rsidRDefault="000F7755" w:rsidP="00B2488C">
      <w:pPr>
        <w:pStyle w:val="BodyText0"/>
        <w:tabs>
          <w:tab w:val="left" w:pos="2880"/>
        </w:tabs>
        <w:rPr>
          <w:sz w:val="24"/>
          <w:szCs w:val="24"/>
        </w:rPr>
      </w:pPr>
      <w:r w:rsidRPr="00215D64">
        <w:rPr>
          <w:sz w:val="24"/>
          <w:szCs w:val="24"/>
        </w:rPr>
        <w:t>The analytic plan includes descriptive statistics (frequencies, percentages</w:t>
      </w:r>
      <w:r>
        <w:rPr>
          <w:sz w:val="24"/>
          <w:szCs w:val="24"/>
        </w:rPr>
        <w:t>, means</w:t>
      </w:r>
      <w:r w:rsidRPr="00215D64">
        <w:rPr>
          <w:sz w:val="24"/>
          <w:szCs w:val="24"/>
        </w:rPr>
        <w:t>, etc.) for each survey item. All analyses will be conduct</w:t>
      </w:r>
      <w:r>
        <w:rPr>
          <w:sz w:val="24"/>
          <w:szCs w:val="24"/>
        </w:rPr>
        <w:t>ed using appropriate techniques</w:t>
      </w:r>
      <w:r w:rsidRPr="00215D64">
        <w:rPr>
          <w:sz w:val="24"/>
          <w:szCs w:val="24"/>
        </w:rPr>
        <w:t xml:space="preserve"> (i.e., weighting) for a multi-stage</w:t>
      </w:r>
      <w:r>
        <w:rPr>
          <w:sz w:val="24"/>
          <w:szCs w:val="24"/>
        </w:rPr>
        <w:t>,</w:t>
      </w:r>
      <w:r w:rsidRPr="00215D64">
        <w:rPr>
          <w:sz w:val="24"/>
          <w:szCs w:val="24"/>
        </w:rPr>
        <w:t xml:space="preserve"> stratified cluster sampling survey design to ensure valid estimates. </w:t>
      </w:r>
    </w:p>
    <w:p w:rsidR="000F7755" w:rsidRPr="00215D64" w:rsidRDefault="000F7755" w:rsidP="00B2488C">
      <w:pPr>
        <w:pStyle w:val="BodyText0"/>
        <w:tabs>
          <w:tab w:val="left" w:pos="2880"/>
        </w:tabs>
        <w:rPr>
          <w:sz w:val="24"/>
          <w:szCs w:val="24"/>
        </w:rPr>
      </w:pPr>
      <w:r w:rsidRPr="00215D64">
        <w:rPr>
          <w:sz w:val="24"/>
          <w:szCs w:val="24"/>
        </w:rPr>
        <w:t>Weighting class adjustment will be used to compensate for nonresponse. In weighting class adjustment the original sample (respondents and nonrespondents) is divided into mutually exclusive and nonoverlapping adjustment cells. The information or data used to make the assignments of survey participants to adjustment cells needs to be available for both respondents and nonrespondents. Because respondents and non-respondents are patients within the Veterans Health Administrati</w:t>
      </w:r>
      <w:r>
        <w:rPr>
          <w:sz w:val="24"/>
          <w:szCs w:val="24"/>
        </w:rPr>
        <w:t>on (VHA), socio-demographic and</w:t>
      </w:r>
      <w:r w:rsidRPr="00215D64">
        <w:rPr>
          <w:sz w:val="24"/>
          <w:szCs w:val="24"/>
        </w:rPr>
        <w:t xml:space="preserve"> health information is available through existing VHA administrative and clinical data sources.  </w:t>
      </w:r>
    </w:p>
    <w:p w:rsidR="000F7755" w:rsidRPr="00215D64" w:rsidRDefault="000F7755" w:rsidP="000A2423">
      <w:pPr>
        <w:pStyle w:val="bodytext"/>
        <w:spacing w:line="240" w:lineRule="auto"/>
        <w:ind w:firstLine="0"/>
        <w:rPr>
          <w:szCs w:val="24"/>
        </w:rPr>
      </w:pPr>
      <w:r w:rsidRPr="00215D64">
        <w:rPr>
          <w:szCs w:val="24"/>
        </w:rPr>
        <w:t>Post-stratification adjustment will be used to make a further adjustment to sampling weights so that the final weighted sample distribution is as close as possible to that of the target population. This procedure adjusts for differential observed response rates among strata defined by important variables available at the population level. Since we are oversampling women, then the gender distribution of the sample might not resemble the gender distribution of the MOVE treated population. This introduces bias into any estimate one wants to obtain from the sample data because statistical procedures will give greater weight to women. In order to calculate a post-stratification weight, we will use auxiliary data set (e.g., gender distribution) to compare to the sample. We then compare the distribution of the sample with the auxiliary data (e.g., gender distribution). If the distributions are close enough, there is no need to calculate post-stratification weights. However, if they (the distributions) differ by more than a few percentage points (e.g., 2%), then we will need to calculate the post-stratification weights.</w:t>
      </w:r>
    </w:p>
    <w:p w:rsidR="000F7755" w:rsidRPr="00215D64" w:rsidRDefault="000F7755">
      <w:pPr>
        <w:tabs>
          <w:tab w:val="left" w:pos="720"/>
        </w:tabs>
        <w:rPr>
          <w:i/>
          <w:sz w:val="24"/>
          <w:szCs w:val="24"/>
        </w:rPr>
      </w:pPr>
      <w:r w:rsidRPr="00215D64">
        <w:rPr>
          <w:i/>
          <w:sz w:val="24"/>
          <w:szCs w:val="24"/>
        </w:rPr>
        <w:t>Bivariate and multivariate analyses</w:t>
      </w:r>
    </w:p>
    <w:p w:rsidR="000F7755" w:rsidRPr="00215D64" w:rsidRDefault="000F7755">
      <w:pPr>
        <w:tabs>
          <w:tab w:val="left" w:pos="720"/>
        </w:tabs>
        <w:rPr>
          <w:sz w:val="24"/>
          <w:szCs w:val="24"/>
        </w:rPr>
      </w:pPr>
      <w:r w:rsidRPr="00215D64">
        <w:rPr>
          <w:sz w:val="24"/>
          <w:szCs w:val="24"/>
        </w:rPr>
        <w:t xml:space="preserve">Because of the cross-sectional nature of the data being collected, we will limit bivariate and multivariate analyses to exploratory analyses to assess the relationship between selected patient characteristics (independent variables) and selected survey responses (dependent variables).  As this survey is the first exploration and measurement of patient experiences and behaviors related to MOVE! weight management treatment, we do not have any pre-specified hypotheses that we will be testing. Rather, we will use bivariate (cross tabs/chi square, t-tests) and multivariate (logistic regression modeling) analyses to explore associations between responses on survey items and various patient characteristics, such age, gender, BMI, health status, and number of visits. </w:t>
      </w:r>
    </w:p>
    <w:p w:rsidR="000F7755" w:rsidRPr="00215D64" w:rsidRDefault="000F7755">
      <w:pPr>
        <w:tabs>
          <w:tab w:val="left" w:pos="720"/>
        </w:tabs>
        <w:rPr>
          <w:sz w:val="24"/>
          <w:szCs w:val="24"/>
        </w:rPr>
      </w:pPr>
    </w:p>
    <w:p w:rsidR="000F7755" w:rsidRDefault="000F7755">
      <w:pPr>
        <w:tabs>
          <w:tab w:val="left" w:pos="720"/>
        </w:tabs>
        <w:rPr>
          <w:b/>
          <w:i/>
          <w:sz w:val="24"/>
        </w:rPr>
      </w:pPr>
    </w:p>
    <w:p w:rsidR="000F7755" w:rsidRDefault="000F7755" w:rsidP="0011042C">
      <w:pPr>
        <w:pStyle w:val="Heading2"/>
        <w:tabs>
          <w:tab w:val="left" w:pos="270"/>
          <w:tab w:val="left" w:pos="720"/>
        </w:tabs>
        <w:rPr>
          <w:sz w:val="24"/>
        </w:rPr>
      </w:pPr>
      <w:r>
        <w:rPr>
          <w:sz w:val="24"/>
        </w:rPr>
        <w:t xml:space="preserve">Dissemination, Notification, and Reporting of Results. </w:t>
      </w:r>
    </w:p>
    <w:p w:rsidR="000F7755" w:rsidRDefault="000F7755" w:rsidP="0011042C"/>
    <w:p w:rsidR="000F7755" w:rsidRDefault="000F7755" w:rsidP="0011042C">
      <w:pPr>
        <w:rPr>
          <w:sz w:val="24"/>
          <w:szCs w:val="24"/>
        </w:rPr>
      </w:pPr>
      <w:r>
        <w:rPr>
          <w:sz w:val="24"/>
          <w:szCs w:val="24"/>
        </w:rPr>
        <w:t>No individual subject results from this study will be shared, published, or disseminated. Findings from the survey will only be presented in aggregate formats including the following: manuscripts, poster presentations, oral presentations, national VHA conference calls, and briefings to senior VA leadership.  The findings of the study will be used to inform policy and programs related to the MOVE! Weight Management Program for Veterans.</w:t>
      </w:r>
    </w:p>
    <w:p w:rsidR="000F7755" w:rsidRPr="0011042C" w:rsidRDefault="000F7755" w:rsidP="0011042C">
      <w:pPr>
        <w:rPr>
          <w:sz w:val="24"/>
          <w:szCs w:val="24"/>
        </w:rPr>
      </w:pPr>
    </w:p>
    <w:p w:rsidR="000F7755" w:rsidRDefault="000F7755">
      <w:pPr>
        <w:pStyle w:val="Heading2"/>
        <w:tabs>
          <w:tab w:val="left" w:pos="720"/>
        </w:tabs>
        <w:rPr>
          <w:sz w:val="24"/>
        </w:rPr>
      </w:pPr>
    </w:p>
    <w:p w:rsidR="000F7755" w:rsidRDefault="000F7755">
      <w:pPr>
        <w:pStyle w:val="Heading2"/>
        <w:tabs>
          <w:tab w:val="left" w:pos="720"/>
        </w:tabs>
        <w:rPr>
          <w:sz w:val="24"/>
        </w:rPr>
      </w:pPr>
    </w:p>
    <w:p w:rsidR="000F7755" w:rsidRDefault="000F7755">
      <w:pPr>
        <w:pStyle w:val="Heading2"/>
        <w:tabs>
          <w:tab w:val="left" w:pos="720"/>
        </w:tabs>
        <w:rPr>
          <w:sz w:val="24"/>
        </w:rPr>
      </w:pPr>
      <w:r>
        <w:rPr>
          <w:sz w:val="24"/>
          <w:szCs w:val="24"/>
          <w:u w:val="single"/>
        </w:rPr>
        <w:br w:type="page"/>
      </w:r>
    </w:p>
    <w:p w:rsidR="000F7755" w:rsidRDefault="000F7755" w:rsidP="00CE4347"/>
    <w:p w:rsidR="000F7755" w:rsidRDefault="000F7755" w:rsidP="00CE4347"/>
    <w:p w:rsidR="000F7755" w:rsidRPr="00CE4347" w:rsidRDefault="000F7755" w:rsidP="00CE4347"/>
    <w:p w:rsidR="000F7755" w:rsidRDefault="000F7755" w:rsidP="00F85E97">
      <w:pPr>
        <w:pStyle w:val="Heading2"/>
        <w:tabs>
          <w:tab w:val="left" w:pos="720"/>
        </w:tabs>
        <w:rPr>
          <w:sz w:val="24"/>
        </w:rPr>
      </w:pPr>
      <w:r>
        <w:rPr>
          <w:sz w:val="24"/>
        </w:rPr>
        <w:t xml:space="preserve">REFERENCES  </w:t>
      </w:r>
    </w:p>
    <w:p w:rsidR="000F7755" w:rsidRDefault="000F7755">
      <w:pPr>
        <w:pStyle w:val="Title"/>
        <w:ind w:left="360"/>
        <w:rPr>
          <w:sz w:val="22"/>
        </w:rPr>
      </w:pPr>
    </w:p>
    <w:sectPr w:rsidR="000F7755" w:rsidSect="00122C55">
      <w:footerReference w:type="default" r:id="rId7"/>
      <w:endnotePr>
        <w:numFmt w:val="decimal"/>
      </w:endnotePr>
      <w:pgSz w:w="12240" w:h="15840"/>
      <w:pgMar w:top="576" w:right="1008" w:bottom="57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755" w:rsidRDefault="000F7755">
      <w:r>
        <w:separator/>
      </w:r>
    </w:p>
  </w:endnote>
  <w:endnote w:type="continuationSeparator" w:id="0">
    <w:p w:rsidR="000F7755" w:rsidRDefault="000F7755">
      <w:r>
        <w:continuationSeparator/>
      </w:r>
    </w:p>
  </w:endnote>
  <w:endnote w:id="1">
    <w:p w:rsidR="000F7755" w:rsidRPr="00F85E97" w:rsidRDefault="000F7755">
      <w:pPr>
        <w:pStyle w:val="EndnoteText"/>
        <w:rPr>
          <w:sz w:val="24"/>
          <w:szCs w:val="24"/>
        </w:rPr>
      </w:pPr>
      <w:r w:rsidRPr="00F85E97">
        <w:rPr>
          <w:rStyle w:val="EndnoteReference"/>
          <w:sz w:val="24"/>
          <w:szCs w:val="24"/>
          <w:vertAlign w:val="baseline"/>
        </w:rPr>
        <w:endnoteRef/>
      </w:r>
      <w:r w:rsidRPr="00F85E97">
        <w:rPr>
          <w:sz w:val="24"/>
          <w:szCs w:val="24"/>
        </w:rPr>
        <w:t xml:space="preserve"> Veterans Health Administration. VHA Handbook 1101.1 Managing Overweight/Obesity for Veterans Everywhere (MOVE!) Program. Available at: </w:t>
      </w:r>
      <w:hyperlink r:id="rId1" w:history="1">
        <w:r w:rsidRPr="00F85E97">
          <w:rPr>
            <w:rStyle w:val="Hyperlink"/>
            <w:sz w:val="24"/>
            <w:szCs w:val="24"/>
          </w:rPr>
          <w:t>http://vaww1.va.gov/vhapublications/ViewPublication.asp?pub_ID=1396</w:t>
        </w:r>
      </w:hyperlink>
      <w:r w:rsidRPr="00F85E97">
        <w:rPr>
          <w:sz w:val="24"/>
          <w:szCs w:val="24"/>
        </w:rPr>
        <w:t xml:space="preserve"> .  Accessed 10/19/09.</w:t>
      </w:r>
    </w:p>
    <w:p w:rsidR="000F7755" w:rsidRDefault="000F7755">
      <w:pPr>
        <w:pStyle w:val="EndnoteText"/>
      </w:pPr>
    </w:p>
  </w:endnote>
  <w:endnote w:id="2">
    <w:p w:rsidR="000F7755" w:rsidRPr="00F85E97" w:rsidRDefault="000F7755">
      <w:pPr>
        <w:pStyle w:val="EndnoteText"/>
        <w:rPr>
          <w:sz w:val="24"/>
          <w:szCs w:val="24"/>
        </w:rPr>
      </w:pPr>
      <w:r w:rsidRPr="00F85E97">
        <w:rPr>
          <w:rStyle w:val="EndnoteReference"/>
          <w:sz w:val="24"/>
          <w:szCs w:val="24"/>
          <w:vertAlign w:val="baseline"/>
        </w:rPr>
        <w:endnoteRef/>
      </w:r>
      <w:r w:rsidRPr="00F85E97">
        <w:rPr>
          <w:sz w:val="24"/>
          <w:szCs w:val="24"/>
        </w:rPr>
        <w:t xml:space="preserve"> VHA Support Service Center. MOVE! Visits Proclarity Data Cube. Available at: </w:t>
      </w:r>
      <w:hyperlink r:id="rId2" w:history="1">
        <w:r w:rsidRPr="00F85E97">
          <w:rPr>
            <w:rStyle w:val="Hyperlink"/>
            <w:sz w:val="24"/>
            <w:szCs w:val="24"/>
          </w:rPr>
          <w:t>http://klfmenu.med.va.gov/products.asp</w:t>
        </w:r>
      </w:hyperlink>
      <w:r w:rsidRPr="00F85E97">
        <w:rPr>
          <w:sz w:val="24"/>
          <w:szCs w:val="24"/>
        </w:rPr>
        <w:t>.   Accessed 10/19/09.</w:t>
      </w:r>
    </w:p>
    <w:p w:rsidR="000F7755" w:rsidRDefault="000F7755">
      <w:pPr>
        <w:pStyle w:val="EndnoteText"/>
      </w:pPr>
    </w:p>
  </w:endnote>
  <w:endnote w:id="3">
    <w:p w:rsidR="000F7755" w:rsidRPr="00F85E97" w:rsidRDefault="000F7755">
      <w:pPr>
        <w:pStyle w:val="EndnoteText"/>
        <w:rPr>
          <w:sz w:val="24"/>
          <w:szCs w:val="24"/>
        </w:rPr>
      </w:pPr>
      <w:r w:rsidRPr="00F85E97">
        <w:rPr>
          <w:rStyle w:val="EndnoteReference"/>
          <w:sz w:val="24"/>
          <w:szCs w:val="24"/>
          <w:vertAlign w:val="baseline"/>
        </w:rPr>
        <w:endnoteRef/>
      </w:r>
      <w:r w:rsidRPr="00F85E97">
        <w:rPr>
          <w:sz w:val="24"/>
          <w:szCs w:val="24"/>
        </w:rPr>
        <w:t xml:space="preserve"> VHA National Leadership Board. Executive Decision Memorandum. FY08 Facility Complexity Level Model. Available at:</w:t>
      </w:r>
      <w:hyperlink r:id="rId3" w:history="1">
        <w:r w:rsidRPr="00F85E97">
          <w:rPr>
            <w:rStyle w:val="Hyperlink"/>
            <w:sz w:val="24"/>
            <w:szCs w:val="24"/>
          </w:rPr>
          <w:t>http://nlb.vssc.med.va.gov/EDMs/Document%20Library/EDM%20FY08%20Facility%20Complexity%20Level%20Model.pdf</w:t>
        </w:r>
      </w:hyperlink>
      <w:r w:rsidRPr="00F85E97">
        <w:rPr>
          <w:sz w:val="24"/>
          <w:szCs w:val="24"/>
        </w:rPr>
        <w:t>.  Accessed 10/19/09.</w:t>
      </w:r>
    </w:p>
    <w:p w:rsidR="000F7755" w:rsidRDefault="000F7755">
      <w:pPr>
        <w:pStyle w:val="EndnoteText"/>
      </w:pPr>
    </w:p>
  </w:endnote>
  <w:endnote w:id="4">
    <w:p w:rsidR="000F7755" w:rsidRDefault="000F7755" w:rsidP="00A02E01">
      <w:pPr>
        <w:pStyle w:val="biblio"/>
      </w:pPr>
      <w:r w:rsidRPr="00F85E97">
        <w:rPr>
          <w:rStyle w:val="EndnoteReference"/>
          <w:szCs w:val="24"/>
          <w:vertAlign w:val="baseline"/>
        </w:rPr>
        <w:endnoteRef/>
      </w:r>
      <w:r w:rsidRPr="00F85E97">
        <w:rPr>
          <w:szCs w:val="24"/>
        </w:rPr>
        <w:t xml:space="preserve"> Lohr, S. (1999). </w:t>
      </w:r>
      <w:r w:rsidRPr="00F85E97">
        <w:rPr>
          <w:i/>
          <w:iCs/>
          <w:szCs w:val="24"/>
        </w:rPr>
        <w:t>Sampling: Design and analysis</w:t>
      </w:r>
      <w:r w:rsidRPr="00F85E97">
        <w:rPr>
          <w:szCs w:val="24"/>
        </w:rPr>
        <w:t>. Pacific Grove, CA</w:t>
      </w:r>
      <w:r w:rsidRPr="00F85E97" w:rsidDel="0009154C">
        <w:rPr>
          <w:szCs w:val="24"/>
        </w:rPr>
        <w:t xml:space="preserve"> </w:t>
      </w:r>
      <w:r w:rsidRPr="00F85E97">
        <w:rPr>
          <w:szCs w:val="24"/>
        </w:rPr>
        <w:t>Duxbury Press.</w:t>
      </w:r>
    </w:p>
  </w:endnote>
  <w:endnote w:id="5">
    <w:p w:rsidR="000F7755" w:rsidRDefault="000F7755" w:rsidP="00A02E01">
      <w:pPr>
        <w:pStyle w:val="biblio"/>
      </w:pPr>
      <w:r w:rsidRPr="00F85E97">
        <w:rPr>
          <w:rStyle w:val="EndnoteReference"/>
          <w:szCs w:val="24"/>
          <w:vertAlign w:val="baseline"/>
        </w:rPr>
        <w:endnoteRef/>
      </w:r>
      <w:r w:rsidRPr="00F85E97">
        <w:rPr>
          <w:szCs w:val="24"/>
        </w:rPr>
        <w:t xml:space="preserve"> Cochran, W. G. (1977). </w:t>
      </w:r>
      <w:r w:rsidRPr="00F85E97">
        <w:rPr>
          <w:i/>
          <w:iCs/>
          <w:szCs w:val="24"/>
        </w:rPr>
        <w:t>Sampling techniques</w:t>
      </w:r>
      <w:r w:rsidRPr="00F85E97">
        <w:rPr>
          <w:szCs w:val="24"/>
        </w:rPr>
        <w:t xml:space="preserve">. 3rd ed., New York: John Wiley &amp; Sons, Inc. </w:t>
      </w:r>
    </w:p>
  </w:endnote>
  <w:endnote w:id="6">
    <w:p w:rsidR="000F7755" w:rsidRDefault="000F7755" w:rsidP="00CE012E">
      <w:pPr>
        <w:pStyle w:val="biblio"/>
      </w:pPr>
      <w:r w:rsidRPr="00F85E97">
        <w:rPr>
          <w:rStyle w:val="EndnoteReference"/>
          <w:szCs w:val="24"/>
          <w:vertAlign w:val="baseline"/>
        </w:rPr>
        <w:endnoteRef/>
      </w:r>
      <w:r w:rsidRPr="00F85E97">
        <w:rPr>
          <w:szCs w:val="24"/>
        </w:rPr>
        <w:t xml:space="preserve"> Kish, L. (1965). </w:t>
      </w:r>
      <w:r w:rsidRPr="00F85E97">
        <w:rPr>
          <w:i/>
          <w:iCs/>
          <w:szCs w:val="24"/>
        </w:rPr>
        <w:t>Survey sampling</w:t>
      </w:r>
      <w:r w:rsidRPr="00F85E97">
        <w:rPr>
          <w:szCs w:val="24"/>
        </w:rPr>
        <w:t>. New York: John Wiley &amp; Sons, Inc.</w:t>
      </w:r>
    </w:p>
  </w:endnote>
  <w:endnote w:id="7">
    <w:p w:rsidR="000F7755" w:rsidRDefault="000F7755" w:rsidP="00CE012E">
      <w:pPr>
        <w:pStyle w:val="biblio"/>
      </w:pPr>
      <w:r w:rsidRPr="00F85E97">
        <w:rPr>
          <w:rStyle w:val="EndnoteReference"/>
          <w:szCs w:val="24"/>
          <w:vertAlign w:val="baseline"/>
        </w:rPr>
        <w:endnoteRef/>
      </w:r>
      <w:r w:rsidRPr="00F85E97">
        <w:rPr>
          <w:szCs w:val="24"/>
        </w:rPr>
        <w:t xml:space="preserve"> Levy, P. S. &amp; Lemeshow, S. (1999). </w:t>
      </w:r>
      <w:r w:rsidRPr="00F85E97">
        <w:rPr>
          <w:i/>
          <w:iCs/>
          <w:szCs w:val="24"/>
        </w:rPr>
        <w:t>Sampling of populations: Methods and applications</w:t>
      </w:r>
      <w:r w:rsidRPr="00F85E97">
        <w:rPr>
          <w:szCs w:val="24"/>
        </w:rPr>
        <w:t>. New York: John Wiley &amp; Sons, Inc.</w:t>
      </w:r>
    </w:p>
  </w:endnote>
  <w:endnote w:id="8">
    <w:p w:rsidR="000F7755" w:rsidRPr="00F85E97" w:rsidRDefault="000F7755" w:rsidP="00E436A0">
      <w:pPr>
        <w:pStyle w:val="BodyText2"/>
        <w:rPr>
          <w:rFonts w:ascii="Arial" w:hAnsi="Arial" w:cs="Arial"/>
          <w:color w:val="0000FF"/>
          <w:sz w:val="24"/>
          <w:szCs w:val="24"/>
        </w:rPr>
      </w:pPr>
      <w:r w:rsidRPr="00F85E97">
        <w:rPr>
          <w:rStyle w:val="EndnoteReference"/>
          <w:sz w:val="24"/>
          <w:szCs w:val="24"/>
          <w:vertAlign w:val="baseline"/>
        </w:rPr>
        <w:endnoteRef/>
      </w:r>
      <w:r w:rsidRPr="00F85E97">
        <w:rPr>
          <w:sz w:val="24"/>
          <w:szCs w:val="24"/>
        </w:rPr>
        <w:t xml:space="preserve"> Dillman DA. 1995.  </w:t>
      </w:r>
      <w:r w:rsidRPr="00F85E97">
        <w:rPr>
          <w:i/>
          <w:iCs/>
          <w:sz w:val="24"/>
          <w:szCs w:val="24"/>
        </w:rPr>
        <w:t>Survey Methodology</w:t>
      </w:r>
      <w:r w:rsidRPr="00F85E97">
        <w:rPr>
          <w:sz w:val="24"/>
          <w:szCs w:val="24"/>
        </w:rPr>
        <w:t>.  Dec 1995, Vol 21, No. 2, pp 159-165.</w:t>
      </w: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pPr>
        <w:pStyle w:val="EndnoteText"/>
      </w:pPr>
    </w:p>
    <w:p w:rsidR="000F7755" w:rsidRDefault="000F7755" w:rsidP="00A04466">
      <w:pPr>
        <w:pStyle w:val="EndnoteText"/>
        <w:rPr>
          <w:sz w:val="24"/>
          <w:szCs w:val="24"/>
        </w:rPr>
      </w:pPr>
    </w:p>
    <w:p w:rsidR="000F7755" w:rsidRDefault="000F7755" w:rsidP="00A04466">
      <w:pPr>
        <w:pStyle w:val="EndnoteText"/>
      </w:pPr>
    </w:p>
    <w:p w:rsidR="000F7755" w:rsidRDefault="000F7755" w:rsidP="00A04466">
      <w:pPr>
        <w:pStyle w:val="EndnoteText"/>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755" w:rsidRDefault="000F7755">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755" w:rsidRDefault="000F7755">
      <w:r>
        <w:separator/>
      </w:r>
    </w:p>
  </w:footnote>
  <w:footnote w:type="continuationSeparator" w:id="0">
    <w:p w:rsidR="000F7755" w:rsidRDefault="000F7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2D01"/>
    <w:multiLevelType w:val="singleLevel"/>
    <w:tmpl w:val="65AABB92"/>
    <w:lvl w:ilvl="0">
      <w:start w:val="1"/>
      <w:numFmt w:val="decimal"/>
      <w:lvlText w:val="%1)"/>
      <w:lvlJc w:val="left"/>
      <w:pPr>
        <w:tabs>
          <w:tab w:val="num" w:pos="630"/>
        </w:tabs>
        <w:ind w:left="630" w:hanging="360"/>
      </w:pPr>
      <w:rPr>
        <w:rFonts w:cs="Times New Roman" w:hint="default"/>
      </w:rPr>
    </w:lvl>
  </w:abstractNum>
  <w:abstractNum w:abstractNumId="1">
    <w:nsid w:val="1FD26F8D"/>
    <w:multiLevelType w:val="singleLevel"/>
    <w:tmpl w:val="A0183B86"/>
    <w:lvl w:ilvl="0">
      <w:start w:val="1"/>
      <w:numFmt w:val="decimal"/>
      <w:lvlText w:val="%1)"/>
      <w:lvlJc w:val="left"/>
      <w:pPr>
        <w:tabs>
          <w:tab w:val="num" w:pos="630"/>
        </w:tabs>
        <w:ind w:left="630" w:hanging="360"/>
      </w:pPr>
      <w:rPr>
        <w:rFonts w:cs="Times New Roman" w:hint="default"/>
      </w:rPr>
    </w:lvl>
  </w:abstractNum>
  <w:abstractNum w:abstractNumId="2">
    <w:nsid w:val="214A54A4"/>
    <w:multiLevelType w:val="singleLevel"/>
    <w:tmpl w:val="E36C4532"/>
    <w:lvl w:ilvl="0">
      <w:start w:val="1"/>
      <w:numFmt w:val="decimal"/>
      <w:lvlText w:val="%1)"/>
      <w:lvlJc w:val="left"/>
      <w:pPr>
        <w:tabs>
          <w:tab w:val="num" w:pos="630"/>
        </w:tabs>
        <w:ind w:left="630" w:hanging="360"/>
      </w:pPr>
      <w:rPr>
        <w:rFonts w:cs="Times New Roman" w:hint="default"/>
      </w:rPr>
    </w:lvl>
  </w:abstractNum>
  <w:abstractNum w:abstractNumId="3">
    <w:nsid w:val="26BB1C49"/>
    <w:multiLevelType w:val="hybridMultilevel"/>
    <w:tmpl w:val="831C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61BCF"/>
    <w:multiLevelType w:val="singleLevel"/>
    <w:tmpl w:val="1C461628"/>
    <w:lvl w:ilvl="0">
      <w:start w:val="1"/>
      <w:numFmt w:val="decimal"/>
      <w:lvlText w:val="%1)"/>
      <w:lvlJc w:val="left"/>
      <w:pPr>
        <w:tabs>
          <w:tab w:val="num" w:pos="630"/>
        </w:tabs>
        <w:ind w:left="630" w:hanging="360"/>
      </w:pPr>
      <w:rPr>
        <w:rFonts w:cs="Times New Roman" w:hint="default"/>
      </w:rPr>
    </w:lvl>
  </w:abstractNum>
  <w:abstractNum w:abstractNumId="5">
    <w:nsid w:val="388A4969"/>
    <w:multiLevelType w:val="singleLevel"/>
    <w:tmpl w:val="2F1A4CAA"/>
    <w:lvl w:ilvl="0">
      <w:start w:val="1"/>
      <w:numFmt w:val="decimal"/>
      <w:lvlText w:val="%1)"/>
      <w:lvlJc w:val="left"/>
      <w:pPr>
        <w:tabs>
          <w:tab w:val="num" w:pos="630"/>
        </w:tabs>
        <w:ind w:left="630" w:hanging="360"/>
      </w:pPr>
      <w:rPr>
        <w:rFonts w:cs="Times New Roman" w:hint="default"/>
      </w:rPr>
    </w:lvl>
  </w:abstractNum>
  <w:abstractNum w:abstractNumId="6">
    <w:nsid w:val="3CBF2C22"/>
    <w:multiLevelType w:val="hybridMultilevel"/>
    <w:tmpl w:val="49524B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16B6D13"/>
    <w:multiLevelType w:val="singleLevel"/>
    <w:tmpl w:val="67C8C4C8"/>
    <w:lvl w:ilvl="0">
      <w:start w:val="1"/>
      <w:numFmt w:val="decimal"/>
      <w:lvlText w:val="%1)"/>
      <w:lvlJc w:val="left"/>
      <w:pPr>
        <w:tabs>
          <w:tab w:val="num" w:pos="630"/>
        </w:tabs>
        <w:ind w:left="630" w:hanging="360"/>
      </w:pPr>
      <w:rPr>
        <w:rFonts w:cs="Times New Roman" w:hint="default"/>
        <w:b/>
      </w:rPr>
    </w:lvl>
  </w:abstractNum>
  <w:abstractNum w:abstractNumId="8">
    <w:nsid w:val="450E6B83"/>
    <w:multiLevelType w:val="singleLevel"/>
    <w:tmpl w:val="99840436"/>
    <w:lvl w:ilvl="0">
      <w:start w:val="1"/>
      <w:numFmt w:val="decimal"/>
      <w:lvlText w:val="%1)"/>
      <w:lvlJc w:val="left"/>
      <w:pPr>
        <w:tabs>
          <w:tab w:val="num" w:pos="630"/>
        </w:tabs>
        <w:ind w:left="630" w:hanging="360"/>
      </w:pPr>
      <w:rPr>
        <w:rFonts w:cs="Times New Roman" w:hint="default"/>
      </w:rPr>
    </w:lvl>
  </w:abstractNum>
  <w:abstractNum w:abstractNumId="9">
    <w:nsid w:val="4B610F9B"/>
    <w:multiLevelType w:val="singleLevel"/>
    <w:tmpl w:val="A97EFA94"/>
    <w:lvl w:ilvl="0">
      <w:start w:val="1"/>
      <w:numFmt w:val="decimal"/>
      <w:lvlText w:val="%1)"/>
      <w:lvlJc w:val="left"/>
      <w:pPr>
        <w:tabs>
          <w:tab w:val="num" w:pos="1080"/>
        </w:tabs>
        <w:ind w:left="1080" w:hanging="360"/>
      </w:pPr>
      <w:rPr>
        <w:rFonts w:cs="Times New Roman" w:hint="default"/>
      </w:rPr>
    </w:lvl>
  </w:abstractNum>
  <w:abstractNum w:abstractNumId="10">
    <w:nsid w:val="67DA650A"/>
    <w:multiLevelType w:val="hybridMultilevel"/>
    <w:tmpl w:val="E1A8A4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6B074238"/>
    <w:multiLevelType w:val="singleLevel"/>
    <w:tmpl w:val="4226FD92"/>
    <w:lvl w:ilvl="0">
      <w:start w:val="1"/>
      <w:numFmt w:val="decimal"/>
      <w:lvlText w:val="%1)"/>
      <w:lvlJc w:val="left"/>
      <w:pPr>
        <w:tabs>
          <w:tab w:val="num" w:pos="630"/>
        </w:tabs>
        <w:ind w:left="630" w:hanging="360"/>
      </w:pPr>
      <w:rPr>
        <w:rFonts w:cs="Times New Roman" w:hint="default"/>
      </w:rPr>
    </w:lvl>
  </w:abstractNum>
  <w:abstractNum w:abstractNumId="12">
    <w:nsid w:val="6B7D7B35"/>
    <w:multiLevelType w:val="singleLevel"/>
    <w:tmpl w:val="F6748A54"/>
    <w:lvl w:ilvl="0">
      <w:start w:val="1"/>
      <w:numFmt w:val="decimal"/>
      <w:lvlText w:val="%1)"/>
      <w:lvlJc w:val="left"/>
      <w:pPr>
        <w:tabs>
          <w:tab w:val="num" w:pos="630"/>
        </w:tabs>
        <w:ind w:left="630" w:hanging="360"/>
      </w:pPr>
      <w:rPr>
        <w:rFonts w:cs="Times New Roman" w:hint="default"/>
      </w:rPr>
    </w:lvl>
  </w:abstractNum>
  <w:abstractNum w:abstractNumId="13">
    <w:nsid w:val="6D826A77"/>
    <w:multiLevelType w:val="singleLevel"/>
    <w:tmpl w:val="6646F47A"/>
    <w:lvl w:ilvl="0">
      <w:start w:val="1"/>
      <w:numFmt w:val="decimal"/>
      <w:lvlText w:val="%1)"/>
      <w:lvlJc w:val="left"/>
      <w:pPr>
        <w:tabs>
          <w:tab w:val="num" w:pos="1080"/>
        </w:tabs>
        <w:ind w:left="1080" w:hanging="360"/>
      </w:pPr>
      <w:rPr>
        <w:rFonts w:cs="Times New Roman" w:hint="default"/>
      </w:rPr>
    </w:lvl>
  </w:abstractNum>
  <w:abstractNum w:abstractNumId="14">
    <w:nsid w:val="719645C0"/>
    <w:multiLevelType w:val="singleLevel"/>
    <w:tmpl w:val="1ABE6C10"/>
    <w:lvl w:ilvl="0">
      <w:start w:val="1"/>
      <w:numFmt w:val="decimal"/>
      <w:lvlText w:val="%1)"/>
      <w:lvlJc w:val="left"/>
      <w:pPr>
        <w:tabs>
          <w:tab w:val="num" w:pos="630"/>
        </w:tabs>
        <w:ind w:left="630" w:hanging="360"/>
      </w:pPr>
      <w:rPr>
        <w:rFonts w:cs="Times New Roman" w:hint="default"/>
      </w:rPr>
    </w:lvl>
  </w:abstractNum>
  <w:num w:numId="1">
    <w:abstractNumId w:val="11"/>
  </w:num>
  <w:num w:numId="2">
    <w:abstractNumId w:val="4"/>
  </w:num>
  <w:num w:numId="3">
    <w:abstractNumId w:val="5"/>
  </w:num>
  <w:num w:numId="4">
    <w:abstractNumId w:val="8"/>
  </w:num>
  <w:num w:numId="5">
    <w:abstractNumId w:val="12"/>
  </w:num>
  <w:num w:numId="6">
    <w:abstractNumId w:val="2"/>
  </w:num>
  <w:num w:numId="7">
    <w:abstractNumId w:val="0"/>
  </w:num>
  <w:num w:numId="8">
    <w:abstractNumId w:val="7"/>
  </w:num>
  <w:num w:numId="9">
    <w:abstractNumId w:val="14"/>
  </w:num>
  <w:num w:numId="10">
    <w:abstractNumId w:val="1"/>
  </w:num>
  <w:num w:numId="11">
    <w:abstractNumId w:val="13"/>
  </w:num>
  <w:num w:numId="12">
    <w:abstractNumId w:val="9"/>
  </w:num>
  <w:num w:numId="13">
    <w:abstractNumId w:val="10"/>
  </w:num>
  <w:num w:numId="14">
    <w:abstractNumId w:val="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C55"/>
    <w:rsid w:val="00006B22"/>
    <w:rsid w:val="00027F0A"/>
    <w:rsid w:val="0007439D"/>
    <w:rsid w:val="0008647E"/>
    <w:rsid w:val="0009154C"/>
    <w:rsid w:val="000A2423"/>
    <w:rsid w:val="000B023A"/>
    <w:rsid w:val="000F7755"/>
    <w:rsid w:val="00105D91"/>
    <w:rsid w:val="0011042C"/>
    <w:rsid w:val="00122C55"/>
    <w:rsid w:val="00125192"/>
    <w:rsid w:val="00127536"/>
    <w:rsid w:val="0014287E"/>
    <w:rsid w:val="0016245F"/>
    <w:rsid w:val="00167B2F"/>
    <w:rsid w:val="001B3EBA"/>
    <w:rsid w:val="001B7E31"/>
    <w:rsid w:val="001E1D76"/>
    <w:rsid w:val="0021428B"/>
    <w:rsid w:val="00215D64"/>
    <w:rsid w:val="00223729"/>
    <w:rsid w:val="00223C2E"/>
    <w:rsid w:val="002544E1"/>
    <w:rsid w:val="002A55CD"/>
    <w:rsid w:val="002C562C"/>
    <w:rsid w:val="002F1BFF"/>
    <w:rsid w:val="0030460E"/>
    <w:rsid w:val="003116A2"/>
    <w:rsid w:val="00322303"/>
    <w:rsid w:val="003354A6"/>
    <w:rsid w:val="003453AB"/>
    <w:rsid w:val="003966C5"/>
    <w:rsid w:val="003D388B"/>
    <w:rsid w:val="004339DE"/>
    <w:rsid w:val="00465C50"/>
    <w:rsid w:val="00482618"/>
    <w:rsid w:val="004A3237"/>
    <w:rsid w:val="004C2ABF"/>
    <w:rsid w:val="004C6EEF"/>
    <w:rsid w:val="004C7812"/>
    <w:rsid w:val="004D2844"/>
    <w:rsid w:val="004F3F5D"/>
    <w:rsid w:val="005027B4"/>
    <w:rsid w:val="00502E9B"/>
    <w:rsid w:val="00506019"/>
    <w:rsid w:val="00515B8F"/>
    <w:rsid w:val="00521C35"/>
    <w:rsid w:val="005307DD"/>
    <w:rsid w:val="00552F26"/>
    <w:rsid w:val="0056166B"/>
    <w:rsid w:val="005667FE"/>
    <w:rsid w:val="00575EF7"/>
    <w:rsid w:val="005B2AAC"/>
    <w:rsid w:val="005F339E"/>
    <w:rsid w:val="0060198C"/>
    <w:rsid w:val="00613704"/>
    <w:rsid w:val="00661037"/>
    <w:rsid w:val="006668FA"/>
    <w:rsid w:val="006B7F20"/>
    <w:rsid w:val="006F1474"/>
    <w:rsid w:val="00710BF6"/>
    <w:rsid w:val="00716427"/>
    <w:rsid w:val="0076057E"/>
    <w:rsid w:val="0077232F"/>
    <w:rsid w:val="007D2EC0"/>
    <w:rsid w:val="007E02EB"/>
    <w:rsid w:val="007E51E0"/>
    <w:rsid w:val="007E7A5B"/>
    <w:rsid w:val="00807E3B"/>
    <w:rsid w:val="00843555"/>
    <w:rsid w:val="0085150E"/>
    <w:rsid w:val="00860B32"/>
    <w:rsid w:val="00865D68"/>
    <w:rsid w:val="008752CF"/>
    <w:rsid w:val="0089288F"/>
    <w:rsid w:val="008B3D00"/>
    <w:rsid w:val="008C595F"/>
    <w:rsid w:val="008E3BCB"/>
    <w:rsid w:val="00900864"/>
    <w:rsid w:val="0093464B"/>
    <w:rsid w:val="0094103D"/>
    <w:rsid w:val="00966C3E"/>
    <w:rsid w:val="00984D34"/>
    <w:rsid w:val="009D5EB9"/>
    <w:rsid w:val="009D7297"/>
    <w:rsid w:val="00A02E01"/>
    <w:rsid w:val="00A04466"/>
    <w:rsid w:val="00A22A27"/>
    <w:rsid w:val="00A32A53"/>
    <w:rsid w:val="00A343E1"/>
    <w:rsid w:val="00A62ACD"/>
    <w:rsid w:val="00AB5FCE"/>
    <w:rsid w:val="00AD4B68"/>
    <w:rsid w:val="00AE0941"/>
    <w:rsid w:val="00AE164B"/>
    <w:rsid w:val="00AE1F6F"/>
    <w:rsid w:val="00AF0194"/>
    <w:rsid w:val="00AF6D6B"/>
    <w:rsid w:val="00B10942"/>
    <w:rsid w:val="00B2488C"/>
    <w:rsid w:val="00B97E2E"/>
    <w:rsid w:val="00BA5D82"/>
    <w:rsid w:val="00BD541D"/>
    <w:rsid w:val="00BE6710"/>
    <w:rsid w:val="00C65142"/>
    <w:rsid w:val="00C75C8E"/>
    <w:rsid w:val="00C842A4"/>
    <w:rsid w:val="00CA4CF3"/>
    <w:rsid w:val="00CB70D1"/>
    <w:rsid w:val="00CD2A01"/>
    <w:rsid w:val="00CD6DE1"/>
    <w:rsid w:val="00CE012E"/>
    <w:rsid w:val="00CE2D5E"/>
    <w:rsid w:val="00CE4347"/>
    <w:rsid w:val="00CF694B"/>
    <w:rsid w:val="00D50B62"/>
    <w:rsid w:val="00D75C62"/>
    <w:rsid w:val="00D86836"/>
    <w:rsid w:val="00D86FA5"/>
    <w:rsid w:val="00E163E9"/>
    <w:rsid w:val="00E436A0"/>
    <w:rsid w:val="00E7262D"/>
    <w:rsid w:val="00EB0A84"/>
    <w:rsid w:val="00EF1079"/>
    <w:rsid w:val="00EF36E4"/>
    <w:rsid w:val="00F85E97"/>
    <w:rsid w:val="00F96874"/>
    <w:rsid w:val="00FA609F"/>
    <w:rsid w:val="00FC13B2"/>
    <w:rsid w:val="00FE34FF"/>
    <w:rsid w:val="00FE43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2EB"/>
    <w:rPr>
      <w:sz w:val="20"/>
      <w:szCs w:val="20"/>
    </w:rPr>
  </w:style>
  <w:style w:type="paragraph" w:styleId="Heading1">
    <w:name w:val="heading 1"/>
    <w:basedOn w:val="Normal"/>
    <w:next w:val="Normal"/>
    <w:link w:val="Heading1Char"/>
    <w:uiPriority w:val="99"/>
    <w:qFormat/>
    <w:rsid w:val="007E02EB"/>
    <w:pPr>
      <w:keepNext/>
      <w:outlineLvl w:val="0"/>
    </w:pPr>
    <w:rPr>
      <w:b/>
      <w:sz w:val="24"/>
    </w:rPr>
  </w:style>
  <w:style w:type="paragraph" w:styleId="Heading2">
    <w:name w:val="heading 2"/>
    <w:basedOn w:val="Normal"/>
    <w:next w:val="Normal"/>
    <w:link w:val="Heading2Char"/>
    <w:uiPriority w:val="99"/>
    <w:qFormat/>
    <w:rsid w:val="007E02EB"/>
    <w:pPr>
      <w:keepNext/>
      <w:outlineLvl w:val="1"/>
    </w:pPr>
    <w:rPr>
      <w:b/>
    </w:rPr>
  </w:style>
  <w:style w:type="paragraph" w:styleId="Heading3">
    <w:name w:val="heading 3"/>
    <w:basedOn w:val="Normal"/>
    <w:next w:val="Normal"/>
    <w:link w:val="Heading3Char"/>
    <w:uiPriority w:val="99"/>
    <w:qFormat/>
    <w:rsid w:val="007E02EB"/>
    <w:pPr>
      <w:keepNext/>
      <w:tabs>
        <w:tab w:val="left" w:pos="720"/>
        <w:tab w:val="left" w:pos="810"/>
      </w:tabs>
      <w:jc w:val="center"/>
      <w:outlineLvl w:val="2"/>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4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75D4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75D45"/>
    <w:rPr>
      <w:rFonts w:asciiTheme="majorHAnsi" w:eastAsiaTheme="majorEastAsia" w:hAnsiTheme="majorHAnsi" w:cstheme="majorBidi"/>
      <w:b/>
      <w:bCs/>
      <w:sz w:val="26"/>
      <w:szCs w:val="26"/>
    </w:rPr>
  </w:style>
  <w:style w:type="paragraph" w:styleId="Title">
    <w:name w:val="Title"/>
    <w:basedOn w:val="Normal"/>
    <w:link w:val="TitleChar"/>
    <w:uiPriority w:val="99"/>
    <w:qFormat/>
    <w:rsid w:val="007E02EB"/>
    <w:pPr>
      <w:jc w:val="center"/>
    </w:pPr>
    <w:rPr>
      <w:sz w:val="36"/>
    </w:rPr>
  </w:style>
  <w:style w:type="character" w:customStyle="1" w:styleId="TitleChar">
    <w:name w:val="Title Char"/>
    <w:basedOn w:val="DefaultParagraphFont"/>
    <w:link w:val="Title"/>
    <w:uiPriority w:val="10"/>
    <w:rsid w:val="00575D45"/>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7E02EB"/>
    <w:pPr>
      <w:tabs>
        <w:tab w:val="left" w:pos="720"/>
      </w:tabs>
      <w:ind w:left="720" w:hanging="720"/>
    </w:pPr>
    <w:rPr>
      <w:sz w:val="24"/>
    </w:rPr>
  </w:style>
  <w:style w:type="character" w:customStyle="1" w:styleId="BodyTextIndentChar">
    <w:name w:val="Body Text Indent Char"/>
    <w:basedOn w:val="DefaultParagraphFont"/>
    <w:link w:val="BodyTextIndent"/>
    <w:uiPriority w:val="99"/>
    <w:semiHidden/>
    <w:rsid w:val="00575D45"/>
    <w:rPr>
      <w:sz w:val="20"/>
      <w:szCs w:val="20"/>
    </w:rPr>
  </w:style>
  <w:style w:type="paragraph" w:styleId="Header">
    <w:name w:val="header"/>
    <w:basedOn w:val="Normal"/>
    <w:link w:val="HeaderChar"/>
    <w:uiPriority w:val="99"/>
    <w:rsid w:val="007E02EB"/>
    <w:pPr>
      <w:tabs>
        <w:tab w:val="center" w:pos="4320"/>
        <w:tab w:val="right" w:pos="8640"/>
      </w:tabs>
    </w:pPr>
  </w:style>
  <w:style w:type="character" w:customStyle="1" w:styleId="HeaderChar">
    <w:name w:val="Header Char"/>
    <w:basedOn w:val="DefaultParagraphFont"/>
    <w:link w:val="Header"/>
    <w:uiPriority w:val="99"/>
    <w:semiHidden/>
    <w:rsid w:val="00575D45"/>
    <w:rPr>
      <w:sz w:val="20"/>
      <w:szCs w:val="20"/>
    </w:rPr>
  </w:style>
  <w:style w:type="paragraph" w:styleId="Footer">
    <w:name w:val="footer"/>
    <w:basedOn w:val="Normal"/>
    <w:link w:val="FooterChar"/>
    <w:uiPriority w:val="99"/>
    <w:rsid w:val="007E02EB"/>
    <w:pPr>
      <w:tabs>
        <w:tab w:val="center" w:pos="4320"/>
        <w:tab w:val="right" w:pos="8640"/>
      </w:tabs>
    </w:pPr>
  </w:style>
  <w:style w:type="character" w:customStyle="1" w:styleId="FooterChar">
    <w:name w:val="Footer Char"/>
    <w:basedOn w:val="DefaultParagraphFont"/>
    <w:link w:val="Footer"/>
    <w:uiPriority w:val="99"/>
    <w:semiHidden/>
    <w:rsid w:val="00575D45"/>
    <w:rPr>
      <w:sz w:val="20"/>
      <w:szCs w:val="20"/>
    </w:rPr>
  </w:style>
  <w:style w:type="character" w:styleId="PageNumber">
    <w:name w:val="page number"/>
    <w:basedOn w:val="DefaultParagraphFont"/>
    <w:uiPriority w:val="99"/>
    <w:rsid w:val="007E02EB"/>
    <w:rPr>
      <w:rFonts w:cs="Times New Roman"/>
    </w:rPr>
  </w:style>
  <w:style w:type="paragraph" w:styleId="EndnoteText">
    <w:name w:val="endnote text"/>
    <w:basedOn w:val="Normal"/>
    <w:link w:val="EndnoteTextChar"/>
    <w:uiPriority w:val="99"/>
    <w:rsid w:val="007E7A5B"/>
  </w:style>
  <w:style w:type="character" w:customStyle="1" w:styleId="EndnoteTextChar">
    <w:name w:val="Endnote Text Char"/>
    <w:basedOn w:val="DefaultParagraphFont"/>
    <w:link w:val="EndnoteText"/>
    <w:uiPriority w:val="99"/>
    <w:locked/>
    <w:rsid w:val="007E7A5B"/>
    <w:rPr>
      <w:rFonts w:cs="Times New Roman"/>
    </w:rPr>
  </w:style>
  <w:style w:type="character" w:styleId="EndnoteReference">
    <w:name w:val="endnote reference"/>
    <w:basedOn w:val="DefaultParagraphFont"/>
    <w:uiPriority w:val="99"/>
    <w:rsid w:val="007E7A5B"/>
    <w:rPr>
      <w:rFonts w:cs="Times New Roman"/>
      <w:vertAlign w:val="superscript"/>
    </w:rPr>
  </w:style>
  <w:style w:type="character" w:styleId="Hyperlink">
    <w:name w:val="Hyperlink"/>
    <w:basedOn w:val="DefaultParagraphFont"/>
    <w:uiPriority w:val="99"/>
    <w:rsid w:val="00C842A4"/>
    <w:rPr>
      <w:rFonts w:cs="Times New Roman"/>
      <w:color w:val="0000FF"/>
      <w:u w:val="single"/>
    </w:rPr>
  </w:style>
  <w:style w:type="paragraph" w:customStyle="1" w:styleId="bodytext">
    <w:name w:val="body text"/>
    <w:aliases w:val="bt,body tx,indent,flush,memo body text,flush Char Char,body 4h,bt Char Char Char,body text1 Char Char,body text1 Char,flush Char Char Char Char Char Char Char Char Char Char Char Char Char Char,body text1"/>
    <w:basedOn w:val="Normal"/>
    <w:link w:val="bodytextChar"/>
    <w:uiPriority w:val="99"/>
    <w:rsid w:val="00BE6710"/>
    <w:pPr>
      <w:spacing w:after="240" w:line="360" w:lineRule="atLeast"/>
      <w:ind w:firstLine="720"/>
    </w:pPr>
    <w:rPr>
      <w:sz w:val="24"/>
    </w:rPr>
  </w:style>
  <w:style w:type="paragraph" w:customStyle="1" w:styleId="tabfigsource">
    <w:name w:val="tab/fig source"/>
    <w:basedOn w:val="Normal"/>
    <w:uiPriority w:val="99"/>
    <w:rsid w:val="00BE6710"/>
    <w:pPr>
      <w:keepLines/>
      <w:spacing w:before="120" w:after="240"/>
      <w:ind w:left="187" w:hanging="187"/>
    </w:pPr>
  </w:style>
  <w:style w:type="paragraph" w:customStyle="1" w:styleId="TableTitle">
    <w:name w:val="Table Title"/>
    <w:basedOn w:val="Normal"/>
    <w:uiPriority w:val="99"/>
    <w:rsid w:val="00BE6710"/>
    <w:pPr>
      <w:keepNext/>
      <w:keepLines/>
      <w:spacing w:before="240" w:after="240"/>
      <w:ind w:left="1260" w:hanging="1260"/>
    </w:pPr>
    <w:rPr>
      <w:b/>
      <w:sz w:val="24"/>
    </w:rPr>
  </w:style>
  <w:style w:type="character" w:customStyle="1" w:styleId="bodytextChar">
    <w:name w:val="body text Char"/>
    <w:aliases w:val="bt Char,body tx Char,indent Char,flush Char,memo body text Char,flush Char Char Char,body 4h Char"/>
    <w:basedOn w:val="DefaultParagraphFont"/>
    <w:link w:val="bodytext"/>
    <w:uiPriority w:val="99"/>
    <w:locked/>
    <w:rsid w:val="00BE6710"/>
    <w:rPr>
      <w:rFonts w:cs="Times New Roman"/>
      <w:sz w:val="24"/>
    </w:rPr>
  </w:style>
  <w:style w:type="paragraph" w:customStyle="1" w:styleId="biblio">
    <w:name w:val="biblio"/>
    <w:basedOn w:val="Normal"/>
    <w:uiPriority w:val="99"/>
    <w:rsid w:val="00A02E01"/>
    <w:pPr>
      <w:keepLines/>
      <w:spacing w:after="240"/>
      <w:ind w:left="720" w:hanging="720"/>
    </w:pPr>
    <w:rPr>
      <w:sz w:val="24"/>
    </w:rPr>
  </w:style>
  <w:style w:type="paragraph" w:styleId="BodyText0">
    <w:name w:val="Body Text"/>
    <w:basedOn w:val="Normal"/>
    <w:link w:val="BodyTextChar0"/>
    <w:uiPriority w:val="99"/>
    <w:rsid w:val="00B2488C"/>
    <w:pPr>
      <w:spacing w:after="120"/>
    </w:pPr>
  </w:style>
  <w:style w:type="character" w:customStyle="1" w:styleId="BodyTextChar0">
    <w:name w:val="Body Text Char"/>
    <w:basedOn w:val="DefaultParagraphFont"/>
    <w:link w:val="BodyText0"/>
    <w:uiPriority w:val="99"/>
    <w:locked/>
    <w:rsid w:val="00B2488C"/>
    <w:rPr>
      <w:rFonts w:cs="Times New Roman"/>
    </w:rPr>
  </w:style>
  <w:style w:type="table" w:styleId="TableGrid">
    <w:name w:val="Table Grid"/>
    <w:basedOn w:val="TableNormal"/>
    <w:uiPriority w:val="99"/>
    <w:rsid w:val="00B2488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sid w:val="005027B4"/>
    <w:rPr>
      <w:rFonts w:cs="Times New Roman"/>
      <w:sz w:val="16"/>
      <w:szCs w:val="16"/>
    </w:rPr>
  </w:style>
  <w:style w:type="paragraph" w:styleId="CommentText">
    <w:name w:val="annotation text"/>
    <w:basedOn w:val="Normal"/>
    <w:link w:val="CommentTextChar"/>
    <w:uiPriority w:val="99"/>
    <w:rsid w:val="005027B4"/>
  </w:style>
  <w:style w:type="character" w:customStyle="1" w:styleId="CommentTextChar">
    <w:name w:val="Comment Text Char"/>
    <w:basedOn w:val="DefaultParagraphFont"/>
    <w:link w:val="CommentText"/>
    <w:uiPriority w:val="99"/>
    <w:locked/>
    <w:rsid w:val="005027B4"/>
    <w:rPr>
      <w:rFonts w:cs="Times New Roman"/>
    </w:rPr>
  </w:style>
  <w:style w:type="paragraph" w:styleId="CommentSubject">
    <w:name w:val="annotation subject"/>
    <w:basedOn w:val="CommentText"/>
    <w:next w:val="CommentText"/>
    <w:link w:val="CommentSubjectChar"/>
    <w:uiPriority w:val="99"/>
    <w:rsid w:val="005027B4"/>
    <w:rPr>
      <w:b/>
      <w:bCs/>
    </w:rPr>
  </w:style>
  <w:style w:type="character" w:customStyle="1" w:styleId="CommentSubjectChar">
    <w:name w:val="Comment Subject Char"/>
    <w:basedOn w:val="CommentTextChar"/>
    <w:link w:val="CommentSubject"/>
    <w:uiPriority w:val="99"/>
    <w:locked/>
    <w:rsid w:val="005027B4"/>
    <w:rPr>
      <w:b/>
      <w:bCs/>
    </w:rPr>
  </w:style>
  <w:style w:type="paragraph" w:styleId="BalloonText">
    <w:name w:val="Balloon Text"/>
    <w:basedOn w:val="Normal"/>
    <w:link w:val="BalloonTextChar"/>
    <w:uiPriority w:val="99"/>
    <w:rsid w:val="005027B4"/>
    <w:rPr>
      <w:rFonts w:ascii="Tahoma" w:hAnsi="Tahoma" w:cs="Tahoma"/>
      <w:sz w:val="16"/>
      <w:szCs w:val="16"/>
    </w:rPr>
  </w:style>
  <w:style w:type="character" w:customStyle="1" w:styleId="BalloonTextChar">
    <w:name w:val="Balloon Text Char"/>
    <w:basedOn w:val="DefaultParagraphFont"/>
    <w:link w:val="BalloonText"/>
    <w:uiPriority w:val="99"/>
    <w:locked/>
    <w:rsid w:val="005027B4"/>
    <w:rPr>
      <w:rFonts w:ascii="Tahoma" w:hAnsi="Tahoma" w:cs="Tahoma"/>
      <w:sz w:val="16"/>
      <w:szCs w:val="16"/>
    </w:rPr>
  </w:style>
  <w:style w:type="paragraph" w:styleId="BodyText2">
    <w:name w:val="Body Text 2"/>
    <w:basedOn w:val="Normal"/>
    <w:link w:val="BodyText2Char"/>
    <w:uiPriority w:val="99"/>
    <w:rsid w:val="00E436A0"/>
    <w:pPr>
      <w:spacing w:after="120" w:line="480" w:lineRule="auto"/>
    </w:pPr>
  </w:style>
  <w:style w:type="character" w:customStyle="1" w:styleId="BodyText2Char">
    <w:name w:val="Body Text 2 Char"/>
    <w:basedOn w:val="DefaultParagraphFont"/>
    <w:link w:val="BodyText2"/>
    <w:uiPriority w:val="99"/>
    <w:locked/>
    <w:rsid w:val="00E436A0"/>
    <w:rPr>
      <w:rFonts w:cs="Times New Roman"/>
    </w:rPr>
  </w:style>
</w:styles>
</file>

<file path=word/webSettings.xml><?xml version="1.0" encoding="utf-8"?>
<w:webSettings xmlns:r="http://schemas.openxmlformats.org/officeDocument/2006/relationships" xmlns:w="http://schemas.openxmlformats.org/wordprocessingml/2006/main">
  <w:divs>
    <w:div w:id="1871382777">
      <w:marLeft w:val="0"/>
      <w:marRight w:val="0"/>
      <w:marTop w:val="0"/>
      <w:marBottom w:val="0"/>
      <w:divBdr>
        <w:top w:val="none" w:sz="0" w:space="0" w:color="auto"/>
        <w:left w:val="none" w:sz="0" w:space="0" w:color="auto"/>
        <w:bottom w:val="none" w:sz="0" w:space="0" w:color="auto"/>
        <w:right w:val="none" w:sz="0" w:space="0" w:color="auto"/>
      </w:divBdr>
    </w:div>
    <w:div w:id="1871382778">
      <w:marLeft w:val="0"/>
      <w:marRight w:val="0"/>
      <w:marTop w:val="0"/>
      <w:marBottom w:val="0"/>
      <w:divBdr>
        <w:top w:val="none" w:sz="0" w:space="0" w:color="auto"/>
        <w:left w:val="none" w:sz="0" w:space="0" w:color="auto"/>
        <w:bottom w:val="none" w:sz="0" w:space="0" w:color="auto"/>
        <w:right w:val="none" w:sz="0" w:space="0" w:color="auto"/>
      </w:divBdr>
    </w:div>
    <w:div w:id="1871382779">
      <w:marLeft w:val="0"/>
      <w:marRight w:val="0"/>
      <w:marTop w:val="0"/>
      <w:marBottom w:val="0"/>
      <w:divBdr>
        <w:top w:val="none" w:sz="0" w:space="0" w:color="auto"/>
        <w:left w:val="none" w:sz="0" w:space="0" w:color="auto"/>
        <w:bottom w:val="none" w:sz="0" w:space="0" w:color="auto"/>
        <w:right w:val="none" w:sz="0" w:space="0" w:color="auto"/>
      </w:divBdr>
    </w:div>
    <w:div w:id="1871382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nlb.vssc.med.va.gov/EDMs/Document%20Library/EDM%20FY08%20Facility%20Complexity%20Level%20Model.pdf" TargetMode="External"/><Relationship Id="rId2" Type="http://schemas.openxmlformats.org/officeDocument/2006/relationships/hyperlink" Target="http://klfmenu.med.va.gov/products.asp" TargetMode="External"/><Relationship Id="rId1" Type="http://schemas.openxmlformats.org/officeDocument/2006/relationships/hyperlink" Target="http://vaww1.va.gov/vhapublications/ViewPublication.asp?pub_ID=1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2748</Words>
  <Characters>15664</Characters>
  <Application>Microsoft Office Outlook</Application>
  <DocSecurity>0</DocSecurity>
  <Lines>0</Lines>
  <Paragraphs>0</Paragraphs>
  <ScaleCrop>false</ScaleCrop>
  <Company>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PROTOCOL CHECKLIST</dc:title>
  <dc:subject/>
  <dc:creator>Preferred Customer</dc:creator>
  <cp:keywords/>
  <dc:description/>
  <cp:lastModifiedBy> </cp:lastModifiedBy>
  <cp:revision>2</cp:revision>
  <cp:lastPrinted>2009-10-30T18:32:00Z</cp:lastPrinted>
  <dcterms:created xsi:type="dcterms:W3CDTF">2010-07-06T12:51:00Z</dcterms:created>
  <dcterms:modified xsi:type="dcterms:W3CDTF">2010-07-06T12:51:00Z</dcterms:modified>
</cp:coreProperties>
</file>