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B1" w:rsidRDefault="00D50DB1" w:rsidP="00A2524F">
      <w:pPr>
        <w:spacing w:line="276" w:lineRule="auto"/>
      </w:pPr>
      <w:r>
        <w:t xml:space="preserve">To:  </w:t>
      </w:r>
      <w:r>
        <w:tab/>
      </w:r>
      <w:r>
        <w:tab/>
        <w:t>Shelly Martinez, OMB</w:t>
      </w:r>
    </w:p>
    <w:p w:rsidR="00D50DB1" w:rsidRDefault="00D50DB1" w:rsidP="00A2524F">
      <w:pPr>
        <w:spacing w:line="276" w:lineRule="auto"/>
      </w:pPr>
      <w:r>
        <w:t xml:space="preserve">From:  </w:t>
      </w:r>
      <w:r>
        <w:tab/>
      </w:r>
      <w:r>
        <w:tab/>
        <w:t>Daniel McGrath, NCES</w:t>
      </w:r>
    </w:p>
    <w:p w:rsidR="00D50DB1" w:rsidRDefault="00D50DB1" w:rsidP="00A2524F">
      <w:pPr>
        <w:spacing w:line="276" w:lineRule="auto"/>
      </w:pPr>
      <w:r>
        <w:t xml:space="preserve">Date:  </w:t>
      </w:r>
      <w:r>
        <w:tab/>
      </w:r>
      <w:r>
        <w:tab/>
        <w:t xml:space="preserve">July </w:t>
      </w:r>
      <w:r w:rsidR="00B1139A">
        <w:t>14</w:t>
      </w:r>
      <w:r>
        <w:t>, 2009</w:t>
      </w:r>
    </w:p>
    <w:p w:rsidR="00D50DB1" w:rsidRPr="002A1F13" w:rsidRDefault="00D50DB1" w:rsidP="00A2524F">
      <w:pPr>
        <w:spacing w:line="276" w:lineRule="auto"/>
      </w:pPr>
      <w:r w:rsidRPr="002A1F13">
        <w:t xml:space="preserve">Subject:  </w:t>
      </w:r>
      <w:r w:rsidRPr="002A1F13">
        <w:tab/>
        <w:t xml:space="preserve">Change request for PISA 2009 </w:t>
      </w:r>
      <w:r>
        <w:t>incentive plan (</w:t>
      </w:r>
      <w:r w:rsidRPr="005B3F8B">
        <w:rPr>
          <w:rStyle w:val="Strong"/>
          <w:b w:val="0"/>
          <w:color w:val="000000"/>
        </w:rPr>
        <w:t>1850-0755 v.</w:t>
      </w:r>
      <w:r>
        <w:rPr>
          <w:rStyle w:val="Strong"/>
          <w:b w:val="0"/>
          <w:color w:val="000000"/>
        </w:rPr>
        <w:t>7</w:t>
      </w:r>
      <w:r w:rsidRPr="005B3F8B">
        <w:rPr>
          <w:rStyle w:val="Strong"/>
          <w:b w:val="0"/>
          <w:color w:val="000000"/>
        </w:rPr>
        <w:t>)</w:t>
      </w:r>
    </w:p>
    <w:p w:rsidR="00D50DB1" w:rsidRDefault="00D50DB1" w:rsidP="008E3FE2">
      <w:pPr>
        <w:pBdr>
          <w:bottom w:val="single" w:sz="4" w:space="1" w:color="auto"/>
        </w:pBdr>
      </w:pPr>
    </w:p>
    <w:p w:rsidR="00D50DB1" w:rsidRDefault="00D50DB1" w:rsidP="002702CB">
      <w:pPr>
        <w:adjustRightInd w:val="0"/>
        <w:rPr>
          <w:bCs/>
        </w:rPr>
      </w:pPr>
    </w:p>
    <w:p w:rsidR="00D50DB1" w:rsidRDefault="00D50DB1" w:rsidP="002702CB">
      <w:pPr>
        <w:adjustRightInd w:val="0"/>
      </w:pPr>
      <w:r>
        <w:t>This memorandum describes issues encountered with securing school participation in the PISA 2009 assessment and requests changes to the approved PISA 2009 incentive plan (</w:t>
      </w:r>
      <w:r w:rsidRPr="005B3F8B">
        <w:rPr>
          <w:rStyle w:val="Strong"/>
          <w:b w:val="0"/>
          <w:color w:val="000000"/>
        </w:rPr>
        <w:t>1850-0755 v.</w:t>
      </w:r>
      <w:r>
        <w:rPr>
          <w:rStyle w:val="Strong"/>
          <w:b w:val="0"/>
          <w:color w:val="000000"/>
        </w:rPr>
        <w:t>7</w:t>
      </w:r>
      <w:r w:rsidRPr="005B3F8B">
        <w:rPr>
          <w:rStyle w:val="Strong"/>
          <w:b w:val="0"/>
          <w:color w:val="000000"/>
        </w:rPr>
        <w:t>)</w:t>
      </w:r>
      <w:r>
        <w:rPr>
          <w:rStyle w:val="Strong"/>
          <w:b w:val="0"/>
          <w:color w:val="000000"/>
        </w:rPr>
        <w:t xml:space="preserve"> </w:t>
      </w:r>
      <w:r>
        <w:t xml:space="preserve">to encourage higher response rates so that the </w:t>
      </w:r>
      <w:smartTag w:uri="urn:schemas-microsoft-com:office:smarttags" w:element="country-region">
        <w:r>
          <w:t>United States</w:t>
        </w:r>
      </w:smartTag>
      <w:r>
        <w:t xml:space="preserve"> can meet international sampling requirements and be included in the reported </w:t>
      </w:r>
      <w:smartTag w:uri="urn:schemas-microsoft-com:office:smarttags" w:element="place">
        <w:smartTag w:uri="urn:schemas-microsoft-com:office:smarttags" w:element="City">
          <w:r>
            <w:t>PISA</w:t>
          </w:r>
        </w:smartTag>
      </w:smartTag>
      <w:r>
        <w:t xml:space="preserve"> results, and to improve comparability of incentives and stipends across schools. The proposed changes are consistent with the final incentive plan used for PISA 2006. NCES is requesting two changes: (1) increase the incentive for refusing schools unable to attend the recent PISA summer conference for participating schools to the average amount spent on schools that attended the conference ($1500); and (2) increase the stipends for school coordinators (to $300) and students (to $75) in schools conducting the assessment out of school hours to better reflect the opportunity cost of their participation. </w:t>
      </w:r>
    </w:p>
    <w:p w:rsidR="00D50DB1" w:rsidRPr="007F62C8" w:rsidRDefault="00D50DB1" w:rsidP="008615E4">
      <w:pPr>
        <w:pStyle w:val="NormalWeb"/>
        <w:rPr>
          <w:b/>
        </w:rPr>
      </w:pPr>
      <w:r w:rsidRPr="007F62C8">
        <w:rPr>
          <w:b/>
        </w:rPr>
        <w:t>Background</w:t>
      </w:r>
    </w:p>
    <w:p w:rsidR="00D50DB1" w:rsidRDefault="00D50DB1" w:rsidP="00061CF1">
      <w:pPr>
        <w:pStyle w:val="Bodytext"/>
      </w:pPr>
      <w:r>
        <w:t xml:space="preserve">The minimum allowable response rates for schools and students in </w:t>
      </w:r>
      <w:smartTag w:uri="urn:schemas-microsoft-com:office:smarttags" w:element="City">
        <w:smartTag w:uri="urn:schemas-microsoft-com:office:smarttags" w:element="place">
          <w:r>
            <w:t>PISA</w:t>
          </w:r>
        </w:smartTag>
      </w:smartTag>
      <w:r>
        <w:t xml:space="preserve"> are as follows: </w:t>
      </w:r>
    </w:p>
    <w:p w:rsidR="00D50DB1" w:rsidRPr="00C46058" w:rsidRDefault="00D50DB1" w:rsidP="00C46058">
      <w:pPr>
        <w:pStyle w:val="Bodytext"/>
        <w:numPr>
          <w:ilvl w:val="0"/>
          <w:numId w:val="6"/>
        </w:numPr>
      </w:pPr>
      <w:r>
        <w:t xml:space="preserve">65 percent of originally sampled schools (if replacement schools are also used to supplement the sample; if replacement schools are not used, the minimum response rate is 85 percent of originally sampled schools—the United States includes replacement schools and so our minimum allowable rate is 65 percent of originally sampled schools). </w:t>
      </w:r>
    </w:p>
    <w:p w:rsidR="00D50DB1" w:rsidRPr="00C46058" w:rsidRDefault="00D50DB1" w:rsidP="00C46058">
      <w:pPr>
        <w:pStyle w:val="Bodytext"/>
        <w:numPr>
          <w:ilvl w:val="0"/>
          <w:numId w:val="6"/>
        </w:numPr>
      </w:pPr>
      <w:r w:rsidRPr="00C46058">
        <w:t>80% student response rate</w:t>
      </w:r>
      <w:r>
        <w:t xml:space="preserve"> (additionally, with respect to student response rates, schools with student response rates below 50% are not regarded as participating schools)</w:t>
      </w:r>
      <w:r w:rsidRPr="00C46058">
        <w:t xml:space="preserve">.  </w:t>
      </w:r>
    </w:p>
    <w:p w:rsidR="00D50DB1" w:rsidRDefault="00D50DB1" w:rsidP="00061CF1">
      <w:pPr>
        <w:pStyle w:val="Bodytext"/>
      </w:pPr>
      <w:r>
        <w:t xml:space="preserve">The data of countries that do not attain the minimum response rates are not included in international </w:t>
      </w:r>
      <w:smartTag w:uri="urn:schemas-microsoft-com:office:smarttags" w:element="City">
        <w:r>
          <w:t>PISA</w:t>
        </w:r>
      </w:smartTag>
      <w:r>
        <w:t xml:space="preserve"> results or in the international </w:t>
      </w:r>
      <w:smartTag w:uri="urn:schemas-microsoft-com:office:smarttags" w:element="City">
        <w:smartTag w:uri="urn:schemas-microsoft-com:office:smarttags" w:element="place">
          <w:r>
            <w:t>PISA</w:t>
          </w:r>
        </w:smartTag>
      </w:smartTag>
      <w:r>
        <w:t xml:space="preserve"> database. In each of the past </w:t>
      </w:r>
      <w:smartTag w:uri="urn:schemas-microsoft-com:office:smarttags" w:element="City">
        <w:r>
          <w:t>PISA</w:t>
        </w:r>
      </w:smartTag>
      <w:r>
        <w:t xml:space="preserve"> administrations, the </w:t>
      </w:r>
      <w:smartTag w:uri="urn:schemas-microsoft-com:office:smarttags" w:element="country-region">
        <w:smartTag w:uri="urn:schemas-microsoft-com:office:smarttags" w:element="place">
          <w:r>
            <w:t>United States</w:t>
          </w:r>
        </w:smartTag>
      </w:smartTag>
      <w:r>
        <w:t xml:space="preserve"> has barely achieved the minimum school response rate.</w:t>
      </w:r>
      <w:r>
        <w:rPr>
          <w:rStyle w:val="FootnoteReference"/>
        </w:rPr>
        <w:footnoteReference w:id="1"/>
      </w:r>
      <w:r>
        <w:t xml:space="preserve"> Other countries have not been so fortunate, including the </w:t>
      </w:r>
      <w:smartTag w:uri="urn:schemas-microsoft-com:office:smarttags" w:element="country-region">
        <w:r>
          <w:t>United Kingdom</w:t>
        </w:r>
      </w:smartTag>
      <w:r>
        <w:t xml:space="preserve"> in 2003 and the </w:t>
      </w:r>
      <w:smartTag w:uri="urn:schemas-microsoft-com:office:smarttags" w:element="country-region">
        <w:smartTag w:uri="urn:schemas-microsoft-com:office:smarttags" w:element="place">
          <w:r>
            <w:t>Netherlands</w:t>
          </w:r>
        </w:smartTag>
      </w:smartTag>
      <w:r>
        <w:t xml:space="preserve"> in 2000, which failed to reach minimum school response rates and were not included in the </w:t>
      </w:r>
      <w:r>
        <w:lastRenderedPageBreak/>
        <w:t xml:space="preserve">international reports or databases. The </w:t>
      </w:r>
      <w:smartTag w:uri="urn:schemas-microsoft-com:office:smarttags" w:element="country-region">
        <w:smartTag w:uri="urn:schemas-microsoft-com:office:smarttags" w:element="place">
          <w:r>
            <w:t>United States</w:t>
          </w:r>
        </w:smartTag>
      </w:smartTag>
      <w:r>
        <w:t xml:space="preserve"> will spend approximately $10 million</w:t>
      </w:r>
      <w:r w:rsidR="00B1139A">
        <w:rPr>
          <w:rStyle w:val="FootnoteReference"/>
        </w:rPr>
        <w:footnoteReference w:id="2"/>
      </w:r>
      <w:r>
        <w:t xml:space="preserve"> on PISA 2009, and so the potential loss if we fail to attain the minimum response rates is large. </w:t>
      </w:r>
    </w:p>
    <w:p w:rsidR="00D50DB1" w:rsidRDefault="00D50DB1" w:rsidP="00160FA4">
      <w:pPr>
        <w:pStyle w:val="Bodytext"/>
      </w:pPr>
      <w:r w:rsidRPr="00160FA4">
        <w:t xml:space="preserve">Historically, meeting the minimum </w:t>
      </w:r>
      <w:r>
        <w:t xml:space="preserve">original </w:t>
      </w:r>
      <w:r w:rsidRPr="00160FA4">
        <w:t xml:space="preserve">school response rate has been difficult for the </w:t>
      </w:r>
      <w:smartTag w:uri="urn:schemas-microsoft-com:office:smarttags" w:element="place">
        <w:smartTag w:uri="urn:schemas-microsoft-com:office:smarttags" w:element="country-region">
          <w:r w:rsidRPr="00160FA4">
            <w:t>United States</w:t>
          </w:r>
        </w:smartTag>
      </w:smartTag>
      <w:r w:rsidRPr="00160FA4">
        <w:t xml:space="preserve">.  </w:t>
      </w:r>
      <w:r>
        <w:t xml:space="preserve">In 2000 and 2003, the </w:t>
      </w:r>
      <w:smartTag w:uri="urn:schemas-microsoft-com:office:smarttags" w:element="place">
        <w:smartTag w:uri="urn:schemas-microsoft-com:office:smarttags" w:element="country-region">
          <w:r>
            <w:t>United States</w:t>
          </w:r>
        </w:smartTag>
      </w:smartTag>
      <w:r>
        <w:t xml:space="preserve"> barely met the international requirements for school response rates. As a result, in 2006, we introduced extra measures not implemented in PISA 2000 or 2003 that were intended to increase school response rates: </w:t>
      </w:r>
      <w:r w:rsidRPr="00160FA4">
        <w:t xml:space="preserve">holding a conference </w:t>
      </w:r>
      <w:r>
        <w:t xml:space="preserve">in Washington, DC </w:t>
      </w:r>
      <w:r w:rsidRPr="00160FA4">
        <w:t>for participating schools</w:t>
      </w:r>
      <w:r>
        <w:t xml:space="preserve"> in the summer before PISA’s administration to provide them the opportunity to learn more about how PISA data are used to inform education policy and how the PISA assessment is administered in schools, and</w:t>
      </w:r>
      <w:r w:rsidRPr="00160FA4">
        <w:t xml:space="preserve"> offering the option of administ</w:t>
      </w:r>
      <w:r>
        <w:t>ering</w:t>
      </w:r>
      <w:r w:rsidRPr="00160FA4">
        <w:t xml:space="preserve"> </w:t>
      </w:r>
      <w:r>
        <w:t xml:space="preserve">the PISA </w:t>
      </w:r>
      <w:r w:rsidRPr="00160FA4">
        <w:t xml:space="preserve">assessment </w:t>
      </w:r>
      <w:r>
        <w:t xml:space="preserve">outside of school hours. Although we believe these measures were very useful in securing school participation, when it became clear that the </w:t>
      </w:r>
      <w:smartTag w:uri="urn:schemas-microsoft-com:office:smarttags" w:element="place">
        <w:smartTag w:uri="urn:schemas-microsoft-com:office:smarttags" w:element="country-region">
          <w:r>
            <w:t>United States</w:t>
          </w:r>
        </w:smartTag>
      </w:smartTag>
      <w:r>
        <w:t xml:space="preserve"> was in danger of not reaching the minimum school response rate even with these inducements, the incentive plan was modified. It was modified in two ways: (1) to allow NCES to offer refusing schools that did not attend the summer conference an additional incentive equal to the average amount spent on schools that participated in the conference and (2) to allow NCES to offer larger stipends to school coordinators and students in schools participating outside of school hours to reflect the higher opportunity costs associated with outside school hours administration and facilitate high student participation. These measures were intended to increase response rates and to enhance fairness in the incentive plan. </w:t>
      </w:r>
    </w:p>
    <w:p w:rsidR="00D50DB1" w:rsidRDefault="00D50DB1" w:rsidP="004171B0">
      <w:pPr>
        <w:pStyle w:val="Bodytext"/>
      </w:pPr>
      <w:r>
        <w:t xml:space="preserve">In 2009, we used a similar incentive plan as the original plan used in 2006. The modifications to the 2006 incentive plan were not included in the original 2009 incentive plan in the hopes that the school response rate at the time of the summer conference would be sufficiently high that additional recruitment of original schools would not be required after the summer conference and that a high percentage of original schools would opt for administration within school hours (the overall burden to the school is thought to be lower for administration within school hours than outside school hours and it can be difficult to secure sufficiently high student participation outside school hours). Indeed, recruitment began a full year before data collection and included extraordinary measures such as the direct involvement of state officials in district and school recruitment. </w:t>
      </w:r>
    </w:p>
    <w:p w:rsidR="00D50DB1" w:rsidRDefault="00D50DB1" w:rsidP="002F7E64">
      <w:pPr>
        <w:pStyle w:val="Bodytext"/>
      </w:pPr>
      <w:r>
        <w:t xml:space="preserve">However, NCES has just held the summer conference and school response rates are low and in danger of falling below the minimum allowable rate.  To date, 66 percent (137 of 209) of the original sample schools have agreed to participate, which means that the </w:t>
      </w:r>
      <w:smartTag w:uri="urn:schemas-microsoft-com:office:smarttags" w:element="country-region">
        <w:smartTag w:uri="urn:schemas-microsoft-com:office:smarttags" w:element="place">
          <w:r>
            <w:t>United States</w:t>
          </w:r>
        </w:smartTag>
      </w:smartTag>
      <w:r>
        <w:t xml:space="preserve"> is just barely meeting the required international minimum response rate for original schools. In the past month, 10 schools that had previously agreed to participate have notified the U.S. </w:t>
      </w:r>
      <w:smartTag w:uri="urn:schemas-microsoft-com:office:smarttags" w:element="City">
        <w:r>
          <w:t>PISA</w:t>
        </w:r>
      </w:smartTag>
      <w:r>
        <w:t xml:space="preserve"> contractor that they will now </w:t>
      </w:r>
      <w:r w:rsidRPr="00160FA4">
        <w:rPr>
          <w:i/>
        </w:rPr>
        <w:t>not</w:t>
      </w:r>
      <w:r>
        <w:t xml:space="preserve"> be able to participate. NCES is concerned that more schools will back out in the coming months.  Losing even 2 additional schools will bring the </w:t>
      </w:r>
      <w:smartTag w:uri="urn:schemas-microsoft-com:office:smarttags" w:element="City">
        <w:r>
          <w:t>U.S.</w:t>
        </w:r>
      </w:smartTag>
      <w:r>
        <w:t xml:space="preserve"> school response rate below the required international standard.</w:t>
      </w:r>
    </w:p>
    <w:p w:rsidR="00D50DB1" w:rsidRDefault="00D50DB1" w:rsidP="00CD2DA2">
      <w:pPr>
        <w:pStyle w:val="BodyText0"/>
      </w:pPr>
      <w:r>
        <w:t xml:space="preserve">As in the past years, schools are reluctant to participate because </w:t>
      </w:r>
      <w:smartTag w:uri="urn:schemas-microsoft-com:office:smarttags" w:element="City">
        <w:r>
          <w:t>PISA</w:t>
        </w:r>
      </w:smartTag>
      <w:r>
        <w:t xml:space="preserve"> is </w:t>
      </w:r>
      <w:r w:rsidRPr="001D46C5">
        <w:t xml:space="preserve">not mandatory, </w:t>
      </w:r>
      <w:r>
        <w:t>schools do not want to lose instructional time, already feel overburdened by assessments</w:t>
      </w:r>
      <w:r w:rsidRPr="001D46C5">
        <w:t xml:space="preserve">, </w:t>
      </w:r>
      <w:r>
        <w:t xml:space="preserve">and </w:t>
      </w:r>
      <w:r w:rsidRPr="001D46C5">
        <w:t xml:space="preserve">see </w:t>
      </w:r>
      <w:r w:rsidRPr="001D46C5">
        <w:lastRenderedPageBreak/>
        <w:t xml:space="preserve">relatively little immediate benefit for themselves. </w:t>
      </w:r>
      <w:r>
        <w:t xml:space="preserve">This year, </w:t>
      </w:r>
      <w:r w:rsidRPr="001D46C5">
        <w:t>difficulties</w:t>
      </w:r>
      <w:r>
        <w:t xml:space="preserve"> in gaining school participation</w:t>
      </w:r>
      <w:r w:rsidRPr="001D46C5">
        <w:t xml:space="preserve"> have been especially acute</w:t>
      </w:r>
      <w:r>
        <w:t xml:space="preserve">. We have heard from field staff and from participants at the summer conference that </w:t>
      </w:r>
      <w:r w:rsidRPr="001D46C5">
        <w:t>the economic downturn</w:t>
      </w:r>
      <w:r>
        <w:t xml:space="preserve"> is creating heightened concern with the burden and the uncertainty of having staff in place to coordinate the assessment. </w:t>
      </w:r>
    </w:p>
    <w:p w:rsidR="00D50DB1" w:rsidRDefault="00D50DB1" w:rsidP="007F62C8">
      <w:pPr>
        <w:pStyle w:val="Bodytext"/>
      </w:pPr>
      <w:r>
        <w:t xml:space="preserve">As described in the PISA 2009 OMB clearance package, NCES and its contractors have already taken a number of steps to encourage school participation in PISA 2009, including the following. </w:t>
      </w:r>
    </w:p>
    <w:p w:rsidR="00D50DB1" w:rsidRDefault="00D50DB1" w:rsidP="00A52C82">
      <w:pPr>
        <w:pStyle w:val="NormalWeb"/>
        <w:numPr>
          <w:ilvl w:val="0"/>
          <w:numId w:val="4"/>
        </w:numPr>
      </w:pPr>
      <w:r>
        <w:t>Burden on schools in terms of the information and actions requested prior to the assessment are kept to a minimum.</w:t>
      </w:r>
    </w:p>
    <w:p w:rsidR="00D50DB1" w:rsidRDefault="00D50DB1" w:rsidP="00A52C82">
      <w:pPr>
        <w:pStyle w:val="NormalWeb"/>
        <w:numPr>
          <w:ilvl w:val="0"/>
          <w:numId w:val="4"/>
        </w:numPr>
      </w:pPr>
      <w:r>
        <w:t xml:space="preserve">The assessment is being administered in the fall, rather than the spring. </w:t>
      </w:r>
    </w:p>
    <w:p w:rsidR="00D50DB1" w:rsidRDefault="00D50DB1" w:rsidP="00160FA4">
      <w:pPr>
        <w:pStyle w:val="NormalWeb"/>
        <w:numPr>
          <w:ilvl w:val="0"/>
          <w:numId w:val="4"/>
        </w:numPr>
      </w:pPr>
      <w:r>
        <w:t xml:space="preserve">After school or Saturday administration of </w:t>
      </w:r>
      <w:smartTag w:uri="urn:schemas-microsoft-com:office:smarttags" w:element="City">
        <w:r>
          <w:t>PISA</w:t>
        </w:r>
      </w:smartTag>
      <w:r>
        <w:t xml:space="preserve"> is allowed to provide greater flexibility to schools.</w:t>
      </w:r>
    </w:p>
    <w:p w:rsidR="00D50DB1" w:rsidRDefault="00D50DB1" w:rsidP="00160FA4">
      <w:pPr>
        <w:pStyle w:val="NormalWeb"/>
        <w:numPr>
          <w:ilvl w:val="0"/>
          <w:numId w:val="4"/>
        </w:numPr>
      </w:pPr>
      <w:r>
        <w:t xml:space="preserve">Schools receive $200 as compensation for participating. </w:t>
      </w:r>
    </w:p>
    <w:p w:rsidR="00D50DB1" w:rsidRDefault="00D50DB1" w:rsidP="00A52C82">
      <w:pPr>
        <w:pStyle w:val="NormalWeb"/>
        <w:numPr>
          <w:ilvl w:val="0"/>
          <w:numId w:val="4"/>
        </w:numPr>
      </w:pPr>
      <w:r>
        <w:t>The PISA school coordinators are provided a $100 reimbursement for carrying out administrative tasks in preparation for the test administration that will be carried out by the PISA contractor (coordinate logistics with the data collection contractor; supply a list of eligible students for sampling to the data collection contractor; communicate with teachers, students, and parents about the study to encourage participation; assist the test administrator in ensuring the sampled students attend the testing session; and assist the test administrator in arranging for make-up sessions as needed).</w:t>
      </w:r>
    </w:p>
    <w:p w:rsidR="00D50DB1" w:rsidRDefault="00D50DB1" w:rsidP="00A52C82">
      <w:pPr>
        <w:pStyle w:val="NormalWeb"/>
        <w:numPr>
          <w:ilvl w:val="0"/>
          <w:numId w:val="4"/>
        </w:numPr>
      </w:pPr>
      <w:r>
        <w:t xml:space="preserve">Each student is offered $20 if they complete </w:t>
      </w:r>
      <w:smartTag w:uri="urn:schemas-microsoft-com:office:smarttags" w:element="City">
        <w:r>
          <w:t>PISA</w:t>
        </w:r>
      </w:smartTag>
      <w:r>
        <w:t xml:space="preserve"> assessment during school hours and $35 if they complete it during after school hours or on Saturday.</w:t>
      </w:r>
    </w:p>
    <w:p w:rsidR="00D50DB1" w:rsidRPr="00924A74" w:rsidRDefault="00D50DB1" w:rsidP="0029300B">
      <w:pPr>
        <w:numPr>
          <w:ilvl w:val="0"/>
          <w:numId w:val="4"/>
        </w:numPr>
        <w:autoSpaceDE w:val="0"/>
        <w:autoSpaceDN w:val="0"/>
        <w:adjustRightInd w:val="0"/>
      </w:pPr>
      <w:r w:rsidRPr="00924A74">
        <w:t xml:space="preserve">NCES hosted a conference—PISA Comes to Your School—in </w:t>
      </w:r>
      <w:smartTag w:uri="urn:schemas-microsoft-com:office:smarttags" w:element="City">
        <w:smartTag w:uri="urn:schemas-microsoft-com:office:smarttags" w:element="City">
          <w:r w:rsidRPr="00924A74">
            <w:t>Washington</w:t>
          </w:r>
        </w:smartTag>
        <w:r w:rsidRPr="00924A74">
          <w:t xml:space="preserve">, </w:t>
        </w:r>
        <w:smartTag w:uri="urn:schemas-microsoft-com:office:smarttags" w:element="City">
          <w:r w:rsidRPr="00924A74">
            <w:t>DC</w:t>
          </w:r>
        </w:smartTag>
      </w:smartTag>
      <w:r w:rsidRPr="00924A74">
        <w:t xml:space="preserve">, June 25-26, 2009, for participating schools. The purpose of the conference was to inform school representatives about </w:t>
      </w:r>
      <w:smartTag w:uri="urn:schemas-microsoft-com:office:smarttags" w:element="City">
        <w:r w:rsidRPr="00924A74">
          <w:t>PISA</w:t>
        </w:r>
      </w:smartTag>
      <w:r w:rsidRPr="00924A74">
        <w:t xml:space="preserve">, to explain how </w:t>
      </w:r>
      <w:smartTag w:uri="urn:schemas-microsoft-com:office:smarttags" w:element="City">
        <w:r w:rsidRPr="00924A74">
          <w:t>PISA</w:t>
        </w:r>
      </w:smartTag>
      <w:r w:rsidRPr="00924A74">
        <w:t xml:space="preserve"> results are used, and to motivate schools’ participation in the fall 2009 data collection. The PISA 2006 summer conference was a big success in terms of keeping the schools' promises of their participation in the fall. We believe that PISA 2009 summer conference will serve the same purpose. Representative from 87 schools attended the conference.</w:t>
      </w:r>
    </w:p>
    <w:p w:rsidR="00D50DB1" w:rsidRPr="00924A74" w:rsidRDefault="00D50DB1" w:rsidP="0029300B">
      <w:pPr>
        <w:numPr>
          <w:ilvl w:val="0"/>
          <w:numId w:val="4"/>
        </w:numPr>
        <w:autoSpaceDE w:val="0"/>
        <w:autoSpaceDN w:val="0"/>
        <w:adjustRightInd w:val="0"/>
      </w:pPr>
      <w:r w:rsidRPr="00924A74">
        <w:t xml:space="preserve">At NCES’s request, Arne Duncan, the U.S. Secretary of Education, sent a letter in June 2009 to superintendents of districts that oversee schools in the original PISA 2009 sample to encourage their participation. This extraordinary measure was taken because the </w:t>
      </w:r>
      <w:smartTag w:uri="urn:schemas-microsoft-com:office:smarttags" w:element="City">
        <w:r w:rsidRPr="00924A74">
          <w:t>United States</w:t>
        </w:r>
      </w:smartTag>
      <w:r w:rsidRPr="00924A74">
        <w:t xml:space="preserve"> is in jeopardy of not meeting the international standards. Secretary Duncan also addressed the school representatives at the PISA Comes to Your School conference, another effort to encourage schools to stay engaged in PISA assessment.</w:t>
      </w:r>
    </w:p>
    <w:p w:rsidR="00D50DB1" w:rsidRPr="008E3FE2" w:rsidRDefault="00D50DB1" w:rsidP="008E3FE2">
      <w:pPr>
        <w:pStyle w:val="Bodytext"/>
      </w:pPr>
      <w:r>
        <w:t xml:space="preserve">Unfortunately, these measures designed to encourage school participation in PISA are proving insufficient in 2009, and the United States is only two schools away from falling below the minimum original school response rate.  During the 2009 summer conference, </w:t>
      </w:r>
      <w:r w:rsidR="004F153F">
        <w:t>one school representative in the public question and answer session stated that schools consider monetary incentives when fac</w:t>
      </w:r>
      <w:r w:rsidR="00B06F74">
        <w:t>ed with budgeting uncertainty. T</w:t>
      </w:r>
      <w:r w:rsidR="004F153F">
        <w:t>his statement was echoed in informal discussions with other school representatives</w:t>
      </w:r>
      <w:r w:rsidR="00B06F74">
        <w:t xml:space="preserve"> </w:t>
      </w:r>
      <w:r w:rsidR="00684D5D">
        <w:t xml:space="preserve">during the conference </w:t>
      </w:r>
      <w:r w:rsidR="00B06F74">
        <w:t>and</w:t>
      </w:r>
      <w:r w:rsidR="00B06F74" w:rsidRPr="00B06F74">
        <w:t xml:space="preserve"> </w:t>
      </w:r>
      <w:r w:rsidR="00B06F74">
        <w:t>during recruitment when field staff talked with school representatives about participating</w:t>
      </w:r>
      <w:r w:rsidR="004F153F">
        <w:t>.</w:t>
      </w:r>
      <w:r w:rsidR="00E7059A">
        <w:t xml:space="preserve"> </w:t>
      </w:r>
      <w:r>
        <w:t xml:space="preserve"> Revising the incentive plan provides the best chance for increasing the participation rate of the original schools from the PISA sample, in particular among schools considered to be final refusals.  Not taking strong </w:t>
      </w:r>
      <w:r>
        <w:lastRenderedPageBreak/>
        <w:t>steps to increase the participation of these schools will very likely result in the United States being excluded from the international reporting, which would result in a loss of $10 million invested by the United States in PISA 2009, a loss in the time invested by participating schools and students, as well as the loss of the comparative data the United States is seeking through the project.</w:t>
      </w:r>
    </w:p>
    <w:p w:rsidR="00D50DB1" w:rsidRPr="008E3FE2" w:rsidRDefault="00D50DB1" w:rsidP="008F38EA">
      <w:pPr>
        <w:ind w:right="1440"/>
        <w:rPr>
          <w:b/>
        </w:rPr>
      </w:pPr>
      <w:r w:rsidRPr="007F62C8">
        <w:rPr>
          <w:b/>
        </w:rPr>
        <w:t>Changes to Incentive Plan</w:t>
      </w:r>
    </w:p>
    <w:p w:rsidR="00D50DB1" w:rsidRDefault="00D50DB1" w:rsidP="007F62C8">
      <w:pPr>
        <w:pStyle w:val="Bodytext"/>
      </w:pPr>
      <w:r>
        <w:t xml:space="preserve">The specific changes proposed by NCES are listed below. The goal in proposing these changes is to be flexible with regards to the needs of the refusing schools in order to encourage them to reconsider participating in PISA 2009 and to enhance comparability in incentives. </w:t>
      </w:r>
      <w:r w:rsidR="00684D5D">
        <w:t xml:space="preserve">The proposed changes would enhance comparability in incentives by offering late accepting schools the cash equivalent of the summer conference which was offered to schools that accepted in time for the conference, and by offering school coordinators and students that participate outside school </w:t>
      </w:r>
      <w:proofErr w:type="gramStart"/>
      <w:r w:rsidR="00684D5D">
        <w:t>hours</w:t>
      </w:r>
      <w:proofErr w:type="gramEnd"/>
      <w:r w:rsidR="00684D5D">
        <w:t xml:space="preserve"> stipends that reflect th</w:t>
      </w:r>
      <w:r w:rsidR="00167448">
        <w:t>e</w:t>
      </w:r>
      <w:r w:rsidR="00684D5D">
        <w:t xml:space="preserve"> added opportunity cost of participating outside the school day. </w:t>
      </w:r>
    </w:p>
    <w:p w:rsidR="00D50DB1" w:rsidRDefault="00D50DB1" w:rsidP="004171B0">
      <w:pPr>
        <w:pStyle w:val="Bodytext"/>
        <w:numPr>
          <w:ilvl w:val="0"/>
          <w:numId w:val="5"/>
        </w:numPr>
      </w:pPr>
      <w:r w:rsidRPr="008E3FE2">
        <w:rPr>
          <w:i/>
        </w:rPr>
        <w:t>Offer refusing original sample schools up to $1,500</w:t>
      </w:r>
      <w:r>
        <w:t xml:space="preserve">.  This amount is equivalent to the amount that refusing schools would have received if they had participated in the June 2009 PISA Comes to Your School conference, held for the precise purpose of encouraging schools’ participation in the study.  In 2006, we also offered refusing schools $1,500 (the amount spent on each school that attended the conference) and were able to get 11 additional original schools to agree to participate, bringing our original schools response rate (and, in turn, final school response rate) above the minimum required. Schools could choose to use these funds in the manner they consider appropriate for supporting their school program and/or the implementation of PISA. </w:t>
      </w:r>
      <w:r>
        <w:br/>
      </w:r>
    </w:p>
    <w:p w:rsidR="00D50DB1" w:rsidRDefault="00D50DB1" w:rsidP="004171B0">
      <w:pPr>
        <w:pStyle w:val="Bodytext"/>
        <w:numPr>
          <w:ilvl w:val="0"/>
          <w:numId w:val="5"/>
        </w:numPr>
      </w:pPr>
      <w:r w:rsidRPr="008E3FE2">
        <w:rPr>
          <w:i/>
        </w:rPr>
        <w:t>Increase school coordinator and student incentives.</w:t>
      </w:r>
      <w:r>
        <w:t xml:space="preserve"> As the PISA data collection proceeds, there may also be a great difficulty in obtaining high enough student response rates in individual schools (and, in turn, a sufficient school response rate given that the student response rate must be 50 percent or higher for a school to be considered a participating school).  This was the case in 2006 when the incentives for PISA school coordinators and students had to be revised in the midst of data collection. In 2006, in the final days of the administration period, the incentive for school coordinators in schools conducting Saturday assessments was increased to $300 to compensate for additional time spent getting students to attend the testing session, and the incentive for students was increased to $75 to encourage their participation. NCES proposes to offer similar incentives should the student response rate jeopardize our school response rate, as we approach the end of data collection. Requesting a change to incentives in the middle of data collection creates an emergency that is risky with regards to the final outcomes.  It would be more prudent to have approval to increase the</w:t>
      </w:r>
      <w:r w:rsidRPr="00500D58">
        <w:t xml:space="preserve"> </w:t>
      </w:r>
      <w:r>
        <w:t xml:space="preserve">PISA school coordinators and students incentives in the event that the appropriate student response rate is not being achieved.  </w:t>
      </w:r>
    </w:p>
    <w:p w:rsidR="00D50DB1" w:rsidRDefault="00D50DB1" w:rsidP="00AF062B">
      <w:pPr>
        <w:pStyle w:val="Bodytext"/>
      </w:pPr>
      <w:r>
        <w:t xml:space="preserve">In sum, NCES is extremely concerned that the United States will not meet the international standards for response rates. If these are not met, PISA results for the United States will be considered invalid and will not be published. For this reason, as well as interest in improving </w:t>
      </w:r>
      <w:r>
        <w:lastRenderedPageBreak/>
        <w:t>fairness in the incentive plan</w:t>
      </w:r>
      <w:r w:rsidR="002C511D">
        <w:t xml:space="preserve"> by providing all </w:t>
      </w:r>
      <w:r w:rsidR="00AA7E54">
        <w:t xml:space="preserve">participating </w:t>
      </w:r>
      <w:r w:rsidR="002C511D">
        <w:t xml:space="preserve">schools the same compensation (under the existing plan, currently refusing schools that </w:t>
      </w:r>
      <w:r w:rsidR="00AA7E54">
        <w:t xml:space="preserve">ultimately </w:t>
      </w:r>
      <w:r w:rsidR="002C511D">
        <w:t xml:space="preserve">agree to participate will not </w:t>
      </w:r>
      <w:r w:rsidR="00B1139A">
        <w:t xml:space="preserve">have </w:t>
      </w:r>
      <w:r w:rsidR="00AA7E54">
        <w:t>participate</w:t>
      </w:r>
      <w:r w:rsidR="00B1139A">
        <w:t>d</w:t>
      </w:r>
      <w:r w:rsidR="00AA7E54">
        <w:t xml:space="preserve"> in the conference)</w:t>
      </w:r>
      <w:r>
        <w:t xml:space="preserve">, NCES is proposing to revise the approved incentive plan to encourage greater school and student participation, as outlined above. </w:t>
      </w:r>
    </w:p>
    <w:p w:rsidR="00AA7E54" w:rsidRDefault="00AA7E54" w:rsidP="00AF062B">
      <w:pPr>
        <w:pStyle w:val="Bodytext"/>
        <w:sectPr w:rsidR="00AA7E54" w:rsidSect="00C57F87">
          <w:headerReference w:type="default" r:id="rId8"/>
          <w:footerReference w:type="first" r:id="rId9"/>
          <w:pgSz w:w="12240" w:h="15840" w:code="1"/>
          <w:pgMar w:top="1440" w:right="1440" w:bottom="1440" w:left="1440" w:header="720" w:footer="720" w:gutter="0"/>
          <w:cols w:space="720"/>
          <w:titlePg/>
          <w:docGrid w:linePitch="360"/>
        </w:sectPr>
      </w:pPr>
      <w:r>
        <w:t xml:space="preserve">At the conclusion of the data collection period NCES will prepare a report to OMB that </w:t>
      </w:r>
      <w:r w:rsidR="00B1139A">
        <w:t>explicates</w:t>
      </w:r>
      <w:r>
        <w:t xml:space="preserve"> </w:t>
      </w:r>
      <w:r w:rsidR="006B18C1">
        <w:t>which incentives were offered to schools, school coordinators and students</w:t>
      </w:r>
      <w:r w:rsidR="00B1139A">
        <w:t xml:space="preserve"> (including how many entities received which incentives) </w:t>
      </w:r>
      <w:r w:rsidR="006B18C1">
        <w:t xml:space="preserve">and the outcomes in terms of participation in PISA. </w:t>
      </w:r>
    </w:p>
    <w:p w:rsidR="00D50DB1" w:rsidRDefault="00D50DB1" w:rsidP="004171B0">
      <w:pPr>
        <w:rPr>
          <w:rFonts w:ascii="Arial" w:hAnsi="Arial" w:cs="Arial"/>
          <w:b/>
          <w:bCs/>
          <w:sz w:val="20"/>
          <w:szCs w:val="20"/>
        </w:rPr>
      </w:pPr>
      <w:r>
        <w:rPr>
          <w:rFonts w:ascii="Arial" w:hAnsi="Arial" w:cs="Arial"/>
          <w:b/>
          <w:bCs/>
          <w:sz w:val="20"/>
          <w:szCs w:val="20"/>
        </w:rPr>
        <w:lastRenderedPageBreak/>
        <w:t>Table A2.3 - Response rates</w:t>
      </w:r>
    </w:p>
    <w:tbl>
      <w:tblPr>
        <w:tblW w:w="5000" w:type="pct"/>
        <w:tblLook w:val="00A0"/>
      </w:tblPr>
      <w:tblGrid>
        <w:gridCol w:w="1791"/>
        <w:gridCol w:w="2098"/>
        <w:gridCol w:w="1603"/>
        <w:gridCol w:w="1678"/>
        <w:gridCol w:w="1779"/>
        <w:gridCol w:w="1779"/>
      </w:tblGrid>
      <w:tr w:rsidR="00D50DB1" w:rsidTr="00DB1FED">
        <w:trPr>
          <w:trHeight w:val="300"/>
        </w:trPr>
        <w:tc>
          <w:tcPr>
            <w:tcW w:w="835" w:type="pct"/>
            <w:vMerge w:val="restart"/>
            <w:tcBorders>
              <w:top w:val="single" w:sz="8" w:space="0" w:color="auto"/>
              <w:left w:val="single" w:sz="8" w:space="0" w:color="auto"/>
              <w:bottom w:val="nil"/>
              <w:right w:val="single" w:sz="4" w:space="0" w:color="auto"/>
            </w:tcBorders>
            <w:shd w:val="clear" w:color="FFFFCC" w:fill="CCCCFF"/>
          </w:tcPr>
          <w:p w:rsidR="00D50DB1" w:rsidRDefault="00D50DB1">
            <w:pPr>
              <w:jc w:val="center"/>
              <w:rPr>
                <w:rFonts w:ascii="Arial" w:hAnsi="Arial" w:cs="Arial"/>
                <w:b/>
                <w:bCs/>
                <w:sz w:val="14"/>
                <w:szCs w:val="14"/>
              </w:rPr>
            </w:pPr>
            <w:r>
              <w:rPr>
                <w:rFonts w:ascii="Arial" w:hAnsi="Arial" w:cs="Arial"/>
                <w:b/>
                <w:bCs/>
                <w:sz w:val="14"/>
                <w:szCs w:val="14"/>
              </w:rPr>
              <w:t> </w:t>
            </w:r>
          </w:p>
        </w:tc>
        <w:tc>
          <w:tcPr>
            <w:tcW w:w="4165" w:type="pct"/>
            <w:gridSpan w:val="5"/>
            <w:tcBorders>
              <w:top w:val="single" w:sz="8" w:space="0" w:color="auto"/>
              <w:left w:val="nil"/>
              <w:bottom w:val="single" w:sz="4" w:space="0" w:color="auto"/>
              <w:right w:val="single" w:sz="4" w:space="0" w:color="000000"/>
            </w:tcBorders>
            <w:shd w:val="clear" w:color="FFFFCC" w:fill="CCCCFF"/>
            <w:vAlign w:val="center"/>
          </w:tcPr>
          <w:p w:rsidR="00D50DB1" w:rsidRDefault="00D50DB1">
            <w:pPr>
              <w:jc w:val="center"/>
              <w:rPr>
                <w:rFonts w:ascii="Arial" w:hAnsi="Arial" w:cs="Arial"/>
                <w:b/>
                <w:bCs/>
                <w:sz w:val="18"/>
                <w:szCs w:val="18"/>
              </w:rPr>
            </w:pPr>
            <w:r>
              <w:rPr>
                <w:rFonts w:ascii="Arial" w:hAnsi="Arial" w:cs="Arial"/>
                <w:b/>
                <w:bCs/>
                <w:sz w:val="18"/>
                <w:szCs w:val="18"/>
              </w:rPr>
              <w:t>Initial sample - before school replacement</w:t>
            </w:r>
          </w:p>
        </w:tc>
      </w:tr>
      <w:tr w:rsidR="00D50DB1" w:rsidTr="00DB1FED">
        <w:trPr>
          <w:trHeight w:val="300"/>
        </w:trPr>
        <w:tc>
          <w:tcPr>
            <w:tcW w:w="835" w:type="pct"/>
            <w:vMerge/>
            <w:tcBorders>
              <w:top w:val="single" w:sz="8" w:space="0" w:color="auto"/>
              <w:left w:val="single" w:sz="8" w:space="0" w:color="auto"/>
              <w:bottom w:val="nil"/>
              <w:right w:val="single" w:sz="4" w:space="0" w:color="auto"/>
            </w:tcBorders>
            <w:vAlign w:val="center"/>
          </w:tcPr>
          <w:p w:rsidR="00D50DB1" w:rsidRDefault="00D50DB1">
            <w:pPr>
              <w:rPr>
                <w:rFonts w:ascii="Arial" w:hAnsi="Arial" w:cs="Arial"/>
                <w:b/>
                <w:bCs/>
                <w:sz w:val="14"/>
                <w:szCs w:val="14"/>
              </w:rPr>
            </w:pPr>
          </w:p>
        </w:tc>
        <w:tc>
          <w:tcPr>
            <w:tcW w:w="978" w:type="pct"/>
            <w:tcBorders>
              <w:top w:val="nil"/>
              <w:left w:val="nil"/>
              <w:bottom w:val="nil"/>
              <w:right w:val="nil"/>
            </w:tcBorders>
            <w:shd w:val="clear" w:color="FFFFCC" w:fill="CCCCFF"/>
            <w:noWrap/>
            <w:vAlign w:val="bottom"/>
          </w:tcPr>
          <w:p w:rsidR="00D50DB1" w:rsidRDefault="00D50DB1">
            <w:pPr>
              <w:jc w:val="center"/>
              <w:rPr>
                <w:rFonts w:ascii="Arial" w:hAnsi="Arial" w:cs="Arial"/>
                <w:b/>
                <w:bCs/>
                <w:sz w:val="16"/>
                <w:szCs w:val="16"/>
              </w:rPr>
            </w:pPr>
            <w:r>
              <w:rPr>
                <w:rFonts w:ascii="Arial" w:hAnsi="Arial" w:cs="Arial"/>
                <w:b/>
                <w:bCs/>
                <w:sz w:val="16"/>
                <w:szCs w:val="16"/>
              </w:rPr>
              <w:t>(1)</w:t>
            </w:r>
          </w:p>
        </w:tc>
        <w:tc>
          <w:tcPr>
            <w:tcW w:w="747" w:type="pct"/>
            <w:tcBorders>
              <w:top w:val="nil"/>
              <w:left w:val="single" w:sz="4" w:space="0" w:color="969696"/>
              <w:bottom w:val="single" w:sz="4" w:space="0" w:color="auto"/>
              <w:right w:val="single" w:sz="4" w:space="0" w:color="969696"/>
            </w:tcBorders>
            <w:shd w:val="clear" w:color="FFFFCC" w:fill="CCCCFF"/>
          </w:tcPr>
          <w:p w:rsidR="00D50DB1" w:rsidRDefault="00D50DB1">
            <w:pPr>
              <w:jc w:val="center"/>
              <w:rPr>
                <w:rFonts w:ascii="Arial" w:hAnsi="Arial" w:cs="Arial"/>
                <w:b/>
                <w:bCs/>
                <w:sz w:val="14"/>
                <w:szCs w:val="14"/>
              </w:rPr>
            </w:pPr>
            <w:r>
              <w:rPr>
                <w:rFonts w:ascii="Arial" w:hAnsi="Arial" w:cs="Arial"/>
                <w:b/>
                <w:bCs/>
                <w:sz w:val="14"/>
                <w:szCs w:val="14"/>
              </w:rPr>
              <w:t>(2)</w:t>
            </w:r>
          </w:p>
        </w:tc>
        <w:tc>
          <w:tcPr>
            <w:tcW w:w="782" w:type="pct"/>
            <w:tcBorders>
              <w:top w:val="nil"/>
              <w:left w:val="nil"/>
              <w:bottom w:val="single" w:sz="4" w:space="0" w:color="auto"/>
              <w:right w:val="nil"/>
            </w:tcBorders>
            <w:shd w:val="clear" w:color="FFFFCC" w:fill="CCCCFF"/>
          </w:tcPr>
          <w:p w:rsidR="00D50DB1" w:rsidRDefault="00D50DB1">
            <w:pPr>
              <w:jc w:val="center"/>
              <w:rPr>
                <w:rFonts w:ascii="Arial" w:hAnsi="Arial" w:cs="Arial"/>
                <w:b/>
                <w:bCs/>
                <w:sz w:val="14"/>
                <w:szCs w:val="14"/>
              </w:rPr>
            </w:pPr>
            <w:r>
              <w:rPr>
                <w:rFonts w:ascii="Arial" w:hAnsi="Arial" w:cs="Arial"/>
                <w:b/>
                <w:bCs/>
                <w:sz w:val="14"/>
                <w:szCs w:val="14"/>
              </w:rPr>
              <w:t>(3)</w:t>
            </w:r>
          </w:p>
        </w:tc>
        <w:tc>
          <w:tcPr>
            <w:tcW w:w="829" w:type="pct"/>
            <w:tcBorders>
              <w:top w:val="nil"/>
              <w:left w:val="single" w:sz="4" w:space="0" w:color="969696"/>
              <w:bottom w:val="single" w:sz="4" w:space="0" w:color="auto"/>
              <w:right w:val="single" w:sz="4" w:space="0" w:color="969696"/>
            </w:tcBorders>
            <w:shd w:val="clear" w:color="FFFFCC" w:fill="CCCCFF"/>
          </w:tcPr>
          <w:p w:rsidR="00D50DB1" w:rsidRDefault="00D50DB1">
            <w:pPr>
              <w:jc w:val="center"/>
              <w:rPr>
                <w:rFonts w:ascii="Arial" w:hAnsi="Arial" w:cs="Arial"/>
                <w:b/>
                <w:bCs/>
                <w:sz w:val="14"/>
                <w:szCs w:val="14"/>
              </w:rPr>
            </w:pPr>
            <w:r>
              <w:rPr>
                <w:rFonts w:ascii="Arial" w:hAnsi="Arial" w:cs="Arial"/>
                <w:b/>
                <w:bCs/>
                <w:sz w:val="14"/>
                <w:szCs w:val="14"/>
              </w:rPr>
              <w:t>(4)</w:t>
            </w:r>
          </w:p>
        </w:tc>
        <w:tc>
          <w:tcPr>
            <w:tcW w:w="829" w:type="pct"/>
            <w:tcBorders>
              <w:top w:val="nil"/>
              <w:left w:val="nil"/>
              <w:bottom w:val="single" w:sz="4" w:space="0" w:color="auto"/>
              <w:right w:val="single" w:sz="4" w:space="0" w:color="auto"/>
            </w:tcBorders>
            <w:shd w:val="clear" w:color="FFFFCC" w:fill="CCCCFF"/>
          </w:tcPr>
          <w:p w:rsidR="00D50DB1" w:rsidRDefault="00D50DB1">
            <w:pPr>
              <w:jc w:val="center"/>
              <w:rPr>
                <w:rFonts w:ascii="Arial" w:hAnsi="Arial" w:cs="Arial"/>
                <w:b/>
                <w:bCs/>
                <w:sz w:val="14"/>
                <w:szCs w:val="14"/>
              </w:rPr>
            </w:pPr>
            <w:r>
              <w:rPr>
                <w:rFonts w:ascii="Arial" w:hAnsi="Arial" w:cs="Arial"/>
                <w:b/>
                <w:bCs/>
                <w:sz w:val="14"/>
                <w:szCs w:val="14"/>
              </w:rPr>
              <w:t>(5)</w:t>
            </w:r>
          </w:p>
        </w:tc>
      </w:tr>
      <w:tr w:rsidR="00D50DB1" w:rsidTr="00DB1FED">
        <w:trPr>
          <w:trHeight w:val="1546"/>
        </w:trPr>
        <w:tc>
          <w:tcPr>
            <w:tcW w:w="835" w:type="pct"/>
            <w:vMerge/>
            <w:tcBorders>
              <w:top w:val="single" w:sz="8" w:space="0" w:color="auto"/>
              <w:left w:val="single" w:sz="8" w:space="0" w:color="auto"/>
              <w:bottom w:val="nil"/>
              <w:right w:val="single" w:sz="4" w:space="0" w:color="auto"/>
            </w:tcBorders>
            <w:vAlign w:val="center"/>
          </w:tcPr>
          <w:p w:rsidR="00D50DB1" w:rsidRDefault="00D50DB1">
            <w:pPr>
              <w:rPr>
                <w:rFonts w:ascii="Arial" w:hAnsi="Arial" w:cs="Arial"/>
                <w:b/>
                <w:bCs/>
                <w:sz w:val="14"/>
                <w:szCs w:val="14"/>
              </w:rPr>
            </w:pPr>
          </w:p>
        </w:tc>
        <w:tc>
          <w:tcPr>
            <w:tcW w:w="978" w:type="pct"/>
            <w:tcBorders>
              <w:top w:val="single" w:sz="4" w:space="0" w:color="auto"/>
              <w:left w:val="nil"/>
              <w:bottom w:val="nil"/>
              <w:right w:val="nil"/>
            </w:tcBorders>
            <w:shd w:val="clear" w:color="FFFFCC" w:fill="CCCCFF"/>
            <w:vAlign w:val="bottom"/>
          </w:tcPr>
          <w:p w:rsidR="00D50DB1" w:rsidRDefault="00D50DB1">
            <w:pPr>
              <w:jc w:val="center"/>
              <w:rPr>
                <w:rFonts w:ascii="Arial" w:hAnsi="Arial" w:cs="Arial"/>
                <w:b/>
                <w:bCs/>
                <w:sz w:val="14"/>
                <w:szCs w:val="14"/>
              </w:rPr>
            </w:pPr>
            <w:r>
              <w:rPr>
                <w:rFonts w:ascii="Arial" w:hAnsi="Arial" w:cs="Arial"/>
                <w:b/>
                <w:bCs/>
                <w:sz w:val="14"/>
                <w:szCs w:val="14"/>
              </w:rPr>
              <w:t xml:space="preserve">Weighted school participation rate before replacement </w:t>
            </w:r>
            <w:r>
              <w:rPr>
                <w:rFonts w:ascii="Arial" w:hAnsi="Arial" w:cs="Arial"/>
                <w:b/>
                <w:bCs/>
                <w:sz w:val="14"/>
                <w:szCs w:val="14"/>
              </w:rPr>
              <w:br/>
              <w:t>(%)</w:t>
            </w:r>
          </w:p>
        </w:tc>
        <w:tc>
          <w:tcPr>
            <w:tcW w:w="747" w:type="pct"/>
            <w:tcBorders>
              <w:top w:val="nil"/>
              <w:left w:val="single" w:sz="4" w:space="0" w:color="969696"/>
              <w:bottom w:val="nil"/>
              <w:right w:val="single" w:sz="4" w:space="0" w:color="969696"/>
            </w:tcBorders>
            <w:shd w:val="clear" w:color="FFFFCC" w:fill="CCCCFF"/>
            <w:vAlign w:val="bottom"/>
          </w:tcPr>
          <w:p w:rsidR="00D50DB1" w:rsidRDefault="00D50DB1">
            <w:pPr>
              <w:jc w:val="center"/>
              <w:rPr>
                <w:rFonts w:ascii="Arial" w:hAnsi="Arial" w:cs="Arial"/>
                <w:b/>
                <w:bCs/>
                <w:sz w:val="14"/>
                <w:szCs w:val="14"/>
              </w:rPr>
            </w:pPr>
            <w:r>
              <w:rPr>
                <w:rFonts w:ascii="Arial" w:hAnsi="Arial" w:cs="Arial"/>
                <w:b/>
                <w:bCs/>
                <w:sz w:val="14"/>
                <w:szCs w:val="14"/>
              </w:rPr>
              <w:t>Weighted number of responding schools (weighted also by enrolment)</w:t>
            </w:r>
          </w:p>
        </w:tc>
        <w:tc>
          <w:tcPr>
            <w:tcW w:w="782" w:type="pct"/>
            <w:tcBorders>
              <w:top w:val="nil"/>
              <w:left w:val="nil"/>
              <w:bottom w:val="nil"/>
              <w:right w:val="nil"/>
            </w:tcBorders>
            <w:shd w:val="clear" w:color="FFFFCC" w:fill="CCCCFF"/>
            <w:vAlign w:val="bottom"/>
          </w:tcPr>
          <w:p w:rsidR="00D50DB1" w:rsidRDefault="00D50DB1">
            <w:pPr>
              <w:jc w:val="center"/>
              <w:rPr>
                <w:rFonts w:ascii="Arial" w:hAnsi="Arial" w:cs="Arial"/>
                <w:b/>
                <w:bCs/>
                <w:sz w:val="14"/>
                <w:szCs w:val="14"/>
              </w:rPr>
            </w:pPr>
            <w:r>
              <w:rPr>
                <w:rFonts w:ascii="Arial" w:hAnsi="Arial" w:cs="Arial"/>
                <w:b/>
                <w:bCs/>
                <w:sz w:val="14"/>
                <w:szCs w:val="14"/>
              </w:rPr>
              <w:t xml:space="preserve">Weighted number of schools sampled </w:t>
            </w:r>
            <w:r>
              <w:rPr>
                <w:rFonts w:ascii="Arial" w:hAnsi="Arial" w:cs="Arial"/>
                <w:b/>
                <w:bCs/>
                <w:sz w:val="14"/>
                <w:szCs w:val="14"/>
              </w:rPr>
              <w:br/>
              <w:t>(responding and non-responding)</w:t>
            </w:r>
            <w:r>
              <w:rPr>
                <w:rFonts w:ascii="Arial" w:hAnsi="Arial" w:cs="Arial"/>
                <w:b/>
                <w:bCs/>
                <w:sz w:val="14"/>
                <w:szCs w:val="14"/>
              </w:rPr>
              <w:br/>
              <w:t>(weighted also by enrolment)</w:t>
            </w:r>
          </w:p>
        </w:tc>
        <w:tc>
          <w:tcPr>
            <w:tcW w:w="829" w:type="pct"/>
            <w:tcBorders>
              <w:top w:val="nil"/>
              <w:left w:val="single" w:sz="4" w:space="0" w:color="969696"/>
              <w:bottom w:val="nil"/>
              <w:right w:val="single" w:sz="4" w:space="0" w:color="969696"/>
            </w:tcBorders>
            <w:shd w:val="clear" w:color="FFFFCC" w:fill="CCCCFF"/>
            <w:vAlign w:val="bottom"/>
          </w:tcPr>
          <w:p w:rsidR="00D50DB1" w:rsidRDefault="00D50DB1">
            <w:pPr>
              <w:jc w:val="center"/>
              <w:rPr>
                <w:rFonts w:ascii="Arial" w:hAnsi="Arial" w:cs="Arial"/>
                <w:b/>
                <w:bCs/>
                <w:sz w:val="14"/>
                <w:szCs w:val="14"/>
              </w:rPr>
            </w:pPr>
            <w:r>
              <w:rPr>
                <w:rFonts w:ascii="Arial" w:hAnsi="Arial" w:cs="Arial"/>
                <w:b/>
                <w:bCs/>
                <w:sz w:val="14"/>
                <w:szCs w:val="14"/>
              </w:rPr>
              <w:t>Number of responding schools (</w:t>
            </w:r>
            <w:proofErr w:type="spellStart"/>
            <w:r>
              <w:rPr>
                <w:rFonts w:ascii="Arial" w:hAnsi="Arial" w:cs="Arial"/>
                <w:b/>
                <w:bCs/>
                <w:sz w:val="14"/>
                <w:szCs w:val="14"/>
              </w:rPr>
              <w:t>unweighted</w:t>
            </w:r>
            <w:proofErr w:type="spellEnd"/>
            <w:r>
              <w:rPr>
                <w:rFonts w:ascii="Arial" w:hAnsi="Arial" w:cs="Arial"/>
                <w:b/>
                <w:bCs/>
                <w:sz w:val="14"/>
                <w:szCs w:val="14"/>
              </w:rPr>
              <w:t>)</w:t>
            </w:r>
          </w:p>
        </w:tc>
        <w:tc>
          <w:tcPr>
            <w:tcW w:w="829" w:type="pct"/>
            <w:tcBorders>
              <w:top w:val="nil"/>
              <w:left w:val="nil"/>
              <w:bottom w:val="single" w:sz="4" w:space="0" w:color="auto"/>
              <w:right w:val="single" w:sz="4" w:space="0" w:color="auto"/>
            </w:tcBorders>
            <w:shd w:val="clear" w:color="FFFFCC" w:fill="CCCCFF"/>
            <w:vAlign w:val="bottom"/>
          </w:tcPr>
          <w:p w:rsidR="00D50DB1" w:rsidRDefault="00D50DB1">
            <w:pPr>
              <w:jc w:val="center"/>
              <w:rPr>
                <w:rFonts w:ascii="Arial" w:hAnsi="Arial" w:cs="Arial"/>
                <w:b/>
                <w:bCs/>
                <w:sz w:val="14"/>
                <w:szCs w:val="14"/>
              </w:rPr>
            </w:pPr>
            <w:r>
              <w:rPr>
                <w:rFonts w:ascii="Arial" w:hAnsi="Arial" w:cs="Arial"/>
                <w:b/>
                <w:bCs/>
                <w:sz w:val="14"/>
                <w:szCs w:val="14"/>
              </w:rPr>
              <w:t>Number of responding and non-responding schools (</w:t>
            </w:r>
            <w:proofErr w:type="spellStart"/>
            <w:r>
              <w:rPr>
                <w:rFonts w:ascii="Arial" w:hAnsi="Arial" w:cs="Arial"/>
                <w:b/>
                <w:bCs/>
                <w:sz w:val="14"/>
                <w:szCs w:val="14"/>
              </w:rPr>
              <w:t>unweighted</w:t>
            </w:r>
            <w:proofErr w:type="spellEnd"/>
            <w:r>
              <w:rPr>
                <w:rFonts w:ascii="Arial" w:hAnsi="Arial" w:cs="Arial"/>
                <w:b/>
                <w:bCs/>
                <w:sz w:val="14"/>
                <w:szCs w:val="14"/>
              </w:rPr>
              <w:t>)</w:t>
            </w:r>
          </w:p>
        </w:tc>
      </w:tr>
      <w:tr w:rsidR="00D50DB1" w:rsidTr="00DB1FED">
        <w:trPr>
          <w:trHeight w:val="180"/>
        </w:trPr>
        <w:tc>
          <w:tcPr>
            <w:tcW w:w="835" w:type="pct"/>
            <w:tcBorders>
              <w:top w:val="single" w:sz="4" w:space="0" w:color="auto"/>
              <w:left w:val="single" w:sz="8" w:space="0" w:color="auto"/>
              <w:bottom w:val="nil"/>
              <w:right w:val="single" w:sz="4" w:space="0" w:color="auto"/>
            </w:tcBorders>
            <w:shd w:val="clear" w:color="000000" w:fill="FFFFFF"/>
            <w:noWrap/>
            <w:vAlign w:val="bottom"/>
          </w:tcPr>
          <w:p w:rsidR="00D50DB1" w:rsidRDefault="00D50DB1">
            <w:pPr>
              <w:rPr>
                <w:rFonts w:ascii="Arial" w:hAnsi="Arial" w:cs="Arial"/>
                <w:b/>
                <w:bCs/>
                <w:sz w:val="14"/>
                <w:szCs w:val="14"/>
              </w:rPr>
            </w:pPr>
            <w:r>
              <w:rPr>
                <w:rFonts w:ascii="Arial" w:hAnsi="Arial" w:cs="Arial"/>
                <w:b/>
                <w:bCs/>
                <w:sz w:val="14"/>
                <w:szCs w:val="14"/>
              </w:rPr>
              <w:t>OECD</w:t>
            </w:r>
          </w:p>
        </w:tc>
        <w:tc>
          <w:tcPr>
            <w:tcW w:w="978" w:type="pct"/>
            <w:tcBorders>
              <w:top w:val="single" w:sz="4" w:space="0" w:color="auto"/>
              <w:left w:val="nil"/>
              <w:bottom w:val="nil"/>
              <w:right w:val="nil"/>
            </w:tcBorders>
            <w:shd w:val="clear" w:color="000000" w:fill="FFFFFF"/>
            <w:noWrap/>
            <w:vAlign w:val="bottom"/>
          </w:tcPr>
          <w:p w:rsidR="00D50DB1" w:rsidRDefault="00D50DB1">
            <w:pPr>
              <w:jc w:val="center"/>
              <w:rPr>
                <w:rFonts w:ascii="Arial" w:hAnsi="Arial" w:cs="Arial"/>
                <w:b/>
                <w:bCs/>
                <w:sz w:val="14"/>
                <w:szCs w:val="14"/>
              </w:rPr>
            </w:pPr>
            <w:r>
              <w:rPr>
                <w:rFonts w:ascii="Arial" w:hAnsi="Arial" w:cs="Arial"/>
                <w:b/>
                <w:bCs/>
                <w:sz w:val="14"/>
                <w:szCs w:val="14"/>
              </w:rPr>
              <w:t> </w:t>
            </w:r>
          </w:p>
        </w:tc>
        <w:tc>
          <w:tcPr>
            <w:tcW w:w="747" w:type="pct"/>
            <w:tcBorders>
              <w:top w:val="single" w:sz="4" w:space="0" w:color="auto"/>
              <w:left w:val="single" w:sz="4" w:space="0" w:color="969696"/>
              <w:bottom w:val="nil"/>
              <w:right w:val="single" w:sz="4" w:space="0" w:color="969696"/>
            </w:tcBorders>
            <w:shd w:val="clear" w:color="000000" w:fill="FFFFFF"/>
            <w:noWrap/>
            <w:vAlign w:val="bottom"/>
          </w:tcPr>
          <w:p w:rsidR="00D50DB1" w:rsidRDefault="00D50DB1">
            <w:pPr>
              <w:jc w:val="center"/>
              <w:rPr>
                <w:rFonts w:ascii="Arial" w:hAnsi="Arial" w:cs="Arial"/>
                <w:b/>
                <w:bCs/>
                <w:sz w:val="14"/>
                <w:szCs w:val="14"/>
              </w:rPr>
            </w:pPr>
            <w:r>
              <w:rPr>
                <w:rFonts w:ascii="Arial" w:hAnsi="Arial" w:cs="Arial"/>
                <w:b/>
                <w:bCs/>
                <w:sz w:val="14"/>
                <w:szCs w:val="14"/>
              </w:rPr>
              <w:t> </w:t>
            </w:r>
          </w:p>
        </w:tc>
        <w:tc>
          <w:tcPr>
            <w:tcW w:w="782" w:type="pct"/>
            <w:tcBorders>
              <w:top w:val="single" w:sz="4" w:space="0" w:color="auto"/>
              <w:left w:val="nil"/>
              <w:bottom w:val="nil"/>
              <w:right w:val="nil"/>
            </w:tcBorders>
            <w:shd w:val="clear" w:color="000000" w:fill="FFFFFF"/>
            <w:noWrap/>
            <w:vAlign w:val="bottom"/>
          </w:tcPr>
          <w:p w:rsidR="00D50DB1" w:rsidRDefault="00D50DB1">
            <w:pPr>
              <w:jc w:val="center"/>
              <w:rPr>
                <w:rFonts w:ascii="Arial" w:hAnsi="Arial" w:cs="Arial"/>
                <w:b/>
                <w:bCs/>
                <w:sz w:val="14"/>
                <w:szCs w:val="14"/>
              </w:rPr>
            </w:pPr>
            <w:r>
              <w:rPr>
                <w:rFonts w:ascii="Arial" w:hAnsi="Arial" w:cs="Arial"/>
                <w:b/>
                <w:bCs/>
                <w:sz w:val="14"/>
                <w:szCs w:val="14"/>
              </w:rPr>
              <w:t> </w:t>
            </w:r>
          </w:p>
        </w:tc>
        <w:tc>
          <w:tcPr>
            <w:tcW w:w="829" w:type="pct"/>
            <w:tcBorders>
              <w:top w:val="single" w:sz="4" w:space="0" w:color="auto"/>
              <w:left w:val="single" w:sz="4" w:space="0" w:color="969696"/>
              <w:bottom w:val="nil"/>
              <w:right w:val="single" w:sz="4" w:space="0" w:color="969696"/>
            </w:tcBorders>
            <w:shd w:val="clear" w:color="000000" w:fill="FFFFFF"/>
            <w:noWrap/>
            <w:vAlign w:val="bottom"/>
          </w:tcPr>
          <w:p w:rsidR="00D50DB1" w:rsidRDefault="00D50DB1">
            <w:pPr>
              <w:jc w:val="center"/>
              <w:rPr>
                <w:rFonts w:ascii="Arial" w:hAnsi="Arial" w:cs="Arial"/>
                <w:b/>
                <w:bCs/>
                <w:sz w:val="14"/>
                <w:szCs w:val="14"/>
              </w:rPr>
            </w:pPr>
            <w:r>
              <w:rPr>
                <w:rFonts w:ascii="Arial" w:hAnsi="Arial" w:cs="Arial"/>
                <w:b/>
                <w:bCs/>
                <w:sz w:val="14"/>
                <w:szCs w:val="14"/>
              </w:rPr>
              <w:t> </w:t>
            </w:r>
          </w:p>
        </w:tc>
        <w:tc>
          <w:tcPr>
            <w:tcW w:w="829" w:type="pct"/>
            <w:tcBorders>
              <w:top w:val="single" w:sz="4" w:space="0" w:color="auto"/>
              <w:left w:val="nil"/>
              <w:bottom w:val="nil"/>
              <w:right w:val="single" w:sz="4" w:space="0" w:color="auto"/>
            </w:tcBorders>
            <w:shd w:val="clear" w:color="000000" w:fill="FFFFFF"/>
            <w:noWrap/>
            <w:vAlign w:val="bottom"/>
          </w:tcPr>
          <w:p w:rsidR="00D50DB1" w:rsidRDefault="00D50DB1">
            <w:pPr>
              <w:jc w:val="center"/>
              <w:rPr>
                <w:rFonts w:ascii="Arial" w:hAnsi="Arial" w:cs="Arial"/>
                <w:b/>
                <w:bCs/>
                <w:sz w:val="14"/>
                <w:szCs w:val="14"/>
              </w:rPr>
            </w:pPr>
            <w:r>
              <w:rPr>
                <w:rFonts w:ascii="Arial" w:hAnsi="Arial" w:cs="Arial"/>
                <w:b/>
                <w:bCs/>
                <w:sz w:val="14"/>
                <w:szCs w:val="14"/>
              </w:rPr>
              <w:t> </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Australia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98.40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247 212</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251 222</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349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356</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Austria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98.77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91 471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92 606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197</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203</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Belgium</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81.54</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100 785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123 597</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236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288</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Canada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83.20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348 248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418 565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850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941</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Czech Republic</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72.87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91 281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125 259</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198</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264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Denmark</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87.24</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49 865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57 156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189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218</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Finland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65 086</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65 086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155</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France</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96.68</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732 366</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757 512</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187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Germany</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98.15</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932 815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950 350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223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227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Greece</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92.51</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96 973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104 827</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Hungary</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94.70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108 354</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114 425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180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189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Iceland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98.35</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4 819</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4 900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135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151</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Ireland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57 245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57 245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164</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Italy</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90.53</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564 533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623 570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753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874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Japan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87.27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1 032 152</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1 182 688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171</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196</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Korea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99.24</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572 256</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576 637</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155</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Luxembourg</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4 955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4 955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31</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31</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Mexico</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95.46</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1 281 867</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1 342 898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1 115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1 184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Netherlands</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75.70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151 039</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199 533</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146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New Zealand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91.69</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54 182</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59 090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162</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Norway</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90.47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54 613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60 369</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213</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Poland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95.41</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507 651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532 061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222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Portugal</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94.87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94 835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99 961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Slovak Republic</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92.42</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70 860</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76 671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190</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Spain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98.2626</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416 539</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423 904</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682</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686</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Sweden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99.59</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126 611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127 133</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197</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Switzerland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95.44</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77 940</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81 660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496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512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Turkey</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97.16</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773 777</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796 371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160</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United Kingdom</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76.05</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569 438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748 796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439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587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United States</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68.95</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2 689 741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3 901 131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145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b/>
                <w:bCs/>
                <w:sz w:val="14"/>
                <w:szCs w:val="14"/>
              </w:rPr>
            </w:pPr>
            <w:r>
              <w:rPr>
                <w:rFonts w:ascii="Arial" w:hAnsi="Arial" w:cs="Arial"/>
                <w:b/>
                <w:bCs/>
                <w:sz w:val="14"/>
                <w:szCs w:val="14"/>
              </w:rPr>
              <w:t>Partners</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Argentina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95.08</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547 775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576 125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168</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Azerbaijan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94.86</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123 718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130 423</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Brazil</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98.01</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2 300 530</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2 347 346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606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629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Bulgaria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98.76</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82 248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83 281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178</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180</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Chile</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83.08</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207 183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249 370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161</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196</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Chinese Taipei</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98.03</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420 165</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428 630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235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240</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Colombia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93.53</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500 567</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535 166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154</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Croatia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98.59</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48 081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48 768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163</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Estonia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98.98</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19 071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19 267</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167</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Hong Kong-China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68.57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52 768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76 956</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106</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156</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Indonesia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99.72</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2 249 728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2 256 019</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349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352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Israel</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89.89</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95 231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105 941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139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Jordan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99 088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99 088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210</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Kyrgyzstan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99.58</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89 863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90 240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201</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Latvia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97.57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31 740</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32 532</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171</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175</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Liechtenstein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362</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362</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Lithuania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96.85</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48 989</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50 584</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197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Macao-China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6 608</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6 608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43</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43</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Montenegro</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94.64</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7 363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7 780</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49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51</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Qatar</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98.02</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7 260</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7 407</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128</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137</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Romania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231 533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231 533</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174</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174</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Russian Federation</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1 848 221</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1 848 221</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209</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209</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Serbia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98.67</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76 534</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77 568</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160</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163</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Slovenia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97.42</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21 983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22 565</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355</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365</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Thailand</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97.70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705 353</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721 963</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208</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212</w:t>
            </w:r>
          </w:p>
        </w:tc>
      </w:tr>
      <w:tr w:rsidR="00D50DB1" w:rsidTr="00DB1FED">
        <w:trPr>
          <w:trHeight w:val="180"/>
        </w:trPr>
        <w:tc>
          <w:tcPr>
            <w:tcW w:w="835" w:type="pct"/>
            <w:tcBorders>
              <w:top w:val="nil"/>
              <w:left w:val="single" w:sz="8" w:space="0" w:color="auto"/>
              <w:bottom w:val="nil"/>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Tunisia</w:t>
            </w:r>
          </w:p>
        </w:tc>
        <w:tc>
          <w:tcPr>
            <w:tcW w:w="978"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100.00</w:t>
            </w:r>
          </w:p>
        </w:tc>
        <w:tc>
          <w:tcPr>
            <w:tcW w:w="747"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153 009</w:t>
            </w:r>
          </w:p>
        </w:tc>
        <w:tc>
          <w:tcPr>
            <w:tcW w:w="782" w:type="pct"/>
            <w:tcBorders>
              <w:top w:val="nil"/>
              <w:left w:val="nil"/>
              <w:bottom w:val="nil"/>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153 009</w:t>
            </w:r>
          </w:p>
        </w:tc>
        <w:tc>
          <w:tcPr>
            <w:tcW w:w="829" w:type="pct"/>
            <w:tcBorders>
              <w:top w:val="nil"/>
              <w:left w:val="single" w:sz="4" w:space="0" w:color="969696"/>
              <w:bottom w:val="nil"/>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152</w:t>
            </w:r>
          </w:p>
        </w:tc>
        <w:tc>
          <w:tcPr>
            <w:tcW w:w="829" w:type="pct"/>
            <w:tcBorders>
              <w:top w:val="nil"/>
              <w:left w:val="nil"/>
              <w:bottom w:val="nil"/>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152</w:t>
            </w:r>
          </w:p>
        </w:tc>
      </w:tr>
      <w:tr w:rsidR="00D50DB1" w:rsidTr="00DB1FED">
        <w:trPr>
          <w:trHeight w:val="195"/>
        </w:trPr>
        <w:tc>
          <w:tcPr>
            <w:tcW w:w="835" w:type="pct"/>
            <w:tcBorders>
              <w:top w:val="nil"/>
              <w:left w:val="single" w:sz="8" w:space="0" w:color="auto"/>
              <w:bottom w:val="single" w:sz="8" w:space="0" w:color="auto"/>
              <w:right w:val="single" w:sz="4" w:space="0" w:color="auto"/>
            </w:tcBorders>
            <w:noWrap/>
            <w:vAlign w:val="bottom"/>
          </w:tcPr>
          <w:p w:rsidR="00D50DB1" w:rsidRDefault="00D50DB1">
            <w:pPr>
              <w:rPr>
                <w:rFonts w:ascii="Arial" w:hAnsi="Arial" w:cs="Arial"/>
                <w:sz w:val="14"/>
                <w:szCs w:val="14"/>
              </w:rPr>
            </w:pPr>
            <w:r>
              <w:rPr>
                <w:rFonts w:ascii="Arial" w:hAnsi="Arial" w:cs="Arial"/>
                <w:sz w:val="14"/>
                <w:szCs w:val="14"/>
              </w:rPr>
              <w:t>Uruguay</w:t>
            </w:r>
          </w:p>
        </w:tc>
        <w:tc>
          <w:tcPr>
            <w:tcW w:w="978" w:type="pct"/>
            <w:tcBorders>
              <w:top w:val="nil"/>
              <w:left w:val="nil"/>
              <w:bottom w:val="single" w:sz="8" w:space="0" w:color="auto"/>
              <w:right w:val="nil"/>
            </w:tcBorders>
            <w:noWrap/>
            <w:vAlign w:val="bottom"/>
          </w:tcPr>
          <w:p w:rsidR="00D50DB1" w:rsidRDefault="00D50DB1">
            <w:pPr>
              <w:jc w:val="right"/>
              <w:rPr>
                <w:rFonts w:ascii="Arial" w:hAnsi="Arial" w:cs="Arial"/>
                <w:sz w:val="14"/>
                <w:szCs w:val="14"/>
              </w:rPr>
            </w:pPr>
            <w:r>
              <w:rPr>
                <w:rFonts w:ascii="Arial" w:hAnsi="Arial" w:cs="Arial"/>
                <w:sz w:val="14"/>
                <w:szCs w:val="14"/>
              </w:rPr>
              <w:t>96.30</w:t>
            </w:r>
          </w:p>
        </w:tc>
        <w:tc>
          <w:tcPr>
            <w:tcW w:w="747" w:type="pct"/>
            <w:tcBorders>
              <w:top w:val="nil"/>
              <w:left w:val="single" w:sz="4" w:space="0" w:color="969696"/>
              <w:bottom w:val="single" w:sz="8" w:space="0" w:color="auto"/>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38 378</w:t>
            </w:r>
          </w:p>
        </w:tc>
        <w:tc>
          <w:tcPr>
            <w:tcW w:w="782" w:type="pct"/>
            <w:tcBorders>
              <w:top w:val="nil"/>
              <w:left w:val="nil"/>
              <w:bottom w:val="single" w:sz="8" w:space="0" w:color="auto"/>
              <w:right w:val="nil"/>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39 854</w:t>
            </w:r>
          </w:p>
        </w:tc>
        <w:tc>
          <w:tcPr>
            <w:tcW w:w="829" w:type="pct"/>
            <w:tcBorders>
              <w:top w:val="nil"/>
              <w:left w:val="single" w:sz="4" w:space="0" w:color="969696"/>
              <w:bottom w:val="single" w:sz="8" w:space="0" w:color="auto"/>
              <w:right w:val="single" w:sz="4" w:space="0" w:color="969696"/>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270</w:t>
            </w:r>
          </w:p>
        </w:tc>
        <w:tc>
          <w:tcPr>
            <w:tcW w:w="829" w:type="pct"/>
            <w:tcBorders>
              <w:top w:val="nil"/>
              <w:left w:val="nil"/>
              <w:bottom w:val="single" w:sz="8" w:space="0" w:color="auto"/>
              <w:right w:val="single" w:sz="4" w:space="0" w:color="auto"/>
            </w:tcBorders>
            <w:noWrap/>
            <w:vAlign w:val="bottom"/>
          </w:tcPr>
          <w:p w:rsidR="00D50DB1" w:rsidRDefault="00D50DB1">
            <w:pPr>
              <w:jc w:val="right"/>
              <w:rPr>
                <w:rFonts w:ascii="Arial" w:hAnsi="Arial" w:cs="Arial"/>
                <w:sz w:val="14"/>
                <w:szCs w:val="14"/>
              </w:rPr>
            </w:pPr>
            <w:r>
              <w:rPr>
                <w:rFonts w:ascii="Arial" w:hAnsi="Arial" w:cs="Arial"/>
                <w:sz w:val="14"/>
                <w:szCs w:val="14"/>
              </w:rPr>
              <w:t xml:space="preserve">  280</w:t>
            </w:r>
          </w:p>
        </w:tc>
      </w:tr>
    </w:tbl>
    <w:p w:rsidR="00D50DB1" w:rsidRPr="004171B0" w:rsidRDefault="00D50DB1" w:rsidP="004171B0">
      <w:pPr>
        <w:rPr>
          <w:rFonts w:ascii="Arial" w:hAnsi="Arial" w:cs="Arial"/>
          <w:sz w:val="14"/>
          <w:szCs w:val="14"/>
        </w:rPr>
      </w:pPr>
      <w:r w:rsidRPr="004171B0">
        <w:rPr>
          <w:rFonts w:ascii="Arial" w:hAnsi="Arial" w:cs="Arial"/>
          <w:sz w:val="14"/>
          <w:szCs w:val="14"/>
        </w:rPr>
        <w:t>Source: OECD (2007).</w:t>
      </w:r>
      <w:r w:rsidRPr="004171B0">
        <w:rPr>
          <w:rFonts w:ascii="Arial" w:hAnsi="Arial" w:cs="Arial"/>
          <w:i/>
          <w:iCs/>
          <w:sz w:val="14"/>
          <w:szCs w:val="14"/>
        </w:rPr>
        <w:t xml:space="preserve"> PISA 2006 Science Competencies for Tomorrow's World, Volume I.</w:t>
      </w:r>
      <w:r w:rsidRPr="004171B0">
        <w:rPr>
          <w:rFonts w:ascii="Arial" w:hAnsi="Arial" w:cs="Arial"/>
          <w:sz w:val="14"/>
          <w:szCs w:val="14"/>
        </w:rPr>
        <w:t xml:space="preserve"> Paris: Author. </w:t>
      </w:r>
    </w:p>
    <w:p w:rsidR="00D50DB1" w:rsidRDefault="00D50DB1">
      <w:pPr>
        <w:rPr>
          <w:rFonts w:ascii="Arial" w:hAnsi="Arial" w:cs="Arial"/>
          <w:b/>
          <w:bCs/>
          <w:sz w:val="20"/>
          <w:szCs w:val="20"/>
        </w:rPr>
      </w:pPr>
    </w:p>
    <w:p w:rsidR="00DB1FED" w:rsidRDefault="00DB1FED">
      <w:pPr>
        <w:rPr>
          <w:rFonts w:ascii="Arial" w:hAnsi="Arial" w:cs="Arial"/>
          <w:b/>
          <w:bCs/>
          <w:sz w:val="20"/>
          <w:szCs w:val="20"/>
        </w:rPr>
      </w:pPr>
      <w:r>
        <w:rPr>
          <w:rFonts w:ascii="Arial" w:hAnsi="Arial" w:cs="Arial"/>
          <w:b/>
          <w:bCs/>
          <w:sz w:val="20"/>
          <w:szCs w:val="20"/>
        </w:rPr>
        <w:br w:type="page"/>
      </w:r>
    </w:p>
    <w:p w:rsidR="00D50DB1" w:rsidRDefault="00D50DB1" w:rsidP="009003EB">
      <w:pPr>
        <w:rPr>
          <w:rFonts w:ascii="Arial" w:hAnsi="Arial" w:cs="Arial"/>
          <w:b/>
          <w:bCs/>
          <w:sz w:val="20"/>
          <w:szCs w:val="20"/>
        </w:rPr>
      </w:pPr>
      <w:proofErr w:type="gramStart"/>
      <w:r>
        <w:rPr>
          <w:rFonts w:ascii="Arial" w:hAnsi="Arial" w:cs="Arial"/>
          <w:b/>
          <w:bCs/>
          <w:sz w:val="20"/>
          <w:szCs w:val="20"/>
        </w:rPr>
        <w:lastRenderedPageBreak/>
        <w:t>Table A2.3 - Response rates (cont.)</w:t>
      </w:r>
      <w:proofErr w:type="gramEnd"/>
    </w:p>
    <w:tbl>
      <w:tblPr>
        <w:tblW w:w="5000" w:type="pct"/>
        <w:tblLook w:val="00A0"/>
      </w:tblPr>
      <w:tblGrid>
        <w:gridCol w:w="1855"/>
        <w:gridCol w:w="1792"/>
        <w:gridCol w:w="1659"/>
        <w:gridCol w:w="1738"/>
        <w:gridCol w:w="1843"/>
        <w:gridCol w:w="1841"/>
      </w:tblGrid>
      <w:tr w:rsidR="00D50DB1" w:rsidTr="00DB1FED">
        <w:trPr>
          <w:trHeight w:val="300"/>
        </w:trPr>
        <w:tc>
          <w:tcPr>
            <w:tcW w:w="865" w:type="pct"/>
            <w:vMerge w:val="restart"/>
            <w:tcBorders>
              <w:top w:val="single" w:sz="8" w:space="0" w:color="auto"/>
              <w:left w:val="single" w:sz="8" w:space="0" w:color="auto"/>
              <w:bottom w:val="nil"/>
              <w:right w:val="single" w:sz="4" w:space="0" w:color="auto"/>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 </w:t>
            </w:r>
          </w:p>
        </w:tc>
        <w:tc>
          <w:tcPr>
            <w:tcW w:w="4135" w:type="pct"/>
            <w:gridSpan w:val="5"/>
            <w:tcBorders>
              <w:top w:val="single" w:sz="8" w:space="0" w:color="auto"/>
              <w:left w:val="nil"/>
              <w:bottom w:val="single" w:sz="4" w:space="0" w:color="auto"/>
              <w:right w:val="single" w:sz="4" w:space="0" w:color="000000"/>
            </w:tcBorders>
            <w:shd w:val="clear" w:color="FFFFCC" w:fill="CCCCFF"/>
            <w:vAlign w:val="center"/>
          </w:tcPr>
          <w:p w:rsidR="00D50DB1" w:rsidRDefault="00D50DB1" w:rsidP="00094552">
            <w:pPr>
              <w:jc w:val="center"/>
              <w:rPr>
                <w:rFonts w:ascii="Arial" w:hAnsi="Arial" w:cs="Arial"/>
                <w:b/>
                <w:bCs/>
                <w:sz w:val="18"/>
                <w:szCs w:val="18"/>
              </w:rPr>
            </w:pPr>
            <w:r>
              <w:rPr>
                <w:rFonts w:ascii="Arial" w:hAnsi="Arial" w:cs="Arial"/>
                <w:b/>
                <w:bCs/>
                <w:sz w:val="18"/>
                <w:szCs w:val="18"/>
              </w:rPr>
              <w:t>Final sample - after school replacement</w:t>
            </w:r>
          </w:p>
        </w:tc>
      </w:tr>
      <w:tr w:rsidR="00D50DB1" w:rsidTr="00DB1FED">
        <w:trPr>
          <w:trHeight w:val="300"/>
        </w:trPr>
        <w:tc>
          <w:tcPr>
            <w:tcW w:w="865" w:type="pct"/>
            <w:vMerge/>
            <w:tcBorders>
              <w:top w:val="single" w:sz="8" w:space="0" w:color="auto"/>
              <w:left w:val="single" w:sz="8" w:space="0" w:color="auto"/>
              <w:bottom w:val="nil"/>
              <w:right w:val="single" w:sz="4" w:space="0" w:color="auto"/>
            </w:tcBorders>
            <w:vAlign w:val="center"/>
          </w:tcPr>
          <w:p w:rsidR="00D50DB1" w:rsidRDefault="00D50DB1" w:rsidP="00094552">
            <w:pPr>
              <w:rPr>
                <w:rFonts w:ascii="Arial" w:hAnsi="Arial" w:cs="Arial"/>
                <w:b/>
                <w:bCs/>
                <w:sz w:val="14"/>
                <w:szCs w:val="14"/>
              </w:rPr>
            </w:pPr>
          </w:p>
        </w:tc>
        <w:tc>
          <w:tcPr>
            <w:tcW w:w="835" w:type="pct"/>
            <w:tcBorders>
              <w:top w:val="nil"/>
              <w:left w:val="nil"/>
              <w:bottom w:val="single" w:sz="4" w:space="0" w:color="auto"/>
              <w:right w:val="nil"/>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(6)</w:t>
            </w:r>
          </w:p>
        </w:tc>
        <w:tc>
          <w:tcPr>
            <w:tcW w:w="773" w:type="pct"/>
            <w:tcBorders>
              <w:top w:val="nil"/>
              <w:left w:val="single" w:sz="4" w:space="0" w:color="969696"/>
              <w:bottom w:val="single" w:sz="4" w:space="0" w:color="auto"/>
              <w:right w:val="single" w:sz="4" w:space="0" w:color="969696"/>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(7)</w:t>
            </w:r>
          </w:p>
        </w:tc>
        <w:tc>
          <w:tcPr>
            <w:tcW w:w="810" w:type="pct"/>
            <w:tcBorders>
              <w:top w:val="nil"/>
              <w:left w:val="nil"/>
              <w:bottom w:val="single" w:sz="4" w:space="0" w:color="auto"/>
              <w:right w:val="nil"/>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(8)</w:t>
            </w:r>
          </w:p>
        </w:tc>
        <w:tc>
          <w:tcPr>
            <w:tcW w:w="859" w:type="pct"/>
            <w:tcBorders>
              <w:top w:val="nil"/>
              <w:left w:val="single" w:sz="4" w:space="0" w:color="969696"/>
              <w:bottom w:val="single" w:sz="4" w:space="0" w:color="auto"/>
              <w:right w:val="single" w:sz="4" w:space="0" w:color="969696"/>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(9)</w:t>
            </w:r>
          </w:p>
        </w:tc>
        <w:tc>
          <w:tcPr>
            <w:tcW w:w="859" w:type="pct"/>
            <w:tcBorders>
              <w:top w:val="nil"/>
              <w:left w:val="nil"/>
              <w:bottom w:val="single" w:sz="4" w:space="0" w:color="auto"/>
              <w:right w:val="single" w:sz="4" w:space="0" w:color="auto"/>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(10)</w:t>
            </w:r>
          </w:p>
        </w:tc>
      </w:tr>
      <w:tr w:rsidR="00D50DB1" w:rsidTr="00DB1FED">
        <w:trPr>
          <w:trHeight w:val="1591"/>
        </w:trPr>
        <w:tc>
          <w:tcPr>
            <w:tcW w:w="865" w:type="pct"/>
            <w:vMerge/>
            <w:tcBorders>
              <w:top w:val="single" w:sz="8" w:space="0" w:color="auto"/>
              <w:left w:val="single" w:sz="8" w:space="0" w:color="auto"/>
              <w:bottom w:val="nil"/>
              <w:right w:val="single" w:sz="4" w:space="0" w:color="auto"/>
            </w:tcBorders>
            <w:vAlign w:val="center"/>
          </w:tcPr>
          <w:p w:rsidR="00D50DB1" w:rsidRDefault="00D50DB1" w:rsidP="00094552">
            <w:pPr>
              <w:rPr>
                <w:rFonts w:ascii="Arial" w:hAnsi="Arial" w:cs="Arial"/>
                <w:b/>
                <w:bCs/>
                <w:sz w:val="14"/>
                <w:szCs w:val="14"/>
              </w:rPr>
            </w:pPr>
          </w:p>
        </w:tc>
        <w:tc>
          <w:tcPr>
            <w:tcW w:w="835" w:type="pct"/>
            <w:tcBorders>
              <w:top w:val="nil"/>
              <w:left w:val="nil"/>
              <w:bottom w:val="nil"/>
              <w:right w:val="nil"/>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 xml:space="preserve">Weighted school participation rate after replacement </w:t>
            </w:r>
            <w:r>
              <w:rPr>
                <w:rFonts w:ascii="Arial" w:hAnsi="Arial" w:cs="Arial"/>
                <w:b/>
                <w:bCs/>
                <w:sz w:val="14"/>
                <w:szCs w:val="14"/>
              </w:rPr>
              <w:br/>
              <w:t>(%)</w:t>
            </w:r>
          </w:p>
        </w:tc>
        <w:tc>
          <w:tcPr>
            <w:tcW w:w="773" w:type="pct"/>
            <w:tcBorders>
              <w:top w:val="nil"/>
              <w:left w:val="single" w:sz="4" w:space="0" w:color="969696"/>
              <w:bottom w:val="nil"/>
              <w:right w:val="single" w:sz="4" w:space="0" w:color="969696"/>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Weighted number of responding schools (weighted also by enrolment)</w:t>
            </w:r>
          </w:p>
        </w:tc>
        <w:tc>
          <w:tcPr>
            <w:tcW w:w="810" w:type="pct"/>
            <w:tcBorders>
              <w:top w:val="nil"/>
              <w:left w:val="nil"/>
              <w:bottom w:val="nil"/>
              <w:right w:val="nil"/>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 xml:space="preserve">Weighted number of schools sampled </w:t>
            </w:r>
            <w:r>
              <w:rPr>
                <w:rFonts w:ascii="Arial" w:hAnsi="Arial" w:cs="Arial"/>
                <w:b/>
                <w:bCs/>
                <w:sz w:val="14"/>
                <w:szCs w:val="14"/>
              </w:rPr>
              <w:br/>
              <w:t>(responding and non-responding)</w:t>
            </w:r>
            <w:r>
              <w:rPr>
                <w:rFonts w:ascii="Arial" w:hAnsi="Arial" w:cs="Arial"/>
                <w:b/>
                <w:bCs/>
                <w:sz w:val="14"/>
                <w:szCs w:val="14"/>
              </w:rPr>
              <w:br/>
              <w:t>(weighted also by enrolment)</w:t>
            </w:r>
          </w:p>
        </w:tc>
        <w:tc>
          <w:tcPr>
            <w:tcW w:w="859" w:type="pct"/>
            <w:tcBorders>
              <w:top w:val="nil"/>
              <w:left w:val="single" w:sz="4" w:space="0" w:color="969696"/>
              <w:bottom w:val="nil"/>
              <w:right w:val="single" w:sz="4" w:space="0" w:color="969696"/>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responding schools (</w:t>
            </w:r>
            <w:proofErr w:type="spellStart"/>
            <w:r>
              <w:rPr>
                <w:rFonts w:ascii="Arial" w:hAnsi="Arial" w:cs="Arial"/>
                <w:b/>
                <w:bCs/>
                <w:sz w:val="14"/>
                <w:szCs w:val="14"/>
              </w:rPr>
              <w:t>unweighted</w:t>
            </w:r>
            <w:proofErr w:type="spellEnd"/>
            <w:r>
              <w:rPr>
                <w:rFonts w:ascii="Arial" w:hAnsi="Arial" w:cs="Arial"/>
                <w:b/>
                <w:bCs/>
                <w:sz w:val="14"/>
                <w:szCs w:val="14"/>
              </w:rPr>
              <w:t>)</w:t>
            </w:r>
          </w:p>
        </w:tc>
        <w:tc>
          <w:tcPr>
            <w:tcW w:w="859" w:type="pct"/>
            <w:tcBorders>
              <w:top w:val="nil"/>
              <w:left w:val="nil"/>
              <w:bottom w:val="single" w:sz="4" w:space="0" w:color="auto"/>
              <w:right w:val="single" w:sz="4" w:space="0" w:color="auto"/>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responding and non-responding schools (</w:t>
            </w:r>
            <w:proofErr w:type="spellStart"/>
            <w:r>
              <w:rPr>
                <w:rFonts w:ascii="Arial" w:hAnsi="Arial" w:cs="Arial"/>
                <w:b/>
                <w:bCs/>
                <w:sz w:val="14"/>
                <w:szCs w:val="14"/>
              </w:rPr>
              <w:t>unweighted</w:t>
            </w:r>
            <w:proofErr w:type="spellEnd"/>
            <w:r>
              <w:rPr>
                <w:rFonts w:ascii="Arial" w:hAnsi="Arial" w:cs="Arial"/>
                <w:b/>
                <w:bCs/>
                <w:sz w:val="14"/>
                <w:szCs w:val="14"/>
              </w:rPr>
              <w:t>)</w:t>
            </w:r>
          </w:p>
        </w:tc>
      </w:tr>
      <w:tr w:rsidR="00D50DB1" w:rsidTr="00DB1FED">
        <w:trPr>
          <w:trHeight w:val="180"/>
        </w:trPr>
        <w:tc>
          <w:tcPr>
            <w:tcW w:w="865" w:type="pct"/>
            <w:tcBorders>
              <w:top w:val="single" w:sz="4" w:space="0" w:color="auto"/>
              <w:left w:val="single" w:sz="8" w:space="0" w:color="auto"/>
              <w:bottom w:val="nil"/>
              <w:right w:val="single" w:sz="4" w:space="0" w:color="auto"/>
            </w:tcBorders>
            <w:shd w:val="clear" w:color="000000" w:fill="FFFFFF"/>
            <w:noWrap/>
            <w:vAlign w:val="bottom"/>
          </w:tcPr>
          <w:p w:rsidR="00D50DB1" w:rsidRDefault="00D50DB1" w:rsidP="00094552">
            <w:pPr>
              <w:rPr>
                <w:rFonts w:ascii="Arial" w:hAnsi="Arial" w:cs="Arial"/>
                <w:b/>
                <w:bCs/>
                <w:sz w:val="14"/>
                <w:szCs w:val="14"/>
              </w:rPr>
            </w:pPr>
            <w:r>
              <w:rPr>
                <w:rFonts w:ascii="Arial" w:hAnsi="Arial" w:cs="Arial"/>
                <w:b/>
                <w:bCs/>
                <w:sz w:val="14"/>
                <w:szCs w:val="14"/>
              </w:rPr>
              <w:t>OECD</w:t>
            </w:r>
          </w:p>
        </w:tc>
        <w:tc>
          <w:tcPr>
            <w:tcW w:w="835" w:type="pct"/>
            <w:tcBorders>
              <w:top w:val="single" w:sz="4" w:space="0" w:color="auto"/>
              <w:left w:val="single" w:sz="4" w:space="0" w:color="auto"/>
              <w:bottom w:val="nil"/>
              <w:right w:val="single" w:sz="4" w:space="0" w:color="969696"/>
            </w:tcBorders>
            <w:shd w:val="clear" w:color="000000" w:fill="FFFFFF"/>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773" w:type="pct"/>
            <w:tcBorders>
              <w:top w:val="single" w:sz="4" w:space="0" w:color="auto"/>
              <w:left w:val="nil"/>
              <w:bottom w:val="nil"/>
              <w:right w:val="single" w:sz="4" w:space="0" w:color="969696"/>
            </w:tcBorders>
            <w:shd w:val="clear" w:color="000000" w:fill="FFFFFF"/>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10" w:type="pct"/>
            <w:tcBorders>
              <w:top w:val="single" w:sz="4" w:space="0" w:color="auto"/>
              <w:left w:val="nil"/>
              <w:bottom w:val="nil"/>
              <w:right w:val="nil"/>
            </w:tcBorders>
            <w:shd w:val="clear" w:color="000000" w:fill="FFFFFF"/>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59" w:type="pct"/>
            <w:tcBorders>
              <w:top w:val="single" w:sz="4" w:space="0" w:color="auto"/>
              <w:left w:val="single" w:sz="4" w:space="0" w:color="969696"/>
              <w:bottom w:val="nil"/>
              <w:right w:val="single" w:sz="4" w:space="0" w:color="969696"/>
            </w:tcBorders>
            <w:shd w:val="clear" w:color="000000" w:fill="FFFFFF"/>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59" w:type="pct"/>
            <w:tcBorders>
              <w:top w:val="single" w:sz="4" w:space="0" w:color="auto"/>
              <w:left w:val="nil"/>
              <w:bottom w:val="nil"/>
              <w:right w:val="single" w:sz="4" w:space="0" w:color="auto"/>
            </w:tcBorders>
            <w:shd w:val="clear" w:color="000000" w:fill="FFFFFF"/>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Australia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98.85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248 321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251 222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350</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356</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Austria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98.77</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91 471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92 606</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197</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203</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Belgium</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93.59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115 646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123 563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269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288</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Canada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86.23</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360 867</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418 514</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861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941</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Czech Republic</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93.87</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117 526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125 202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244</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264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Denmark</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96.47</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55 068</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57 085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218</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Finland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65 086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65 086</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155</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155</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France</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96.68</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732 366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757 512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Germany</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99.05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941 356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950 350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225</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Greece</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99.35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104 124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104 810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Hungary</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114 266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114 266</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Iceland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98.35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4 819</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4 900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135</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151</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Ireland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57 245</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57 245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164</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Italy</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97.47</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607 860</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623 619</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796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874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Japan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92.38</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1 092 616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1 182 688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196</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Korea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99.89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575 984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576 637</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154</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155</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Luxembourg</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4 955</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4 955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31</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Mexico</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96.20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1 291 872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1 342 898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1 128</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1 184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Netherlands</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94.25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187 953</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199 423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183</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New Zealand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96.06</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56 762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59 090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170</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Norway</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95.40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57 582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60 359</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203</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213</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Poland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99.99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532 150</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532 197</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Portugal</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98.73</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98 593</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99 863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Slovak Republic</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99.93</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76 865</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76 920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188</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190</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Spain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424 621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424 621</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686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686</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Sweden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99.59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126 611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127 133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197</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Switzerland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99.09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81 345</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82 095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512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Turkey</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794 826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794 826</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160</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160</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United Kingdom</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88.15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660 503</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749 270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494</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587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United States</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79.09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3 085 548</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3 901 521</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b/>
                <w:bCs/>
                <w:sz w:val="14"/>
                <w:szCs w:val="14"/>
              </w:rPr>
            </w:pPr>
            <w:r>
              <w:rPr>
                <w:rFonts w:ascii="Arial" w:hAnsi="Arial" w:cs="Arial"/>
                <w:b/>
                <w:bCs/>
                <w:sz w:val="14"/>
                <w:szCs w:val="14"/>
              </w:rPr>
              <w:t>Partners</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Argentina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96.19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554 186</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576 125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Azerbaijan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99.37</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129 952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130 775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Brazil</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99.24</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2 329 154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2 346 988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617</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629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Bulgaria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99.35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82 548</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83 092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180</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Chile</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87.89</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219 082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249 283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173</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196</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Chinese Taipei</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98.10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420 394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428 529</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236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240</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Colombia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99.22</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530 585</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534 764</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165</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Croatia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99.80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48 727</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48 823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163</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Estonia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19 261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19 261</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Hong Kong-China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93.76</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72 564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77 392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146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156</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Indonesia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2 256 019</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2 256 019</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Israel</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93.45</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99 541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106 520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149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Jordan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99 088</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99 088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210</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210</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Kyrgyzstan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90 240</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90 240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201</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201</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Latvia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32 532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32 532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175</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175</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Liechtenstein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362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362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Lithuania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50 584</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50 584</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197</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Macao-China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6 608</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6 608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43</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43</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Montenegro</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94.64</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7 363</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7 780</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51</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Qatar</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98.02</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7 260</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7 407</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128</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137</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Romania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231 533</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231 533</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174</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174</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Russian Federation</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1 848 221</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1 848 221</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209</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209</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Serbia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99.96</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77 539</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77 568</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163</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Slovenia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97.71</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22 049</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22 565</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356</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365</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Thailand</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721 552</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721 552</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212</w:t>
            </w:r>
          </w:p>
        </w:tc>
      </w:tr>
      <w:tr w:rsidR="00D50DB1" w:rsidTr="00DB1FED">
        <w:trPr>
          <w:trHeight w:val="180"/>
        </w:trPr>
        <w:tc>
          <w:tcPr>
            <w:tcW w:w="865"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Tunisia</w:t>
            </w:r>
          </w:p>
        </w:tc>
        <w:tc>
          <w:tcPr>
            <w:tcW w:w="835"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100.00</w:t>
            </w:r>
          </w:p>
        </w:tc>
        <w:tc>
          <w:tcPr>
            <w:tcW w:w="773"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153 009</w:t>
            </w:r>
          </w:p>
        </w:tc>
        <w:tc>
          <w:tcPr>
            <w:tcW w:w="810"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153 009</w:t>
            </w:r>
          </w:p>
        </w:tc>
        <w:tc>
          <w:tcPr>
            <w:tcW w:w="859"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152</w:t>
            </w:r>
          </w:p>
        </w:tc>
        <w:tc>
          <w:tcPr>
            <w:tcW w:w="859" w:type="pct"/>
            <w:tcBorders>
              <w:top w:val="nil"/>
              <w:left w:val="nil"/>
              <w:bottom w:val="nil"/>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152</w:t>
            </w:r>
          </w:p>
        </w:tc>
      </w:tr>
      <w:tr w:rsidR="00D50DB1" w:rsidTr="00DB1FED">
        <w:trPr>
          <w:trHeight w:val="195"/>
        </w:trPr>
        <w:tc>
          <w:tcPr>
            <w:tcW w:w="865" w:type="pct"/>
            <w:tcBorders>
              <w:top w:val="nil"/>
              <w:left w:val="single" w:sz="8" w:space="0" w:color="auto"/>
              <w:bottom w:val="single" w:sz="8" w:space="0" w:color="auto"/>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Uruguay</w:t>
            </w:r>
          </w:p>
        </w:tc>
        <w:tc>
          <w:tcPr>
            <w:tcW w:w="835" w:type="pct"/>
            <w:tcBorders>
              <w:top w:val="nil"/>
              <w:left w:val="nil"/>
              <w:bottom w:val="single" w:sz="8" w:space="0" w:color="auto"/>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96.30</w:t>
            </w:r>
          </w:p>
        </w:tc>
        <w:tc>
          <w:tcPr>
            <w:tcW w:w="773" w:type="pct"/>
            <w:tcBorders>
              <w:top w:val="nil"/>
              <w:left w:val="single" w:sz="4" w:space="0" w:color="969696"/>
              <w:bottom w:val="single" w:sz="8" w:space="0" w:color="auto"/>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38 378</w:t>
            </w:r>
          </w:p>
        </w:tc>
        <w:tc>
          <w:tcPr>
            <w:tcW w:w="810" w:type="pct"/>
            <w:tcBorders>
              <w:top w:val="nil"/>
              <w:left w:val="nil"/>
              <w:bottom w:val="single" w:sz="8" w:space="0" w:color="auto"/>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39 854</w:t>
            </w:r>
          </w:p>
        </w:tc>
        <w:tc>
          <w:tcPr>
            <w:tcW w:w="859" w:type="pct"/>
            <w:tcBorders>
              <w:top w:val="nil"/>
              <w:left w:val="single" w:sz="4" w:space="0" w:color="969696"/>
              <w:bottom w:val="single" w:sz="8" w:space="0" w:color="auto"/>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270</w:t>
            </w:r>
          </w:p>
        </w:tc>
        <w:tc>
          <w:tcPr>
            <w:tcW w:w="859" w:type="pct"/>
            <w:tcBorders>
              <w:top w:val="nil"/>
              <w:left w:val="nil"/>
              <w:bottom w:val="single" w:sz="8" w:space="0" w:color="auto"/>
              <w:right w:val="single" w:sz="4"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280</w:t>
            </w:r>
          </w:p>
        </w:tc>
      </w:tr>
    </w:tbl>
    <w:p w:rsidR="00D50DB1" w:rsidRPr="004171B0" w:rsidRDefault="00D50DB1" w:rsidP="009003EB">
      <w:pPr>
        <w:rPr>
          <w:rFonts w:ascii="Arial" w:hAnsi="Arial" w:cs="Arial"/>
          <w:sz w:val="14"/>
          <w:szCs w:val="14"/>
        </w:rPr>
      </w:pPr>
      <w:r w:rsidRPr="004171B0">
        <w:rPr>
          <w:rFonts w:ascii="Arial" w:hAnsi="Arial" w:cs="Arial"/>
          <w:sz w:val="14"/>
          <w:szCs w:val="14"/>
        </w:rPr>
        <w:t>Source: OECD (2007).</w:t>
      </w:r>
      <w:r w:rsidRPr="004171B0">
        <w:rPr>
          <w:rFonts w:ascii="Arial" w:hAnsi="Arial" w:cs="Arial"/>
          <w:i/>
          <w:iCs/>
          <w:sz w:val="14"/>
          <w:szCs w:val="14"/>
        </w:rPr>
        <w:t xml:space="preserve"> PISA 2006 Science Competencies for Tomorrow's World, Volume I.</w:t>
      </w:r>
      <w:r w:rsidRPr="004171B0">
        <w:rPr>
          <w:rFonts w:ascii="Arial" w:hAnsi="Arial" w:cs="Arial"/>
          <w:sz w:val="14"/>
          <w:szCs w:val="14"/>
        </w:rPr>
        <w:t xml:space="preserve"> Paris: Author. </w:t>
      </w:r>
    </w:p>
    <w:p w:rsidR="00D50DB1" w:rsidRPr="009003EB" w:rsidRDefault="00D50DB1" w:rsidP="001161C6">
      <w:pPr>
        <w:rPr>
          <w:rFonts w:ascii="Arial" w:hAnsi="Arial" w:cs="Arial"/>
          <w:b/>
          <w:bCs/>
          <w:sz w:val="20"/>
          <w:szCs w:val="20"/>
        </w:rPr>
      </w:pPr>
      <w:r>
        <w:rPr>
          <w:rFonts w:ascii="Arial" w:hAnsi="Arial" w:cs="Arial"/>
          <w:b/>
          <w:bCs/>
          <w:sz w:val="20"/>
          <w:szCs w:val="20"/>
        </w:rPr>
        <w:br w:type="page"/>
      </w:r>
      <w:proofErr w:type="gramStart"/>
      <w:r>
        <w:rPr>
          <w:rFonts w:ascii="Arial" w:hAnsi="Arial" w:cs="Arial"/>
          <w:b/>
          <w:bCs/>
          <w:sz w:val="20"/>
          <w:szCs w:val="20"/>
        </w:rPr>
        <w:lastRenderedPageBreak/>
        <w:t>Table A2.3 - Response rates (cont.)</w:t>
      </w:r>
      <w:proofErr w:type="gramEnd"/>
    </w:p>
    <w:tbl>
      <w:tblPr>
        <w:tblW w:w="5000" w:type="pct"/>
        <w:tblLook w:val="00A0"/>
      </w:tblPr>
      <w:tblGrid>
        <w:gridCol w:w="1881"/>
        <w:gridCol w:w="1815"/>
        <w:gridCol w:w="1648"/>
        <w:gridCol w:w="1648"/>
        <w:gridCol w:w="1867"/>
        <w:gridCol w:w="1869"/>
      </w:tblGrid>
      <w:tr w:rsidR="00D50DB1" w:rsidTr="00DB1FED">
        <w:trPr>
          <w:trHeight w:val="300"/>
        </w:trPr>
        <w:tc>
          <w:tcPr>
            <w:tcW w:w="877" w:type="pct"/>
            <w:vMerge w:val="restart"/>
            <w:tcBorders>
              <w:top w:val="single" w:sz="8" w:space="0" w:color="auto"/>
              <w:left w:val="single" w:sz="8" w:space="0" w:color="auto"/>
              <w:bottom w:val="nil"/>
              <w:right w:val="single" w:sz="4" w:space="0" w:color="auto"/>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 </w:t>
            </w:r>
          </w:p>
        </w:tc>
        <w:tc>
          <w:tcPr>
            <w:tcW w:w="4123" w:type="pct"/>
            <w:gridSpan w:val="5"/>
            <w:tcBorders>
              <w:top w:val="single" w:sz="8" w:space="0" w:color="auto"/>
              <w:left w:val="nil"/>
              <w:bottom w:val="single" w:sz="4" w:space="0" w:color="auto"/>
              <w:right w:val="single" w:sz="8" w:space="0" w:color="000000"/>
            </w:tcBorders>
            <w:shd w:val="clear" w:color="FFFFCC" w:fill="CCCCFF"/>
            <w:vAlign w:val="center"/>
          </w:tcPr>
          <w:p w:rsidR="00D50DB1" w:rsidRDefault="00D50DB1" w:rsidP="00094552">
            <w:pPr>
              <w:jc w:val="center"/>
              <w:rPr>
                <w:rFonts w:ascii="Arial" w:hAnsi="Arial" w:cs="Arial"/>
                <w:b/>
                <w:bCs/>
                <w:sz w:val="18"/>
                <w:szCs w:val="18"/>
              </w:rPr>
            </w:pPr>
            <w:r>
              <w:rPr>
                <w:rFonts w:ascii="Arial" w:hAnsi="Arial" w:cs="Arial"/>
                <w:b/>
                <w:bCs/>
                <w:sz w:val="18"/>
                <w:szCs w:val="18"/>
              </w:rPr>
              <w:t>Final sample - students within schools after school replacement</w:t>
            </w:r>
          </w:p>
        </w:tc>
      </w:tr>
      <w:tr w:rsidR="00D50DB1" w:rsidTr="00DB1FED">
        <w:trPr>
          <w:trHeight w:val="300"/>
        </w:trPr>
        <w:tc>
          <w:tcPr>
            <w:tcW w:w="877" w:type="pct"/>
            <w:vMerge/>
            <w:tcBorders>
              <w:top w:val="single" w:sz="8" w:space="0" w:color="auto"/>
              <w:left w:val="single" w:sz="8" w:space="0" w:color="auto"/>
              <w:bottom w:val="nil"/>
              <w:right w:val="single" w:sz="4" w:space="0" w:color="auto"/>
            </w:tcBorders>
            <w:vAlign w:val="center"/>
          </w:tcPr>
          <w:p w:rsidR="00D50DB1" w:rsidRDefault="00D50DB1" w:rsidP="00094552">
            <w:pPr>
              <w:rPr>
                <w:rFonts w:ascii="Arial" w:hAnsi="Arial" w:cs="Arial"/>
                <w:b/>
                <w:bCs/>
                <w:sz w:val="14"/>
                <w:szCs w:val="14"/>
              </w:rPr>
            </w:pPr>
          </w:p>
        </w:tc>
        <w:tc>
          <w:tcPr>
            <w:tcW w:w="846" w:type="pct"/>
            <w:tcBorders>
              <w:top w:val="nil"/>
              <w:left w:val="single" w:sz="4" w:space="0" w:color="auto"/>
              <w:bottom w:val="single" w:sz="4" w:space="0" w:color="auto"/>
              <w:right w:val="nil"/>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(11)</w:t>
            </w:r>
          </w:p>
        </w:tc>
        <w:tc>
          <w:tcPr>
            <w:tcW w:w="768" w:type="pct"/>
            <w:tcBorders>
              <w:top w:val="nil"/>
              <w:left w:val="single" w:sz="4" w:space="0" w:color="969696"/>
              <w:bottom w:val="single" w:sz="4" w:space="0" w:color="auto"/>
              <w:right w:val="single" w:sz="4" w:space="0" w:color="969696"/>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(12)</w:t>
            </w:r>
          </w:p>
        </w:tc>
        <w:tc>
          <w:tcPr>
            <w:tcW w:w="768" w:type="pct"/>
            <w:tcBorders>
              <w:top w:val="nil"/>
              <w:left w:val="nil"/>
              <w:bottom w:val="single" w:sz="4" w:space="0" w:color="auto"/>
              <w:right w:val="nil"/>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(13)</w:t>
            </w:r>
          </w:p>
        </w:tc>
        <w:tc>
          <w:tcPr>
            <w:tcW w:w="870" w:type="pct"/>
            <w:tcBorders>
              <w:top w:val="nil"/>
              <w:left w:val="single" w:sz="4" w:space="0" w:color="969696"/>
              <w:bottom w:val="single" w:sz="4" w:space="0" w:color="auto"/>
              <w:right w:val="single" w:sz="4" w:space="0" w:color="969696"/>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(14)</w:t>
            </w:r>
          </w:p>
        </w:tc>
        <w:tc>
          <w:tcPr>
            <w:tcW w:w="870" w:type="pct"/>
            <w:tcBorders>
              <w:top w:val="nil"/>
              <w:left w:val="nil"/>
              <w:bottom w:val="single" w:sz="4" w:space="0" w:color="auto"/>
              <w:right w:val="single" w:sz="8" w:space="0" w:color="auto"/>
            </w:tcBorders>
            <w:shd w:val="clear" w:color="FFFFCC" w:fill="CCCCFF"/>
          </w:tcPr>
          <w:p w:rsidR="00D50DB1" w:rsidRDefault="00D50DB1" w:rsidP="00094552">
            <w:pPr>
              <w:jc w:val="center"/>
              <w:rPr>
                <w:rFonts w:ascii="Arial" w:hAnsi="Arial" w:cs="Arial"/>
                <w:b/>
                <w:bCs/>
                <w:sz w:val="14"/>
                <w:szCs w:val="14"/>
              </w:rPr>
            </w:pPr>
            <w:r>
              <w:rPr>
                <w:rFonts w:ascii="Arial" w:hAnsi="Arial" w:cs="Arial"/>
                <w:b/>
                <w:bCs/>
                <w:sz w:val="14"/>
                <w:szCs w:val="14"/>
              </w:rPr>
              <w:t>(15)</w:t>
            </w:r>
          </w:p>
        </w:tc>
      </w:tr>
      <w:tr w:rsidR="00D50DB1" w:rsidTr="00DB1FED">
        <w:trPr>
          <w:trHeight w:val="1168"/>
        </w:trPr>
        <w:tc>
          <w:tcPr>
            <w:tcW w:w="877" w:type="pct"/>
            <w:vMerge/>
            <w:tcBorders>
              <w:top w:val="single" w:sz="8" w:space="0" w:color="auto"/>
              <w:left w:val="single" w:sz="8" w:space="0" w:color="auto"/>
              <w:bottom w:val="nil"/>
              <w:right w:val="single" w:sz="4" w:space="0" w:color="auto"/>
            </w:tcBorders>
            <w:vAlign w:val="center"/>
          </w:tcPr>
          <w:p w:rsidR="00D50DB1" w:rsidRDefault="00D50DB1" w:rsidP="00094552">
            <w:pPr>
              <w:rPr>
                <w:rFonts w:ascii="Arial" w:hAnsi="Arial" w:cs="Arial"/>
                <w:b/>
                <w:bCs/>
                <w:sz w:val="14"/>
                <w:szCs w:val="14"/>
              </w:rPr>
            </w:pPr>
          </w:p>
        </w:tc>
        <w:tc>
          <w:tcPr>
            <w:tcW w:w="846" w:type="pct"/>
            <w:tcBorders>
              <w:top w:val="nil"/>
              <w:left w:val="nil"/>
              <w:bottom w:val="nil"/>
              <w:right w:val="nil"/>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 xml:space="preserve">Weighted student participation rate after replacement </w:t>
            </w:r>
            <w:r>
              <w:rPr>
                <w:rFonts w:ascii="Arial" w:hAnsi="Arial" w:cs="Arial"/>
                <w:b/>
                <w:bCs/>
                <w:sz w:val="14"/>
                <w:szCs w:val="14"/>
              </w:rPr>
              <w:br/>
              <w:t>(%)</w:t>
            </w:r>
          </w:p>
        </w:tc>
        <w:tc>
          <w:tcPr>
            <w:tcW w:w="768" w:type="pct"/>
            <w:tcBorders>
              <w:top w:val="nil"/>
              <w:left w:val="single" w:sz="4" w:space="0" w:color="969696"/>
              <w:bottom w:val="nil"/>
              <w:right w:val="single" w:sz="4" w:space="0" w:color="969696"/>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students assessed</w:t>
            </w:r>
            <w:r>
              <w:rPr>
                <w:rFonts w:ascii="Arial" w:hAnsi="Arial" w:cs="Arial"/>
                <w:b/>
                <w:bCs/>
                <w:sz w:val="14"/>
                <w:szCs w:val="14"/>
              </w:rPr>
              <w:br/>
              <w:t>(weighted)</w:t>
            </w:r>
          </w:p>
        </w:tc>
        <w:tc>
          <w:tcPr>
            <w:tcW w:w="768" w:type="pct"/>
            <w:tcBorders>
              <w:top w:val="nil"/>
              <w:left w:val="nil"/>
              <w:bottom w:val="nil"/>
              <w:right w:val="nil"/>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students sampled</w:t>
            </w:r>
            <w:r>
              <w:rPr>
                <w:rFonts w:ascii="Arial" w:hAnsi="Arial" w:cs="Arial"/>
                <w:b/>
                <w:bCs/>
                <w:sz w:val="14"/>
                <w:szCs w:val="14"/>
              </w:rPr>
              <w:br/>
              <w:t>(assessed and absent)</w:t>
            </w:r>
            <w:r>
              <w:rPr>
                <w:rFonts w:ascii="Arial" w:hAnsi="Arial" w:cs="Arial"/>
                <w:b/>
                <w:bCs/>
                <w:sz w:val="14"/>
                <w:szCs w:val="14"/>
              </w:rPr>
              <w:br/>
              <w:t>(weighted)</w:t>
            </w:r>
          </w:p>
        </w:tc>
        <w:tc>
          <w:tcPr>
            <w:tcW w:w="870" w:type="pct"/>
            <w:tcBorders>
              <w:top w:val="nil"/>
              <w:left w:val="single" w:sz="4" w:space="0" w:color="969696"/>
              <w:bottom w:val="nil"/>
              <w:right w:val="single" w:sz="4" w:space="0" w:color="969696"/>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students assessed</w:t>
            </w:r>
            <w:r>
              <w:rPr>
                <w:rFonts w:ascii="Arial" w:hAnsi="Arial" w:cs="Arial"/>
                <w:b/>
                <w:bCs/>
                <w:sz w:val="14"/>
                <w:szCs w:val="14"/>
              </w:rPr>
              <w:br/>
              <w:t>(</w:t>
            </w:r>
            <w:proofErr w:type="spellStart"/>
            <w:r>
              <w:rPr>
                <w:rFonts w:ascii="Arial" w:hAnsi="Arial" w:cs="Arial"/>
                <w:b/>
                <w:bCs/>
                <w:sz w:val="14"/>
                <w:szCs w:val="14"/>
              </w:rPr>
              <w:t>unweighted</w:t>
            </w:r>
            <w:proofErr w:type="spellEnd"/>
            <w:r>
              <w:rPr>
                <w:rFonts w:ascii="Arial" w:hAnsi="Arial" w:cs="Arial"/>
                <w:b/>
                <w:bCs/>
                <w:sz w:val="14"/>
                <w:szCs w:val="14"/>
              </w:rPr>
              <w:t>)</w:t>
            </w:r>
          </w:p>
        </w:tc>
        <w:tc>
          <w:tcPr>
            <w:tcW w:w="870" w:type="pct"/>
            <w:tcBorders>
              <w:top w:val="nil"/>
              <w:left w:val="nil"/>
              <w:bottom w:val="nil"/>
              <w:right w:val="single" w:sz="8" w:space="0" w:color="auto"/>
            </w:tcBorders>
            <w:shd w:val="clear" w:color="FFFFCC" w:fill="CCCCFF"/>
            <w:vAlign w:val="bottom"/>
          </w:tcPr>
          <w:p w:rsidR="00D50DB1" w:rsidRDefault="00D50DB1" w:rsidP="00094552">
            <w:pPr>
              <w:jc w:val="center"/>
              <w:rPr>
                <w:rFonts w:ascii="Arial" w:hAnsi="Arial" w:cs="Arial"/>
                <w:b/>
                <w:bCs/>
                <w:sz w:val="14"/>
                <w:szCs w:val="14"/>
              </w:rPr>
            </w:pPr>
            <w:r>
              <w:rPr>
                <w:rFonts w:ascii="Arial" w:hAnsi="Arial" w:cs="Arial"/>
                <w:b/>
                <w:bCs/>
                <w:sz w:val="14"/>
                <w:szCs w:val="14"/>
              </w:rPr>
              <w:t>Number of students sampled</w:t>
            </w:r>
            <w:r>
              <w:rPr>
                <w:rFonts w:ascii="Arial" w:hAnsi="Arial" w:cs="Arial"/>
                <w:b/>
                <w:bCs/>
                <w:sz w:val="14"/>
                <w:szCs w:val="14"/>
              </w:rPr>
              <w:br/>
              <w:t>(assessed and absent)</w:t>
            </w:r>
            <w:r>
              <w:rPr>
                <w:rFonts w:ascii="Arial" w:hAnsi="Arial" w:cs="Arial"/>
                <w:b/>
                <w:bCs/>
                <w:sz w:val="14"/>
                <w:szCs w:val="14"/>
              </w:rPr>
              <w:br/>
              <w:t>(</w:t>
            </w:r>
            <w:proofErr w:type="spellStart"/>
            <w:r>
              <w:rPr>
                <w:rFonts w:ascii="Arial" w:hAnsi="Arial" w:cs="Arial"/>
                <w:b/>
                <w:bCs/>
                <w:sz w:val="14"/>
                <w:szCs w:val="14"/>
              </w:rPr>
              <w:t>unweighted</w:t>
            </w:r>
            <w:proofErr w:type="spellEnd"/>
            <w:r>
              <w:rPr>
                <w:rFonts w:ascii="Arial" w:hAnsi="Arial" w:cs="Arial"/>
                <w:b/>
                <w:bCs/>
                <w:sz w:val="14"/>
                <w:szCs w:val="14"/>
              </w:rPr>
              <w:t>)</w:t>
            </w:r>
          </w:p>
        </w:tc>
      </w:tr>
      <w:tr w:rsidR="00D50DB1" w:rsidTr="00DB1FED">
        <w:trPr>
          <w:trHeight w:val="180"/>
        </w:trPr>
        <w:tc>
          <w:tcPr>
            <w:tcW w:w="877" w:type="pct"/>
            <w:tcBorders>
              <w:top w:val="single" w:sz="4" w:space="0" w:color="auto"/>
              <w:left w:val="single" w:sz="8" w:space="0" w:color="auto"/>
              <w:bottom w:val="nil"/>
              <w:right w:val="single" w:sz="4" w:space="0" w:color="auto"/>
            </w:tcBorders>
            <w:shd w:val="clear" w:color="000000" w:fill="FFFFFF"/>
            <w:noWrap/>
            <w:vAlign w:val="bottom"/>
          </w:tcPr>
          <w:p w:rsidR="00D50DB1" w:rsidRDefault="00D50DB1" w:rsidP="00094552">
            <w:pPr>
              <w:rPr>
                <w:rFonts w:ascii="Arial" w:hAnsi="Arial" w:cs="Arial"/>
                <w:b/>
                <w:bCs/>
                <w:sz w:val="14"/>
                <w:szCs w:val="14"/>
              </w:rPr>
            </w:pPr>
            <w:r>
              <w:rPr>
                <w:rFonts w:ascii="Arial" w:hAnsi="Arial" w:cs="Arial"/>
                <w:b/>
                <w:bCs/>
                <w:sz w:val="14"/>
                <w:szCs w:val="14"/>
              </w:rPr>
              <w:t>OECD</w:t>
            </w:r>
          </w:p>
        </w:tc>
        <w:tc>
          <w:tcPr>
            <w:tcW w:w="846" w:type="pct"/>
            <w:tcBorders>
              <w:top w:val="single" w:sz="4" w:space="0" w:color="auto"/>
              <w:left w:val="single" w:sz="4" w:space="0" w:color="auto"/>
              <w:bottom w:val="nil"/>
              <w:right w:val="single" w:sz="4" w:space="0" w:color="969696"/>
            </w:tcBorders>
            <w:shd w:val="clear" w:color="000000" w:fill="FFFFFF"/>
            <w:vAlign w:val="bottom"/>
          </w:tcPr>
          <w:p w:rsidR="00D50DB1" w:rsidRDefault="00D50DB1" w:rsidP="00094552">
            <w:pPr>
              <w:jc w:val="right"/>
              <w:rPr>
                <w:rFonts w:ascii="Arial" w:hAnsi="Arial" w:cs="Arial"/>
                <w:b/>
                <w:bCs/>
                <w:sz w:val="14"/>
                <w:szCs w:val="14"/>
              </w:rPr>
            </w:pPr>
            <w:r>
              <w:rPr>
                <w:rFonts w:ascii="Arial" w:hAnsi="Arial" w:cs="Arial"/>
                <w:b/>
                <w:bCs/>
                <w:sz w:val="14"/>
                <w:szCs w:val="14"/>
              </w:rPr>
              <w:t> </w:t>
            </w:r>
          </w:p>
        </w:tc>
        <w:tc>
          <w:tcPr>
            <w:tcW w:w="768" w:type="pct"/>
            <w:tcBorders>
              <w:top w:val="single" w:sz="4" w:space="0" w:color="auto"/>
              <w:left w:val="nil"/>
              <w:bottom w:val="nil"/>
              <w:right w:val="single" w:sz="4" w:space="0" w:color="969696"/>
            </w:tcBorders>
            <w:shd w:val="clear" w:color="000000" w:fill="FFFFFF"/>
            <w:vAlign w:val="bottom"/>
          </w:tcPr>
          <w:p w:rsidR="00D50DB1" w:rsidRDefault="00D50DB1" w:rsidP="00094552">
            <w:pPr>
              <w:jc w:val="right"/>
              <w:rPr>
                <w:rFonts w:ascii="Arial" w:hAnsi="Arial" w:cs="Arial"/>
                <w:b/>
                <w:bCs/>
                <w:sz w:val="14"/>
                <w:szCs w:val="14"/>
              </w:rPr>
            </w:pPr>
            <w:r>
              <w:rPr>
                <w:rFonts w:ascii="Arial" w:hAnsi="Arial" w:cs="Arial"/>
                <w:b/>
                <w:bCs/>
                <w:sz w:val="14"/>
                <w:szCs w:val="14"/>
              </w:rPr>
              <w:t> </w:t>
            </w:r>
          </w:p>
        </w:tc>
        <w:tc>
          <w:tcPr>
            <w:tcW w:w="768" w:type="pct"/>
            <w:tcBorders>
              <w:top w:val="single" w:sz="4" w:space="0" w:color="auto"/>
              <w:left w:val="nil"/>
              <w:bottom w:val="nil"/>
              <w:right w:val="nil"/>
            </w:tcBorders>
            <w:shd w:val="clear" w:color="000000" w:fill="FFFFFF"/>
            <w:vAlign w:val="bottom"/>
          </w:tcPr>
          <w:p w:rsidR="00D50DB1" w:rsidRDefault="00D50DB1" w:rsidP="00094552">
            <w:pPr>
              <w:jc w:val="right"/>
              <w:rPr>
                <w:rFonts w:ascii="Arial" w:hAnsi="Arial" w:cs="Arial"/>
                <w:b/>
                <w:bCs/>
                <w:sz w:val="14"/>
                <w:szCs w:val="14"/>
              </w:rPr>
            </w:pPr>
            <w:r>
              <w:rPr>
                <w:rFonts w:ascii="Arial" w:hAnsi="Arial" w:cs="Arial"/>
                <w:b/>
                <w:bCs/>
                <w:sz w:val="14"/>
                <w:szCs w:val="14"/>
              </w:rPr>
              <w:t> </w:t>
            </w:r>
          </w:p>
        </w:tc>
        <w:tc>
          <w:tcPr>
            <w:tcW w:w="870" w:type="pct"/>
            <w:tcBorders>
              <w:top w:val="single" w:sz="4" w:space="0" w:color="auto"/>
              <w:left w:val="single" w:sz="4" w:space="0" w:color="969696"/>
              <w:bottom w:val="nil"/>
              <w:right w:val="single" w:sz="4" w:space="0" w:color="969696"/>
            </w:tcBorders>
            <w:shd w:val="clear" w:color="000000" w:fill="FFFFFF"/>
            <w:vAlign w:val="bottom"/>
          </w:tcPr>
          <w:p w:rsidR="00D50DB1" w:rsidRDefault="00D50DB1" w:rsidP="00094552">
            <w:pPr>
              <w:jc w:val="right"/>
              <w:rPr>
                <w:rFonts w:ascii="Arial" w:hAnsi="Arial" w:cs="Arial"/>
                <w:b/>
                <w:bCs/>
                <w:sz w:val="14"/>
                <w:szCs w:val="14"/>
              </w:rPr>
            </w:pPr>
            <w:r>
              <w:rPr>
                <w:rFonts w:ascii="Arial" w:hAnsi="Arial" w:cs="Arial"/>
                <w:b/>
                <w:bCs/>
                <w:sz w:val="14"/>
                <w:szCs w:val="14"/>
              </w:rPr>
              <w:t> </w:t>
            </w:r>
          </w:p>
        </w:tc>
        <w:tc>
          <w:tcPr>
            <w:tcW w:w="870" w:type="pct"/>
            <w:tcBorders>
              <w:top w:val="single" w:sz="4" w:space="0" w:color="auto"/>
              <w:left w:val="nil"/>
              <w:bottom w:val="nil"/>
              <w:right w:val="single" w:sz="8" w:space="0" w:color="auto"/>
            </w:tcBorders>
            <w:shd w:val="clear" w:color="000000" w:fill="FFFFFF"/>
            <w:vAlign w:val="bottom"/>
          </w:tcPr>
          <w:p w:rsidR="00D50DB1" w:rsidRDefault="00D50DB1" w:rsidP="00094552">
            <w:pPr>
              <w:jc w:val="right"/>
              <w:rPr>
                <w:rFonts w:ascii="Arial" w:hAnsi="Arial" w:cs="Arial"/>
                <w:b/>
                <w:bCs/>
                <w:sz w:val="14"/>
                <w:szCs w:val="14"/>
              </w:rPr>
            </w:pPr>
            <w:r>
              <w:rPr>
                <w:rFonts w:ascii="Arial" w:hAnsi="Arial" w:cs="Arial"/>
                <w:b/>
                <w:bCs/>
                <w:sz w:val="14"/>
                <w:szCs w:val="14"/>
              </w:rPr>
              <w:t> </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Australia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86.30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200 410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232 221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14 071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16 590</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Austria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90.81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80 765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88 942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4 925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5 542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Belgium</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92.98</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107 247</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115 343</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8 857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9 492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Canada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81.43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258 789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317 822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22 201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26 329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Czech Republic</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90.62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110 435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121 869</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5 927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6 560</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Denmark</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89.51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49 249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55 018</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4 510</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5 035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Finland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92.78</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56 954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61 387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4 714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5 082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France</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89.78</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641 681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714 695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4 684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5 218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Germany</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92.26</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825 350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894 612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4 884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5 294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Greece</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95.24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91 494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96 070</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4 871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5 116</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Hungary</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93.12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98 716</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106 010</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4 490</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4 823</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Iceland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83.32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3 781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4 538</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3 781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4 538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Ireland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83.75</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46 160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55 114</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4 585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5 469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Italy</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92.30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467 291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506 270</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21 753</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23 465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Japan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99.55</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1 028 039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1 032 727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5 952</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5 971</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Korea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99.04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570 786</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576 314</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5 176</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5 229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Luxembourg</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96.49</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4 567</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4 733</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4 567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4 733</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Mexico</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96.40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1 101 670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1 142 760</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30 885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32 119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Netherlands</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90.15</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161 900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179 592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4 848</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5 375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New Zealand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87.03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44 638</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51 291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4 823</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5 535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Norway</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87.81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50 232</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57 205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4 692</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5 345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Poland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91.70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473 144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515 945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5 547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6 074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Portugal</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86.74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77 053</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88 828</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5 092</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5 862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Slovak Republic</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93.19</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70 837</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76 011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4 729</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5 095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Spain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88.48</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337 710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381 686</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19 604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21 328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Sweden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91.37</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115 210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126 095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4 443</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4 851</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Switzerland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94.94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84 366</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88 861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12 191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12 778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Turkey</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97.59</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649 451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665 477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4 942</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5 057</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United Kingdom</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87.65</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565 955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645 688</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13 050</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15 182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United States</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91.00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2 589 680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2 845 841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5 611</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6 179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b/>
                <w:bCs/>
                <w:sz w:val="14"/>
                <w:szCs w:val="14"/>
              </w:rPr>
            </w:pPr>
            <w:r>
              <w:rPr>
                <w:rFonts w:ascii="Arial" w:hAnsi="Arial" w:cs="Arial"/>
                <w:b/>
                <w:bCs/>
                <w:sz w:val="14"/>
                <w:szCs w:val="14"/>
              </w:rPr>
              <w:t>Partners</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Argentina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89.31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447 966</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501 589</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4 297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4 854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Azerbaijan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98.02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119 024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121 433</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5 184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5 284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Brazil</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90.83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1 692 354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1 863 114</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9 246</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10 408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Bulgaria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94.47</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69 821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73 907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4 498</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4 768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Chile</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93.72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192 205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205 089</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5 233</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5 585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Chinese Taipei</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97.75</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283 168</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289 675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8 815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8 988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Colombia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93.89</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500 459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533 020</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4 478</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4 787</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Croatia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95.63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44 400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46 431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5 213</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5 455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Estonia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94.89</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17 708</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18 662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4 865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5 119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Hong Kong-China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91.51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64 124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70 071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4 645</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5 073</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Indonesia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97.81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2 199 184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2 248 313</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10 647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10 918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Israel</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90.57</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79 246</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87 498</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4 584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5 058</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Jordan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96.26</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86 890</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90 267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6 509</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6 791</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Kyrgyzstan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97.08</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78 319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80 674</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5 904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6 074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Latvia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96.66</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28 255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29 232</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4 719</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4 885</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Liechtenstein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96.03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339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353</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339</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353</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Lithuania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93.76</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47 189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50 329</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4 744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5 061</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Macao-China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97.57</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6 261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6 417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4 760</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4 882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Montenegro</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93.23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6 821</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7 317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4 367</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4 681</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Qatar</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87.34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6 224</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7 126</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6 224</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7 126</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Romania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99.83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223 503</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223 887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5 118</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5 129</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Russian Federation</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96.02</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1 738 842</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1 810 856</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5 799</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6 036</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Serbia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93.91</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69 375</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73 877</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4 798</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5 112</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Slovenia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91.50</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18 489</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20 206</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6 576</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7 194</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Thailand</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98.74</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636 028</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644 125</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6 192</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6 266</w:t>
            </w:r>
          </w:p>
        </w:tc>
      </w:tr>
      <w:tr w:rsidR="00D50DB1" w:rsidTr="00DB1FED">
        <w:trPr>
          <w:trHeight w:val="180"/>
        </w:trPr>
        <w:tc>
          <w:tcPr>
            <w:tcW w:w="877" w:type="pct"/>
            <w:tcBorders>
              <w:top w:val="nil"/>
              <w:left w:val="single" w:sz="8" w:space="0" w:color="auto"/>
              <w:bottom w:val="nil"/>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Tunisia</w:t>
            </w:r>
          </w:p>
        </w:tc>
        <w:tc>
          <w:tcPr>
            <w:tcW w:w="846"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94.53</w:t>
            </w:r>
          </w:p>
        </w:tc>
        <w:tc>
          <w:tcPr>
            <w:tcW w:w="768"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130 922</w:t>
            </w:r>
          </w:p>
        </w:tc>
        <w:tc>
          <w:tcPr>
            <w:tcW w:w="768" w:type="pct"/>
            <w:tcBorders>
              <w:top w:val="nil"/>
              <w:left w:val="nil"/>
              <w:bottom w:val="nil"/>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138 491</w:t>
            </w:r>
          </w:p>
        </w:tc>
        <w:tc>
          <w:tcPr>
            <w:tcW w:w="870" w:type="pct"/>
            <w:tcBorders>
              <w:top w:val="nil"/>
              <w:left w:val="single" w:sz="4" w:space="0" w:color="969696"/>
              <w:bottom w:val="nil"/>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4 640</w:t>
            </w:r>
          </w:p>
        </w:tc>
        <w:tc>
          <w:tcPr>
            <w:tcW w:w="870" w:type="pct"/>
            <w:tcBorders>
              <w:top w:val="nil"/>
              <w:left w:val="nil"/>
              <w:bottom w:val="nil"/>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4 905</w:t>
            </w:r>
          </w:p>
        </w:tc>
      </w:tr>
      <w:tr w:rsidR="00D50DB1" w:rsidTr="00DB1FED">
        <w:trPr>
          <w:trHeight w:val="195"/>
        </w:trPr>
        <w:tc>
          <w:tcPr>
            <w:tcW w:w="877" w:type="pct"/>
            <w:tcBorders>
              <w:top w:val="nil"/>
              <w:left w:val="single" w:sz="8" w:space="0" w:color="auto"/>
              <w:bottom w:val="single" w:sz="8" w:space="0" w:color="auto"/>
              <w:right w:val="single" w:sz="4" w:space="0" w:color="auto"/>
            </w:tcBorders>
            <w:noWrap/>
            <w:vAlign w:val="bottom"/>
          </w:tcPr>
          <w:p w:rsidR="00D50DB1" w:rsidRDefault="00D50DB1" w:rsidP="00094552">
            <w:pPr>
              <w:rPr>
                <w:rFonts w:ascii="Arial" w:hAnsi="Arial" w:cs="Arial"/>
                <w:sz w:val="14"/>
                <w:szCs w:val="14"/>
              </w:rPr>
            </w:pPr>
            <w:r>
              <w:rPr>
                <w:rFonts w:ascii="Arial" w:hAnsi="Arial" w:cs="Arial"/>
                <w:sz w:val="14"/>
                <w:szCs w:val="14"/>
              </w:rPr>
              <w:t>Uruguay</w:t>
            </w:r>
          </w:p>
        </w:tc>
        <w:tc>
          <w:tcPr>
            <w:tcW w:w="846" w:type="pct"/>
            <w:tcBorders>
              <w:top w:val="nil"/>
              <w:left w:val="nil"/>
              <w:bottom w:val="single" w:sz="8" w:space="0" w:color="auto"/>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88.24</w:t>
            </w:r>
          </w:p>
        </w:tc>
        <w:tc>
          <w:tcPr>
            <w:tcW w:w="768" w:type="pct"/>
            <w:tcBorders>
              <w:top w:val="nil"/>
              <w:left w:val="single" w:sz="4" w:space="0" w:color="969696"/>
              <w:bottom w:val="single" w:sz="8" w:space="0" w:color="auto"/>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30 693</w:t>
            </w:r>
          </w:p>
        </w:tc>
        <w:tc>
          <w:tcPr>
            <w:tcW w:w="768" w:type="pct"/>
            <w:tcBorders>
              <w:top w:val="nil"/>
              <w:left w:val="nil"/>
              <w:bottom w:val="single" w:sz="8" w:space="0" w:color="auto"/>
              <w:right w:val="nil"/>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34 784</w:t>
            </w:r>
          </w:p>
        </w:tc>
        <w:tc>
          <w:tcPr>
            <w:tcW w:w="870" w:type="pct"/>
            <w:tcBorders>
              <w:top w:val="nil"/>
              <w:left w:val="single" w:sz="4" w:space="0" w:color="969696"/>
              <w:bottom w:val="single" w:sz="8" w:space="0" w:color="auto"/>
              <w:right w:val="single" w:sz="4" w:space="0" w:color="969696"/>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4 779</w:t>
            </w:r>
          </w:p>
        </w:tc>
        <w:tc>
          <w:tcPr>
            <w:tcW w:w="870" w:type="pct"/>
            <w:tcBorders>
              <w:top w:val="nil"/>
              <w:left w:val="nil"/>
              <w:bottom w:val="single" w:sz="8" w:space="0" w:color="auto"/>
              <w:right w:val="single" w:sz="8" w:space="0" w:color="auto"/>
            </w:tcBorders>
            <w:noWrap/>
            <w:vAlign w:val="bottom"/>
          </w:tcPr>
          <w:p w:rsidR="00D50DB1" w:rsidRDefault="00D50DB1" w:rsidP="00094552">
            <w:pPr>
              <w:jc w:val="right"/>
              <w:rPr>
                <w:rFonts w:ascii="Arial" w:hAnsi="Arial" w:cs="Arial"/>
                <w:sz w:val="14"/>
                <w:szCs w:val="14"/>
              </w:rPr>
            </w:pPr>
            <w:r>
              <w:rPr>
                <w:rFonts w:ascii="Arial" w:hAnsi="Arial" w:cs="Arial"/>
                <w:sz w:val="14"/>
                <w:szCs w:val="14"/>
              </w:rPr>
              <w:t xml:space="preserve"> 5 380</w:t>
            </w:r>
          </w:p>
        </w:tc>
      </w:tr>
    </w:tbl>
    <w:p w:rsidR="00D50DB1" w:rsidRPr="004171B0" w:rsidRDefault="00D50DB1" w:rsidP="009003EB">
      <w:pPr>
        <w:rPr>
          <w:rFonts w:ascii="Arial" w:hAnsi="Arial" w:cs="Arial"/>
          <w:sz w:val="14"/>
          <w:szCs w:val="14"/>
        </w:rPr>
      </w:pPr>
      <w:r w:rsidRPr="004171B0">
        <w:rPr>
          <w:rFonts w:ascii="Arial" w:hAnsi="Arial" w:cs="Arial"/>
          <w:sz w:val="14"/>
          <w:szCs w:val="14"/>
        </w:rPr>
        <w:t>Source: OECD (2007).</w:t>
      </w:r>
      <w:r w:rsidRPr="004171B0">
        <w:rPr>
          <w:rFonts w:ascii="Arial" w:hAnsi="Arial" w:cs="Arial"/>
          <w:i/>
          <w:iCs/>
          <w:sz w:val="14"/>
          <w:szCs w:val="14"/>
        </w:rPr>
        <w:t xml:space="preserve"> PISA 2006 Science Competencies for Tomorrow's World, Volume I.</w:t>
      </w:r>
      <w:r w:rsidRPr="004171B0">
        <w:rPr>
          <w:rFonts w:ascii="Arial" w:hAnsi="Arial" w:cs="Arial"/>
          <w:sz w:val="14"/>
          <w:szCs w:val="14"/>
        </w:rPr>
        <w:t xml:space="preserve"> Paris: Author. </w:t>
      </w:r>
    </w:p>
    <w:p w:rsidR="00D50DB1" w:rsidRDefault="00D50DB1" w:rsidP="001161C6"/>
    <w:sectPr w:rsidR="00D50DB1" w:rsidSect="00AF062B">
      <w:pgSz w:w="12240" w:h="15840" w:code="1"/>
      <w:pgMar w:top="288" w:right="1008"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53F" w:rsidRDefault="004F153F">
      <w:r>
        <w:separator/>
      </w:r>
    </w:p>
  </w:endnote>
  <w:endnote w:type="continuationSeparator" w:id="0">
    <w:p w:rsidR="004F153F" w:rsidRDefault="004F1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3F" w:rsidRDefault="00E644F4">
    <w:pPr>
      <w:pStyle w:val="Footer"/>
      <w:jc w:val="right"/>
    </w:pPr>
    <w:fldSimple w:instr=" PAGE   \* MERGEFORMAT ">
      <w:r w:rsidR="00DB1FED">
        <w:rPr>
          <w:noProof/>
        </w:rPr>
        <w:t>1</w:t>
      </w:r>
    </w:fldSimple>
  </w:p>
  <w:p w:rsidR="004F153F" w:rsidRDefault="004F1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53F" w:rsidRDefault="004F153F">
      <w:r>
        <w:separator/>
      </w:r>
    </w:p>
  </w:footnote>
  <w:footnote w:type="continuationSeparator" w:id="0">
    <w:p w:rsidR="004F153F" w:rsidRDefault="004F153F">
      <w:r>
        <w:continuationSeparator/>
      </w:r>
    </w:p>
  </w:footnote>
  <w:footnote w:id="1">
    <w:p w:rsidR="004F153F" w:rsidRDefault="004F153F">
      <w:r w:rsidRPr="00924A74">
        <w:rPr>
          <w:rStyle w:val="FootnoteReference"/>
          <w:sz w:val="20"/>
        </w:rPr>
        <w:footnoteRef/>
      </w:r>
      <w:r w:rsidRPr="00924A74">
        <w:rPr>
          <w:sz w:val="20"/>
        </w:rPr>
        <w:t xml:space="preserve"> </w:t>
      </w:r>
      <w:r w:rsidRPr="00924A74" w:rsidDel="00A373F8">
        <w:rPr>
          <w:sz w:val="20"/>
        </w:rPr>
        <w:t xml:space="preserve">In PISA 2006, the original school response rate in the </w:t>
      </w:r>
      <w:smartTag w:uri="urn:schemas-microsoft-com:office:smarttags" w:element="country-region">
        <w:r w:rsidRPr="00924A74" w:rsidDel="00A373F8">
          <w:rPr>
            <w:sz w:val="20"/>
          </w:rPr>
          <w:t>United States</w:t>
        </w:r>
      </w:smartTag>
      <w:r w:rsidRPr="00924A74" w:rsidDel="00A373F8">
        <w:rPr>
          <w:sz w:val="20"/>
        </w:rPr>
        <w:t xml:space="preserve"> was 69 percent – the lowest original school response rate of all the OECD countries, followed by the </w:t>
      </w:r>
      <w:smartTag w:uri="urn:schemas-microsoft-com:office:smarttags" w:element="country-region">
        <w:r w:rsidRPr="00924A74" w:rsidDel="00A373F8">
          <w:rPr>
            <w:sz w:val="20"/>
          </w:rPr>
          <w:t>Czech Republic</w:t>
        </w:r>
      </w:smartTag>
      <w:r w:rsidRPr="00924A74" w:rsidDel="00A373F8">
        <w:rPr>
          <w:sz w:val="20"/>
        </w:rPr>
        <w:t xml:space="preserve"> at 73 percent, the </w:t>
      </w:r>
      <w:smartTag w:uri="urn:schemas-microsoft-com:office:smarttags" w:element="country-region">
        <w:r w:rsidRPr="00924A74" w:rsidDel="00A373F8">
          <w:rPr>
            <w:sz w:val="20"/>
          </w:rPr>
          <w:t>Netherlands</w:t>
        </w:r>
      </w:smartTag>
      <w:r w:rsidRPr="00924A74" w:rsidDel="00A373F8">
        <w:rPr>
          <w:sz w:val="20"/>
        </w:rPr>
        <w:t xml:space="preserve"> at 75 percent, and the </w:t>
      </w:r>
      <w:smartTag w:uri="urn:schemas-microsoft-com:office:smarttags" w:element="place">
        <w:smartTag w:uri="urn:schemas-microsoft-com:office:smarttags" w:element="country-region">
          <w:r w:rsidRPr="00924A74" w:rsidDel="00A373F8">
            <w:rPr>
              <w:sz w:val="20"/>
            </w:rPr>
            <w:t>United Kingdom</w:t>
          </w:r>
        </w:smartTag>
      </w:smartTag>
      <w:r w:rsidRPr="00924A74" w:rsidDel="00A373F8">
        <w:rPr>
          <w:sz w:val="20"/>
        </w:rPr>
        <w:t xml:space="preserve"> at 76 percent. Of the remaining OECD countries, 14 had an original school response rate of between 80 and 95 percent, 9 of above 95 percent but below 100 percent, and 3 of a 100 percent.  Including replacement schools, the final school response rate for the </w:t>
      </w:r>
      <w:smartTag w:uri="urn:schemas-microsoft-com:office:smarttags" w:element="country-region">
        <w:r w:rsidRPr="00924A74" w:rsidDel="00A373F8">
          <w:rPr>
            <w:sz w:val="20"/>
          </w:rPr>
          <w:t>United States</w:t>
        </w:r>
      </w:smartTag>
      <w:r w:rsidRPr="00924A74" w:rsidDel="00A373F8">
        <w:rPr>
          <w:sz w:val="20"/>
        </w:rPr>
        <w:t xml:space="preserve"> in PISA 2006 was 79 percent - again the lowest among the OECD countries, which all achieved a final school response rate of above 86 percent (including the </w:t>
      </w:r>
      <w:smartTag w:uri="urn:schemas-microsoft-com:office:smarttags" w:element="place">
        <w:smartTag w:uri="urn:schemas-microsoft-com:office:smarttags" w:element="country-region">
          <w:r w:rsidRPr="00924A74" w:rsidDel="00A373F8">
            <w:rPr>
              <w:sz w:val="20"/>
            </w:rPr>
            <w:t>United Kingdom</w:t>
          </w:r>
        </w:smartTag>
      </w:smartTag>
      <w:r w:rsidRPr="00924A74" w:rsidDel="00A373F8">
        <w:rPr>
          <w:sz w:val="20"/>
        </w:rPr>
        <w:t xml:space="preserve"> at 88 percent).  Among the OECD countries, 7 achieved a final school response rate of between 86 and 95 percent, 16 of above 95 percent but below 100 percent, and 6 of 100 percent. See the attached table from the OECD’s PISA 2006 report for all response rates.</w:t>
      </w:r>
    </w:p>
  </w:footnote>
  <w:footnote w:id="2">
    <w:p w:rsidR="004F153F" w:rsidRDefault="004F153F">
      <w:pPr>
        <w:pStyle w:val="FootnoteText"/>
      </w:pPr>
      <w:r>
        <w:rPr>
          <w:rStyle w:val="FootnoteReference"/>
        </w:rPr>
        <w:footnoteRef/>
      </w:r>
      <w:r>
        <w:t xml:space="preserve"> </w:t>
      </w:r>
      <w:r w:rsidR="00B06F74">
        <w:t xml:space="preserve">As of July 14, 2009, the United States has obligated $7.3 million and spent $5 million. By the end of the data collection effort, at least $8.1 million of the $10 million will be spent. By the end of the project in 2011, all $10 million will be spent regardless of the final school response rate.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3F" w:rsidRPr="00924A74" w:rsidRDefault="004F153F" w:rsidP="00A51193">
    <w:pPr>
      <w:pStyle w:val="Header"/>
      <w:jc w:val="right"/>
      <w:rPr>
        <w:sz w:val="20"/>
      </w:rPr>
    </w:pPr>
    <w:r w:rsidRPr="00924A74">
      <w:rPr>
        <w:sz w:val="20"/>
      </w:rPr>
      <w:t>Proposed modifications to PISA 2009 (</w:t>
    </w:r>
    <w:r w:rsidRPr="00924A74">
      <w:rPr>
        <w:rStyle w:val="Strong"/>
        <w:b w:val="0"/>
        <w:color w:val="000000"/>
        <w:sz w:val="20"/>
      </w:rPr>
      <w:t xml:space="preserve">1850-0755 v.7) incentive plan - </w:t>
    </w:r>
    <w:r w:rsidR="00E644F4" w:rsidRPr="00924A74">
      <w:rPr>
        <w:rStyle w:val="PageNumber"/>
        <w:sz w:val="20"/>
      </w:rPr>
      <w:fldChar w:fldCharType="begin"/>
    </w:r>
    <w:r w:rsidRPr="00924A74">
      <w:rPr>
        <w:rStyle w:val="PageNumber"/>
        <w:sz w:val="20"/>
      </w:rPr>
      <w:instrText xml:space="preserve"> PAGE </w:instrText>
    </w:r>
    <w:r w:rsidR="00E644F4" w:rsidRPr="00924A74">
      <w:rPr>
        <w:rStyle w:val="PageNumber"/>
        <w:sz w:val="20"/>
      </w:rPr>
      <w:fldChar w:fldCharType="separate"/>
    </w:r>
    <w:r w:rsidR="00DB1FED">
      <w:rPr>
        <w:rStyle w:val="PageNumber"/>
        <w:noProof/>
        <w:sz w:val="20"/>
      </w:rPr>
      <w:t>2</w:t>
    </w:r>
    <w:r w:rsidR="00E644F4" w:rsidRPr="00924A74">
      <w:rPr>
        <w:rStyle w:val="PageNumbe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0EF6"/>
    <w:multiLevelType w:val="hybridMultilevel"/>
    <w:tmpl w:val="A742042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3353FEB"/>
    <w:multiLevelType w:val="hybridMultilevel"/>
    <w:tmpl w:val="96723F9E"/>
    <w:lvl w:ilvl="0" w:tplc="43D6B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63166E"/>
    <w:multiLevelType w:val="hybridMultilevel"/>
    <w:tmpl w:val="47DA0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4F50FD"/>
    <w:multiLevelType w:val="hybridMultilevel"/>
    <w:tmpl w:val="705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25F11"/>
    <w:multiLevelType w:val="hybridMultilevel"/>
    <w:tmpl w:val="6DD0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A1146"/>
    <w:multiLevelType w:val="hybridMultilevel"/>
    <w:tmpl w:val="AB4E564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56280"/>
    <w:rsid w:val="00006492"/>
    <w:rsid w:val="00012366"/>
    <w:rsid w:val="00037EED"/>
    <w:rsid w:val="00061CF1"/>
    <w:rsid w:val="00087F5C"/>
    <w:rsid w:val="00094552"/>
    <w:rsid w:val="000947EC"/>
    <w:rsid w:val="000E03A8"/>
    <w:rsid w:val="000E3932"/>
    <w:rsid w:val="001108E2"/>
    <w:rsid w:val="001123FE"/>
    <w:rsid w:val="001161C6"/>
    <w:rsid w:val="00153464"/>
    <w:rsid w:val="00160FA4"/>
    <w:rsid w:val="00167448"/>
    <w:rsid w:val="001D46C5"/>
    <w:rsid w:val="001D4B4A"/>
    <w:rsid w:val="001E1C38"/>
    <w:rsid w:val="00224020"/>
    <w:rsid w:val="002472C9"/>
    <w:rsid w:val="002702CB"/>
    <w:rsid w:val="0029300B"/>
    <w:rsid w:val="002A053B"/>
    <w:rsid w:val="002A1F13"/>
    <w:rsid w:val="002C511D"/>
    <w:rsid w:val="002D7EAF"/>
    <w:rsid w:val="002F7E64"/>
    <w:rsid w:val="0031405D"/>
    <w:rsid w:val="003B42AA"/>
    <w:rsid w:val="003C037D"/>
    <w:rsid w:val="003E73B8"/>
    <w:rsid w:val="003F76F0"/>
    <w:rsid w:val="004171B0"/>
    <w:rsid w:val="004451ED"/>
    <w:rsid w:val="0048026E"/>
    <w:rsid w:val="004A2AB6"/>
    <w:rsid w:val="004A4A10"/>
    <w:rsid w:val="004F153F"/>
    <w:rsid w:val="00500D58"/>
    <w:rsid w:val="00520B78"/>
    <w:rsid w:val="00556956"/>
    <w:rsid w:val="00580C6E"/>
    <w:rsid w:val="005838E4"/>
    <w:rsid w:val="005B3F8B"/>
    <w:rsid w:val="005C309A"/>
    <w:rsid w:val="005D28BF"/>
    <w:rsid w:val="005E37DF"/>
    <w:rsid w:val="005F53FD"/>
    <w:rsid w:val="00604DB5"/>
    <w:rsid w:val="00624042"/>
    <w:rsid w:val="00646D0A"/>
    <w:rsid w:val="00684D5D"/>
    <w:rsid w:val="006B16A1"/>
    <w:rsid w:val="006B18C1"/>
    <w:rsid w:val="006B2D7F"/>
    <w:rsid w:val="007259F9"/>
    <w:rsid w:val="00740C9E"/>
    <w:rsid w:val="00745C65"/>
    <w:rsid w:val="00756280"/>
    <w:rsid w:val="007806E5"/>
    <w:rsid w:val="00782FBA"/>
    <w:rsid w:val="00795ABE"/>
    <w:rsid w:val="0079609E"/>
    <w:rsid w:val="007F62C8"/>
    <w:rsid w:val="00814FF2"/>
    <w:rsid w:val="008615E4"/>
    <w:rsid w:val="008D40F9"/>
    <w:rsid w:val="008E3FE2"/>
    <w:rsid w:val="008F38EA"/>
    <w:rsid w:val="009003EB"/>
    <w:rsid w:val="0090507F"/>
    <w:rsid w:val="00924A74"/>
    <w:rsid w:val="009A0862"/>
    <w:rsid w:val="009E7B3F"/>
    <w:rsid w:val="00A2524F"/>
    <w:rsid w:val="00A373F8"/>
    <w:rsid w:val="00A51193"/>
    <w:rsid w:val="00A52C82"/>
    <w:rsid w:val="00AA70FD"/>
    <w:rsid w:val="00AA7E54"/>
    <w:rsid w:val="00AC3052"/>
    <w:rsid w:val="00AF062B"/>
    <w:rsid w:val="00AF3BFD"/>
    <w:rsid w:val="00B06F74"/>
    <w:rsid w:val="00B1139A"/>
    <w:rsid w:val="00B22E14"/>
    <w:rsid w:val="00BB63B6"/>
    <w:rsid w:val="00BC2E37"/>
    <w:rsid w:val="00BD29BB"/>
    <w:rsid w:val="00C34DAC"/>
    <w:rsid w:val="00C46058"/>
    <w:rsid w:val="00C56558"/>
    <w:rsid w:val="00C575B1"/>
    <w:rsid w:val="00C57F87"/>
    <w:rsid w:val="00CA0271"/>
    <w:rsid w:val="00CB269C"/>
    <w:rsid w:val="00CC349F"/>
    <w:rsid w:val="00CD2B94"/>
    <w:rsid w:val="00CD2DA2"/>
    <w:rsid w:val="00CD6A36"/>
    <w:rsid w:val="00D50DB1"/>
    <w:rsid w:val="00D80688"/>
    <w:rsid w:val="00DB1FED"/>
    <w:rsid w:val="00DF10D3"/>
    <w:rsid w:val="00E3471B"/>
    <w:rsid w:val="00E52B77"/>
    <w:rsid w:val="00E644F4"/>
    <w:rsid w:val="00E7059A"/>
    <w:rsid w:val="00E90EDA"/>
    <w:rsid w:val="00EB4DB5"/>
    <w:rsid w:val="00EF5E8C"/>
    <w:rsid w:val="00F443F2"/>
    <w:rsid w:val="00F77CA9"/>
    <w:rsid w:val="00FA02E7"/>
    <w:rsid w:val="00FA4A86"/>
    <w:rsid w:val="00FC754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04DB5"/>
    <w:pPr>
      <w:spacing w:before="100" w:beforeAutospacing="1" w:after="100" w:afterAutospacing="1"/>
    </w:pPr>
  </w:style>
  <w:style w:type="paragraph" w:customStyle="1" w:styleId="Bodytext">
    <w:name w:val="Body text"/>
    <w:basedOn w:val="NormalWeb"/>
    <w:uiPriority w:val="99"/>
    <w:rsid w:val="007F62C8"/>
    <w:rPr>
      <w:bCs/>
    </w:rPr>
  </w:style>
  <w:style w:type="character" w:styleId="Strong">
    <w:name w:val="Strong"/>
    <w:basedOn w:val="DefaultParagraphFont"/>
    <w:uiPriority w:val="99"/>
    <w:qFormat/>
    <w:rsid w:val="00604DB5"/>
    <w:rPr>
      <w:rFonts w:cs="Times New Roman"/>
      <w:b/>
      <w:bCs/>
    </w:rPr>
  </w:style>
  <w:style w:type="paragraph" w:styleId="BodyText0">
    <w:name w:val="Body Text"/>
    <w:basedOn w:val="Normal"/>
    <w:link w:val="BodyTextChar"/>
    <w:uiPriority w:val="99"/>
    <w:rsid w:val="00CD2DA2"/>
    <w:rPr>
      <w:szCs w:val="20"/>
    </w:rPr>
  </w:style>
  <w:style w:type="character" w:customStyle="1" w:styleId="BodyTextChar">
    <w:name w:val="Body Text Char"/>
    <w:basedOn w:val="DefaultParagraphFont"/>
    <w:link w:val="BodyText0"/>
    <w:uiPriority w:val="99"/>
    <w:locked/>
    <w:rsid w:val="00CD2DA2"/>
    <w:rPr>
      <w:rFonts w:cs="Times New Roman"/>
      <w:sz w:val="24"/>
    </w:rPr>
  </w:style>
  <w:style w:type="character" w:styleId="CommentReference">
    <w:name w:val="annotation reference"/>
    <w:basedOn w:val="DefaultParagraphFont"/>
    <w:uiPriority w:val="99"/>
    <w:semiHidden/>
    <w:rsid w:val="00520B78"/>
    <w:rPr>
      <w:rFonts w:cs="Times New Roman"/>
      <w:sz w:val="16"/>
      <w:szCs w:val="16"/>
    </w:rPr>
  </w:style>
  <w:style w:type="paragraph" w:styleId="CommentText">
    <w:name w:val="annotation text"/>
    <w:basedOn w:val="Normal"/>
    <w:link w:val="CommentTextChar"/>
    <w:uiPriority w:val="99"/>
    <w:semiHidden/>
    <w:rsid w:val="00520B78"/>
    <w:rPr>
      <w:sz w:val="20"/>
      <w:szCs w:val="20"/>
    </w:rPr>
  </w:style>
  <w:style w:type="character" w:customStyle="1" w:styleId="CommentTextChar">
    <w:name w:val="Comment Text Char"/>
    <w:basedOn w:val="DefaultParagraphFont"/>
    <w:link w:val="CommentText"/>
    <w:uiPriority w:val="99"/>
    <w:semiHidden/>
    <w:rsid w:val="00953980"/>
    <w:rPr>
      <w:sz w:val="20"/>
      <w:szCs w:val="20"/>
    </w:rPr>
  </w:style>
  <w:style w:type="paragraph" w:styleId="CommentSubject">
    <w:name w:val="annotation subject"/>
    <w:basedOn w:val="CommentText"/>
    <w:next w:val="CommentText"/>
    <w:link w:val="CommentSubjectChar"/>
    <w:uiPriority w:val="99"/>
    <w:semiHidden/>
    <w:rsid w:val="00520B78"/>
    <w:rPr>
      <w:b/>
      <w:bCs/>
    </w:rPr>
  </w:style>
  <w:style w:type="character" w:customStyle="1" w:styleId="CommentSubjectChar">
    <w:name w:val="Comment Subject Char"/>
    <w:basedOn w:val="CommentTextChar"/>
    <w:link w:val="CommentSubject"/>
    <w:uiPriority w:val="99"/>
    <w:semiHidden/>
    <w:rsid w:val="00953980"/>
    <w:rPr>
      <w:b/>
      <w:bCs/>
    </w:rPr>
  </w:style>
  <w:style w:type="paragraph" w:styleId="BalloonText">
    <w:name w:val="Balloon Text"/>
    <w:basedOn w:val="Normal"/>
    <w:link w:val="BalloonTextChar"/>
    <w:uiPriority w:val="99"/>
    <w:semiHidden/>
    <w:rsid w:val="00520B78"/>
    <w:rPr>
      <w:rFonts w:ascii="Tahoma" w:hAnsi="Tahoma" w:cs="Tahoma"/>
      <w:sz w:val="16"/>
      <w:szCs w:val="16"/>
    </w:rPr>
  </w:style>
  <w:style w:type="character" w:customStyle="1" w:styleId="BalloonTextChar">
    <w:name w:val="Balloon Text Char"/>
    <w:basedOn w:val="DefaultParagraphFont"/>
    <w:link w:val="BalloonText"/>
    <w:uiPriority w:val="99"/>
    <w:semiHidden/>
    <w:rsid w:val="00953980"/>
    <w:rPr>
      <w:sz w:val="0"/>
      <w:szCs w:val="0"/>
    </w:rPr>
  </w:style>
  <w:style w:type="paragraph" w:styleId="FootnoteText">
    <w:name w:val="footnote text"/>
    <w:basedOn w:val="Normal"/>
    <w:link w:val="FootnoteTextChar"/>
    <w:uiPriority w:val="99"/>
    <w:semiHidden/>
    <w:rsid w:val="00DF10D3"/>
    <w:rPr>
      <w:sz w:val="20"/>
      <w:szCs w:val="20"/>
    </w:rPr>
  </w:style>
  <w:style w:type="character" w:customStyle="1" w:styleId="FootnoteTextChar">
    <w:name w:val="Footnote Text Char"/>
    <w:basedOn w:val="DefaultParagraphFont"/>
    <w:link w:val="FootnoteText"/>
    <w:uiPriority w:val="99"/>
    <w:semiHidden/>
    <w:rsid w:val="00953980"/>
    <w:rPr>
      <w:sz w:val="20"/>
      <w:szCs w:val="20"/>
    </w:rPr>
  </w:style>
  <w:style w:type="character" w:styleId="FootnoteReference">
    <w:name w:val="footnote reference"/>
    <w:basedOn w:val="DefaultParagraphFont"/>
    <w:uiPriority w:val="99"/>
    <w:semiHidden/>
    <w:rsid w:val="00DF10D3"/>
    <w:rPr>
      <w:rFonts w:cs="Times New Roman"/>
      <w:vertAlign w:val="superscript"/>
    </w:rPr>
  </w:style>
  <w:style w:type="paragraph" w:styleId="Header">
    <w:name w:val="header"/>
    <w:basedOn w:val="Normal"/>
    <w:link w:val="HeaderChar"/>
    <w:uiPriority w:val="99"/>
    <w:rsid w:val="00C57F87"/>
    <w:pPr>
      <w:tabs>
        <w:tab w:val="center" w:pos="4320"/>
        <w:tab w:val="right" w:pos="8640"/>
      </w:tabs>
    </w:pPr>
  </w:style>
  <w:style w:type="character" w:customStyle="1" w:styleId="HeaderChar">
    <w:name w:val="Header Char"/>
    <w:basedOn w:val="DefaultParagraphFont"/>
    <w:link w:val="Header"/>
    <w:uiPriority w:val="99"/>
    <w:semiHidden/>
    <w:rsid w:val="00953980"/>
    <w:rPr>
      <w:sz w:val="24"/>
      <w:szCs w:val="24"/>
    </w:rPr>
  </w:style>
  <w:style w:type="paragraph" w:styleId="Footer">
    <w:name w:val="footer"/>
    <w:basedOn w:val="Normal"/>
    <w:link w:val="FooterChar"/>
    <w:uiPriority w:val="99"/>
    <w:rsid w:val="00C57F87"/>
    <w:pPr>
      <w:tabs>
        <w:tab w:val="center" w:pos="4320"/>
        <w:tab w:val="right" w:pos="8640"/>
      </w:tabs>
    </w:pPr>
  </w:style>
  <w:style w:type="character" w:customStyle="1" w:styleId="FooterChar">
    <w:name w:val="Footer Char"/>
    <w:basedOn w:val="DefaultParagraphFont"/>
    <w:link w:val="Footer"/>
    <w:uiPriority w:val="99"/>
    <w:locked/>
    <w:rsid w:val="004171B0"/>
    <w:rPr>
      <w:rFonts w:cs="Times New Roman"/>
      <w:sz w:val="24"/>
      <w:szCs w:val="24"/>
    </w:rPr>
  </w:style>
  <w:style w:type="character" w:styleId="PageNumber">
    <w:name w:val="page number"/>
    <w:basedOn w:val="DefaultParagraphFont"/>
    <w:uiPriority w:val="99"/>
    <w:rsid w:val="00C57F87"/>
    <w:rPr>
      <w:rFonts w:cs="Times New Roman"/>
    </w:rPr>
  </w:style>
  <w:style w:type="character" w:styleId="Hyperlink">
    <w:name w:val="Hyperlink"/>
    <w:basedOn w:val="DefaultParagraphFont"/>
    <w:uiPriority w:val="99"/>
    <w:semiHidden/>
    <w:rsid w:val="004171B0"/>
    <w:rPr>
      <w:rFonts w:cs="Times New Roman"/>
      <w:color w:val="0000FF"/>
      <w:u w:val="single"/>
    </w:rPr>
  </w:style>
  <w:style w:type="character" w:styleId="FollowedHyperlink">
    <w:name w:val="FollowedHyperlink"/>
    <w:basedOn w:val="DefaultParagraphFont"/>
    <w:uiPriority w:val="99"/>
    <w:semiHidden/>
    <w:rsid w:val="004171B0"/>
    <w:rPr>
      <w:rFonts w:cs="Times New Roman"/>
      <w:color w:val="800080"/>
      <w:u w:val="single"/>
    </w:rPr>
  </w:style>
  <w:style w:type="paragraph" w:customStyle="1" w:styleId="xl105">
    <w:name w:val="xl105"/>
    <w:basedOn w:val="Normal"/>
    <w:uiPriority w:val="99"/>
    <w:rsid w:val="004171B0"/>
    <w:pPr>
      <w:pBdr>
        <w:left w:val="single" w:sz="8" w:space="0" w:color="auto"/>
        <w:right w:val="single" w:sz="4"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06">
    <w:name w:val="xl106"/>
    <w:basedOn w:val="Normal"/>
    <w:uiPriority w:val="99"/>
    <w:rsid w:val="004171B0"/>
    <w:pPr>
      <w:pBdr>
        <w:top w:val="single" w:sz="8" w:space="0" w:color="auto"/>
        <w:left w:val="single" w:sz="8" w:space="0" w:color="auto"/>
        <w:right w:val="single" w:sz="4"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07">
    <w:name w:val="xl107"/>
    <w:basedOn w:val="Normal"/>
    <w:uiPriority w:val="99"/>
    <w:rsid w:val="004171B0"/>
    <w:pPr>
      <w:pBdr>
        <w:top w:val="single" w:sz="8" w:space="0" w:color="auto"/>
        <w:bottom w:val="single" w:sz="4" w:space="0" w:color="auto"/>
        <w:right w:val="single" w:sz="4" w:space="0" w:color="auto"/>
      </w:pBdr>
      <w:shd w:val="clear" w:color="FFFFCC" w:fill="CCCCFF"/>
      <w:spacing w:before="100" w:beforeAutospacing="1" w:after="100" w:afterAutospacing="1"/>
      <w:jc w:val="center"/>
      <w:textAlignment w:val="center"/>
    </w:pPr>
    <w:rPr>
      <w:rFonts w:ascii="Arial" w:hAnsi="Arial" w:cs="Arial"/>
      <w:b/>
      <w:bCs/>
      <w:sz w:val="18"/>
      <w:szCs w:val="18"/>
    </w:rPr>
  </w:style>
  <w:style w:type="paragraph" w:customStyle="1" w:styleId="xl108">
    <w:name w:val="xl108"/>
    <w:basedOn w:val="Normal"/>
    <w:uiPriority w:val="99"/>
    <w:rsid w:val="004171B0"/>
    <w:pPr>
      <w:pBdr>
        <w:top w:val="single" w:sz="8" w:space="0" w:color="auto"/>
        <w:bottom w:val="single" w:sz="4" w:space="0" w:color="auto"/>
      </w:pBdr>
      <w:shd w:val="clear" w:color="FFFFCC" w:fill="CCCCFF"/>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Normal"/>
    <w:uiPriority w:val="99"/>
    <w:rsid w:val="004171B0"/>
    <w:pPr>
      <w:pBdr>
        <w:top w:val="single" w:sz="8" w:space="0" w:color="auto"/>
        <w:bottom w:val="single" w:sz="4" w:space="0" w:color="auto"/>
        <w:right w:val="single" w:sz="8" w:space="0" w:color="auto"/>
      </w:pBdr>
      <w:shd w:val="clear" w:color="FFFFCC" w:fill="CCCCFF"/>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uiPriority w:val="99"/>
    <w:rsid w:val="004171B0"/>
    <w:pPr>
      <w:pBdr>
        <w:top w:val="single" w:sz="8" w:space="0" w:color="auto"/>
        <w:bottom w:val="single" w:sz="4" w:space="0" w:color="auto"/>
      </w:pBdr>
      <w:shd w:val="clear" w:color="FFFFCC" w:fill="CCCCFF"/>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uiPriority w:val="99"/>
    <w:rsid w:val="004171B0"/>
    <w:pPr>
      <w:pBdr>
        <w:top w:val="single" w:sz="8" w:space="0" w:color="auto"/>
        <w:left w:val="single" w:sz="4" w:space="0" w:color="auto"/>
        <w:bottom w:val="single" w:sz="4" w:space="0" w:color="auto"/>
      </w:pBdr>
      <w:shd w:val="clear" w:color="FFFFCC" w:fill="CCCCFF"/>
      <w:spacing w:before="100" w:beforeAutospacing="1" w:after="100" w:afterAutospacing="1"/>
      <w:jc w:val="center"/>
      <w:textAlignment w:val="center"/>
    </w:pPr>
    <w:rPr>
      <w:rFonts w:ascii="Arial" w:hAnsi="Arial" w:cs="Arial"/>
      <w:b/>
      <w:bCs/>
      <w:sz w:val="18"/>
      <w:szCs w:val="18"/>
    </w:rPr>
  </w:style>
  <w:style w:type="paragraph" w:customStyle="1" w:styleId="xl112">
    <w:name w:val="xl112"/>
    <w:basedOn w:val="Normal"/>
    <w:uiPriority w:val="99"/>
    <w:rsid w:val="004171B0"/>
    <w:pPr>
      <w:pBdr>
        <w:top w:val="single" w:sz="4" w:space="0" w:color="auto"/>
        <w:left w:val="single" w:sz="4" w:space="0" w:color="auto"/>
      </w:pBdr>
      <w:shd w:val="clear" w:color="FFFFCC" w:fill="CCCCFF"/>
      <w:spacing w:before="100" w:beforeAutospacing="1" w:after="100" w:afterAutospacing="1"/>
      <w:jc w:val="center"/>
    </w:pPr>
    <w:rPr>
      <w:rFonts w:ascii="Arial" w:hAnsi="Arial" w:cs="Arial"/>
      <w:b/>
      <w:bCs/>
      <w:sz w:val="16"/>
      <w:szCs w:val="16"/>
    </w:rPr>
  </w:style>
  <w:style w:type="paragraph" w:customStyle="1" w:styleId="xl113">
    <w:name w:val="xl113"/>
    <w:basedOn w:val="Normal"/>
    <w:uiPriority w:val="99"/>
    <w:rsid w:val="004171B0"/>
    <w:pPr>
      <w:pBdr>
        <w:top w:val="single" w:sz="4" w:space="0" w:color="auto"/>
        <w:bottom w:val="single" w:sz="4" w:space="0" w:color="auto"/>
        <w:right w:val="single" w:sz="4"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14">
    <w:name w:val="xl114"/>
    <w:basedOn w:val="Normal"/>
    <w:uiPriority w:val="99"/>
    <w:rsid w:val="004171B0"/>
    <w:pPr>
      <w:pBdr>
        <w:top w:val="single" w:sz="4" w:space="0" w:color="auto"/>
        <w:bottom w:val="single" w:sz="4"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15">
    <w:name w:val="xl115"/>
    <w:basedOn w:val="Normal"/>
    <w:uiPriority w:val="99"/>
    <w:rsid w:val="004171B0"/>
    <w:pPr>
      <w:pBdr>
        <w:top w:val="single" w:sz="4" w:space="0" w:color="auto"/>
        <w:left w:val="single" w:sz="4" w:space="0" w:color="969696"/>
        <w:bottom w:val="single" w:sz="4" w:space="0" w:color="auto"/>
        <w:right w:val="single" w:sz="4" w:space="0" w:color="969696"/>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16">
    <w:name w:val="xl116"/>
    <w:basedOn w:val="Normal"/>
    <w:uiPriority w:val="99"/>
    <w:rsid w:val="004171B0"/>
    <w:pPr>
      <w:pBdr>
        <w:top w:val="single" w:sz="4" w:space="0" w:color="auto"/>
        <w:left w:val="single" w:sz="4" w:space="0" w:color="auto"/>
        <w:bottom w:val="single" w:sz="4"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17">
    <w:name w:val="xl117"/>
    <w:basedOn w:val="Normal"/>
    <w:uiPriority w:val="99"/>
    <w:rsid w:val="004171B0"/>
    <w:pPr>
      <w:pBdr>
        <w:top w:val="single" w:sz="4" w:space="0" w:color="auto"/>
        <w:bottom w:val="single" w:sz="4" w:space="0" w:color="auto"/>
        <w:right w:val="single" w:sz="8" w:space="0" w:color="auto"/>
      </w:pBdr>
      <w:shd w:val="clear" w:color="FFFFCC" w:fill="CCCCFF"/>
      <w:spacing w:before="100" w:beforeAutospacing="1" w:after="100" w:afterAutospacing="1"/>
      <w:jc w:val="center"/>
      <w:textAlignment w:val="top"/>
    </w:pPr>
    <w:rPr>
      <w:rFonts w:ascii="Arial" w:hAnsi="Arial" w:cs="Arial"/>
      <w:b/>
      <w:bCs/>
      <w:sz w:val="14"/>
      <w:szCs w:val="14"/>
    </w:rPr>
  </w:style>
  <w:style w:type="paragraph" w:customStyle="1" w:styleId="xl118">
    <w:name w:val="xl118"/>
    <w:basedOn w:val="Normal"/>
    <w:uiPriority w:val="99"/>
    <w:rsid w:val="004171B0"/>
    <w:pPr>
      <w:pBdr>
        <w:top w:val="single" w:sz="4" w:space="0" w:color="auto"/>
        <w:left w:val="single" w:sz="4" w:space="0" w:color="auto"/>
      </w:pBdr>
      <w:shd w:val="clear" w:color="FFFFCC" w:fill="CCCCFF"/>
      <w:spacing w:before="100" w:beforeAutospacing="1" w:after="100" w:afterAutospacing="1"/>
      <w:jc w:val="center"/>
    </w:pPr>
    <w:rPr>
      <w:rFonts w:ascii="Arial" w:hAnsi="Arial" w:cs="Arial"/>
      <w:b/>
      <w:bCs/>
      <w:sz w:val="14"/>
      <w:szCs w:val="14"/>
    </w:rPr>
  </w:style>
  <w:style w:type="paragraph" w:customStyle="1" w:styleId="xl119">
    <w:name w:val="xl119"/>
    <w:basedOn w:val="Normal"/>
    <w:uiPriority w:val="99"/>
    <w:rsid w:val="004171B0"/>
    <w:pPr>
      <w:pBdr>
        <w:top w:val="single" w:sz="4" w:space="0" w:color="auto"/>
        <w:left w:val="single" w:sz="4" w:space="0" w:color="969696"/>
        <w:right w:val="single" w:sz="4" w:space="0" w:color="969696"/>
      </w:pBdr>
      <w:shd w:val="clear" w:color="FFFFCC" w:fill="CCCCFF"/>
      <w:spacing w:before="100" w:beforeAutospacing="1" w:after="100" w:afterAutospacing="1"/>
      <w:jc w:val="center"/>
    </w:pPr>
    <w:rPr>
      <w:rFonts w:ascii="Arial" w:hAnsi="Arial" w:cs="Arial"/>
      <w:b/>
      <w:bCs/>
      <w:sz w:val="14"/>
      <w:szCs w:val="14"/>
    </w:rPr>
  </w:style>
  <w:style w:type="paragraph" w:customStyle="1" w:styleId="xl120">
    <w:name w:val="xl120"/>
    <w:basedOn w:val="Normal"/>
    <w:uiPriority w:val="99"/>
    <w:rsid w:val="004171B0"/>
    <w:pPr>
      <w:pBdr>
        <w:top w:val="single" w:sz="4" w:space="0" w:color="auto"/>
      </w:pBdr>
      <w:shd w:val="clear" w:color="FFFFCC" w:fill="CCCCFF"/>
      <w:spacing w:before="100" w:beforeAutospacing="1" w:after="100" w:afterAutospacing="1"/>
      <w:jc w:val="center"/>
    </w:pPr>
    <w:rPr>
      <w:rFonts w:ascii="Arial" w:hAnsi="Arial" w:cs="Arial"/>
      <w:b/>
      <w:bCs/>
      <w:sz w:val="14"/>
      <w:szCs w:val="14"/>
    </w:rPr>
  </w:style>
  <w:style w:type="paragraph" w:customStyle="1" w:styleId="xl121">
    <w:name w:val="xl121"/>
    <w:basedOn w:val="Normal"/>
    <w:uiPriority w:val="99"/>
    <w:rsid w:val="004171B0"/>
    <w:pPr>
      <w:pBdr>
        <w:top w:val="single" w:sz="4" w:space="0" w:color="auto"/>
        <w:right w:val="single" w:sz="4" w:space="0" w:color="auto"/>
      </w:pBdr>
      <w:shd w:val="clear" w:color="FFFFCC" w:fill="CCCCFF"/>
      <w:spacing w:before="100" w:beforeAutospacing="1" w:after="100" w:afterAutospacing="1"/>
      <w:jc w:val="center"/>
    </w:pPr>
    <w:rPr>
      <w:rFonts w:ascii="Arial" w:hAnsi="Arial" w:cs="Arial"/>
      <w:b/>
      <w:bCs/>
      <w:sz w:val="14"/>
      <w:szCs w:val="14"/>
    </w:rPr>
  </w:style>
  <w:style w:type="paragraph" w:customStyle="1" w:styleId="xl122">
    <w:name w:val="xl122"/>
    <w:basedOn w:val="Normal"/>
    <w:uiPriority w:val="99"/>
    <w:rsid w:val="004171B0"/>
    <w:pPr>
      <w:pBdr>
        <w:top w:val="single" w:sz="4" w:space="0" w:color="auto"/>
        <w:right w:val="single" w:sz="8" w:space="0" w:color="auto"/>
      </w:pBdr>
      <w:shd w:val="clear" w:color="FFFFCC" w:fill="CCCCFF"/>
      <w:spacing w:before="100" w:beforeAutospacing="1" w:after="100" w:afterAutospacing="1"/>
      <w:jc w:val="center"/>
    </w:pPr>
    <w:rPr>
      <w:rFonts w:ascii="Arial" w:hAnsi="Arial" w:cs="Arial"/>
      <w:b/>
      <w:bCs/>
      <w:sz w:val="14"/>
      <w:szCs w:val="14"/>
    </w:rPr>
  </w:style>
  <w:style w:type="paragraph" w:customStyle="1" w:styleId="xl123">
    <w:name w:val="xl123"/>
    <w:basedOn w:val="Normal"/>
    <w:uiPriority w:val="99"/>
    <w:rsid w:val="004171B0"/>
    <w:pPr>
      <w:pBdr>
        <w:bottom w:val="single" w:sz="8" w:space="0" w:color="auto"/>
        <w:right w:val="single" w:sz="8" w:space="0" w:color="auto"/>
      </w:pBdr>
      <w:spacing w:before="100" w:beforeAutospacing="1" w:after="100" w:afterAutospacing="1"/>
      <w:jc w:val="right"/>
    </w:pPr>
    <w:rPr>
      <w:rFonts w:ascii="Arial" w:hAnsi="Arial" w:cs="Arial"/>
      <w:sz w:val="14"/>
      <w:szCs w:val="14"/>
    </w:rPr>
  </w:style>
  <w:style w:type="paragraph" w:customStyle="1" w:styleId="xl124">
    <w:name w:val="xl124"/>
    <w:basedOn w:val="Normal"/>
    <w:uiPriority w:val="99"/>
    <w:rsid w:val="004171B0"/>
    <w:pPr>
      <w:pBdr>
        <w:bottom w:val="single" w:sz="8"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25">
    <w:name w:val="xl125"/>
    <w:basedOn w:val="Normal"/>
    <w:uiPriority w:val="99"/>
    <w:rsid w:val="004171B0"/>
    <w:pPr>
      <w:pBdr>
        <w:bottom w:val="single" w:sz="8" w:space="0" w:color="auto"/>
      </w:pBdr>
      <w:spacing w:before="100" w:beforeAutospacing="1" w:after="100" w:afterAutospacing="1"/>
      <w:jc w:val="right"/>
    </w:pPr>
    <w:rPr>
      <w:rFonts w:ascii="Arial" w:hAnsi="Arial" w:cs="Arial"/>
      <w:sz w:val="14"/>
      <w:szCs w:val="14"/>
    </w:rPr>
  </w:style>
  <w:style w:type="paragraph" w:customStyle="1" w:styleId="xl126">
    <w:name w:val="xl126"/>
    <w:basedOn w:val="Normal"/>
    <w:uiPriority w:val="99"/>
    <w:rsid w:val="004171B0"/>
    <w:pPr>
      <w:pBdr>
        <w:left w:val="single" w:sz="4" w:space="0" w:color="969696"/>
        <w:bottom w:val="single" w:sz="8" w:space="0" w:color="auto"/>
        <w:right w:val="single" w:sz="4" w:space="0" w:color="969696"/>
      </w:pBdr>
      <w:spacing w:before="100" w:beforeAutospacing="1" w:after="100" w:afterAutospacing="1"/>
      <w:jc w:val="right"/>
    </w:pPr>
    <w:rPr>
      <w:rFonts w:ascii="Arial" w:hAnsi="Arial" w:cs="Arial"/>
      <w:sz w:val="14"/>
      <w:szCs w:val="14"/>
    </w:rPr>
  </w:style>
  <w:style w:type="paragraph" w:customStyle="1" w:styleId="xl127">
    <w:name w:val="xl127"/>
    <w:basedOn w:val="Normal"/>
    <w:uiPriority w:val="99"/>
    <w:rsid w:val="004171B0"/>
    <w:pPr>
      <w:pBdr>
        <w:bottom w:val="single" w:sz="8" w:space="0" w:color="auto"/>
      </w:pBdr>
      <w:spacing w:before="100" w:beforeAutospacing="1" w:after="100" w:afterAutospacing="1"/>
      <w:jc w:val="right"/>
    </w:pPr>
    <w:rPr>
      <w:rFonts w:ascii="Arial" w:hAnsi="Arial" w:cs="Arial"/>
      <w:sz w:val="14"/>
      <w:szCs w:val="14"/>
    </w:rPr>
  </w:style>
  <w:style w:type="paragraph" w:customStyle="1" w:styleId="xl128">
    <w:name w:val="xl128"/>
    <w:basedOn w:val="Normal"/>
    <w:uiPriority w:val="99"/>
    <w:rsid w:val="004171B0"/>
    <w:pPr>
      <w:pBdr>
        <w:left w:val="single" w:sz="8"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129">
    <w:name w:val="xl129"/>
    <w:basedOn w:val="Normal"/>
    <w:uiPriority w:val="99"/>
    <w:rsid w:val="004171B0"/>
    <w:pPr>
      <w:pBdr>
        <w:left w:val="single" w:sz="4" w:space="0" w:color="auto"/>
      </w:pBdr>
      <w:spacing w:before="100" w:beforeAutospacing="1" w:after="100" w:afterAutospacing="1"/>
      <w:jc w:val="right"/>
    </w:pPr>
    <w:rPr>
      <w:rFonts w:ascii="Arial" w:hAnsi="Arial" w:cs="Arial"/>
      <w:sz w:val="14"/>
      <w:szCs w:val="14"/>
    </w:rPr>
  </w:style>
  <w:style w:type="paragraph" w:customStyle="1" w:styleId="xl130">
    <w:name w:val="xl130"/>
    <w:basedOn w:val="Normal"/>
    <w:uiPriority w:val="99"/>
    <w:rsid w:val="004171B0"/>
    <w:pPr>
      <w:pBdr>
        <w:left w:val="single" w:sz="4" w:space="0" w:color="auto"/>
      </w:pBdr>
      <w:spacing w:before="100" w:beforeAutospacing="1" w:after="100" w:afterAutospacing="1"/>
      <w:jc w:val="right"/>
    </w:pPr>
    <w:rPr>
      <w:rFonts w:ascii="Arial" w:hAnsi="Arial" w:cs="Arial"/>
      <w:sz w:val="14"/>
      <w:szCs w:val="14"/>
    </w:rPr>
  </w:style>
  <w:style w:type="paragraph" w:customStyle="1" w:styleId="xl131">
    <w:name w:val="xl131"/>
    <w:basedOn w:val="Normal"/>
    <w:uiPriority w:val="99"/>
    <w:rsid w:val="004171B0"/>
    <w:pPr>
      <w:pBdr>
        <w:left w:val="single" w:sz="8" w:space="0" w:color="auto"/>
        <w:right w:val="single" w:sz="4" w:space="0" w:color="auto"/>
      </w:pBdr>
      <w:spacing w:before="100" w:beforeAutospacing="1" w:after="100" w:afterAutospacing="1"/>
    </w:pPr>
    <w:rPr>
      <w:rFonts w:ascii="Arial" w:hAnsi="Arial" w:cs="Arial"/>
      <w:b/>
      <w:bCs/>
      <w:sz w:val="14"/>
      <w:szCs w:val="14"/>
    </w:rPr>
  </w:style>
  <w:style w:type="paragraph" w:customStyle="1" w:styleId="xl132">
    <w:name w:val="xl132"/>
    <w:basedOn w:val="Normal"/>
    <w:uiPriority w:val="99"/>
    <w:rsid w:val="004171B0"/>
    <w:pPr>
      <w:spacing w:before="100" w:beforeAutospacing="1" w:after="100" w:afterAutospacing="1"/>
      <w:jc w:val="right"/>
    </w:pPr>
    <w:rPr>
      <w:rFonts w:ascii="Arial" w:hAnsi="Arial" w:cs="Arial"/>
      <w:sz w:val="14"/>
      <w:szCs w:val="14"/>
    </w:rPr>
  </w:style>
  <w:style w:type="paragraph" w:customStyle="1" w:styleId="xl133">
    <w:name w:val="xl133"/>
    <w:basedOn w:val="Normal"/>
    <w:uiPriority w:val="99"/>
    <w:rsid w:val="004171B0"/>
    <w:pPr>
      <w:pBdr>
        <w:left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134">
    <w:name w:val="xl134"/>
    <w:basedOn w:val="Normal"/>
    <w:uiPriority w:val="99"/>
    <w:rsid w:val="004171B0"/>
    <w:pPr>
      <w:pBdr>
        <w:right w:val="single" w:sz="8" w:space="0" w:color="auto"/>
      </w:pBdr>
      <w:spacing w:before="100" w:beforeAutospacing="1" w:after="100" w:afterAutospacing="1"/>
      <w:jc w:val="right"/>
    </w:pPr>
    <w:rPr>
      <w:rFonts w:ascii="Arial" w:hAnsi="Arial" w:cs="Arial"/>
      <w:sz w:val="14"/>
      <w:szCs w:val="14"/>
    </w:rPr>
  </w:style>
  <w:style w:type="paragraph" w:customStyle="1" w:styleId="xl135">
    <w:name w:val="xl135"/>
    <w:basedOn w:val="Normal"/>
    <w:uiPriority w:val="99"/>
    <w:rsid w:val="004171B0"/>
    <w:pPr>
      <w:pBdr>
        <w:right w:val="single" w:sz="4" w:space="0" w:color="auto"/>
      </w:pBdr>
      <w:spacing w:before="100" w:beforeAutospacing="1" w:after="100" w:afterAutospacing="1"/>
      <w:jc w:val="right"/>
    </w:pPr>
    <w:rPr>
      <w:rFonts w:ascii="Arial" w:hAnsi="Arial" w:cs="Arial"/>
      <w:sz w:val="14"/>
      <w:szCs w:val="14"/>
    </w:rPr>
  </w:style>
  <w:style w:type="paragraph" w:customStyle="1" w:styleId="xl136">
    <w:name w:val="xl136"/>
    <w:basedOn w:val="Normal"/>
    <w:uiPriority w:val="99"/>
    <w:rsid w:val="004171B0"/>
    <w:pPr>
      <w:spacing w:before="100" w:beforeAutospacing="1" w:after="100" w:afterAutospacing="1"/>
      <w:jc w:val="right"/>
    </w:pPr>
    <w:rPr>
      <w:rFonts w:ascii="Arial" w:hAnsi="Arial" w:cs="Arial"/>
      <w:sz w:val="14"/>
      <w:szCs w:val="14"/>
    </w:rPr>
  </w:style>
  <w:style w:type="paragraph" w:customStyle="1" w:styleId="xl137">
    <w:name w:val="xl137"/>
    <w:basedOn w:val="Normal"/>
    <w:uiPriority w:val="99"/>
    <w:rsid w:val="004171B0"/>
    <w:pPr>
      <w:pBdr>
        <w:left w:val="single" w:sz="4" w:space="0" w:color="969696"/>
        <w:right w:val="single" w:sz="4" w:space="0" w:color="969696"/>
      </w:pBdr>
      <w:spacing w:before="100" w:beforeAutospacing="1" w:after="100" w:afterAutospacing="1"/>
      <w:jc w:val="right"/>
    </w:pPr>
    <w:rPr>
      <w:rFonts w:ascii="Arial" w:hAnsi="Arial" w:cs="Arial"/>
      <w:sz w:val="14"/>
      <w:szCs w:val="14"/>
    </w:rPr>
  </w:style>
  <w:style w:type="paragraph" w:customStyle="1" w:styleId="xl138">
    <w:name w:val="xl138"/>
    <w:basedOn w:val="Normal"/>
    <w:uiPriority w:val="99"/>
    <w:rsid w:val="004171B0"/>
    <w:pPr>
      <w:spacing w:before="100" w:beforeAutospacing="1" w:after="100" w:afterAutospacing="1"/>
      <w:jc w:val="right"/>
    </w:pPr>
    <w:rPr>
      <w:rFonts w:ascii="Arial" w:hAnsi="Arial" w:cs="Arial"/>
      <w:sz w:val="14"/>
      <w:szCs w:val="14"/>
    </w:rPr>
  </w:style>
  <w:style w:type="paragraph" w:customStyle="1" w:styleId="xl139">
    <w:name w:val="xl139"/>
    <w:basedOn w:val="Normal"/>
    <w:uiPriority w:val="99"/>
    <w:rsid w:val="004171B0"/>
    <w:pPr>
      <w:pBdr>
        <w:left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140">
    <w:name w:val="xl140"/>
    <w:basedOn w:val="Normal"/>
    <w:uiPriority w:val="99"/>
    <w:rsid w:val="004171B0"/>
    <w:pPr>
      <w:spacing w:before="100" w:beforeAutospacing="1" w:after="100" w:afterAutospacing="1"/>
    </w:pPr>
    <w:rPr>
      <w:sz w:val="14"/>
      <w:szCs w:val="14"/>
    </w:rPr>
  </w:style>
  <w:style w:type="paragraph" w:customStyle="1" w:styleId="xl141">
    <w:name w:val="xl141"/>
    <w:basedOn w:val="Normal"/>
    <w:uiPriority w:val="99"/>
    <w:rsid w:val="004171B0"/>
    <w:pPr>
      <w:pBdr>
        <w:top w:val="single" w:sz="4" w:space="0" w:color="auto"/>
        <w:right w:val="single" w:sz="8" w:space="0" w:color="auto"/>
      </w:pBdr>
      <w:shd w:val="clear" w:color="000000" w:fill="FFFFFF"/>
      <w:spacing w:before="100" w:beforeAutospacing="1" w:after="100" w:afterAutospacing="1"/>
      <w:jc w:val="right"/>
    </w:pPr>
    <w:rPr>
      <w:rFonts w:ascii="Arial" w:hAnsi="Arial" w:cs="Arial"/>
      <w:b/>
      <w:bCs/>
      <w:sz w:val="14"/>
      <w:szCs w:val="14"/>
    </w:rPr>
  </w:style>
  <w:style w:type="paragraph" w:customStyle="1" w:styleId="xl142">
    <w:name w:val="xl142"/>
    <w:basedOn w:val="Normal"/>
    <w:uiPriority w:val="99"/>
    <w:rsid w:val="004171B0"/>
    <w:pPr>
      <w:pBdr>
        <w:top w:val="single" w:sz="4" w:space="0" w:color="auto"/>
      </w:pBdr>
      <w:shd w:val="clear" w:color="000000" w:fill="FFFFFF"/>
      <w:spacing w:before="100" w:beforeAutospacing="1" w:after="100" w:afterAutospacing="1"/>
      <w:jc w:val="right"/>
    </w:pPr>
    <w:rPr>
      <w:rFonts w:ascii="Arial" w:hAnsi="Arial" w:cs="Arial"/>
      <w:b/>
      <w:bCs/>
      <w:sz w:val="14"/>
      <w:szCs w:val="14"/>
    </w:rPr>
  </w:style>
  <w:style w:type="paragraph" w:customStyle="1" w:styleId="xl143">
    <w:name w:val="xl143"/>
    <w:basedOn w:val="Normal"/>
    <w:uiPriority w:val="99"/>
    <w:rsid w:val="004171B0"/>
    <w:pPr>
      <w:pBdr>
        <w:top w:val="single" w:sz="4" w:space="0" w:color="auto"/>
        <w:left w:val="single" w:sz="4" w:space="0" w:color="969696"/>
        <w:right w:val="single" w:sz="4" w:space="0" w:color="969696"/>
      </w:pBdr>
      <w:shd w:val="clear" w:color="000000" w:fill="FFFFFF"/>
      <w:spacing w:before="100" w:beforeAutospacing="1" w:after="100" w:afterAutospacing="1"/>
      <w:jc w:val="right"/>
    </w:pPr>
    <w:rPr>
      <w:rFonts w:ascii="Arial" w:hAnsi="Arial" w:cs="Arial"/>
      <w:b/>
      <w:bCs/>
      <w:sz w:val="14"/>
      <w:szCs w:val="14"/>
    </w:rPr>
  </w:style>
  <w:style w:type="paragraph" w:customStyle="1" w:styleId="xl144">
    <w:name w:val="xl144"/>
    <w:basedOn w:val="Normal"/>
    <w:uiPriority w:val="99"/>
    <w:rsid w:val="004171B0"/>
    <w:pPr>
      <w:pBdr>
        <w:top w:val="single" w:sz="4" w:space="0" w:color="auto"/>
        <w:left w:val="single" w:sz="4" w:space="0" w:color="auto"/>
        <w:right w:val="single" w:sz="4" w:space="0" w:color="969696"/>
      </w:pBdr>
      <w:shd w:val="clear" w:color="000000" w:fill="FFFFFF"/>
      <w:spacing w:before="100" w:beforeAutospacing="1" w:after="100" w:afterAutospacing="1"/>
      <w:jc w:val="right"/>
    </w:pPr>
    <w:rPr>
      <w:rFonts w:ascii="Arial" w:hAnsi="Arial" w:cs="Arial"/>
      <w:b/>
      <w:bCs/>
      <w:sz w:val="14"/>
      <w:szCs w:val="14"/>
    </w:rPr>
  </w:style>
  <w:style w:type="paragraph" w:customStyle="1" w:styleId="xl145">
    <w:name w:val="xl145"/>
    <w:basedOn w:val="Normal"/>
    <w:uiPriority w:val="99"/>
    <w:rsid w:val="004171B0"/>
    <w:pPr>
      <w:pBdr>
        <w:top w:val="single" w:sz="4" w:space="0" w:color="auto"/>
      </w:pBdr>
      <w:shd w:val="clear" w:color="000000" w:fill="FFFFFF"/>
      <w:spacing w:before="100" w:beforeAutospacing="1" w:after="100" w:afterAutospacing="1"/>
      <w:jc w:val="right"/>
    </w:pPr>
    <w:rPr>
      <w:rFonts w:ascii="Arial" w:hAnsi="Arial" w:cs="Arial"/>
      <w:sz w:val="14"/>
      <w:szCs w:val="14"/>
    </w:rPr>
  </w:style>
  <w:style w:type="paragraph" w:customStyle="1" w:styleId="xl146">
    <w:name w:val="xl146"/>
    <w:basedOn w:val="Normal"/>
    <w:uiPriority w:val="99"/>
    <w:rsid w:val="004171B0"/>
    <w:pPr>
      <w:pBdr>
        <w:top w:val="single" w:sz="4" w:space="0" w:color="auto"/>
        <w:left w:val="single" w:sz="4" w:space="0" w:color="969696"/>
        <w:right w:val="single" w:sz="4" w:space="0" w:color="969696"/>
      </w:pBdr>
      <w:shd w:val="clear" w:color="000000" w:fill="FFFFFF"/>
      <w:spacing w:before="100" w:beforeAutospacing="1" w:after="100" w:afterAutospacing="1"/>
      <w:jc w:val="right"/>
    </w:pPr>
    <w:rPr>
      <w:rFonts w:ascii="Arial" w:hAnsi="Arial" w:cs="Arial"/>
      <w:sz w:val="14"/>
      <w:szCs w:val="14"/>
    </w:rPr>
  </w:style>
  <w:style w:type="paragraph" w:customStyle="1" w:styleId="xl147">
    <w:name w:val="xl147"/>
    <w:basedOn w:val="Normal"/>
    <w:uiPriority w:val="99"/>
    <w:rsid w:val="004171B0"/>
    <w:pPr>
      <w:pBdr>
        <w:top w:val="single" w:sz="4" w:space="0" w:color="auto"/>
        <w:left w:val="single" w:sz="4" w:space="0" w:color="auto"/>
        <w:right w:val="single" w:sz="4" w:space="0" w:color="969696"/>
      </w:pBdr>
      <w:shd w:val="clear" w:color="000000" w:fill="FFFFFF"/>
      <w:spacing w:before="100" w:beforeAutospacing="1" w:after="100" w:afterAutospacing="1"/>
      <w:jc w:val="right"/>
    </w:pPr>
    <w:rPr>
      <w:rFonts w:ascii="Arial" w:hAnsi="Arial" w:cs="Arial"/>
      <w:sz w:val="14"/>
      <w:szCs w:val="14"/>
    </w:rPr>
  </w:style>
  <w:style w:type="paragraph" w:customStyle="1" w:styleId="xl148">
    <w:name w:val="xl148"/>
    <w:basedOn w:val="Normal"/>
    <w:uiPriority w:val="99"/>
    <w:rsid w:val="004171B0"/>
    <w:pPr>
      <w:pBdr>
        <w:top w:val="single" w:sz="4" w:space="0" w:color="auto"/>
      </w:pBdr>
      <w:shd w:val="clear" w:color="000000" w:fill="FFFFFF"/>
      <w:spacing w:before="100" w:beforeAutospacing="1" w:after="100" w:afterAutospacing="1"/>
      <w:jc w:val="center"/>
    </w:pPr>
    <w:rPr>
      <w:rFonts w:ascii="Arial" w:hAnsi="Arial" w:cs="Arial"/>
      <w:b/>
      <w:bCs/>
      <w:sz w:val="14"/>
      <w:szCs w:val="14"/>
    </w:rPr>
  </w:style>
  <w:style w:type="paragraph" w:customStyle="1" w:styleId="xl149">
    <w:name w:val="xl149"/>
    <w:basedOn w:val="Normal"/>
    <w:uiPriority w:val="99"/>
    <w:rsid w:val="004171B0"/>
    <w:pPr>
      <w:pBdr>
        <w:top w:val="single" w:sz="4" w:space="0" w:color="auto"/>
        <w:left w:val="single" w:sz="4" w:space="0" w:color="969696"/>
        <w:right w:val="single" w:sz="4" w:space="0" w:color="969696"/>
      </w:pBdr>
      <w:shd w:val="clear" w:color="000000" w:fill="FFFFFF"/>
      <w:spacing w:before="100" w:beforeAutospacing="1" w:after="100" w:afterAutospacing="1"/>
      <w:jc w:val="center"/>
    </w:pPr>
    <w:rPr>
      <w:rFonts w:ascii="Arial" w:hAnsi="Arial" w:cs="Arial"/>
      <w:b/>
      <w:bCs/>
      <w:sz w:val="14"/>
      <w:szCs w:val="14"/>
    </w:rPr>
  </w:style>
  <w:style w:type="paragraph" w:customStyle="1" w:styleId="xl150">
    <w:name w:val="xl150"/>
    <w:basedOn w:val="Normal"/>
    <w:uiPriority w:val="99"/>
    <w:rsid w:val="004171B0"/>
    <w:pPr>
      <w:pBdr>
        <w:top w:val="single" w:sz="4" w:space="0" w:color="auto"/>
      </w:pBdr>
      <w:shd w:val="clear" w:color="000000" w:fill="FFFFFF"/>
      <w:spacing w:before="100" w:beforeAutospacing="1" w:after="100" w:afterAutospacing="1"/>
      <w:jc w:val="center"/>
    </w:pPr>
    <w:rPr>
      <w:rFonts w:ascii="Arial" w:hAnsi="Arial" w:cs="Arial"/>
      <w:b/>
      <w:bCs/>
      <w:sz w:val="14"/>
      <w:szCs w:val="14"/>
    </w:rPr>
  </w:style>
  <w:style w:type="paragraph" w:customStyle="1" w:styleId="xl151">
    <w:name w:val="xl151"/>
    <w:basedOn w:val="Normal"/>
    <w:uiPriority w:val="99"/>
    <w:rsid w:val="004171B0"/>
    <w:pPr>
      <w:pBdr>
        <w:top w:val="single" w:sz="4" w:space="0" w:color="auto"/>
        <w:left w:val="single" w:sz="8" w:space="0" w:color="auto"/>
        <w:right w:val="single" w:sz="4" w:space="0" w:color="auto"/>
      </w:pBdr>
      <w:shd w:val="clear" w:color="000000" w:fill="FFFFFF"/>
      <w:spacing w:before="100" w:beforeAutospacing="1" w:after="100" w:afterAutospacing="1"/>
    </w:pPr>
    <w:rPr>
      <w:rFonts w:ascii="Arial" w:hAnsi="Arial" w:cs="Arial"/>
      <w:b/>
      <w:bCs/>
      <w:sz w:val="14"/>
      <w:szCs w:val="14"/>
    </w:rPr>
  </w:style>
</w:styles>
</file>

<file path=word/webSettings.xml><?xml version="1.0" encoding="utf-8"?>
<w:webSettings xmlns:r="http://schemas.openxmlformats.org/officeDocument/2006/relationships" xmlns:w="http://schemas.openxmlformats.org/wordprocessingml/2006/main">
  <w:divs>
    <w:div w:id="689911952">
      <w:marLeft w:val="0"/>
      <w:marRight w:val="0"/>
      <w:marTop w:val="0"/>
      <w:marBottom w:val="0"/>
      <w:divBdr>
        <w:top w:val="none" w:sz="0" w:space="0" w:color="auto"/>
        <w:left w:val="none" w:sz="0" w:space="0" w:color="auto"/>
        <w:bottom w:val="none" w:sz="0" w:space="0" w:color="auto"/>
        <w:right w:val="none" w:sz="0" w:space="0" w:color="auto"/>
      </w:divBdr>
    </w:div>
    <w:div w:id="689911953">
      <w:marLeft w:val="0"/>
      <w:marRight w:val="0"/>
      <w:marTop w:val="0"/>
      <w:marBottom w:val="0"/>
      <w:divBdr>
        <w:top w:val="none" w:sz="0" w:space="0" w:color="auto"/>
        <w:left w:val="none" w:sz="0" w:space="0" w:color="auto"/>
        <w:bottom w:val="none" w:sz="0" w:space="0" w:color="auto"/>
        <w:right w:val="none" w:sz="0" w:space="0" w:color="auto"/>
      </w:divBdr>
      <w:divsChild>
        <w:div w:id="689911955">
          <w:marLeft w:val="0"/>
          <w:marRight w:val="0"/>
          <w:marTop w:val="0"/>
          <w:marBottom w:val="0"/>
          <w:divBdr>
            <w:top w:val="none" w:sz="0" w:space="0" w:color="auto"/>
            <w:left w:val="none" w:sz="0" w:space="0" w:color="auto"/>
            <w:bottom w:val="none" w:sz="0" w:space="0" w:color="auto"/>
            <w:right w:val="none" w:sz="0" w:space="0" w:color="auto"/>
          </w:divBdr>
        </w:div>
      </w:divsChild>
    </w:div>
    <w:div w:id="689911954">
      <w:marLeft w:val="0"/>
      <w:marRight w:val="0"/>
      <w:marTop w:val="0"/>
      <w:marBottom w:val="0"/>
      <w:divBdr>
        <w:top w:val="none" w:sz="0" w:space="0" w:color="auto"/>
        <w:left w:val="none" w:sz="0" w:space="0" w:color="auto"/>
        <w:bottom w:val="none" w:sz="0" w:space="0" w:color="auto"/>
        <w:right w:val="none" w:sz="0" w:space="0" w:color="auto"/>
      </w:divBdr>
    </w:div>
    <w:div w:id="689911956">
      <w:marLeft w:val="0"/>
      <w:marRight w:val="0"/>
      <w:marTop w:val="0"/>
      <w:marBottom w:val="0"/>
      <w:divBdr>
        <w:top w:val="none" w:sz="0" w:space="0" w:color="auto"/>
        <w:left w:val="none" w:sz="0" w:space="0" w:color="auto"/>
        <w:bottom w:val="none" w:sz="0" w:space="0" w:color="auto"/>
        <w:right w:val="none" w:sz="0" w:space="0" w:color="auto"/>
      </w:divBdr>
    </w:div>
    <w:div w:id="68991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BEF2-B0A4-41F0-BB24-CEB9D579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3826</Words>
  <Characters>19057</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Background of PISA 2006</vt:lpstr>
    </vt:vector>
  </TitlesOfParts>
  <Company>RTI International</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of PISA 2006</dc:title>
  <dc:creator>Jenna</dc:creator>
  <cp:lastModifiedBy>Authorised User</cp:lastModifiedBy>
  <cp:revision>12</cp:revision>
  <cp:lastPrinted>2006-10-13T13:27:00Z</cp:lastPrinted>
  <dcterms:created xsi:type="dcterms:W3CDTF">2009-07-14T12:31:00Z</dcterms:created>
  <dcterms:modified xsi:type="dcterms:W3CDTF">2009-07-16T13:02:00Z</dcterms:modified>
</cp:coreProperties>
</file>