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AD" w:rsidRDefault="002F26AD">
      <w:pPr>
        <w:pStyle w:val="Heading1"/>
        <w:keepNext w:val="0"/>
        <w:widowControl w:val="0"/>
        <w:pBdr>
          <w:top w:val="none" w:sz="0" w:space="0" w:color="auto"/>
          <w:left w:val="none" w:sz="0" w:space="0" w:color="auto"/>
          <w:bottom w:val="none" w:sz="0" w:space="0" w:color="auto"/>
          <w:right w:val="none" w:sz="0" w:space="0" w:color="auto"/>
        </w:pBdr>
        <w:rPr>
          <w:sz w:val="52"/>
        </w:rPr>
      </w:pPr>
    </w:p>
    <w:p w:rsidR="002F26AD" w:rsidRDefault="002F26AD">
      <w:pPr>
        <w:pStyle w:val="Heading1"/>
        <w:keepNext w:val="0"/>
        <w:widowControl w:val="0"/>
        <w:pBdr>
          <w:top w:val="none" w:sz="0" w:space="0" w:color="auto"/>
          <w:left w:val="none" w:sz="0" w:space="0" w:color="auto"/>
          <w:bottom w:val="none" w:sz="0" w:space="0" w:color="auto"/>
          <w:right w:val="none" w:sz="0" w:space="0" w:color="auto"/>
        </w:pBdr>
        <w:rPr>
          <w:sz w:val="52"/>
        </w:rPr>
      </w:pPr>
      <w:r>
        <w:rPr>
          <w:sz w:val="52"/>
        </w:rPr>
        <w:t>Rent Comparability Study</w:t>
      </w:r>
    </w:p>
    <w:p w:rsidR="002F26AD" w:rsidRDefault="002F26AD">
      <w:pPr>
        <w:rPr>
          <w:sz w:val="20"/>
        </w:rPr>
      </w:pPr>
    </w:p>
    <w:p w:rsidR="002F26AD" w:rsidRDefault="002F26AD">
      <w:pPr>
        <w:rPr>
          <w:sz w:val="20"/>
        </w:rPr>
      </w:pPr>
    </w:p>
    <w:p w:rsidR="002F26AD" w:rsidRDefault="002F26AD">
      <w:pPr>
        <w:rPr>
          <w:sz w:val="20"/>
        </w:rPr>
      </w:pPr>
    </w:p>
    <w:p w:rsidR="002F26AD" w:rsidRDefault="002F26AD">
      <w:pPr>
        <w:jc w:val="center"/>
        <w:rPr>
          <w:i/>
        </w:rPr>
      </w:pPr>
      <w:r>
        <w:rPr>
          <w:i/>
        </w:rPr>
        <w:t>On</w:t>
      </w:r>
    </w:p>
    <w:p w:rsidR="002F26AD" w:rsidRDefault="002F26AD">
      <w:pPr>
        <w:jc w:val="center"/>
        <w:rPr>
          <w:b/>
          <w:i/>
          <w:sz w:val="32"/>
        </w:rPr>
      </w:pPr>
      <w:r>
        <w:rPr>
          <w:b/>
          <w:i/>
          <w:sz w:val="32"/>
        </w:rPr>
        <w:t>ABC Village Apartments</w:t>
      </w:r>
    </w:p>
    <w:p w:rsidR="002F26AD" w:rsidRDefault="002F26AD">
      <w:pPr>
        <w:jc w:val="center"/>
        <w:rPr>
          <w:sz w:val="28"/>
        </w:rPr>
      </w:pPr>
      <w:r>
        <w:t>100 Main Street</w:t>
      </w:r>
    </w:p>
    <w:p w:rsidR="002F26AD" w:rsidRDefault="002F26AD">
      <w:pPr>
        <w:jc w:val="center"/>
      </w:pPr>
      <w:r>
        <w:t>Smithville, State</w:t>
      </w:r>
    </w:p>
    <w:p w:rsidR="002F26AD" w:rsidRDefault="002F26AD">
      <w:pPr>
        <w:jc w:val="center"/>
      </w:pPr>
    </w:p>
    <w:p w:rsidR="002F26AD" w:rsidRDefault="002F26AD">
      <w:pPr>
        <w:jc w:val="center"/>
        <w:rPr>
          <w:sz w:val="32"/>
          <w:u w:val="single"/>
        </w:rPr>
      </w:pPr>
    </w:p>
    <w:p w:rsidR="002F26AD" w:rsidRDefault="002F26AD">
      <w:pPr>
        <w:jc w:val="center"/>
        <w:rPr>
          <w:i/>
        </w:rPr>
      </w:pPr>
      <w:r>
        <w:rPr>
          <w:i/>
        </w:rPr>
        <w:t>Date of Report</w:t>
      </w:r>
    </w:p>
    <w:p w:rsidR="002F26AD" w:rsidRDefault="002F26AD">
      <w:pPr>
        <w:jc w:val="center"/>
        <w:rPr>
          <w:b/>
          <w:i/>
          <w:sz w:val="32"/>
        </w:rPr>
      </w:pPr>
      <w:r>
        <w:rPr>
          <w:b/>
          <w:i/>
          <w:sz w:val="32"/>
        </w:rPr>
        <w:t>April 15, 2000</w:t>
      </w:r>
    </w:p>
    <w:p w:rsidR="002F26AD" w:rsidRDefault="002F26AD">
      <w:pPr>
        <w:jc w:val="center"/>
        <w:rPr>
          <w:sz w:val="32"/>
        </w:rPr>
      </w:pPr>
    </w:p>
    <w:p w:rsidR="002F26AD" w:rsidRDefault="002F26AD">
      <w:pPr>
        <w:jc w:val="center"/>
        <w:rPr>
          <w:sz w:val="32"/>
        </w:rPr>
      </w:pPr>
    </w:p>
    <w:p w:rsidR="002F26AD" w:rsidRDefault="002F26AD">
      <w:pPr>
        <w:jc w:val="center"/>
        <w:rPr>
          <w:i/>
        </w:rPr>
      </w:pPr>
      <w:r>
        <w:rPr>
          <w:i/>
        </w:rPr>
        <w:t>Prepared For</w:t>
      </w:r>
    </w:p>
    <w:p w:rsidR="002F26AD" w:rsidRDefault="002F26AD">
      <w:pPr>
        <w:pStyle w:val="Heading5"/>
        <w:rPr>
          <w:b/>
          <w:i/>
        </w:rPr>
      </w:pPr>
      <w:r>
        <w:rPr>
          <w:b/>
          <w:i/>
        </w:rPr>
        <w:t>ABC Village Associates</w:t>
      </w:r>
    </w:p>
    <w:p w:rsidR="002F26AD" w:rsidRDefault="002F26AD">
      <w:pPr>
        <w:jc w:val="center"/>
      </w:pPr>
      <w:r>
        <w:t>P.O. Box 2255</w:t>
      </w:r>
    </w:p>
    <w:p w:rsidR="002F26AD" w:rsidRDefault="002F26AD">
      <w:pPr>
        <w:jc w:val="center"/>
        <w:rPr>
          <w:sz w:val="32"/>
        </w:rPr>
      </w:pPr>
      <w:r>
        <w:t>Smithville, State 55555-2255</w:t>
      </w:r>
    </w:p>
    <w:p w:rsidR="002F26AD" w:rsidRDefault="002F26AD">
      <w:pPr>
        <w:jc w:val="center"/>
        <w:rPr>
          <w:sz w:val="32"/>
        </w:rPr>
      </w:pPr>
    </w:p>
    <w:p w:rsidR="002F26AD" w:rsidRDefault="002F26AD">
      <w:pPr>
        <w:jc w:val="center"/>
        <w:rPr>
          <w:sz w:val="32"/>
        </w:rPr>
      </w:pPr>
    </w:p>
    <w:p w:rsidR="002F26AD" w:rsidRDefault="002F26AD">
      <w:pPr>
        <w:jc w:val="center"/>
        <w:rPr>
          <w:sz w:val="32"/>
        </w:rPr>
      </w:pPr>
    </w:p>
    <w:p w:rsidR="002F26AD" w:rsidRDefault="002F26AD">
      <w:pPr>
        <w:jc w:val="center"/>
        <w:rPr>
          <w:i/>
        </w:rPr>
      </w:pPr>
      <w:r>
        <w:rPr>
          <w:i/>
        </w:rPr>
        <w:t>Prepared By</w:t>
      </w:r>
    </w:p>
    <w:p w:rsidR="002F26AD" w:rsidRDefault="002F26AD">
      <w:pPr>
        <w:jc w:val="center"/>
        <w:rPr>
          <w:b/>
          <w:i/>
          <w:sz w:val="32"/>
        </w:rPr>
      </w:pPr>
      <w:r>
        <w:rPr>
          <w:b/>
          <w:i/>
          <w:sz w:val="32"/>
        </w:rPr>
        <w:t>Appraisal Services International</w:t>
      </w:r>
    </w:p>
    <w:p w:rsidR="002F26AD" w:rsidRDefault="002F26AD">
      <w:pPr>
        <w:jc w:val="center"/>
      </w:pPr>
      <w:r>
        <w:t>123 Allen Street, Suite 456</w:t>
      </w:r>
    </w:p>
    <w:p w:rsidR="002F26AD" w:rsidRDefault="002F26AD">
      <w:pPr>
        <w:jc w:val="center"/>
      </w:pPr>
      <w:r>
        <w:t>Smithville, State 55555</w:t>
      </w:r>
    </w:p>
    <w:p w:rsidR="002F26AD" w:rsidRDefault="002F26AD">
      <w:pPr>
        <w:jc w:val="center"/>
      </w:pPr>
    </w:p>
    <w:p w:rsidR="002F26AD" w:rsidRDefault="002F26AD">
      <w:pPr>
        <w:jc w:val="center"/>
      </w:pPr>
    </w:p>
    <w:p w:rsidR="002F26AD" w:rsidRDefault="002F26AD">
      <w:pPr>
        <w:jc w:val="center"/>
      </w:pPr>
    </w:p>
    <w:p w:rsidR="002F26AD" w:rsidRDefault="002F26AD">
      <w:pPr>
        <w:rPr>
          <w:sz w:val="28"/>
        </w:rPr>
        <w:sectPr w:rsidR="002F26AD">
          <w:headerReference w:type="default" r:id="rId7"/>
          <w:footerReference w:type="default" r:id="rId8"/>
          <w:pgSz w:w="12240" w:h="15840"/>
          <w:pgMar w:top="1440" w:right="1440" w:bottom="1440" w:left="1440" w:header="720" w:footer="720" w:gutter="0"/>
          <w:pgNumType w:start="1"/>
          <w:cols w:space="720"/>
        </w:sectPr>
      </w:pPr>
    </w:p>
    <w:p w:rsidR="002F26AD" w:rsidRDefault="002F26AD"/>
    <w:p w:rsidR="002F26AD" w:rsidRDefault="002F26AD">
      <w:pPr>
        <w:jc w:val="center"/>
        <w:rPr>
          <w:b/>
          <w:i/>
          <w:sz w:val="28"/>
        </w:rPr>
      </w:pPr>
      <w:r>
        <w:rPr>
          <w:b/>
          <w:i/>
          <w:sz w:val="28"/>
        </w:rPr>
        <w:t>Appraisal Services International</w:t>
      </w:r>
    </w:p>
    <w:p w:rsidR="002F26AD" w:rsidRDefault="002F26AD">
      <w:pPr>
        <w:jc w:val="center"/>
      </w:pPr>
      <w:r>
        <w:t>123 Allen Street, Suite 456</w:t>
      </w:r>
    </w:p>
    <w:p w:rsidR="002F26AD" w:rsidRDefault="002F26AD">
      <w:pPr>
        <w:jc w:val="center"/>
      </w:pPr>
      <w:r>
        <w:t>Smithville, State 55555</w:t>
      </w:r>
    </w:p>
    <w:p w:rsidR="002F26AD" w:rsidRDefault="002F26AD">
      <w:pPr>
        <w:jc w:val="center"/>
        <w:rPr>
          <w:b/>
        </w:rPr>
      </w:pPr>
    </w:p>
    <w:p w:rsidR="002F26AD" w:rsidRDefault="002F26AD">
      <w:pPr>
        <w:jc w:val="center"/>
        <w:rPr>
          <w:b/>
        </w:rPr>
      </w:pPr>
    </w:p>
    <w:p w:rsidR="002F26AD" w:rsidRDefault="002F26AD">
      <w:pPr>
        <w:rPr>
          <w:b/>
        </w:rPr>
      </w:pPr>
      <w:r>
        <w:rPr>
          <w:b/>
        </w:rPr>
        <w:t>(000) 555-1111 (phone)</w:t>
      </w:r>
    </w:p>
    <w:p w:rsidR="002F26AD" w:rsidRDefault="002F26AD">
      <w:pPr>
        <w:rPr>
          <w:b/>
        </w:rPr>
      </w:pPr>
      <w:r>
        <w:rPr>
          <w:b/>
        </w:rPr>
        <w:t>(000) 555-2222 (facsimile)</w:t>
      </w:r>
    </w:p>
    <w:p w:rsidR="002F26AD" w:rsidRDefault="002F26AD">
      <w:pPr>
        <w:rPr>
          <w:b/>
        </w:rPr>
      </w:pPr>
      <w:r>
        <w:rPr>
          <w:b/>
        </w:rPr>
        <w:t>joe@appraiserserv.com</w:t>
      </w:r>
    </w:p>
    <w:p w:rsidR="002F26AD" w:rsidRDefault="002F26AD"/>
    <w:p w:rsidR="002F26AD" w:rsidRDefault="002F26AD"/>
    <w:p w:rsidR="002F26AD" w:rsidRDefault="002F26AD">
      <w:r>
        <w:t>April 15, 2000</w:t>
      </w:r>
    </w:p>
    <w:p w:rsidR="002F26AD" w:rsidRDefault="002F26AD"/>
    <w:p w:rsidR="002F26AD" w:rsidRDefault="002F26AD">
      <w:r>
        <w:t>Mr. Owner</w:t>
      </w:r>
    </w:p>
    <w:p w:rsidR="002F26AD" w:rsidRDefault="002F26AD">
      <w:r>
        <w:t>ABC Village Associates</w:t>
      </w:r>
    </w:p>
    <w:p w:rsidR="002F26AD" w:rsidRDefault="002F26AD">
      <w:r>
        <w:t>P.O. Box 2255</w:t>
      </w:r>
    </w:p>
    <w:p w:rsidR="002F26AD" w:rsidRDefault="002F26AD">
      <w:r>
        <w:t>Smithville, State  55555-2255</w:t>
      </w:r>
    </w:p>
    <w:p w:rsidR="002F26AD" w:rsidRDefault="002F26AD"/>
    <w:p w:rsidR="002F26AD" w:rsidRDefault="002F26AD">
      <w:pPr>
        <w:rPr>
          <w:b/>
        </w:rPr>
      </w:pPr>
      <w:r>
        <w:t>Re:</w:t>
      </w:r>
      <w:r>
        <w:tab/>
      </w:r>
      <w:r>
        <w:rPr>
          <w:b/>
          <w:i/>
        </w:rPr>
        <w:t>Rent Comparability Study / ABC Village Apartments</w:t>
      </w:r>
    </w:p>
    <w:p w:rsidR="002F26AD" w:rsidRDefault="002F26AD">
      <w:pPr>
        <w:ind w:firstLine="720"/>
      </w:pPr>
      <w:r>
        <w:t xml:space="preserve">Section 8 Contract Number: PA0000999992 </w:t>
      </w:r>
      <w:r>
        <w:tab/>
        <w:t>FHA  No. 1233566</w:t>
      </w:r>
    </w:p>
    <w:p w:rsidR="002F26AD" w:rsidRDefault="002F26AD">
      <w:pPr>
        <w:ind w:firstLine="720"/>
      </w:pPr>
    </w:p>
    <w:p w:rsidR="002F26AD" w:rsidRDefault="002F26AD"/>
    <w:p w:rsidR="002F26AD" w:rsidRDefault="002F26AD">
      <w:r>
        <w:t>Dear Mr. Owner:</w:t>
      </w:r>
    </w:p>
    <w:p w:rsidR="002F26AD" w:rsidRDefault="002F26AD">
      <w:pPr>
        <w:pStyle w:val="Header"/>
        <w:tabs>
          <w:tab w:val="clear" w:pos="4320"/>
          <w:tab w:val="clear" w:pos="8640"/>
        </w:tabs>
      </w:pPr>
    </w:p>
    <w:p w:rsidR="002F26AD" w:rsidRDefault="002F26AD">
      <w:r>
        <w:t xml:space="preserve">Attached is the Rent Comparability Study (RCS) you requested for ABC Village Apartments. </w:t>
      </w:r>
    </w:p>
    <w:p w:rsidR="002F26AD" w:rsidRDefault="002F26AD"/>
    <w:p w:rsidR="002F26AD" w:rsidRDefault="002F26AD">
      <w:r>
        <w:t>The purpose of the study was to estimate the market rents for units that will be assisted under the renewed Section 8 contract. Market rent is the rent that a knowledgeable tenant would most probably pay for the Section 8 units as of the date of this report, if the tenants were not receiving rental subsidies and rents were not restricted by HUD or other government agencies. The following table lists the market rent I concluded for each Section 8 unit type.</w:t>
      </w:r>
    </w:p>
    <w:p w:rsidR="002F26AD" w:rsidRDefault="002F26AD">
      <w:pPr>
        <w:pStyle w:val="b2"/>
        <w:rPr>
          <w:sz w:val="20"/>
        </w:rPr>
      </w:pPr>
    </w:p>
    <w:tbl>
      <w:tblPr>
        <w:tblW w:w="0" w:type="auto"/>
        <w:tblInd w:w="1380" w:type="dxa"/>
        <w:tblLayout w:type="fixed"/>
        <w:tblCellMar>
          <w:left w:w="30" w:type="dxa"/>
          <w:right w:w="30" w:type="dxa"/>
        </w:tblCellMar>
        <w:tblLook w:val="0000"/>
      </w:tblPr>
      <w:tblGrid>
        <w:gridCol w:w="1620"/>
        <w:gridCol w:w="900"/>
        <w:gridCol w:w="810"/>
        <w:gridCol w:w="900"/>
        <w:gridCol w:w="990"/>
        <w:gridCol w:w="1260"/>
      </w:tblGrid>
      <w:tr w:rsidR="002F26AD">
        <w:tblPrEx>
          <w:tblCellMar>
            <w:top w:w="0" w:type="dxa"/>
            <w:bottom w:w="0" w:type="dxa"/>
          </w:tblCellMar>
        </w:tblPrEx>
        <w:trPr>
          <w:cantSplit/>
          <w:trHeight w:val="240"/>
        </w:trPr>
        <w:tc>
          <w:tcPr>
            <w:tcW w:w="1620" w:type="dxa"/>
            <w:tcBorders>
              <w:top w:val="single" w:sz="6" w:space="0" w:color="000000"/>
              <w:left w:val="single" w:sz="6" w:space="0" w:color="000000"/>
              <w:bottom w:val="single" w:sz="6" w:space="0" w:color="000000"/>
              <w:right w:val="single" w:sz="6" w:space="0" w:color="000000"/>
            </w:tcBorders>
            <w:shd w:val="pct15" w:color="auto" w:fill="FFFFFF"/>
          </w:tcPr>
          <w:p w:rsidR="002F26AD" w:rsidRDefault="002F26AD">
            <w:pPr>
              <w:jc w:val="center"/>
              <w:rPr>
                <w:i/>
                <w:color w:val="000000"/>
                <w:sz w:val="18"/>
              </w:rPr>
            </w:pPr>
          </w:p>
        </w:tc>
        <w:tc>
          <w:tcPr>
            <w:tcW w:w="900" w:type="dxa"/>
            <w:tcBorders>
              <w:top w:val="single" w:sz="6" w:space="0" w:color="000000"/>
              <w:left w:val="single" w:sz="6" w:space="0" w:color="000000"/>
              <w:bottom w:val="single" w:sz="6" w:space="0" w:color="000000"/>
              <w:right w:val="single" w:sz="6" w:space="0" w:color="000000"/>
            </w:tcBorders>
            <w:shd w:val="pct15" w:color="auto" w:fill="FFFFFF"/>
          </w:tcPr>
          <w:p w:rsidR="002F26AD" w:rsidRDefault="002F26AD">
            <w:pPr>
              <w:jc w:val="center"/>
              <w:rPr>
                <w:i/>
                <w:color w:val="000000"/>
                <w:sz w:val="18"/>
              </w:rPr>
            </w:pPr>
          </w:p>
        </w:tc>
        <w:tc>
          <w:tcPr>
            <w:tcW w:w="810" w:type="dxa"/>
            <w:tcBorders>
              <w:top w:val="single" w:sz="6" w:space="0" w:color="000000"/>
              <w:left w:val="single" w:sz="6" w:space="0" w:color="000000"/>
              <w:bottom w:val="single" w:sz="6" w:space="0" w:color="000000"/>
              <w:right w:val="double" w:sz="6" w:space="0" w:color="auto"/>
            </w:tcBorders>
            <w:shd w:val="pct15" w:color="auto" w:fill="FFFFFF"/>
          </w:tcPr>
          <w:p w:rsidR="002F26AD" w:rsidRDefault="002F26AD">
            <w:pPr>
              <w:jc w:val="center"/>
              <w:rPr>
                <w:i/>
                <w:color w:val="000000"/>
                <w:sz w:val="18"/>
              </w:rPr>
            </w:pPr>
          </w:p>
        </w:tc>
        <w:tc>
          <w:tcPr>
            <w:tcW w:w="1890" w:type="dxa"/>
            <w:gridSpan w:val="2"/>
            <w:tcBorders>
              <w:top w:val="single" w:sz="6" w:space="0" w:color="000000"/>
              <w:left w:val="double" w:sz="6" w:space="0" w:color="auto"/>
              <w:bottom w:val="single" w:sz="6" w:space="0" w:color="000000"/>
              <w:right w:val="double" w:sz="6" w:space="0" w:color="auto"/>
            </w:tcBorders>
            <w:shd w:val="pct15" w:color="auto" w:fill="FFFFFF"/>
          </w:tcPr>
          <w:p w:rsidR="002F26AD" w:rsidRDefault="002F26AD">
            <w:pPr>
              <w:ind w:right="-210"/>
              <w:jc w:val="center"/>
              <w:rPr>
                <w:i/>
                <w:color w:val="800000"/>
                <w:sz w:val="18"/>
              </w:rPr>
            </w:pPr>
            <w:r>
              <w:rPr>
                <w:i/>
                <w:color w:val="800000"/>
                <w:sz w:val="18"/>
              </w:rPr>
              <w:t>Estimated Market</w:t>
            </w:r>
          </w:p>
        </w:tc>
        <w:tc>
          <w:tcPr>
            <w:tcW w:w="1260" w:type="dxa"/>
            <w:tcBorders>
              <w:top w:val="single" w:sz="6" w:space="0" w:color="000000"/>
              <w:left w:val="double" w:sz="6" w:space="0" w:color="auto"/>
              <w:bottom w:val="single" w:sz="6" w:space="0" w:color="000000"/>
              <w:right w:val="single" w:sz="6" w:space="0" w:color="auto"/>
            </w:tcBorders>
            <w:shd w:val="pct15" w:color="auto" w:fill="FFFFFF"/>
          </w:tcPr>
          <w:p w:rsidR="002F26AD" w:rsidRDefault="002F26AD">
            <w:pPr>
              <w:ind w:right="-30"/>
              <w:jc w:val="center"/>
              <w:rPr>
                <w:i/>
                <w:color w:val="000000"/>
                <w:sz w:val="18"/>
              </w:rPr>
            </w:pPr>
          </w:p>
        </w:tc>
      </w:tr>
      <w:tr w:rsidR="002F26AD">
        <w:tblPrEx>
          <w:tblCellMar>
            <w:top w:w="0" w:type="dxa"/>
            <w:bottom w:w="0" w:type="dxa"/>
          </w:tblCellMar>
        </w:tblPrEx>
        <w:trPr>
          <w:cantSplit/>
          <w:trHeight w:val="240"/>
        </w:trPr>
        <w:tc>
          <w:tcPr>
            <w:tcW w:w="1620" w:type="dxa"/>
            <w:tcBorders>
              <w:left w:val="single" w:sz="6" w:space="0" w:color="auto"/>
              <w:bottom w:val="double" w:sz="6" w:space="0" w:color="auto"/>
              <w:right w:val="single" w:sz="6" w:space="0" w:color="000000"/>
            </w:tcBorders>
          </w:tcPr>
          <w:p w:rsidR="002F26AD" w:rsidRDefault="002F26AD">
            <w:pPr>
              <w:jc w:val="center"/>
              <w:rPr>
                <w:b/>
                <w:color w:val="000080"/>
              </w:rPr>
            </w:pPr>
          </w:p>
          <w:p w:rsidR="002F26AD" w:rsidRDefault="002F26AD">
            <w:pPr>
              <w:jc w:val="center"/>
              <w:rPr>
                <w:b/>
                <w:color w:val="000080"/>
              </w:rPr>
            </w:pPr>
            <w:r>
              <w:rPr>
                <w:b/>
                <w:color w:val="000080"/>
              </w:rPr>
              <w:t xml:space="preserve">Unit </w:t>
            </w:r>
          </w:p>
          <w:p w:rsidR="002F26AD" w:rsidRDefault="002F26AD">
            <w:pPr>
              <w:jc w:val="center"/>
              <w:rPr>
                <w:b/>
                <w:color w:val="000080"/>
              </w:rPr>
            </w:pPr>
            <w:r>
              <w:rPr>
                <w:b/>
                <w:color w:val="000080"/>
              </w:rPr>
              <w:t>Type</w:t>
            </w:r>
          </w:p>
        </w:tc>
        <w:tc>
          <w:tcPr>
            <w:tcW w:w="900" w:type="dxa"/>
            <w:tcBorders>
              <w:left w:val="single" w:sz="6" w:space="0" w:color="000000"/>
              <w:bottom w:val="double" w:sz="6" w:space="0" w:color="auto"/>
              <w:right w:val="single" w:sz="6" w:space="0" w:color="000000"/>
            </w:tcBorders>
          </w:tcPr>
          <w:p w:rsidR="002F26AD" w:rsidRDefault="002F26AD">
            <w:pPr>
              <w:jc w:val="center"/>
              <w:rPr>
                <w:b/>
                <w:color w:val="000080"/>
              </w:rPr>
            </w:pPr>
          </w:p>
          <w:p w:rsidR="002F26AD" w:rsidRDefault="002F26AD">
            <w:pPr>
              <w:jc w:val="center"/>
              <w:rPr>
                <w:b/>
                <w:color w:val="000080"/>
              </w:rPr>
            </w:pPr>
            <w:r>
              <w:rPr>
                <w:b/>
                <w:color w:val="000080"/>
              </w:rPr>
              <w:t xml:space="preserve">#  </w:t>
            </w:r>
          </w:p>
          <w:p w:rsidR="002F26AD" w:rsidRDefault="002F26AD">
            <w:pPr>
              <w:jc w:val="center"/>
              <w:rPr>
                <w:b/>
                <w:color w:val="000080"/>
              </w:rPr>
            </w:pPr>
            <w:r>
              <w:rPr>
                <w:b/>
                <w:color w:val="000080"/>
              </w:rPr>
              <w:t>Units</w:t>
            </w:r>
          </w:p>
        </w:tc>
        <w:tc>
          <w:tcPr>
            <w:tcW w:w="810" w:type="dxa"/>
            <w:tcBorders>
              <w:left w:val="single" w:sz="6" w:space="0" w:color="000000"/>
              <w:bottom w:val="double" w:sz="6" w:space="0" w:color="auto"/>
              <w:right w:val="double" w:sz="6" w:space="0" w:color="auto"/>
            </w:tcBorders>
          </w:tcPr>
          <w:p w:rsidR="002F26AD" w:rsidRDefault="002F26AD">
            <w:pPr>
              <w:jc w:val="center"/>
              <w:rPr>
                <w:b/>
                <w:color w:val="000080"/>
              </w:rPr>
            </w:pPr>
          </w:p>
          <w:p w:rsidR="002F26AD" w:rsidRDefault="002F26AD">
            <w:pPr>
              <w:jc w:val="center"/>
              <w:rPr>
                <w:b/>
                <w:color w:val="000080"/>
              </w:rPr>
            </w:pPr>
            <w:r>
              <w:rPr>
                <w:b/>
                <w:color w:val="000080"/>
              </w:rPr>
              <w:t xml:space="preserve"> Size</w:t>
            </w:r>
          </w:p>
          <w:p w:rsidR="002F26AD" w:rsidRDefault="002F26AD">
            <w:pPr>
              <w:jc w:val="center"/>
              <w:rPr>
                <w:color w:val="000000"/>
                <w:sz w:val="20"/>
              </w:rPr>
            </w:pPr>
            <w:r>
              <w:rPr>
                <w:color w:val="000000"/>
                <w:sz w:val="20"/>
              </w:rPr>
              <w:t>(Sq. Ft)</w:t>
            </w:r>
          </w:p>
        </w:tc>
        <w:tc>
          <w:tcPr>
            <w:tcW w:w="900" w:type="dxa"/>
            <w:tcBorders>
              <w:left w:val="double" w:sz="6" w:space="0" w:color="auto"/>
              <w:bottom w:val="double" w:sz="6" w:space="0" w:color="auto"/>
              <w:right w:val="single" w:sz="6" w:space="0" w:color="000000"/>
            </w:tcBorders>
          </w:tcPr>
          <w:p w:rsidR="002F26AD" w:rsidRDefault="002F26AD">
            <w:pPr>
              <w:jc w:val="center"/>
              <w:rPr>
                <w:b/>
                <w:color w:val="000080"/>
              </w:rPr>
            </w:pPr>
          </w:p>
          <w:p w:rsidR="002F26AD" w:rsidRDefault="002F26AD">
            <w:pPr>
              <w:jc w:val="center"/>
              <w:rPr>
                <w:b/>
                <w:color w:val="000080"/>
              </w:rPr>
            </w:pPr>
          </w:p>
          <w:p w:rsidR="002F26AD" w:rsidRDefault="002F26AD">
            <w:pPr>
              <w:ind w:right="-30"/>
              <w:jc w:val="center"/>
              <w:rPr>
                <w:b/>
                <w:color w:val="000080"/>
              </w:rPr>
            </w:pPr>
            <w:r>
              <w:rPr>
                <w:b/>
                <w:color w:val="000080"/>
              </w:rPr>
              <w:t xml:space="preserve">Rent </w:t>
            </w:r>
          </w:p>
        </w:tc>
        <w:tc>
          <w:tcPr>
            <w:tcW w:w="990" w:type="dxa"/>
            <w:tcBorders>
              <w:left w:val="single" w:sz="6" w:space="0" w:color="000000"/>
              <w:bottom w:val="double" w:sz="6" w:space="0" w:color="auto"/>
              <w:right w:val="double" w:sz="6" w:space="0" w:color="auto"/>
            </w:tcBorders>
          </w:tcPr>
          <w:p w:rsidR="002F26AD" w:rsidRDefault="002F26AD">
            <w:pPr>
              <w:ind w:left="60" w:hanging="60"/>
              <w:jc w:val="center"/>
              <w:rPr>
                <w:b/>
                <w:color w:val="000080"/>
              </w:rPr>
            </w:pPr>
          </w:p>
          <w:p w:rsidR="002F26AD" w:rsidRDefault="002F26AD">
            <w:pPr>
              <w:ind w:left="60" w:hanging="60"/>
              <w:jc w:val="center"/>
              <w:rPr>
                <w:b/>
                <w:color w:val="000080"/>
              </w:rPr>
            </w:pPr>
            <w:r>
              <w:rPr>
                <w:b/>
                <w:color w:val="000080"/>
              </w:rPr>
              <w:t xml:space="preserve">$/ </w:t>
            </w:r>
          </w:p>
          <w:p w:rsidR="002F26AD" w:rsidRDefault="002F26AD">
            <w:pPr>
              <w:ind w:left="60" w:hanging="60"/>
              <w:jc w:val="center"/>
              <w:rPr>
                <w:b/>
                <w:color w:val="000080"/>
              </w:rPr>
            </w:pPr>
            <w:r>
              <w:rPr>
                <w:b/>
                <w:color w:val="000080"/>
              </w:rPr>
              <w:t>Sq. Ft</w:t>
            </w:r>
          </w:p>
        </w:tc>
        <w:tc>
          <w:tcPr>
            <w:tcW w:w="1260" w:type="dxa"/>
            <w:tcBorders>
              <w:left w:val="double" w:sz="6" w:space="0" w:color="auto"/>
              <w:bottom w:val="double" w:sz="6" w:space="0" w:color="auto"/>
              <w:right w:val="single" w:sz="6" w:space="0" w:color="auto"/>
            </w:tcBorders>
          </w:tcPr>
          <w:p w:rsidR="002F26AD" w:rsidRDefault="002F26AD">
            <w:pPr>
              <w:jc w:val="center"/>
              <w:rPr>
                <w:b/>
                <w:color w:val="000080"/>
              </w:rPr>
            </w:pPr>
            <w:r>
              <w:rPr>
                <w:b/>
                <w:color w:val="000080"/>
              </w:rPr>
              <w:t>Prepared</w:t>
            </w:r>
          </w:p>
          <w:p w:rsidR="002F26AD" w:rsidRDefault="002F26AD">
            <w:pPr>
              <w:jc w:val="center"/>
              <w:rPr>
                <w:b/>
                <w:color w:val="000080"/>
              </w:rPr>
            </w:pPr>
            <w:r>
              <w:rPr>
                <w:b/>
                <w:color w:val="000080"/>
              </w:rPr>
              <w:t>Grid?</w:t>
            </w:r>
          </w:p>
          <w:p w:rsidR="002F26AD" w:rsidRDefault="002F26AD">
            <w:pPr>
              <w:jc w:val="center"/>
              <w:rPr>
                <w:color w:val="000000"/>
                <w:sz w:val="20"/>
              </w:rPr>
            </w:pPr>
            <w:r>
              <w:rPr>
                <w:color w:val="000000"/>
                <w:sz w:val="20"/>
              </w:rPr>
              <w:t xml:space="preserve">(Y/N) </w:t>
            </w:r>
          </w:p>
        </w:tc>
      </w:tr>
      <w:tr w:rsidR="002F26AD">
        <w:tblPrEx>
          <w:tblCellMar>
            <w:top w:w="0" w:type="dxa"/>
            <w:bottom w:w="0" w:type="dxa"/>
          </w:tblCellMar>
        </w:tblPrEx>
        <w:trPr>
          <w:cantSplit/>
          <w:trHeight w:val="320"/>
        </w:trPr>
        <w:tc>
          <w:tcPr>
            <w:tcW w:w="1620" w:type="dxa"/>
            <w:tcBorders>
              <w:top w:val="double" w:sz="6" w:space="0" w:color="auto"/>
              <w:left w:val="single" w:sz="6" w:space="0" w:color="auto"/>
              <w:bottom w:val="single" w:sz="6" w:space="0" w:color="000000"/>
              <w:right w:val="single" w:sz="6" w:space="0" w:color="000000"/>
            </w:tcBorders>
          </w:tcPr>
          <w:p w:rsidR="002F26AD" w:rsidRDefault="002F26AD">
            <w:pPr>
              <w:jc w:val="center"/>
              <w:rPr>
                <w:color w:val="000000"/>
              </w:rPr>
            </w:pPr>
            <w:r>
              <w:rPr>
                <w:b/>
                <w:color w:val="000000"/>
              </w:rPr>
              <w:t>Efficiency</w:t>
            </w:r>
          </w:p>
        </w:tc>
        <w:tc>
          <w:tcPr>
            <w:tcW w:w="900" w:type="dxa"/>
            <w:tcBorders>
              <w:top w:val="double" w:sz="6" w:space="0" w:color="auto"/>
              <w:left w:val="single" w:sz="6" w:space="0" w:color="000000"/>
              <w:bottom w:val="single" w:sz="6" w:space="0" w:color="000000"/>
              <w:right w:val="single" w:sz="6" w:space="0" w:color="000000"/>
            </w:tcBorders>
          </w:tcPr>
          <w:p w:rsidR="002F26AD" w:rsidRDefault="002F26AD">
            <w:pPr>
              <w:jc w:val="center"/>
              <w:rPr>
                <w:color w:val="000000"/>
              </w:rPr>
            </w:pPr>
            <w:r>
              <w:rPr>
                <w:color w:val="000000"/>
              </w:rPr>
              <w:t>7</w:t>
            </w:r>
          </w:p>
        </w:tc>
        <w:tc>
          <w:tcPr>
            <w:tcW w:w="810" w:type="dxa"/>
            <w:tcBorders>
              <w:top w:val="double" w:sz="6" w:space="0" w:color="auto"/>
              <w:left w:val="single" w:sz="6" w:space="0" w:color="000000"/>
              <w:bottom w:val="single" w:sz="6" w:space="0" w:color="000000"/>
              <w:right w:val="double" w:sz="6" w:space="0" w:color="auto"/>
            </w:tcBorders>
          </w:tcPr>
          <w:p w:rsidR="002F26AD" w:rsidRDefault="002F26AD">
            <w:pPr>
              <w:jc w:val="center"/>
              <w:rPr>
                <w:color w:val="000000"/>
              </w:rPr>
            </w:pPr>
            <w:r>
              <w:rPr>
                <w:color w:val="000000"/>
              </w:rPr>
              <w:t>450</w:t>
            </w:r>
          </w:p>
        </w:tc>
        <w:tc>
          <w:tcPr>
            <w:tcW w:w="900" w:type="dxa"/>
            <w:tcBorders>
              <w:top w:val="double" w:sz="6" w:space="0" w:color="auto"/>
              <w:left w:val="double" w:sz="6" w:space="0" w:color="auto"/>
              <w:bottom w:val="single" w:sz="6" w:space="0" w:color="000000"/>
              <w:right w:val="single" w:sz="6" w:space="0" w:color="000000"/>
            </w:tcBorders>
          </w:tcPr>
          <w:p w:rsidR="002F26AD" w:rsidRDefault="002F26AD">
            <w:pPr>
              <w:jc w:val="center"/>
              <w:rPr>
                <w:color w:val="000000"/>
              </w:rPr>
            </w:pPr>
            <w:r>
              <w:rPr>
                <w:color w:val="000000"/>
              </w:rPr>
              <w:t>$485</w:t>
            </w:r>
          </w:p>
        </w:tc>
        <w:tc>
          <w:tcPr>
            <w:tcW w:w="990" w:type="dxa"/>
            <w:tcBorders>
              <w:top w:val="double" w:sz="6" w:space="0" w:color="auto"/>
              <w:left w:val="single" w:sz="6" w:space="0" w:color="000000"/>
              <w:bottom w:val="single" w:sz="6" w:space="0" w:color="000000"/>
              <w:right w:val="double" w:sz="6" w:space="0" w:color="auto"/>
            </w:tcBorders>
          </w:tcPr>
          <w:p w:rsidR="002F26AD" w:rsidRDefault="002F26AD">
            <w:pPr>
              <w:jc w:val="center"/>
              <w:rPr>
                <w:color w:val="000000"/>
              </w:rPr>
            </w:pPr>
            <w:r>
              <w:rPr>
                <w:color w:val="000000"/>
              </w:rPr>
              <w:t>$1.08</w:t>
            </w:r>
          </w:p>
        </w:tc>
        <w:tc>
          <w:tcPr>
            <w:tcW w:w="1260" w:type="dxa"/>
            <w:tcBorders>
              <w:top w:val="double" w:sz="6" w:space="0" w:color="auto"/>
              <w:left w:val="double" w:sz="6" w:space="0" w:color="auto"/>
              <w:bottom w:val="single" w:sz="6" w:space="0" w:color="000000"/>
              <w:right w:val="single" w:sz="6" w:space="0" w:color="auto"/>
            </w:tcBorders>
          </w:tcPr>
          <w:p w:rsidR="002F26AD" w:rsidRDefault="002F26AD">
            <w:pPr>
              <w:jc w:val="center"/>
              <w:rPr>
                <w:color w:val="000000"/>
              </w:rPr>
            </w:pPr>
            <w:r>
              <w:rPr>
                <w:color w:val="000000"/>
              </w:rPr>
              <w:t>Y</w:t>
            </w:r>
          </w:p>
        </w:tc>
      </w:tr>
      <w:tr w:rsidR="002F26AD">
        <w:tblPrEx>
          <w:tblCellMar>
            <w:top w:w="0" w:type="dxa"/>
            <w:bottom w:w="0" w:type="dxa"/>
          </w:tblCellMar>
        </w:tblPrEx>
        <w:trPr>
          <w:cantSplit/>
          <w:trHeight w:val="320"/>
        </w:trPr>
        <w:tc>
          <w:tcPr>
            <w:tcW w:w="1620" w:type="dxa"/>
            <w:tcBorders>
              <w:top w:val="single" w:sz="6" w:space="0" w:color="000000"/>
              <w:left w:val="single" w:sz="6" w:space="0" w:color="auto"/>
              <w:right w:val="single" w:sz="6" w:space="0" w:color="000000"/>
            </w:tcBorders>
          </w:tcPr>
          <w:p w:rsidR="002F26AD" w:rsidRDefault="002F26AD">
            <w:pPr>
              <w:jc w:val="center"/>
              <w:rPr>
                <w:color w:val="000000"/>
              </w:rPr>
            </w:pPr>
            <w:r>
              <w:rPr>
                <w:b/>
                <w:color w:val="000000"/>
              </w:rPr>
              <w:t>Efficiency</w:t>
            </w:r>
            <w:r>
              <w:rPr>
                <w:color w:val="00000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2F26AD" w:rsidRDefault="002F26AD">
            <w:pPr>
              <w:jc w:val="center"/>
              <w:rPr>
                <w:color w:val="000000"/>
              </w:rPr>
            </w:pPr>
            <w:r>
              <w:rPr>
                <w:color w:val="000000"/>
              </w:rPr>
              <w:t>3</w:t>
            </w:r>
          </w:p>
        </w:tc>
        <w:tc>
          <w:tcPr>
            <w:tcW w:w="810" w:type="dxa"/>
            <w:tcBorders>
              <w:top w:val="single" w:sz="6" w:space="0" w:color="000000"/>
              <w:left w:val="single" w:sz="6" w:space="0" w:color="000000"/>
              <w:right w:val="double" w:sz="6" w:space="0" w:color="auto"/>
            </w:tcBorders>
          </w:tcPr>
          <w:p w:rsidR="002F26AD" w:rsidRDefault="002F26AD">
            <w:pPr>
              <w:jc w:val="center"/>
              <w:rPr>
                <w:color w:val="000000"/>
              </w:rPr>
            </w:pPr>
            <w:r>
              <w:rPr>
                <w:color w:val="000000"/>
              </w:rPr>
              <w:t>500</w:t>
            </w:r>
          </w:p>
        </w:tc>
        <w:tc>
          <w:tcPr>
            <w:tcW w:w="900" w:type="dxa"/>
            <w:tcBorders>
              <w:top w:val="single" w:sz="6" w:space="0" w:color="000000"/>
              <w:left w:val="double" w:sz="6" w:space="0" w:color="auto"/>
              <w:right w:val="single" w:sz="6" w:space="0" w:color="000000"/>
            </w:tcBorders>
          </w:tcPr>
          <w:p w:rsidR="002F26AD" w:rsidRDefault="002F26AD">
            <w:pPr>
              <w:jc w:val="center"/>
              <w:rPr>
                <w:color w:val="000000"/>
              </w:rPr>
            </w:pPr>
            <w:r>
              <w:rPr>
                <w:color w:val="000000"/>
              </w:rPr>
              <w:t>$505</w:t>
            </w:r>
          </w:p>
        </w:tc>
        <w:tc>
          <w:tcPr>
            <w:tcW w:w="990" w:type="dxa"/>
            <w:tcBorders>
              <w:top w:val="single" w:sz="6" w:space="0" w:color="000000"/>
              <w:left w:val="single" w:sz="6" w:space="0" w:color="000000"/>
              <w:right w:val="double" w:sz="6" w:space="0" w:color="auto"/>
            </w:tcBorders>
          </w:tcPr>
          <w:p w:rsidR="002F26AD" w:rsidRDefault="002F26AD">
            <w:pPr>
              <w:jc w:val="center"/>
              <w:rPr>
                <w:color w:val="000000"/>
              </w:rPr>
            </w:pPr>
            <w:r>
              <w:rPr>
                <w:color w:val="000000"/>
              </w:rPr>
              <w:t>$1.01</w:t>
            </w:r>
          </w:p>
        </w:tc>
        <w:tc>
          <w:tcPr>
            <w:tcW w:w="1260" w:type="dxa"/>
            <w:tcBorders>
              <w:top w:val="single" w:sz="6" w:space="0" w:color="000000"/>
              <w:left w:val="double" w:sz="6" w:space="0" w:color="auto"/>
              <w:right w:val="single" w:sz="6" w:space="0" w:color="auto"/>
            </w:tcBorders>
          </w:tcPr>
          <w:p w:rsidR="002F26AD" w:rsidRDefault="002F26AD">
            <w:pPr>
              <w:jc w:val="center"/>
              <w:rPr>
                <w:color w:val="000000"/>
              </w:rPr>
            </w:pPr>
            <w:r>
              <w:rPr>
                <w:color w:val="000000"/>
              </w:rPr>
              <w:t>N</w:t>
            </w:r>
          </w:p>
        </w:tc>
      </w:tr>
      <w:tr w:rsidR="002F26AD">
        <w:tblPrEx>
          <w:tblCellMar>
            <w:top w:w="0" w:type="dxa"/>
            <w:bottom w:w="0" w:type="dxa"/>
          </w:tblCellMar>
        </w:tblPrEx>
        <w:trPr>
          <w:cantSplit/>
          <w:trHeight w:val="320"/>
        </w:trPr>
        <w:tc>
          <w:tcPr>
            <w:tcW w:w="1620" w:type="dxa"/>
            <w:tcBorders>
              <w:top w:val="single" w:sz="6" w:space="0" w:color="000000"/>
              <w:left w:val="single" w:sz="6" w:space="0" w:color="000000"/>
              <w:bottom w:val="single" w:sz="6" w:space="0" w:color="000000"/>
              <w:right w:val="single" w:sz="6" w:space="0" w:color="auto"/>
            </w:tcBorders>
            <w:shd w:val="pct15" w:color="auto" w:fill="FFFFFF"/>
          </w:tcPr>
          <w:p w:rsidR="002F26AD" w:rsidRDefault="002F26AD">
            <w:pPr>
              <w:jc w:val="center"/>
              <w:rPr>
                <w:color w:val="000000"/>
              </w:rPr>
            </w:pPr>
            <w:r>
              <w:rPr>
                <w:b/>
                <w:color w:val="000000"/>
              </w:rPr>
              <w:t>Total</w:t>
            </w:r>
          </w:p>
        </w:tc>
        <w:tc>
          <w:tcPr>
            <w:tcW w:w="900" w:type="dxa"/>
            <w:tcBorders>
              <w:top w:val="single" w:sz="6" w:space="0" w:color="000000"/>
              <w:bottom w:val="single" w:sz="6" w:space="0" w:color="000000"/>
              <w:right w:val="single" w:sz="6" w:space="0" w:color="000000"/>
            </w:tcBorders>
          </w:tcPr>
          <w:p w:rsidR="002F26AD" w:rsidRDefault="002F26AD">
            <w:pPr>
              <w:jc w:val="center"/>
              <w:rPr>
                <w:b/>
                <w:color w:val="000000"/>
              </w:rPr>
            </w:pPr>
            <w:r>
              <w:rPr>
                <w:b/>
                <w:color w:val="000000"/>
              </w:rPr>
              <w:t>10</w:t>
            </w:r>
          </w:p>
        </w:tc>
        <w:tc>
          <w:tcPr>
            <w:tcW w:w="810" w:type="dxa"/>
            <w:tcBorders>
              <w:top w:val="single" w:sz="6" w:space="0" w:color="000000"/>
              <w:left w:val="single" w:sz="6" w:space="0" w:color="000000"/>
              <w:bottom w:val="single" w:sz="6" w:space="0" w:color="000000"/>
              <w:right w:val="double" w:sz="6" w:space="0" w:color="auto"/>
            </w:tcBorders>
            <w:shd w:val="pct15" w:color="auto" w:fill="FFFFFF"/>
          </w:tcPr>
          <w:p w:rsidR="002F26AD" w:rsidRDefault="002F26AD">
            <w:pPr>
              <w:jc w:val="center"/>
              <w:rPr>
                <w:color w:val="000000"/>
              </w:rPr>
            </w:pPr>
          </w:p>
        </w:tc>
        <w:tc>
          <w:tcPr>
            <w:tcW w:w="900" w:type="dxa"/>
            <w:tcBorders>
              <w:top w:val="single" w:sz="6" w:space="0" w:color="000000"/>
              <w:left w:val="double" w:sz="6" w:space="0" w:color="auto"/>
              <w:bottom w:val="single" w:sz="6" w:space="0" w:color="000000"/>
              <w:right w:val="single" w:sz="6" w:space="0" w:color="000000"/>
            </w:tcBorders>
            <w:shd w:val="pct15" w:color="auto" w:fill="FFFFFF"/>
          </w:tcPr>
          <w:p w:rsidR="002F26AD" w:rsidRDefault="002F26AD">
            <w:pPr>
              <w:jc w:val="center"/>
              <w:rPr>
                <w:color w:val="000000"/>
              </w:rPr>
            </w:pPr>
          </w:p>
        </w:tc>
        <w:tc>
          <w:tcPr>
            <w:tcW w:w="990" w:type="dxa"/>
            <w:tcBorders>
              <w:top w:val="single" w:sz="6" w:space="0" w:color="000000"/>
              <w:left w:val="single" w:sz="6" w:space="0" w:color="000000"/>
              <w:bottom w:val="single" w:sz="6" w:space="0" w:color="000000"/>
              <w:right w:val="double" w:sz="6" w:space="0" w:color="auto"/>
            </w:tcBorders>
            <w:shd w:val="pct15" w:color="auto" w:fill="FFFFFF"/>
          </w:tcPr>
          <w:p w:rsidR="002F26AD" w:rsidRDefault="002F26AD">
            <w:pPr>
              <w:ind w:left="-300" w:firstLine="90"/>
              <w:jc w:val="center"/>
              <w:rPr>
                <w:color w:val="000000"/>
              </w:rPr>
            </w:pPr>
          </w:p>
        </w:tc>
        <w:tc>
          <w:tcPr>
            <w:tcW w:w="1260" w:type="dxa"/>
            <w:tcBorders>
              <w:top w:val="single" w:sz="6" w:space="0" w:color="000000"/>
              <w:left w:val="double" w:sz="6" w:space="0" w:color="auto"/>
              <w:bottom w:val="single" w:sz="6" w:space="0" w:color="000000"/>
              <w:right w:val="single" w:sz="6" w:space="0" w:color="auto"/>
            </w:tcBorders>
            <w:shd w:val="pct15" w:color="auto" w:fill="FFFFFF"/>
          </w:tcPr>
          <w:p w:rsidR="002F26AD" w:rsidRDefault="002F26AD">
            <w:pPr>
              <w:ind w:left="-300" w:firstLine="90"/>
              <w:jc w:val="center"/>
              <w:rPr>
                <w:color w:val="000000"/>
              </w:rPr>
            </w:pPr>
          </w:p>
        </w:tc>
      </w:tr>
    </w:tbl>
    <w:p w:rsidR="002F26AD" w:rsidRDefault="002F26AD">
      <w:pPr>
        <w:pStyle w:val="b2"/>
        <w:ind w:left="360"/>
        <w:rPr>
          <w:sz w:val="16"/>
        </w:rPr>
      </w:pPr>
    </w:p>
    <w:p w:rsidR="002F26AD" w:rsidRDefault="002F26AD"/>
    <w:p w:rsidR="002F26AD" w:rsidRDefault="002F26AD">
      <w:r>
        <w:t>The RCS was prepared in accordance with the Uniform Standards of Professional Appraisal Practice (USPAP) and the supplemental standards of HUD Notice H 00-12. Market Rents were defined and estimated in accordance with Section 3 of Notice H 00-12 and the report was prepared in accordance with Section 4 of the Notice H 00-12. I understand that</w:t>
      </w:r>
      <w:r>
        <w:rPr>
          <w:i/>
        </w:rPr>
        <w:t xml:space="preserve"> </w:t>
      </w:r>
      <w:r>
        <w:t xml:space="preserve">HUD/the Section 8 Contract Administrator (CA) and the project owner will use my estimate of market rents to determine: 1) the owner’s options for renewing the project’s Section 8 contracts; and 2) the maximum rents allowed under any renewal contract. </w:t>
      </w:r>
    </w:p>
    <w:p w:rsidR="002F26AD" w:rsidRDefault="002F26AD"/>
    <w:p w:rsidR="002F26AD" w:rsidRDefault="002F26AD">
      <w:r>
        <w:t xml:space="preserve">Should you have any questions or require more information, please contact me directly at the phone number or e-mail address listed above. </w:t>
      </w:r>
    </w:p>
    <w:p w:rsidR="002F26AD" w:rsidRDefault="002F26AD"/>
    <w:p w:rsidR="002F26AD" w:rsidRDefault="002F26AD"/>
    <w:p w:rsidR="002F26AD" w:rsidRDefault="002F26AD"/>
    <w:p w:rsidR="002F26AD" w:rsidRDefault="002F26AD">
      <w:r>
        <w:t>Sincerely,</w:t>
      </w:r>
    </w:p>
    <w:p w:rsidR="002F26AD" w:rsidRDefault="002F26AD">
      <w:pPr>
        <w:rPr>
          <w:sz w:val="16"/>
        </w:rPr>
      </w:pPr>
    </w:p>
    <w:p w:rsidR="002F26AD" w:rsidRDefault="002F26AD">
      <w:pPr>
        <w:rPr>
          <w:sz w:val="16"/>
        </w:rPr>
      </w:pPr>
      <w:r>
        <w:rPr>
          <w:rFonts w:ascii="Lucida Handwriting" w:hAnsi="Lucida Handwriting"/>
          <w:color w:val="0000FF"/>
          <w:sz w:val="20"/>
        </w:rPr>
        <w:t>Joseph Jones</w:t>
      </w:r>
    </w:p>
    <w:p w:rsidR="002F26AD" w:rsidRDefault="002F26AD">
      <w:pPr>
        <w:pStyle w:val="Header"/>
        <w:tabs>
          <w:tab w:val="clear" w:pos="4320"/>
          <w:tab w:val="clear" w:pos="8640"/>
        </w:tabs>
        <w:rPr>
          <w:sz w:val="16"/>
        </w:rPr>
      </w:pPr>
    </w:p>
    <w:p w:rsidR="002F26AD" w:rsidRDefault="002F26AD">
      <w:r>
        <w:t>Joe Jones</w:t>
      </w:r>
    </w:p>
    <w:p w:rsidR="002F26AD" w:rsidRDefault="002F26AD">
      <w:pPr>
        <w:jc w:val="left"/>
        <w:sectPr w:rsidR="002F26AD">
          <w:pgSz w:w="12240" w:h="15840"/>
          <w:pgMar w:top="1440" w:right="1440" w:bottom="1440" w:left="2160" w:header="720" w:footer="720" w:gutter="0"/>
          <w:pgNumType w:start="1"/>
          <w:cols w:space="720"/>
          <w:titlePg/>
        </w:sectPr>
      </w:pPr>
      <w:r>
        <w:t>ST Certified General Appraiser #CG2222</w:t>
      </w:r>
    </w:p>
    <w:p w:rsidR="002F26AD" w:rsidRDefault="002F26AD"/>
    <w:p w:rsidR="002F26AD" w:rsidRDefault="002F26AD">
      <w:pPr>
        <w:jc w:val="center"/>
        <w:rPr>
          <w:b/>
          <w:i/>
          <w:sz w:val="28"/>
        </w:rPr>
      </w:pPr>
      <w:r>
        <w:rPr>
          <w:b/>
          <w:i/>
          <w:sz w:val="28"/>
        </w:rPr>
        <w:t>Table of Contents</w:t>
      </w:r>
    </w:p>
    <w:p w:rsidR="002F26AD" w:rsidRDefault="002F26AD">
      <w:pPr>
        <w:pStyle w:val="Header"/>
        <w:tabs>
          <w:tab w:val="clear" w:pos="4320"/>
          <w:tab w:val="clear" w:pos="8640"/>
        </w:tabs>
        <w:rPr>
          <w:b/>
          <w:u w:val="single"/>
        </w:rPr>
      </w:pPr>
    </w:p>
    <w:p w:rsidR="002F26AD" w:rsidRDefault="002F26AD">
      <w:pPr>
        <w:pStyle w:val="Header"/>
        <w:tabs>
          <w:tab w:val="clear" w:pos="4320"/>
          <w:tab w:val="clear" w:pos="8640"/>
        </w:tabs>
        <w:rPr>
          <w:b/>
          <w:i/>
        </w:rPr>
      </w:pPr>
    </w:p>
    <w:p w:rsidR="002F26AD" w:rsidRDefault="002F26AD">
      <w:pPr>
        <w:pStyle w:val="Block1"/>
        <w:ind w:left="0" w:firstLine="0"/>
      </w:pPr>
      <w:r>
        <w:t>Appraiser’s Transmittal Letter</w:t>
      </w:r>
    </w:p>
    <w:p w:rsidR="002F26AD" w:rsidRDefault="002F26AD">
      <w:pPr>
        <w:pStyle w:val="Header"/>
        <w:tabs>
          <w:tab w:val="clear" w:pos="4320"/>
          <w:tab w:val="clear" w:pos="8640"/>
        </w:tabs>
        <w:rPr>
          <w:b/>
          <w:i/>
        </w:rPr>
      </w:pPr>
    </w:p>
    <w:p w:rsidR="002F26AD" w:rsidRDefault="002F26AD">
      <w:pPr>
        <w:pStyle w:val="Header"/>
        <w:tabs>
          <w:tab w:val="clear" w:pos="4320"/>
          <w:tab w:val="clear" w:pos="8640"/>
        </w:tabs>
        <w:rPr>
          <w:b/>
          <w:u w:val="single"/>
        </w:rPr>
      </w:pPr>
      <w:r>
        <w:rPr>
          <w:b/>
          <w:i/>
          <w:u w:val="single"/>
        </w:rPr>
        <w:t>Page No</w:t>
      </w:r>
      <w:r>
        <w:rPr>
          <w:b/>
          <w:u w:val="single"/>
        </w:rPr>
        <w:t>.</w:t>
      </w:r>
      <w:r>
        <w:rPr>
          <w:b/>
        </w:rPr>
        <w:tab/>
      </w:r>
      <w:r>
        <w:rPr>
          <w:b/>
        </w:rPr>
        <w:tab/>
      </w:r>
      <w:r>
        <w:rPr>
          <w:b/>
        </w:rPr>
        <w:tab/>
      </w:r>
      <w:r>
        <w:rPr>
          <w:b/>
          <w:i/>
          <w:u w:val="single"/>
        </w:rPr>
        <w:t>Item</w:t>
      </w:r>
    </w:p>
    <w:p w:rsidR="002F26AD" w:rsidRDefault="002F26AD">
      <w:pPr>
        <w:pStyle w:val="Header"/>
        <w:tabs>
          <w:tab w:val="clear" w:pos="4320"/>
          <w:tab w:val="clear" w:pos="8640"/>
        </w:tabs>
      </w:pPr>
    </w:p>
    <w:p w:rsidR="002F26AD" w:rsidRDefault="002F26AD">
      <w:pPr>
        <w:pStyle w:val="Block1"/>
        <w:tabs>
          <w:tab w:val="left" w:pos="432"/>
        </w:tabs>
        <w:ind w:left="0" w:firstLine="0"/>
      </w:pPr>
      <w:r>
        <w:tab/>
        <w:t>1</w:t>
      </w:r>
      <w:r>
        <w:tab/>
      </w:r>
      <w:r>
        <w:tab/>
      </w:r>
      <w:r>
        <w:tab/>
        <w:t>Scope of Work</w:t>
      </w:r>
    </w:p>
    <w:p w:rsidR="002F26AD" w:rsidRDefault="002F26AD">
      <w:pPr>
        <w:pStyle w:val="Block1"/>
        <w:ind w:left="0" w:firstLine="0"/>
      </w:pPr>
    </w:p>
    <w:p w:rsidR="002F26AD" w:rsidRDefault="002F26AD">
      <w:pPr>
        <w:pStyle w:val="Block1"/>
        <w:tabs>
          <w:tab w:val="left" w:pos="432"/>
        </w:tabs>
        <w:ind w:left="0" w:firstLine="0"/>
      </w:pPr>
      <w:r>
        <w:tab/>
        <w:t>2</w:t>
      </w:r>
      <w:r>
        <w:tab/>
      </w:r>
      <w:r>
        <w:tab/>
      </w:r>
      <w:r>
        <w:tab/>
        <w:t xml:space="preserve">Description of Subject Property </w:t>
      </w:r>
    </w:p>
    <w:p w:rsidR="002F26AD" w:rsidRDefault="002F26AD">
      <w:pPr>
        <w:pStyle w:val="Block1"/>
        <w:ind w:left="0" w:firstLine="720"/>
      </w:pPr>
    </w:p>
    <w:p w:rsidR="002F26AD" w:rsidRDefault="002F26AD">
      <w:pPr>
        <w:pStyle w:val="Block1"/>
        <w:tabs>
          <w:tab w:val="left" w:pos="432"/>
        </w:tabs>
        <w:ind w:left="0" w:firstLine="0"/>
      </w:pPr>
      <w:r>
        <w:tab/>
        <w:t xml:space="preserve">3 </w:t>
      </w:r>
      <w:r>
        <w:tab/>
      </w:r>
      <w:r>
        <w:tab/>
      </w:r>
      <w:r>
        <w:tab/>
        <w:t>Definition of the Subject’s Market Area</w:t>
      </w:r>
    </w:p>
    <w:p w:rsidR="002F26AD" w:rsidRDefault="002F26AD">
      <w:pPr>
        <w:pStyle w:val="Block1"/>
        <w:ind w:left="0" w:firstLine="0"/>
      </w:pPr>
    </w:p>
    <w:p w:rsidR="002F26AD" w:rsidRDefault="002F26AD">
      <w:pPr>
        <w:pStyle w:val="Block1"/>
        <w:tabs>
          <w:tab w:val="left" w:pos="432"/>
        </w:tabs>
        <w:ind w:left="0" w:firstLine="0"/>
      </w:pPr>
      <w:r>
        <w:tab/>
        <w:t>3</w:t>
      </w:r>
      <w:r>
        <w:tab/>
      </w:r>
      <w:r>
        <w:tab/>
      </w:r>
      <w:r>
        <w:tab/>
        <w:t xml:space="preserve">Description of Neighborhood </w:t>
      </w:r>
    </w:p>
    <w:p w:rsidR="002F26AD" w:rsidRDefault="002F26AD">
      <w:pPr>
        <w:pStyle w:val="Block1"/>
        <w:ind w:left="0" w:firstLine="0"/>
      </w:pPr>
    </w:p>
    <w:p w:rsidR="002F26AD" w:rsidRDefault="002F26AD">
      <w:pPr>
        <w:pStyle w:val="Block1"/>
        <w:tabs>
          <w:tab w:val="left" w:pos="432"/>
        </w:tabs>
        <w:ind w:left="0" w:firstLine="0"/>
      </w:pPr>
      <w:r>
        <w:tab/>
        <w:t>3</w:t>
      </w:r>
      <w:r>
        <w:tab/>
      </w:r>
      <w:r>
        <w:tab/>
      </w:r>
      <w:r>
        <w:tab/>
        <w:t>How Comparable Properties were Selected</w:t>
      </w:r>
    </w:p>
    <w:p w:rsidR="002F26AD" w:rsidRDefault="002F26AD">
      <w:pPr>
        <w:pStyle w:val="Block1"/>
        <w:ind w:left="0" w:firstLine="0"/>
      </w:pPr>
    </w:p>
    <w:p w:rsidR="002F26AD" w:rsidRDefault="002F26AD">
      <w:pPr>
        <w:pStyle w:val="Block1"/>
        <w:tabs>
          <w:tab w:val="left" w:pos="432"/>
        </w:tabs>
        <w:ind w:left="0" w:firstLine="0"/>
      </w:pPr>
      <w:r>
        <w:tab/>
        <w:t>5</w:t>
      </w:r>
      <w:r>
        <w:tab/>
      </w:r>
      <w:r>
        <w:tab/>
      </w:r>
      <w:r>
        <w:tab/>
        <w:t>Locator Map For Subject and Comparables</w:t>
      </w:r>
    </w:p>
    <w:p w:rsidR="002F26AD" w:rsidRDefault="002F26AD">
      <w:pPr>
        <w:pStyle w:val="Block1"/>
        <w:ind w:left="0" w:firstLine="0"/>
      </w:pPr>
    </w:p>
    <w:p w:rsidR="002F26AD" w:rsidRDefault="002F26AD">
      <w:pPr>
        <w:pStyle w:val="Block1"/>
        <w:tabs>
          <w:tab w:val="left" w:pos="432"/>
        </w:tabs>
        <w:ind w:left="0" w:firstLine="0"/>
      </w:pPr>
      <w:r>
        <w:tab/>
        <w:t>6</w:t>
      </w:r>
      <w:r>
        <w:tab/>
      </w:r>
      <w:r>
        <w:tab/>
      </w:r>
      <w:r>
        <w:tab/>
        <w:t>Rent Comparability Grid for Primary Unit Type</w:t>
      </w:r>
    </w:p>
    <w:p w:rsidR="002F26AD" w:rsidRDefault="002F26AD">
      <w:pPr>
        <w:pStyle w:val="Block1"/>
        <w:ind w:left="0" w:firstLine="0"/>
      </w:pPr>
    </w:p>
    <w:p w:rsidR="002F26AD" w:rsidRDefault="002F26AD">
      <w:pPr>
        <w:pStyle w:val="Block1"/>
        <w:tabs>
          <w:tab w:val="left" w:pos="432"/>
        </w:tabs>
        <w:ind w:left="0" w:firstLine="0"/>
      </w:pPr>
      <w:r>
        <w:tab/>
        <w:t xml:space="preserve">7 </w:t>
      </w:r>
      <w:r>
        <w:tab/>
      </w:r>
      <w:r>
        <w:tab/>
      </w:r>
      <w:r>
        <w:tab/>
        <w:t xml:space="preserve">Explanation of Adjustments &amp; Market Rent Conclusions </w:t>
      </w:r>
    </w:p>
    <w:p w:rsidR="002F26AD" w:rsidRDefault="002F26AD">
      <w:pPr>
        <w:pStyle w:val="Block1"/>
        <w:ind w:left="0" w:firstLine="0"/>
      </w:pPr>
    </w:p>
    <w:p w:rsidR="002F26AD" w:rsidRDefault="002F26AD">
      <w:pPr>
        <w:pStyle w:val="Block1"/>
        <w:tabs>
          <w:tab w:val="left" w:pos="432"/>
        </w:tabs>
        <w:ind w:left="0" w:firstLine="0"/>
      </w:pPr>
      <w:r>
        <w:tab/>
        <w:t>13</w:t>
      </w:r>
      <w:r>
        <w:tab/>
      </w:r>
      <w:r>
        <w:tab/>
      </w:r>
      <w:r>
        <w:tab/>
        <w:t>Comparable Property Profiles</w:t>
      </w:r>
    </w:p>
    <w:p w:rsidR="002F26AD" w:rsidRDefault="002F26AD">
      <w:pPr>
        <w:pStyle w:val="Block1"/>
        <w:ind w:left="0" w:firstLine="0"/>
      </w:pPr>
    </w:p>
    <w:p w:rsidR="002F26AD" w:rsidRDefault="002F26AD">
      <w:pPr>
        <w:pStyle w:val="Block1"/>
        <w:tabs>
          <w:tab w:val="left" w:pos="432"/>
        </w:tabs>
        <w:ind w:left="0" w:firstLine="0"/>
      </w:pPr>
      <w:r>
        <w:tab/>
        <w:t>18</w:t>
      </w:r>
      <w:r>
        <w:rPr>
          <w:i/>
        </w:rPr>
        <w:tab/>
      </w:r>
      <w:r>
        <w:rPr>
          <w:i/>
        </w:rPr>
        <w:tab/>
      </w:r>
      <w:r>
        <w:rPr>
          <w:i/>
        </w:rPr>
        <w:tab/>
      </w:r>
      <w:r>
        <w:t>Appraiser’s Certification</w:t>
      </w:r>
    </w:p>
    <w:p w:rsidR="002F26AD" w:rsidRDefault="002F26AD">
      <w:pPr>
        <w:pStyle w:val="Block1"/>
        <w:ind w:left="0" w:firstLine="0"/>
        <w:rPr>
          <w:b/>
        </w:rPr>
      </w:pPr>
    </w:p>
    <w:p w:rsidR="002F26AD" w:rsidRDefault="002F26AD">
      <w:pPr>
        <w:pStyle w:val="b2"/>
        <w:ind w:left="0" w:firstLine="0"/>
        <w:rPr>
          <w:b/>
        </w:rPr>
      </w:pPr>
      <w:r>
        <w:rPr>
          <w:b/>
        </w:rPr>
        <w:t>Exhibits</w:t>
      </w:r>
    </w:p>
    <w:p w:rsidR="002F26AD" w:rsidRDefault="002F26AD">
      <w:pPr>
        <w:pStyle w:val="block3"/>
      </w:pPr>
      <w:r>
        <w:t>Color Photographs of Subject</w:t>
      </w:r>
    </w:p>
    <w:p w:rsidR="002F26AD" w:rsidRDefault="002F26AD">
      <w:pPr>
        <w:pStyle w:val="block3"/>
        <w:ind w:left="0" w:firstLine="720"/>
      </w:pPr>
      <w:r>
        <w:t>Additional Photos of Comparables</w:t>
      </w:r>
    </w:p>
    <w:p w:rsidR="002F26AD" w:rsidRDefault="002F26AD">
      <w:pPr>
        <w:rPr>
          <w:sz w:val="28"/>
        </w:rPr>
        <w:sectPr w:rsidR="002F26AD">
          <w:pgSz w:w="12240" w:h="15840"/>
          <w:pgMar w:top="1440" w:right="1440" w:bottom="1440" w:left="2160" w:header="720" w:footer="720" w:gutter="0"/>
          <w:pgNumType w:start="1"/>
          <w:cols w:space="720"/>
          <w:titlePg/>
        </w:sectPr>
      </w:pPr>
    </w:p>
    <w:p w:rsidR="002F26AD" w:rsidRDefault="002F26AD">
      <w:pPr>
        <w:jc w:val="left"/>
      </w:pPr>
    </w:p>
    <w:p w:rsidR="002F26AD" w:rsidRDefault="002F26AD">
      <w:pPr>
        <w:keepNext/>
        <w:tabs>
          <w:tab w:val="left" w:pos="432"/>
        </w:tabs>
        <w:rPr>
          <w:b/>
          <w:i/>
          <w:sz w:val="28"/>
        </w:rPr>
      </w:pPr>
      <w:r>
        <w:rPr>
          <w:b/>
          <w:i/>
          <w:sz w:val="28"/>
        </w:rPr>
        <w:t>Scope of Work</w:t>
      </w:r>
    </w:p>
    <w:p w:rsidR="002F26AD" w:rsidRDefault="002F26AD">
      <w:pPr>
        <w:keepNext/>
        <w:tabs>
          <w:tab w:val="left" w:pos="432"/>
        </w:tabs>
      </w:pPr>
    </w:p>
    <w:p w:rsidR="002F26AD" w:rsidRDefault="002F26AD">
      <w:pPr>
        <w:tabs>
          <w:tab w:val="left" w:pos="432"/>
        </w:tabs>
      </w:pPr>
      <w:r>
        <w:t xml:space="preserve">This Rent Comparability Study was completed in accordance with the requirements set forth in HUD's Notice H 00-12. </w:t>
      </w:r>
    </w:p>
    <w:p w:rsidR="002F26AD" w:rsidRDefault="002F26AD">
      <w:pPr>
        <w:tabs>
          <w:tab w:val="left" w:pos="432"/>
        </w:tabs>
      </w:pPr>
    </w:p>
    <w:p w:rsidR="002F26AD" w:rsidRDefault="002F26AD">
      <w:pPr>
        <w:tabs>
          <w:tab w:val="left" w:pos="432"/>
        </w:tabs>
      </w:pPr>
      <w:r>
        <w:t>Joe Jones, a State certified general appraiser employed by Appraisal Services International (ASI), oversaw and supervised all data collection and analysis. Sharon Allen, an associate at ASI, performed some of the research under Joe Jones’s supervision. The following actions were taken to complete this RCS.</w:t>
      </w:r>
    </w:p>
    <w:p w:rsidR="002F26AD" w:rsidRDefault="002F26AD">
      <w:pPr>
        <w:tabs>
          <w:tab w:val="left" w:pos="432"/>
        </w:tabs>
      </w:pPr>
    </w:p>
    <w:p w:rsidR="002F26AD" w:rsidRDefault="002F26AD">
      <w:pPr>
        <w:pStyle w:val="Block1"/>
      </w:pPr>
      <w:r>
        <w:t>• On March 13, 2000, Joe Jones and Sharon Allen inspected the interior and exterior of the subject property to determine the property’s physical and functional characteristics. Jones &amp; Allen inspected two small efficiency units, one large efficiency unit, interior common areas (lobby and community room), and exterior grounds. Ms. Sue Hancock, the on-site property manager, accompanied Jones &amp; Allen on all inspections. Ms. Allen measured the interior of the units and interviewed Ms. Hancock to determine the rental rates, services, and amenities offered to tenants of the subject property.</w:t>
      </w:r>
    </w:p>
    <w:p w:rsidR="002F26AD" w:rsidRDefault="002F26AD">
      <w:pPr>
        <w:pStyle w:val="Block1"/>
      </w:pPr>
    </w:p>
    <w:p w:rsidR="002F26AD" w:rsidRDefault="002F26AD">
      <w:pPr>
        <w:pStyle w:val="Block1"/>
      </w:pPr>
      <w:r>
        <w:t>• Ms. Allen researched comparable apartment rental activity in the subject township and competing locations.  The research included pulling data from internet sites, local newspapers and rental publications, town records, owners and managers of local apartment properties, local real estate brokers, fellow appraisers, and files of Appraiser Services International.</w:t>
      </w:r>
    </w:p>
    <w:p w:rsidR="002F26AD" w:rsidRDefault="002F26AD">
      <w:pPr>
        <w:pStyle w:val="Block1"/>
      </w:pPr>
    </w:p>
    <w:p w:rsidR="002F26AD" w:rsidRDefault="002F26AD">
      <w:pPr>
        <w:pStyle w:val="Block1"/>
      </w:pPr>
      <w:r>
        <w:t xml:space="preserve">• During the weeks of March 13 and 20, Jones &amp; Allen inspected the exterior of each comparable property. For three of the comparables </w:t>
      </w:r>
      <w:r>
        <w:rPr>
          <w:i/>
        </w:rPr>
        <w:t>(Holland Apartments, BCD Village Apartments and Glen Park),</w:t>
      </w:r>
      <w:r>
        <w:t xml:space="preserve"> Jones &amp; Allen also inspected interior common areas and a model unit. At the other two comps </w:t>
      </w:r>
      <w:r>
        <w:rPr>
          <w:i/>
        </w:rPr>
        <w:t xml:space="preserve">(Park Village and Lebanon Apts) </w:t>
      </w:r>
      <w:r>
        <w:t>access was denied or no models were available, but Jones &amp; Allen did view on-site photos of these units’ interiors.</w:t>
      </w:r>
    </w:p>
    <w:p w:rsidR="002F26AD" w:rsidRDefault="002F26AD">
      <w:pPr>
        <w:pStyle w:val="Block1"/>
      </w:pPr>
    </w:p>
    <w:p w:rsidR="002F26AD" w:rsidRDefault="002F26AD">
      <w:pPr>
        <w:pStyle w:val="Block1"/>
      </w:pPr>
      <w:r>
        <w:t>• During the site inspections or in separate phone interviews, Ms. Allen talked with the managers of the comparable properties to confirm all data and to collect additional information about each comparable, including size, age, and amenities, occupancy rates and general market information.  The property manager provided floor plans or other information describing the size of comparable units after Sharon Allen explained that the interior size was needed.</w:t>
      </w:r>
    </w:p>
    <w:p w:rsidR="002F26AD" w:rsidRDefault="002F26AD">
      <w:pPr>
        <w:pStyle w:val="Block1"/>
      </w:pPr>
    </w:p>
    <w:p w:rsidR="002F26AD" w:rsidRDefault="002F26AD">
      <w:pPr>
        <w:pStyle w:val="Block1"/>
      </w:pPr>
      <w:r>
        <w:t xml:space="preserve">• Ms. Allen completed the data &amp; adjustment columns of the Rent Comparability Grid using the instructions in Attachment 2b and Sections 3 and 4 of Notice H 00-12. Mr. Jones reviewed all entries, modified some, and derived an estimated market rent for each unit type. </w:t>
      </w:r>
    </w:p>
    <w:p w:rsidR="002F26AD" w:rsidRDefault="002F26AD">
      <w:pPr>
        <w:keepNext/>
      </w:pPr>
    </w:p>
    <w:p w:rsidR="002F26AD" w:rsidRDefault="002F26AD">
      <w:pPr>
        <w:keepNext/>
      </w:pPr>
    </w:p>
    <w:p w:rsidR="002F26AD" w:rsidRDefault="002F26AD">
      <w:pPr>
        <w:keepNext/>
        <w:rPr>
          <w:b/>
          <w:i/>
          <w:sz w:val="28"/>
        </w:rPr>
      </w:pPr>
      <w:r>
        <w:rPr>
          <w:b/>
          <w:i/>
          <w:sz w:val="28"/>
        </w:rPr>
        <w:br w:type="page"/>
        <w:t>Description of Subject Property</w:t>
      </w:r>
    </w:p>
    <w:p w:rsidR="002F26AD" w:rsidRDefault="002F26AD">
      <w:pPr>
        <w:keepNext/>
      </w:pPr>
    </w:p>
    <w:p w:rsidR="002F26AD" w:rsidRDefault="002F26AD">
      <w:r>
        <w:t xml:space="preserve">ABC Village Apartments is a 5-story, brick elevator building located at 100 Main Street, Smithville, State.  The site is located on a level, rectangular corner lot with 100 feet of frontage on Main Street and 200 feet of frontage on High Street in the Central Business District of Smithville, in the county of Gloucester.  The corner lot provides excellent visibility and access. </w:t>
      </w:r>
    </w:p>
    <w:p w:rsidR="002F26AD" w:rsidRDefault="002F26AD"/>
    <w:p w:rsidR="002F26AD" w:rsidRDefault="002F26AD">
      <w:r>
        <w:t xml:space="preserve">The table below describes the unit mix for </w:t>
      </w:r>
      <w:r>
        <w:rPr>
          <w:b/>
          <w:i/>
        </w:rPr>
        <w:t>all</w:t>
      </w:r>
      <w:r>
        <w:t xml:space="preserve"> 50 units at the property. This RCS applies only to the 10 efficiency units, as these are the only units in the complex that receive Section 8 subsidy. The market rent for the one-bedroom units is $595. The property is occupied by elderly residents. Elderly are drawn to the complex because of its central location and the services it provides.</w:t>
      </w:r>
    </w:p>
    <w:p w:rsidR="002F26AD" w:rsidRDefault="002F26AD"/>
    <w:tbl>
      <w:tblPr>
        <w:tblW w:w="0" w:type="auto"/>
        <w:tblInd w:w="750" w:type="dxa"/>
        <w:tblLayout w:type="fixed"/>
        <w:tblCellMar>
          <w:left w:w="30" w:type="dxa"/>
          <w:right w:w="30" w:type="dxa"/>
        </w:tblCellMar>
        <w:tblLook w:val="0000"/>
      </w:tblPr>
      <w:tblGrid>
        <w:gridCol w:w="1080"/>
        <w:gridCol w:w="900"/>
        <w:gridCol w:w="1170"/>
        <w:gridCol w:w="1500"/>
        <w:gridCol w:w="1740"/>
        <w:gridCol w:w="1530"/>
      </w:tblGrid>
      <w:tr w:rsidR="002F26AD">
        <w:tblPrEx>
          <w:tblCellMar>
            <w:top w:w="0" w:type="dxa"/>
            <w:bottom w:w="0" w:type="dxa"/>
          </w:tblCellMar>
        </w:tblPrEx>
        <w:trPr>
          <w:trHeight w:val="921"/>
        </w:trPr>
        <w:tc>
          <w:tcPr>
            <w:tcW w:w="1080" w:type="dxa"/>
            <w:tcBorders>
              <w:top w:val="single" w:sz="6" w:space="0" w:color="auto"/>
              <w:left w:val="single" w:sz="6" w:space="0" w:color="auto"/>
            </w:tcBorders>
          </w:tcPr>
          <w:p w:rsidR="002F26AD" w:rsidRDefault="002F26AD">
            <w:pPr>
              <w:jc w:val="center"/>
              <w:rPr>
                <w:b/>
                <w:color w:val="000080"/>
                <w:sz w:val="20"/>
              </w:rPr>
            </w:pPr>
          </w:p>
          <w:p w:rsidR="002F26AD" w:rsidRDefault="002F26AD">
            <w:pPr>
              <w:jc w:val="center"/>
              <w:rPr>
                <w:b/>
                <w:color w:val="000080"/>
                <w:sz w:val="20"/>
              </w:rPr>
            </w:pPr>
            <w:r>
              <w:rPr>
                <w:b/>
                <w:color w:val="000080"/>
                <w:sz w:val="20"/>
              </w:rPr>
              <w:t>Unit</w:t>
            </w:r>
          </w:p>
          <w:p w:rsidR="002F26AD" w:rsidRDefault="002F26AD">
            <w:pPr>
              <w:jc w:val="center"/>
              <w:rPr>
                <w:b/>
                <w:color w:val="000080"/>
                <w:sz w:val="20"/>
              </w:rPr>
            </w:pPr>
            <w:r>
              <w:rPr>
                <w:b/>
                <w:color w:val="000080"/>
                <w:sz w:val="20"/>
              </w:rPr>
              <w:t>Type</w:t>
            </w:r>
          </w:p>
        </w:tc>
        <w:tc>
          <w:tcPr>
            <w:tcW w:w="900" w:type="dxa"/>
            <w:tcBorders>
              <w:top w:val="single" w:sz="6" w:space="0" w:color="auto"/>
            </w:tcBorders>
          </w:tcPr>
          <w:p w:rsidR="002F26AD" w:rsidRDefault="002F26AD">
            <w:pPr>
              <w:tabs>
                <w:tab w:val="left" w:pos="2520"/>
              </w:tabs>
              <w:jc w:val="center"/>
              <w:rPr>
                <w:b/>
                <w:color w:val="000080"/>
                <w:sz w:val="20"/>
              </w:rPr>
            </w:pPr>
          </w:p>
          <w:p w:rsidR="002F26AD" w:rsidRDefault="002F26AD">
            <w:pPr>
              <w:jc w:val="center"/>
              <w:rPr>
                <w:b/>
                <w:color w:val="000080"/>
                <w:sz w:val="20"/>
              </w:rPr>
            </w:pPr>
            <w:r>
              <w:rPr>
                <w:b/>
                <w:color w:val="000080"/>
                <w:sz w:val="20"/>
              </w:rPr>
              <w:t xml:space="preserve"># </w:t>
            </w:r>
          </w:p>
          <w:p w:rsidR="002F26AD" w:rsidRDefault="002F26AD">
            <w:pPr>
              <w:jc w:val="center"/>
              <w:rPr>
                <w:b/>
                <w:color w:val="000080"/>
                <w:sz w:val="20"/>
              </w:rPr>
            </w:pPr>
            <w:r>
              <w:rPr>
                <w:b/>
                <w:color w:val="000080"/>
                <w:sz w:val="20"/>
              </w:rPr>
              <w:t>Units</w:t>
            </w:r>
          </w:p>
        </w:tc>
        <w:tc>
          <w:tcPr>
            <w:tcW w:w="1170" w:type="dxa"/>
            <w:tcBorders>
              <w:top w:val="single" w:sz="6" w:space="0" w:color="auto"/>
            </w:tcBorders>
          </w:tcPr>
          <w:p w:rsidR="002F26AD" w:rsidRDefault="002F26AD">
            <w:pPr>
              <w:jc w:val="center"/>
              <w:rPr>
                <w:color w:val="000080"/>
                <w:sz w:val="20"/>
              </w:rPr>
            </w:pPr>
          </w:p>
          <w:p w:rsidR="002F26AD" w:rsidRDefault="002F26AD">
            <w:pPr>
              <w:jc w:val="center"/>
              <w:rPr>
                <w:b/>
                <w:color w:val="000080"/>
                <w:sz w:val="20"/>
              </w:rPr>
            </w:pPr>
            <w:r>
              <w:rPr>
                <w:b/>
                <w:color w:val="000080"/>
                <w:sz w:val="20"/>
              </w:rPr>
              <w:t xml:space="preserve">Interior </w:t>
            </w:r>
          </w:p>
          <w:p w:rsidR="002F26AD" w:rsidRDefault="002F26AD">
            <w:pPr>
              <w:jc w:val="center"/>
              <w:rPr>
                <w:b/>
                <w:color w:val="000080"/>
                <w:sz w:val="20"/>
              </w:rPr>
            </w:pPr>
            <w:r>
              <w:rPr>
                <w:b/>
                <w:color w:val="000080"/>
                <w:sz w:val="20"/>
              </w:rPr>
              <w:t>Size</w:t>
            </w:r>
          </w:p>
          <w:p w:rsidR="002F26AD" w:rsidRDefault="002F26AD">
            <w:pPr>
              <w:jc w:val="center"/>
              <w:rPr>
                <w:color w:val="000000"/>
                <w:sz w:val="20"/>
              </w:rPr>
            </w:pPr>
            <w:r>
              <w:rPr>
                <w:color w:val="000000"/>
                <w:sz w:val="20"/>
              </w:rPr>
              <w:t>(SF)</w:t>
            </w:r>
          </w:p>
        </w:tc>
        <w:tc>
          <w:tcPr>
            <w:tcW w:w="1500" w:type="dxa"/>
            <w:tcBorders>
              <w:top w:val="single" w:sz="6" w:space="0" w:color="auto"/>
            </w:tcBorders>
          </w:tcPr>
          <w:p w:rsidR="002F26AD" w:rsidRDefault="002F26AD">
            <w:pPr>
              <w:jc w:val="center"/>
              <w:rPr>
                <w:b/>
                <w:color w:val="000080"/>
                <w:sz w:val="20"/>
              </w:rPr>
            </w:pPr>
            <w:r>
              <w:rPr>
                <w:b/>
                <w:color w:val="000080"/>
                <w:sz w:val="20"/>
              </w:rPr>
              <w:t>#</w:t>
            </w:r>
          </w:p>
          <w:p w:rsidR="002F26AD" w:rsidRDefault="002F26AD">
            <w:pPr>
              <w:jc w:val="center"/>
              <w:rPr>
                <w:b/>
                <w:color w:val="000080"/>
                <w:sz w:val="20"/>
              </w:rPr>
            </w:pPr>
            <w:r>
              <w:rPr>
                <w:b/>
                <w:color w:val="000080"/>
                <w:sz w:val="20"/>
              </w:rPr>
              <w:t>Pjt- Based</w:t>
            </w:r>
          </w:p>
          <w:p w:rsidR="002F26AD" w:rsidRDefault="002F26AD">
            <w:pPr>
              <w:jc w:val="center"/>
              <w:rPr>
                <w:color w:val="000080"/>
                <w:sz w:val="20"/>
              </w:rPr>
            </w:pPr>
            <w:r>
              <w:rPr>
                <w:b/>
                <w:color w:val="000080"/>
                <w:sz w:val="20"/>
              </w:rPr>
              <w:t>Sec 8 units</w:t>
            </w:r>
          </w:p>
        </w:tc>
        <w:tc>
          <w:tcPr>
            <w:tcW w:w="1740" w:type="dxa"/>
            <w:tcBorders>
              <w:top w:val="single" w:sz="6" w:space="0" w:color="auto"/>
            </w:tcBorders>
          </w:tcPr>
          <w:p w:rsidR="002F26AD" w:rsidRDefault="002F26AD">
            <w:pPr>
              <w:ind w:right="-100"/>
              <w:jc w:val="center"/>
              <w:rPr>
                <w:b/>
                <w:color w:val="000080"/>
                <w:sz w:val="20"/>
              </w:rPr>
            </w:pPr>
            <w:r>
              <w:rPr>
                <w:b/>
                <w:color w:val="000080"/>
                <w:sz w:val="20"/>
              </w:rPr>
              <w:t>#</w:t>
            </w:r>
          </w:p>
          <w:p w:rsidR="002F26AD" w:rsidRDefault="002F26AD">
            <w:pPr>
              <w:pStyle w:val="BodyText3"/>
              <w:tabs>
                <w:tab w:val="left" w:pos="1260"/>
              </w:tabs>
              <w:rPr>
                <w:sz w:val="20"/>
              </w:rPr>
            </w:pPr>
            <w:r>
              <w:rPr>
                <w:sz w:val="20"/>
              </w:rPr>
              <w:t>Other Rent Restricted</w:t>
            </w:r>
          </w:p>
          <w:p w:rsidR="002F26AD" w:rsidRDefault="002F26AD">
            <w:pPr>
              <w:ind w:right="-100"/>
              <w:jc w:val="center"/>
              <w:rPr>
                <w:b/>
                <w:color w:val="000080"/>
                <w:sz w:val="20"/>
              </w:rPr>
            </w:pPr>
            <w:r>
              <w:rPr>
                <w:b/>
                <w:color w:val="000080"/>
                <w:sz w:val="20"/>
              </w:rPr>
              <w:t>Units</w:t>
            </w:r>
          </w:p>
        </w:tc>
        <w:tc>
          <w:tcPr>
            <w:tcW w:w="1530" w:type="dxa"/>
            <w:tcBorders>
              <w:top w:val="single" w:sz="6" w:space="0" w:color="auto"/>
              <w:right w:val="single" w:sz="6" w:space="0" w:color="auto"/>
            </w:tcBorders>
          </w:tcPr>
          <w:p w:rsidR="002F26AD" w:rsidRDefault="002F26AD">
            <w:pPr>
              <w:ind w:left="240" w:right="60" w:hanging="240"/>
              <w:jc w:val="center"/>
              <w:rPr>
                <w:b/>
                <w:color w:val="000080"/>
                <w:sz w:val="20"/>
              </w:rPr>
            </w:pPr>
            <w:r>
              <w:rPr>
                <w:b/>
                <w:color w:val="000080"/>
                <w:sz w:val="20"/>
              </w:rPr>
              <w:t>#</w:t>
            </w:r>
          </w:p>
          <w:p w:rsidR="002F26AD" w:rsidRDefault="002F26AD">
            <w:pPr>
              <w:ind w:left="240" w:right="60" w:hanging="240"/>
              <w:jc w:val="center"/>
              <w:rPr>
                <w:b/>
                <w:color w:val="000080"/>
                <w:sz w:val="20"/>
              </w:rPr>
            </w:pPr>
            <w:r>
              <w:rPr>
                <w:b/>
                <w:color w:val="000080"/>
                <w:sz w:val="20"/>
              </w:rPr>
              <w:t xml:space="preserve"> Units</w:t>
            </w:r>
          </w:p>
          <w:p w:rsidR="002F26AD" w:rsidRDefault="002F26AD">
            <w:pPr>
              <w:ind w:left="240" w:right="60" w:hanging="240"/>
              <w:jc w:val="center"/>
              <w:rPr>
                <w:b/>
                <w:color w:val="000080"/>
                <w:sz w:val="20"/>
              </w:rPr>
            </w:pPr>
            <w:r>
              <w:rPr>
                <w:b/>
                <w:color w:val="000080"/>
                <w:sz w:val="20"/>
              </w:rPr>
              <w:t>Not Rent Restricted</w:t>
            </w:r>
          </w:p>
        </w:tc>
      </w:tr>
      <w:tr w:rsidR="002F26AD">
        <w:tblPrEx>
          <w:tblCellMar>
            <w:top w:w="0" w:type="dxa"/>
            <w:bottom w:w="0" w:type="dxa"/>
          </w:tblCellMar>
        </w:tblPrEx>
        <w:trPr>
          <w:trHeight w:val="260"/>
        </w:trPr>
        <w:tc>
          <w:tcPr>
            <w:tcW w:w="1080" w:type="dxa"/>
            <w:tcBorders>
              <w:top w:val="double" w:sz="6" w:space="0" w:color="auto"/>
              <w:left w:val="single" w:sz="6" w:space="0" w:color="auto"/>
            </w:tcBorders>
          </w:tcPr>
          <w:p w:rsidR="002F26AD" w:rsidRDefault="002F26AD">
            <w:pPr>
              <w:jc w:val="center"/>
              <w:rPr>
                <w:color w:val="000000"/>
                <w:sz w:val="20"/>
              </w:rPr>
            </w:pPr>
            <w:r>
              <w:rPr>
                <w:color w:val="000000"/>
                <w:sz w:val="20"/>
              </w:rPr>
              <w:t>0/1</w:t>
            </w:r>
          </w:p>
        </w:tc>
        <w:tc>
          <w:tcPr>
            <w:tcW w:w="900" w:type="dxa"/>
            <w:tcBorders>
              <w:top w:val="double" w:sz="6" w:space="0" w:color="auto"/>
            </w:tcBorders>
          </w:tcPr>
          <w:p w:rsidR="002F26AD" w:rsidRDefault="002F26AD">
            <w:pPr>
              <w:jc w:val="center"/>
              <w:rPr>
                <w:b/>
                <w:color w:val="000000"/>
                <w:sz w:val="20"/>
              </w:rPr>
            </w:pPr>
            <w:r>
              <w:rPr>
                <w:b/>
                <w:color w:val="000000"/>
                <w:sz w:val="20"/>
              </w:rPr>
              <w:t>7</w:t>
            </w:r>
          </w:p>
        </w:tc>
        <w:tc>
          <w:tcPr>
            <w:tcW w:w="1170" w:type="dxa"/>
            <w:tcBorders>
              <w:top w:val="double" w:sz="6" w:space="0" w:color="auto"/>
            </w:tcBorders>
          </w:tcPr>
          <w:p w:rsidR="002F26AD" w:rsidRDefault="002F26AD">
            <w:pPr>
              <w:jc w:val="center"/>
              <w:rPr>
                <w:color w:val="000000"/>
                <w:sz w:val="20"/>
              </w:rPr>
            </w:pPr>
            <w:r>
              <w:rPr>
                <w:color w:val="000000"/>
                <w:sz w:val="20"/>
              </w:rPr>
              <w:t>450</w:t>
            </w:r>
          </w:p>
        </w:tc>
        <w:tc>
          <w:tcPr>
            <w:tcW w:w="1500" w:type="dxa"/>
            <w:tcBorders>
              <w:top w:val="double" w:sz="6" w:space="0" w:color="auto"/>
            </w:tcBorders>
          </w:tcPr>
          <w:p w:rsidR="002F26AD" w:rsidRDefault="002F26AD">
            <w:pPr>
              <w:jc w:val="center"/>
              <w:rPr>
                <w:b/>
                <w:color w:val="000000"/>
                <w:sz w:val="20"/>
              </w:rPr>
            </w:pPr>
            <w:r>
              <w:rPr>
                <w:b/>
                <w:color w:val="000000"/>
                <w:sz w:val="20"/>
              </w:rPr>
              <w:t>7</w:t>
            </w:r>
          </w:p>
        </w:tc>
        <w:tc>
          <w:tcPr>
            <w:tcW w:w="1740" w:type="dxa"/>
            <w:tcBorders>
              <w:top w:val="double" w:sz="6" w:space="0" w:color="auto"/>
            </w:tcBorders>
          </w:tcPr>
          <w:p w:rsidR="002F26AD" w:rsidRDefault="002F26AD">
            <w:pPr>
              <w:jc w:val="center"/>
              <w:rPr>
                <w:sz w:val="20"/>
              </w:rPr>
            </w:pPr>
            <w:r>
              <w:rPr>
                <w:sz w:val="20"/>
              </w:rPr>
              <w:t>0</w:t>
            </w:r>
          </w:p>
        </w:tc>
        <w:tc>
          <w:tcPr>
            <w:tcW w:w="1530" w:type="dxa"/>
            <w:tcBorders>
              <w:top w:val="double" w:sz="6" w:space="0" w:color="auto"/>
              <w:right w:val="single" w:sz="6" w:space="0" w:color="auto"/>
            </w:tcBorders>
          </w:tcPr>
          <w:p w:rsidR="002F26AD" w:rsidRDefault="002F26AD">
            <w:pPr>
              <w:ind w:left="240" w:right="60" w:hanging="240"/>
              <w:jc w:val="center"/>
              <w:rPr>
                <w:sz w:val="20"/>
              </w:rPr>
            </w:pPr>
            <w:r>
              <w:rPr>
                <w:sz w:val="20"/>
              </w:rPr>
              <w:t>0</w:t>
            </w:r>
          </w:p>
        </w:tc>
      </w:tr>
      <w:tr w:rsidR="002F26AD">
        <w:tblPrEx>
          <w:tblCellMar>
            <w:top w:w="0" w:type="dxa"/>
            <w:bottom w:w="0" w:type="dxa"/>
          </w:tblCellMar>
        </w:tblPrEx>
        <w:trPr>
          <w:trHeight w:val="260"/>
        </w:trPr>
        <w:tc>
          <w:tcPr>
            <w:tcW w:w="1080" w:type="dxa"/>
            <w:tcBorders>
              <w:left w:val="single" w:sz="6" w:space="0" w:color="auto"/>
            </w:tcBorders>
          </w:tcPr>
          <w:p w:rsidR="002F26AD" w:rsidRDefault="002F26AD">
            <w:pPr>
              <w:jc w:val="center"/>
              <w:rPr>
                <w:color w:val="000000"/>
                <w:sz w:val="20"/>
              </w:rPr>
            </w:pPr>
            <w:r>
              <w:rPr>
                <w:color w:val="000000"/>
                <w:sz w:val="20"/>
              </w:rPr>
              <w:t>0 / 1</w:t>
            </w:r>
          </w:p>
        </w:tc>
        <w:tc>
          <w:tcPr>
            <w:tcW w:w="900" w:type="dxa"/>
          </w:tcPr>
          <w:p w:rsidR="002F26AD" w:rsidRDefault="002F26AD">
            <w:pPr>
              <w:jc w:val="center"/>
              <w:rPr>
                <w:b/>
                <w:color w:val="000000"/>
                <w:sz w:val="20"/>
              </w:rPr>
            </w:pPr>
            <w:r>
              <w:rPr>
                <w:b/>
                <w:color w:val="000000"/>
                <w:sz w:val="20"/>
              </w:rPr>
              <w:t>3</w:t>
            </w:r>
          </w:p>
        </w:tc>
        <w:tc>
          <w:tcPr>
            <w:tcW w:w="1170" w:type="dxa"/>
          </w:tcPr>
          <w:p w:rsidR="002F26AD" w:rsidRDefault="002F26AD">
            <w:pPr>
              <w:jc w:val="center"/>
              <w:rPr>
                <w:color w:val="000000"/>
                <w:sz w:val="20"/>
              </w:rPr>
            </w:pPr>
            <w:r>
              <w:rPr>
                <w:color w:val="000000"/>
                <w:sz w:val="20"/>
              </w:rPr>
              <w:t>500</w:t>
            </w:r>
          </w:p>
        </w:tc>
        <w:tc>
          <w:tcPr>
            <w:tcW w:w="1500" w:type="dxa"/>
          </w:tcPr>
          <w:p w:rsidR="002F26AD" w:rsidRDefault="002F26AD">
            <w:pPr>
              <w:jc w:val="center"/>
              <w:rPr>
                <w:b/>
                <w:color w:val="000000"/>
                <w:sz w:val="20"/>
              </w:rPr>
            </w:pPr>
            <w:r>
              <w:rPr>
                <w:b/>
                <w:color w:val="000000"/>
                <w:sz w:val="20"/>
              </w:rPr>
              <w:t>3</w:t>
            </w:r>
          </w:p>
        </w:tc>
        <w:tc>
          <w:tcPr>
            <w:tcW w:w="1740" w:type="dxa"/>
          </w:tcPr>
          <w:p w:rsidR="002F26AD" w:rsidRDefault="002F26AD">
            <w:pPr>
              <w:jc w:val="center"/>
              <w:rPr>
                <w:sz w:val="20"/>
              </w:rPr>
            </w:pPr>
            <w:r>
              <w:rPr>
                <w:sz w:val="20"/>
              </w:rPr>
              <w:t>0</w:t>
            </w:r>
          </w:p>
        </w:tc>
        <w:tc>
          <w:tcPr>
            <w:tcW w:w="1530" w:type="dxa"/>
            <w:tcBorders>
              <w:right w:val="single" w:sz="6" w:space="0" w:color="auto"/>
            </w:tcBorders>
          </w:tcPr>
          <w:p w:rsidR="002F26AD" w:rsidRDefault="002F26AD">
            <w:pPr>
              <w:ind w:left="240" w:right="60" w:hanging="240"/>
              <w:jc w:val="center"/>
              <w:rPr>
                <w:sz w:val="20"/>
              </w:rPr>
            </w:pPr>
            <w:r>
              <w:rPr>
                <w:sz w:val="20"/>
              </w:rPr>
              <w:t>0</w:t>
            </w:r>
          </w:p>
        </w:tc>
      </w:tr>
      <w:tr w:rsidR="002F26AD">
        <w:tblPrEx>
          <w:tblCellMar>
            <w:top w:w="0" w:type="dxa"/>
            <w:bottom w:w="0" w:type="dxa"/>
          </w:tblCellMar>
        </w:tblPrEx>
        <w:trPr>
          <w:trHeight w:val="240"/>
        </w:trPr>
        <w:tc>
          <w:tcPr>
            <w:tcW w:w="1080" w:type="dxa"/>
            <w:tcBorders>
              <w:left w:val="single" w:sz="6" w:space="0" w:color="auto"/>
            </w:tcBorders>
          </w:tcPr>
          <w:p w:rsidR="002F26AD" w:rsidRDefault="002F26AD">
            <w:pPr>
              <w:jc w:val="center"/>
              <w:rPr>
                <w:color w:val="000000"/>
                <w:sz w:val="20"/>
              </w:rPr>
            </w:pPr>
            <w:r>
              <w:rPr>
                <w:color w:val="000000"/>
                <w:sz w:val="20"/>
              </w:rPr>
              <w:t>1/ 1.5</w:t>
            </w:r>
          </w:p>
        </w:tc>
        <w:tc>
          <w:tcPr>
            <w:tcW w:w="900" w:type="dxa"/>
            <w:tcBorders>
              <w:bottom w:val="double" w:sz="6" w:space="0" w:color="auto"/>
            </w:tcBorders>
          </w:tcPr>
          <w:p w:rsidR="002F26AD" w:rsidRDefault="002F26AD">
            <w:pPr>
              <w:jc w:val="center"/>
              <w:rPr>
                <w:b/>
                <w:color w:val="000000"/>
                <w:sz w:val="20"/>
              </w:rPr>
            </w:pPr>
            <w:r>
              <w:rPr>
                <w:b/>
                <w:color w:val="000000"/>
                <w:sz w:val="20"/>
              </w:rPr>
              <w:t>40</w:t>
            </w:r>
          </w:p>
        </w:tc>
        <w:tc>
          <w:tcPr>
            <w:tcW w:w="1170" w:type="dxa"/>
          </w:tcPr>
          <w:p w:rsidR="002F26AD" w:rsidRDefault="002F26AD">
            <w:pPr>
              <w:jc w:val="center"/>
              <w:rPr>
                <w:color w:val="000000"/>
                <w:sz w:val="20"/>
              </w:rPr>
            </w:pPr>
            <w:r>
              <w:rPr>
                <w:color w:val="000000"/>
                <w:sz w:val="20"/>
              </w:rPr>
              <w:t>600</w:t>
            </w:r>
          </w:p>
        </w:tc>
        <w:tc>
          <w:tcPr>
            <w:tcW w:w="1500" w:type="dxa"/>
            <w:tcBorders>
              <w:bottom w:val="double" w:sz="6" w:space="0" w:color="auto"/>
            </w:tcBorders>
          </w:tcPr>
          <w:p w:rsidR="002F26AD" w:rsidRDefault="002F26AD">
            <w:pPr>
              <w:jc w:val="center"/>
              <w:rPr>
                <w:b/>
                <w:color w:val="000000"/>
                <w:sz w:val="20"/>
              </w:rPr>
            </w:pPr>
            <w:r>
              <w:rPr>
                <w:b/>
                <w:color w:val="000000"/>
                <w:sz w:val="20"/>
              </w:rPr>
              <w:t>0</w:t>
            </w:r>
          </w:p>
        </w:tc>
        <w:tc>
          <w:tcPr>
            <w:tcW w:w="1740" w:type="dxa"/>
            <w:tcBorders>
              <w:bottom w:val="double" w:sz="6" w:space="0" w:color="auto"/>
            </w:tcBorders>
          </w:tcPr>
          <w:p w:rsidR="002F26AD" w:rsidRDefault="002F26AD">
            <w:pPr>
              <w:jc w:val="center"/>
              <w:rPr>
                <w:sz w:val="20"/>
              </w:rPr>
            </w:pPr>
            <w:r>
              <w:rPr>
                <w:sz w:val="20"/>
              </w:rPr>
              <w:t>0</w:t>
            </w:r>
          </w:p>
        </w:tc>
        <w:tc>
          <w:tcPr>
            <w:tcW w:w="1530" w:type="dxa"/>
            <w:tcBorders>
              <w:bottom w:val="double" w:sz="6" w:space="0" w:color="auto"/>
              <w:right w:val="single" w:sz="6" w:space="0" w:color="auto"/>
            </w:tcBorders>
          </w:tcPr>
          <w:p w:rsidR="002F26AD" w:rsidRDefault="002F26AD">
            <w:pPr>
              <w:ind w:left="240" w:right="60" w:hanging="240"/>
              <w:jc w:val="center"/>
              <w:rPr>
                <w:sz w:val="20"/>
              </w:rPr>
            </w:pPr>
            <w:r>
              <w:rPr>
                <w:sz w:val="20"/>
              </w:rPr>
              <w:t>40</w:t>
            </w:r>
          </w:p>
        </w:tc>
      </w:tr>
      <w:tr w:rsidR="002F26AD">
        <w:tblPrEx>
          <w:tblCellMar>
            <w:top w:w="0" w:type="dxa"/>
            <w:bottom w:w="0" w:type="dxa"/>
          </w:tblCellMar>
        </w:tblPrEx>
        <w:trPr>
          <w:trHeight w:val="240"/>
        </w:trPr>
        <w:tc>
          <w:tcPr>
            <w:tcW w:w="1080" w:type="dxa"/>
            <w:tcBorders>
              <w:top w:val="double" w:sz="6" w:space="0" w:color="auto"/>
              <w:left w:val="single" w:sz="6" w:space="0" w:color="auto"/>
              <w:bottom w:val="single" w:sz="6" w:space="0" w:color="auto"/>
            </w:tcBorders>
            <w:shd w:val="pct5" w:color="auto" w:fill="auto"/>
          </w:tcPr>
          <w:p w:rsidR="002F26AD" w:rsidRDefault="002F26AD">
            <w:pPr>
              <w:jc w:val="center"/>
              <w:rPr>
                <w:b/>
                <w:color w:val="000000"/>
                <w:sz w:val="20"/>
              </w:rPr>
            </w:pPr>
          </w:p>
        </w:tc>
        <w:tc>
          <w:tcPr>
            <w:tcW w:w="900" w:type="dxa"/>
            <w:tcBorders>
              <w:bottom w:val="single" w:sz="6" w:space="0" w:color="auto"/>
            </w:tcBorders>
          </w:tcPr>
          <w:p w:rsidR="002F26AD" w:rsidRDefault="002F26AD">
            <w:pPr>
              <w:jc w:val="center"/>
              <w:rPr>
                <w:b/>
                <w:color w:val="000000"/>
                <w:sz w:val="20"/>
              </w:rPr>
            </w:pPr>
            <w:r>
              <w:rPr>
                <w:b/>
                <w:color w:val="000000"/>
                <w:sz w:val="20"/>
              </w:rPr>
              <w:t>50</w:t>
            </w:r>
          </w:p>
        </w:tc>
        <w:tc>
          <w:tcPr>
            <w:tcW w:w="1170" w:type="dxa"/>
            <w:tcBorders>
              <w:top w:val="double" w:sz="6" w:space="0" w:color="auto"/>
              <w:bottom w:val="single" w:sz="6" w:space="0" w:color="auto"/>
            </w:tcBorders>
            <w:shd w:val="pct5" w:color="auto" w:fill="auto"/>
          </w:tcPr>
          <w:p w:rsidR="002F26AD" w:rsidRDefault="002F26AD">
            <w:pPr>
              <w:jc w:val="center"/>
              <w:rPr>
                <w:b/>
                <w:color w:val="000000"/>
                <w:sz w:val="20"/>
              </w:rPr>
            </w:pPr>
          </w:p>
        </w:tc>
        <w:tc>
          <w:tcPr>
            <w:tcW w:w="1500" w:type="dxa"/>
            <w:tcBorders>
              <w:bottom w:val="single" w:sz="6" w:space="0" w:color="auto"/>
            </w:tcBorders>
          </w:tcPr>
          <w:p w:rsidR="002F26AD" w:rsidRDefault="002F26AD">
            <w:pPr>
              <w:jc w:val="center"/>
              <w:rPr>
                <w:b/>
                <w:color w:val="000000"/>
                <w:sz w:val="20"/>
              </w:rPr>
            </w:pPr>
            <w:r>
              <w:rPr>
                <w:b/>
                <w:color w:val="000000"/>
                <w:sz w:val="20"/>
              </w:rPr>
              <w:t>10</w:t>
            </w:r>
          </w:p>
        </w:tc>
        <w:tc>
          <w:tcPr>
            <w:tcW w:w="1740" w:type="dxa"/>
            <w:tcBorders>
              <w:bottom w:val="single" w:sz="6" w:space="0" w:color="auto"/>
            </w:tcBorders>
          </w:tcPr>
          <w:p w:rsidR="002F26AD" w:rsidRDefault="002F26AD">
            <w:pPr>
              <w:jc w:val="center"/>
              <w:rPr>
                <w:sz w:val="20"/>
              </w:rPr>
            </w:pPr>
            <w:r>
              <w:rPr>
                <w:b/>
                <w:sz w:val="20"/>
              </w:rPr>
              <w:t>0</w:t>
            </w:r>
          </w:p>
        </w:tc>
        <w:tc>
          <w:tcPr>
            <w:tcW w:w="1530" w:type="dxa"/>
            <w:tcBorders>
              <w:bottom w:val="single" w:sz="6" w:space="0" w:color="auto"/>
              <w:right w:val="single" w:sz="6" w:space="0" w:color="auto"/>
            </w:tcBorders>
          </w:tcPr>
          <w:p w:rsidR="002F26AD" w:rsidRDefault="002F26AD">
            <w:pPr>
              <w:ind w:right="60"/>
              <w:jc w:val="center"/>
              <w:rPr>
                <w:sz w:val="20"/>
              </w:rPr>
            </w:pPr>
            <w:r>
              <w:rPr>
                <w:b/>
                <w:sz w:val="20"/>
              </w:rPr>
              <w:t>40</w:t>
            </w:r>
          </w:p>
        </w:tc>
      </w:tr>
    </w:tbl>
    <w:p w:rsidR="002F26AD" w:rsidRDefault="002F26AD"/>
    <w:p w:rsidR="002F26AD" w:rsidRDefault="002F26AD">
      <w:pPr>
        <w:pStyle w:val="BodyText"/>
      </w:pPr>
      <w:r>
        <w:t xml:space="preserve">The building was originally constructed in 1950 as a manufacturing facility and was converted to its present use in 1980.  Renovations at conversion were extensive and the building has been well maintained since the renovation.  Occupancy for the subsidized units has consistently been near 100 %. Occupancy for the market-rate units has been just slightly lower, at 93% to 95% for the last three years. </w:t>
      </w:r>
    </w:p>
    <w:p w:rsidR="002F26AD" w:rsidRDefault="002F26AD"/>
    <w:p w:rsidR="002F26AD" w:rsidRDefault="002F26AD">
      <w:pPr>
        <w:pStyle w:val="BodyText"/>
        <w:rPr>
          <w:b/>
          <w:i/>
        </w:rPr>
      </w:pPr>
      <w:r>
        <w:t>Each efficiency unit contains a galley-style kitchen, a bathroom, and a living/bedroom area. The two groups of efficiency units are identical except for a difference in size: seven units contain 450 square feet and three contain 500 square feet. All units are carpeted, with linoleum flooring in the kitchens and bathrooms.  Each unit contains a stove, refrigerator, garbage disposal, and small patio or balcony. The units have central air conditioning.  Gas heat and hot water are included in the rent. Tenants pay for electricity, including air conditioning.</w:t>
      </w:r>
    </w:p>
    <w:p w:rsidR="002F26AD" w:rsidRDefault="002F26AD"/>
    <w:p w:rsidR="002F26AD" w:rsidRDefault="002F26AD">
      <w:pPr>
        <w:pStyle w:val="BodyText"/>
      </w:pPr>
      <w:r>
        <w:t xml:space="preserve">Each unit has an emergency call system that, if activated, will alert the manager's office and a 24-hour call service. If the manager does not respond to the emergency, the service will.  Three days per week, a van makes scheduled trips to the grocery store, the shopping mall and the senior center.  Tenants requiring transportation to doctor appointments may request a ride on the remaining two weekdays. ABC Village also offers well-organized social activities and gives tenants the use of a lounge, a television area, and a large, sunny meeting room with tables and chairs for game activities. </w:t>
      </w:r>
    </w:p>
    <w:p w:rsidR="002F26AD" w:rsidRDefault="002F26AD"/>
    <w:p w:rsidR="002F26AD" w:rsidRDefault="002F26AD">
      <w:pPr>
        <w:pStyle w:val="BodyText"/>
      </w:pPr>
      <w:r>
        <w:t>The building is accessed by key only, and tenants may call a 24-hour maintenance line in case of accidental lockout or maintenance emergency.  An on-site manager is at the property six days a week during the hours of 9:00 am to 6:00 p.m. The complex has a  coin operated laundry facility with five washers and dryers and a small, paved parking lot for 20 cars.  Parking is offered at an additional charge of $20 per month. There are no other amenities that require a charge in addition to rent.</w:t>
      </w:r>
    </w:p>
    <w:p w:rsidR="002F26AD" w:rsidRDefault="002F26AD"/>
    <w:p w:rsidR="002F26AD" w:rsidRDefault="002F26AD">
      <w:r>
        <w:t>Ms. Sue Hancock, the property manager, confirmed the above data. She is employed by Smithville Managers Inc. and her telephone number is (000)-555-3333.</w:t>
      </w:r>
    </w:p>
    <w:p w:rsidR="002F26AD" w:rsidRDefault="002F26AD">
      <w:pPr>
        <w:rPr>
          <w:b/>
        </w:rPr>
      </w:pPr>
    </w:p>
    <w:p w:rsidR="002F26AD" w:rsidRDefault="002F26AD">
      <w:pPr>
        <w:rPr>
          <w:b/>
          <w:i/>
          <w:sz w:val="28"/>
        </w:rPr>
      </w:pPr>
    </w:p>
    <w:p w:rsidR="002F26AD" w:rsidRDefault="002F26AD">
      <w:pPr>
        <w:rPr>
          <w:b/>
          <w:i/>
          <w:sz w:val="28"/>
        </w:rPr>
      </w:pPr>
      <w:r>
        <w:rPr>
          <w:b/>
          <w:i/>
          <w:sz w:val="28"/>
        </w:rPr>
        <w:t>Definition of the Subject’s Market Area</w:t>
      </w:r>
    </w:p>
    <w:p w:rsidR="002F26AD" w:rsidRDefault="002F26AD"/>
    <w:p w:rsidR="002F26AD" w:rsidRDefault="002F26AD">
      <w:r>
        <w:t>Smithville is located in the northeast section of Gloucester County at the junction of Interstates 80 and 180. Smithville is the county seat of Gloucester County and a commercial and residential center for the surrounding towns. The market area for Smithville includes the Gloucester County towns within a fifteen-mile radius (</w:t>
      </w:r>
      <w:r>
        <w:rPr>
          <w:i/>
        </w:rPr>
        <w:t>Bainbridge, Lexington, Upton, Newbury, and Barre</w:t>
      </w:r>
      <w:r>
        <w:t xml:space="preserve">) and two Orange County towns within a ten-mile radius </w:t>
      </w:r>
      <w:r>
        <w:rPr>
          <w:i/>
        </w:rPr>
        <w:t xml:space="preserve">(Exeter and Cypress Lakes). </w:t>
      </w:r>
      <w:r>
        <w:t>This is the area from which the subject would normally draw its applicants.</w:t>
      </w:r>
    </w:p>
    <w:p w:rsidR="002F26AD" w:rsidRDefault="002F26AD"/>
    <w:p w:rsidR="002F26AD" w:rsidRDefault="002F26AD">
      <w:pPr>
        <w:pStyle w:val="BodyText"/>
      </w:pPr>
    </w:p>
    <w:p w:rsidR="002F26AD" w:rsidRDefault="002F26AD">
      <w:pPr>
        <w:keepNext/>
        <w:rPr>
          <w:b/>
          <w:i/>
          <w:sz w:val="28"/>
        </w:rPr>
      </w:pPr>
      <w:r>
        <w:rPr>
          <w:b/>
          <w:i/>
          <w:sz w:val="28"/>
        </w:rPr>
        <w:t>Description of Neighborhood</w:t>
      </w:r>
    </w:p>
    <w:p w:rsidR="002F26AD" w:rsidRDefault="002F26AD">
      <w:pPr>
        <w:pStyle w:val="BodyText"/>
        <w:keepNext/>
      </w:pPr>
    </w:p>
    <w:p w:rsidR="002F26AD" w:rsidRDefault="002F26AD">
      <w:r>
        <w:t>The subject neighborhood is located in the central business district of Smithville, which is in the northeastern section of the city and near the historic Highlands area.  The neighborhood contains a mix of professional and town offices, upscale boutiques, churches, older single-family homes that have been gentrified, and some older apartment buildings that were renovated between ten and twenty years ago. Property values in the area are generally growing and most properties are well kept.  Access to Interstates 80 and 180 is less than five minutes from the subject property.</w:t>
      </w:r>
    </w:p>
    <w:p w:rsidR="002F26AD" w:rsidRDefault="002F26AD"/>
    <w:p w:rsidR="002F26AD" w:rsidRDefault="002F26AD">
      <w:r>
        <w:t>A senior center is within seven blocks of the complex. A small grocery store and a drug store are on the same block as the subject complex and a larger grocery store is three miles away (accessed by the van service.)  A shopping mall and medical center are also within ten miles and van service is provided to them. There is no apparent crime in the area, nor are there any other significant negative influences.</w:t>
      </w:r>
    </w:p>
    <w:p w:rsidR="002F26AD" w:rsidRDefault="002F26AD">
      <w:pPr>
        <w:pStyle w:val="BodyText"/>
      </w:pPr>
    </w:p>
    <w:p w:rsidR="002F26AD" w:rsidRDefault="002F26AD">
      <w:pPr>
        <w:pStyle w:val="BodyText"/>
      </w:pPr>
    </w:p>
    <w:p w:rsidR="002F26AD" w:rsidRDefault="002F26AD">
      <w:pPr>
        <w:keepNext/>
        <w:rPr>
          <w:b/>
          <w:i/>
          <w:sz w:val="28"/>
        </w:rPr>
      </w:pPr>
      <w:r>
        <w:rPr>
          <w:b/>
          <w:i/>
          <w:sz w:val="28"/>
        </w:rPr>
        <w:t>How Comparable Properties Were Selected</w:t>
      </w:r>
    </w:p>
    <w:p w:rsidR="002F26AD" w:rsidRDefault="002F26AD">
      <w:pPr>
        <w:pStyle w:val="BodyText"/>
        <w:keepNext/>
      </w:pPr>
    </w:p>
    <w:p w:rsidR="002F26AD" w:rsidRDefault="002F26AD">
      <w:r>
        <w:t xml:space="preserve">The appraiser researched rental housing in the market area and identified ten market-rate apartment properties that appeared similar in age, condition and location.  Six of them did not contain efficiency units.  </w:t>
      </w:r>
    </w:p>
    <w:p w:rsidR="002F26AD" w:rsidRDefault="002F26AD"/>
    <w:p w:rsidR="002F26AD" w:rsidRDefault="002F26AD">
      <w:r>
        <w:t xml:space="preserve">The four that do provide efficiencies are Lebanon Apartments, BCD Village, Holland Apartments, and Park View Apartments. </w:t>
      </w:r>
      <w:r>
        <w:rPr>
          <w:b/>
          <w:i/>
        </w:rPr>
        <w:t>Lebanon Apartments</w:t>
      </w:r>
      <w:r>
        <w:rPr>
          <w:b/>
        </w:rPr>
        <w:t xml:space="preserve"> </w:t>
      </w:r>
      <w:r>
        <w:t>and</w:t>
      </w:r>
      <w:r>
        <w:rPr>
          <w:b/>
        </w:rPr>
        <w:t xml:space="preserve"> </w:t>
      </w:r>
      <w:r>
        <w:rPr>
          <w:b/>
          <w:i/>
        </w:rPr>
        <w:t>BCD Village</w:t>
      </w:r>
      <w:r>
        <w:t xml:space="preserve"> are elderly projects, located within one mile of the subject and offering amenities similar to those at the subject. </w:t>
      </w:r>
      <w:r>
        <w:rPr>
          <w:b/>
          <w:i/>
        </w:rPr>
        <w:t>Holland Apartments</w:t>
      </w:r>
      <w:r>
        <w:t xml:space="preserve"> is 75-unit family complex in Smithville (six miles away). It offers mostly one and two bedroom units and has only three efficiencies. </w:t>
      </w:r>
      <w:r>
        <w:rPr>
          <w:b/>
          <w:i/>
        </w:rPr>
        <w:t>Park View</w:t>
      </w:r>
      <w:r>
        <w:t xml:space="preserve"> is located in Lexington about 13 miles from the subject. It was renovated in 1999 through the use of low income housing tax credits. It is a mixed income property, offering 30 efficiency units at market rents and 30 one-bedroom tax credit units to elderly residents earning less than 60% of median income.  The property is in the rent up phase.</w:t>
      </w:r>
    </w:p>
    <w:p w:rsidR="002F26AD" w:rsidRDefault="002F26AD"/>
    <w:p w:rsidR="002F26AD" w:rsidRDefault="002F26AD">
      <w:r>
        <w:t xml:space="preserve">The appraiser conducted additional research to identify other comparable efficiencies that were outside the market area, contained rent restrictions or were less similar to the subject.  Brokers, property managers and owners were consulted as well as staff at the senior center.  Additional efficiencies were found at </w:t>
      </w:r>
      <w:r>
        <w:rPr>
          <w:b/>
          <w:i/>
        </w:rPr>
        <w:t>Glen Park</w:t>
      </w:r>
      <w:r>
        <w:t xml:space="preserve"> -- a 50-unit, market-rate, elderly property located in Channel Crossing, a town 30 miles away and outside the market area.  </w:t>
      </w:r>
      <w:r>
        <w:rPr>
          <w:b/>
          <w:i/>
        </w:rPr>
        <w:t>Glen Park</w:t>
      </w:r>
      <w:r>
        <w:t xml:space="preserve"> is very similar to the subject property. It was built and renovated in the same time period, serves a similar population, and offers similar amenities.  Ten of its units are efficiencies. The remaining units consist of 25 one-bedroom units and 15 two-bedroom units.</w:t>
      </w:r>
    </w:p>
    <w:p w:rsidR="002F26AD" w:rsidRDefault="002F26AD"/>
    <w:p w:rsidR="002F26AD" w:rsidRDefault="002F26AD">
      <w:r>
        <w:t xml:space="preserve">Generally, the appraiser believes that the comparables are of good quality.  While one of the comparables </w:t>
      </w:r>
      <w:r>
        <w:rPr>
          <w:b/>
          <w:i/>
        </w:rPr>
        <w:t>(Glen Park</w:t>
      </w:r>
      <w:r>
        <w:t xml:space="preserve">) is outside of the market area and, thus, does not meet all of the target criteria in the HUD notice, all comparables are otherwise similar to the subject and the appraiser is confident that the adjustments made adequately valued the differences. </w:t>
      </w:r>
    </w:p>
    <w:p w:rsidR="002F26AD" w:rsidRDefault="002F26AD">
      <w:pPr>
        <w:pStyle w:val="BodyText"/>
      </w:pPr>
    </w:p>
    <w:p w:rsidR="002F26AD" w:rsidRDefault="002F26AD">
      <w:r>
        <w:t>Based on information provided to the appraiser, none of the selected comparables are owned or managed by the entities having an identity - of - interest with the owner or management of the subject property.</w:t>
      </w:r>
    </w:p>
    <w:p w:rsidR="002F26AD" w:rsidRDefault="002F26AD">
      <w:pPr>
        <w:pStyle w:val="BodyText"/>
        <w:ind w:left="990" w:hanging="990"/>
        <w:jc w:val="center"/>
        <w:rPr>
          <w:b/>
          <w:u w:val="single"/>
        </w:rPr>
      </w:pPr>
      <w:r>
        <w:br w:type="page"/>
      </w: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05.25pt">
            <v:imagedata r:id="rId9" o:title=""/>
          </v:shape>
        </w:pict>
      </w:r>
    </w:p>
    <w:p w:rsidR="002F26AD" w:rsidRDefault="002F26AD">
      <w:pPr>
        <w:pStyle w:val="BodyText"/>
        <w:rPr>
          <w:b/>
          <w:u w:val="single"/>
        </w:rPr>
        <w:sectPr w:rsidR="002F26AD">
          <w:pgSz w:w="12240" w:h="15840"/>
          <w:pgMar w:top="1440" w:right="1440" w:bottom="1440" w:left="1440" w:header="720" w:footer="720" w:gutter="0"/>
          <w:pgNumType w:start="1"/>
          <w:cols w:space="720"/>
        </w:sectPr>
      </w:pPr>
    </w:p>
    <w:p w:rsidR="002F26AD" w:rsidRDefault="002F26AD">
      <w:pPr>
        <w:pStyle w:val="BodyText"/>
        <w:rPr>
          <w:b/>
          <w:u w:val="single"/>
        </w:rPr>
      </w:pPr>
      <w:r>
        <w:rPr>
          <w:b/>
          <w:sz w:val="20"/>
          <w:u w:val="single"/>
        </w:rPr>
        <w:object w:dxaOrig="3052" w:dyaOrig="4301">
          <v:shape id="_x0000_i1026" type="#_x0000_t75" style="width:446.25pt;height:630.75pt" o:ole="">
            <v:imagedata r:id="rId10" o:title=""/>
          </v:shape>
          <o:OLEObject Type="Embed" ProgID="Excel.Sheet.8" ShapeID="_x0000_i1026" DrawAspect="Content" ObjectID="_1283071546" r:id="rId11"/>
        </w:object>
      </w:r>
    </w:p>
    <w:p w:rsidR="002F26AD" w:rsidRDefault="002F26AD">
      <w:pPr>
        <w:pStyle w:val="BodyText"/>
        <w:jc w:val="left"/>
        <w:sectPr w:rsidR="002F26AD">
          <w:pgSz w:w="12240" w:h="15840"/>
          <w:pgMar w:top="1440" w:right="1440" w:bottom="1440" w:left="1440" w:header="720" w:footer="720" w:gutter="0"/>
          <w:cols w:space="720"/>
        </w:sectPr>
      </w:pPr>
    </w:p>
    <w:p w:rsidR="002F26AD" w:rsidRDefault="002F26AD">
      <w:pPr>
        <w:pStyle w:val="BodyText"/>
        <w:jc w:val="left"/>
      </w:pPr>
    </w:p>
    <w:p w:rsidR="002F26AD" w:rsidRDefault="002F26AD">
      <w:pPr>
        <w:rPr>
          <w:i/>
          <w:sz w:val="28"/>
        </w:rPr>
      </w:pPr>
      <w:r>
        <w:rPr>
          <w:b/>
          <w:i/>
          <w:sz w:val="28"/>
        </w:rPr>
        <w:t>Explanation of Adjustments and Market Rent Conclusions</w:t>
      </w:r>
    </w:p>
    <w:p w:rsidR="002F26AD" w:rsidRDefault="002F26AD">
      <w:pPr>
        <w:pStyle w:val="BodyText"/>
      </w:pPr>
    </w:p>
    <w:p w:rsidR="002F26AD" w:rsidRDefault="002F26AD">
      <w:pPr>
        <w:rPr>
          <w:b/>
        </w:rPr>
      </w:pPr>
      <w:r>
        <w:rPr>
          <w:b/>
        </w:rPr>
        <w:t>ABC Apartments</w:t>
      </w:r>
    </w:p>
    <w:p w:rsidR="002F26AD" w:rsidRDefault="002F26AD">
      <w:pPr>
        <w:rPr>
          <w:b/>
          <w:sz w:val="28"/>
        </w:rPr>
      </w:pPr>
      <w:r>
        <w:rPr>
          <w:b/>
        </w:rPr>
        <w:t>Primary Unit Type- Efficiency - Small</w:t>
      </w:r>
    </w:p>
    <w:p w:rsidR="002F26AD" w:rsidRDefault="002F26AD">
      <w:pPr>
        <w:pStyle w:val="BodyText"/>
      </w:pPr>
    </w:p>
    <w:p w:rsidR="002F26AD" w:rsidRDefault="002F26AD">
      <w:r>
        <w:t>A Rent Comparability Grid was prepared for the primary unit type with 450 sq. ft.  The market rent for the 450-sq. ft. unit was adjusted to create a market rent for the secondary, 500-sq. ft. unit.  The only difference in these unit types is their size.</w:t>
      </w:r>
    </w:p>
    <w:p w:rsidR="002F26AD" w:rsidRDefault="002F26AD">
      <w:pPr>
        <w:rPr>
          <w:b/>
        </w:rPr>
      </w:pPr>
    </w:p>
    <w:p w:rsidR="002F26AD" w:rsidRDefault="002F26AD">
      <w:r>
        <w:rPr>
          <w:b/>
        </w:rPr>
        <w:t xml:space="preserve">Line 1. Last Rented / Restricted? </w:t>
      </w:r>
      <w:r>
        <w:t xml:space="preserve">All of the units are currently rented at the rates shown on the grid. </w:t>
      </w:r>
      <w:r>
        <w:rPr>
          <w:b/>
        </w:rPr>
        <w:t xml:space="preserve"> </w:t>
      </w:r>
      <w:r>
        <w:t xml:space="preserve">Rents range from $415 to $525.  No unit used in the analysis has any rent restrictions. However, </w:t>
      </w:r>
      <w:r>
        <w:rPr>
          <w:b/>
          <w:i/>
        </w:rPr>
        <w:t>Park View</w:t>
      </w:r>
      <w:r>
        <w:rPr>
          <w:i/>
        </w:rPr>
        <w:t xml:space="preserve"> </w:t>
      </w:r>
      <w:r>
        <w:t>is a mixed-income property with half of the units set-aside for tax credit residents. The unit used in this analysis is market rate.</w:t>
      </w:r>
    </w:p>
    <w:p w:rsidR="002F26AD" w:rsidRDefault="002F26AD">
      <w:pPr>
        <w:pStyle w:val="EnvelopeReturn"/>
      </w:pPr>
    </w:p>
    <w:p w:rsidR="002F26AD" w:rsidRDefault="002F26AD">
      <w:pPr>
        <w:rPr>
          <w:b/>
        </w:rPr>
      </w:pPr>
      <w:r>
        <w:rPr>
          <w:b/>
        </w:rPr>
        <w:t xml:space="preserve">Line 2. Date Last Leased. </w:t>
      </w:r>
      <w:r>
        <w:t>The Grid shows the effective date of the leases most recently signed. Effective dates range from December 1999 to March 2000.  No adjustments were necessary.</w:t>
      </w:r>
    </w:p>
    <w:p w:rsidR="002F26AD" w:rsidRDefault="002F26AD">
      <w:pPr>
        <w:pStyle w:val="EnvelopeReturn"/>
      </w:pPr>
    </w:p>
    <w:p w:rsidR="002F26AD" w:rsidRDefault="002F26AD">
      <w:r>
        <w:rPr>
          <w:b/>
        </w:rPr>
        <w:t xml:space="preserve">Line 3. Rent Concessions.  </w:t>
      </w:r>
      <w:r>
        <w:rPr>
          <w:b/>
          <w:i/>
        </w:rPr>
        <w:t>Park View</w:t>
      </w:r>
      <w:r>
        <w:rPr>
          <w:b/>
        </w:rPr>
        <w:t xml:space="preserve"> </w:t>
      </w:r>
      <w:r>
        <w:t>is currently offering one month of free rent with a 12-month lease.  The adjustment was derived by dividing the Line 1 rent by 12 months to arrive at a $44 adjustment.  The complex has undergone a substantial renovation and is currently in lease up.  The new owner does not anticipate any vacancy problems, but wanted to offer concessions to quickly fill the units.</w:t>
      </w:r>
    </w:p>
    <w:p w:rsidR="002F26AD" w:rsidRDefault="002F26AD"/>
    <w:p w:rsidR="002F26AD" w:rsidRDefault="002F26AD">
      <w:r>
        <w:rPr>
          <w:b/>
        </w:rPr>
        <w:t>Line 4. Occupancy for Unit Type.</w:t>
      </w:r>
      <w:r>
        <w:t xml:space="preserve">  According to data collected, the market area has historically maintained an occupancy level between 90 percent and 95 percent for efficiency units over the past several years.  The comparables’ current occupancy rates range from 66% to 95%.  </w:t>
      </w:r>
      <w:r>
        <w:rPr>
          <w:b/>
          <w:i/>
        </w:rPr>
        <w:t>Park View’s</w:t>
      </w:r>
      <w:r>
        <w:t xml:space="preserve">  low 82% occupancy is due to its recent substantial renovation. Since the appraiser does not believe the rent level contributed to the </w:t>
      </w:r>
      <w:r>
        <w:rPr>
          <w:b/>
          <w:i/>
        </w:rPr>
        <w:t>Park View</w:t>
      </w:r>
      <w:r>
        <w:t xml:space="preserve"> vacancies, no adjustment has been made.  </w:t>
      </w:r>
      <w:r>
        <w:rPr>
          <w:b/>
          <w:i/>
        </w:rPr>
        <w:t xml:space="preserve">Holland </w:t>
      </w:r>
      <w:r>
        <w:t>has an overall occupancy rate of 94%, but a 66% occupancy rate in the efficiency apartments. There are only three efficiencies and one unit is vacant.  The tenant vacated two months ago.  The unit is being renovated and is not available for occupancy.  Therefore, no adjustment was made.</w:t>
      </w:r>
    </w:p>
    <w:p w:rsidR="002F26AD" w:rsidRDefault="002F26AD">
      <w:r>
        <w:t xml:space="preserve"> </w:t>
      </w:r>
    </w:p>
    <w:p w:rsidR="002F26AD" w:rsidRDefault="002F26AD">
      <w:r>
        <w:rPr>
          <w:b/>
        </w:rPr>
        <w:t>Line 6. Structures / Stories</w:t>
      </w:r>
      <w:r>
        <w:t xml:space="preserve">. The subject, </w:t>
      </w:r>
      <w:r>
        <w:rPr>
          <w:b/>
          <w:i/>
        </w:rPr>
        <w:t xml:space="preserve">Lebanon, BCD Village, </w:t>
      </w:r>
      <w:r>
        <w:t>and</w:t>
      </w:r>
      <w:r>
        <w:rPr>
          <w:b/>
          <w:i/>
        </w:rPr>
        <w:t xml:space="preserve"> Glen Park</w:t>
      </w:r>
      <w:r>
        <w:t xml:space="preserve"> are elevator-buildings.  </w:t>
      </w:r>
      <w:r>
        <w:rPr>
          <w:b/>
          <w:i/>
        </w:rPr>
        <w:t>Holland</w:t>
      </w:r>
      <w:r>
        <w:t xml:space="preserve"> is a three-story walk up and </w:t>
      </w:r>
      <w:r>
        <w:rPr>
          <w:b/>
          <w:i/>
        </w:rPr>
        <w:t>Park View</w:t>
      </w:r>
      <w:r>
        <w:t xml:space="preserve"> is a garden apartment complex. Area brokers reported that: 1) rents on units in buildings with elevators are consistently higher than rents for similar units in buildings without an elevator, regardless of which floor the unit is on; and 2) rents on similar units in buildings without elevators are typically not affected by which floor the unit is on. These brokers noted that tenants found elevator buildings more attractive for several reasons – increased availability of common areas; possibility of views; sense of increased security; and convenient access to upper-level units.  Typically, elevator buildings can command an additional $10 to $20 rent. A $15 adjustment was made to buildings without elevators.</w:t>
      </w:r>
    </w:p>
    <w:p w:rsidR="002F26AD" w:rsidRDefault="002F26AD"/>
    <w:p w:rsidR="002F26AD" w:rsidRDefault="002F26AD">
      <w:r>
        <w:rPr>
          <w:b/>
        </w:rPr>
        <w:t>Line 7. Yr. Built/Yr. Renovated</w:t>
      </w:r>
      <w:r>
        <w:t xml:space="preserve"> - The subject and three of the comparables </w:t>
      </w:r>
      <w:r>
        <w:rPr>
          <w:b/>
          <w:i/>
        </w:rPr>
        <w:t xml:space="preserve">(Holland, Glen Park, </w:t>
      </w:r>
      <w:r>
        <w:t>and</w:t>
      </w:r>
      <w:r>
        <w:rPr>
          <w:b/>
          <w:i/>
        </w:rPr>
        <w:t xml:space="preserve"> BCD Village)</w:t>
      </w:r>
      <w:r>
        <w:rPr>
          <w:b/>
        </w:rPr>
        <w:t xml:space="preserve"> </w:t>
      </w:r>
      <w:r>
        <w:t xml:space="preserve">are 1950’s vintage, with renovations completed between 1975 and 1985.  These properties are similar in condition and utility and have a similar effective age.  No adjustments were made to these properties.  </w:t>
      </w:r>
      <w:r>
        <w:rPr>
          <w:b/>
          <w:i/>
        </w:rPr>
        <w:t>Park View</w:t>
      </w:r>
      <w:r>
        <w:t xml:space="preserve"> was built in 1978 and was substantially renovated last year, with new exterior siding and windows and interior finishes including carpeting, flooring, and appliances.  A $30 adjustment was made to </w:t>
      </w:r>
      <w:r>
        <w:rPr>
          <w:b/>
          <w:i/>
        </w:rPr>
        <w:t>Park View</w:t>
      </w:r>
      <w:r>
        <w:t xml:space="preserve"> to reflect the almost-new condition of this comparable as compared to the subject’s 20-year-old renovations.  </w:t>
      </w:r>
      <w:r>
        <w:rPr>
          <w:b/>
          <w:i/>
        </w:rPr>
        <w:t xml:space="preserve">Lebanon </w:t>
      </w:r>
      <w:r>
        <w:t xml:space="preserve">was constructed 20 years after the subject, with renovations completed ten years ago.  Based on our analysis of the rental data, a $15 adjustment was made to reflect the more modern utility and unit finishes of this comparable. </w:t>
      </w:r>
    </w:p>
    <w:p w:rsidR="002F26AD" w:rsidRDefault="002F26AD"/>
    <w:p w:rsidR="002F26AD" w:rsidRDefault="002F26AD">
      <w:r>
        <w:rPr>
          <w:b/>
        </w:rPr>
        <w:t>Line 8.  Condition / Street Appeal</w:t>
      </w:r>
      <w:r>
        <w:t xml:space="preserve">.  The subject and four of the comparables are in good condition and have good street appeal.  </w:t>
      </w:r>
      <w:r>
        <w:rPr>
          <w:b/>
          <w:i/>
        </w:rPr>
        <w:t xml:space="preserve">Holland’s </w:t>
      </w:r>
      <w:r>
        <w:t>exterior shows signs of deferred maintenance, including neglected landscaping. Based on our analysis of the rental data, a $20 adjustment was made to reflect the inferior appeal of this property.</w:t>
      </w:r>
    </w:p>
    <w:p w:rsidR="002F26AD" w:rsidRDefault="002F26AD">
      <w:r>
        <w:t xml:space="preserve"> </w:t>
      </w:r>
    </w:p>
    <w:p w:rsidR="002F26AD" w:rsidRDefault="002F26AD">
      <w:r>
        <w:rPr>
          <w:b/>
        </w:rPr>
        <w:t>Line 9. Neighborhood</w:t>
      </w:r>
      <w:r>
        <w:t xml:space="preserve">. The subject, </w:t>
      </w:r>
      <w:r>
        <w:rPr>
          <w:b/>
          <w:i/>
        </w:rPr>
        <w:t xml:space="preserve">Lebanon, </w:t>
      </w:r>
      <w:r>
        <w:rPr>
          <w:i/>
        </w:rPr>
        <w:t xml:space="preserve">and </w:t>
      </w:r>
      <w:r>
        <w:rPr>
          <w:b/>
          <w:i/>
        </w:rPr>
        <w:t>BCD Village</w:t>
      </w:r>
      <w:r>
        <w:rPr>
          <w:b/>
        </w:rPr>
        <w:t xml:space="preserve"> </w:t>
      </w:r>
      <w:r>
        <w:t xml:space="preserve">are located in the CBD of Smithville, a congested area with surrounding land used for light industry and businesses.  </w:t>
      </w:r>
      <w:r>
        <w:rPr>
          <w:b/>
        </w:rPr>
        <w:t>Glen Park</w:t>
      </w:r>
      <w:r>
        <w:t xml:space="preserve"> is located in a similar neighborhood in Channel Crossing. </w:t>
      </w:r>
      <w:r>
        <w:rPr>
          <w:b/>
          <w:i/>
        </w:rPr>
        <w:t>Park View</w:t>
      </w:r>
      <w:r>
        <w:t xml:space="preserve"> is located about 13 miles from the subject, outside the city limits and surrounded by residential properties. Rents for properties in the residential areas as compared to the city locations have been consistently higher. Based on our analysis of the rental data, a $15 negative adjustment was made to </w:t>
      </w:r>
      <w:r>
        <w:rPr>
          <w:b/>
          <w:i/>
        </w:rPr>
        <w:t>Park View</w:t>
      </w:r>
      <w:r>
        <w:t xml:space="preserve"> to reflect the market preference for residential areas. </w:t>
      </w:r>
    </w:p>
    <w:p w:rsidR="002F26AD" w:rsidRDefault="002F26AD"/>
    <w:p w:rsidR="002F26AD" w:rsidRDefault="002F26AD">
      <w:r>
        <w:rPr>
          <w:b/>
        </w:rPr>
        <w:t xml:space="preserve">Line 10. Same Market? Miles to Subject.  </w:t>
      </w:r>
      <w:r>
        <w:rPr>
          <w:b/>
          <w:i/>
        </w:rPr>
        <w:t>Glen Park</w:t>
      </w:r>
      <w:r>
        <w:t xml:space="preserve"> is the only comparable that is outside the market. It is located in Channel Crossing about 30 miles north of Smithville on State Route 44. Channel Crossing is a suburb of the state capital (Gotham) and has higher property values than Smithville. To arrive at an adjustment, the Appraiser interviewed local brokers and apartment owners that have direct experience with both markets.  The market data provided by brokers and managers indicated that rents in Channel Crossing are $30 to $50 higher than in the subject market area. The appraiser found that generally a $40 to $50 difference existed in larger units (two bedroom) and a $30 to $40 difference existed in smaller units (efficiencies and one bedrooms). Hence, a $35 adjustment was made to Glen Park to reflect the difference for efficiencies between the two markets. (This adjustment is also consistent with the $34 difference in fair market rents for the two communities.)</w:t>
      </w:r>
    </w:p>
    <w:p w:rsidR="002F26AD" w:rsidRDefault="002F26AD"/>
    <w:p w:rsidR="002F26AD" w:rsidRDefault="002F26AD">
      <w:r>
        <w:rPr>
          <w:b/>
        </w:rPr>
        <w:t>Line 13.  Unit Square Footage.</w:t>
      </w:r>
      <w:r>
        <w:t xml:space="preserve"> Four of the five comparables are larger than the subject.  To value the size differences between the subject and these comparables, the appraiser reviewed the indicated rents after adjustments for all characteristics except size.  The appraiser concluded that there is a value of $20 for each 50 square feet above the subject’s 450 square feet.  Thus, a $20 negative adjustment was made to </w:t>
      </w:r>
      <w:r>
        <w:rPr>
          <w:b/>
          <w:i/>
        </w:rPr>
        <w:t>Holland</w:t>
      </w:r>
      <w:r>
        <w:rPr>
          <w:b/>
        </w:rPr>
        <w:t xml:space="preserve"> </w:t>
      </w:r>
      <w:r>
        <w:t>and</w:t>
      </w:r>
      <w:r>
        <w:rPr>
          <w:b/>
        </w:rPr>
        <w:t xml:space="preserve"> </w:t>
      </w:r>
      <w:r>
        <w:rPr>
          <w:b/>
          <w:i/>
        </w:rPr>
        <w:t>Lebanon</w:t>
      </w:r>
      <w:r>
        <w:t>,</w:t>
      </w:r>
      <w:r>
        <w:rPr>
          <w:b/>
        </w:rPr>
        <w:t xml:space="preserve"> </w:t>
      </w:r>
      <w:r>
        <w:t>and</w:t>
      </w:r>
      <w:r>
        <w:rPr>
          <w:b/>
        </w:rPr>
        <w:t xml:space="preserve"> </w:t>
      </w:r>
      <w:r>
        <w:t xml:space="preserve">a $40 negative adjustment was made to </w:t>
      </w:r>
      <w:r>
        <w:rPr>
          <w:b/>
          <w:i/>
        </w:rPr>
        <w:t>Park View</w:t>
      </w:r>
      <w:r>
        <w:rPr>
          <w:b/>
        </w:rPr>
        <w:t xml:space="preserve"> </w:t>
      </w:r>
      <w:r>
        <w:t xml:space="preserve">and </w:t>
      </w:r>
      <w:r>
        <w:rPr>
          <w:b/>
          <w:i/>
        </w:rPr>
        <w:t>BCD Village</w:t>
      </w:r>
      <w:r>
        <w:t>.</w:t>
      </w:r>
    </w:p>
    <w:p w:rsidR="002F26AD" w:rsidRDefault="002F26AD">
      <w:r>
        <w:t xml:space="preserve"> </w:t>
      </w:r>
    </w:p>
    <w:p w:rsidR="002F26AD" w:rsidRDefault="002F26AD">
      <w:r>
        <w:rPr>
          <w:b/>
        </w:rPr>
        <w:t>Line 14. Balcony / Patio.</w:t>
      </w:r>
      <w:r>
        <w:t xml:space="preserve">  A $10 adjustment was made to comparable properties that lacked balconies. </w:t>
      </w:r>
    </w:p>
    <w:p w:rsidR="002F26AD" w:rsidRDefault="002F26AD"/>
    <w:p w:rsidR="002F26AD" w:rsidRDefault="002F26AD">
      <w:r>
        <w:rPr>
          <w:b/>
        </w:rPr>
        <w:t>Line 15. AC: Central/Wall.</w:t>
      </w:r>
      <w:r>
        <w:t xml:space="preserve">  The subject has central air conditioning, as do three of the comparables.  </w:t>
      </w:r>
      <w:r>
        <w:rPr>
          <w:b/>
          <w:i/>
        </w:rPr>
        <w:t>Holland</w:t>
      </w:r>
      <w:r>
        <w:rPr>
          <w:b/>
        </w:rPr>
        <w:t xml:space="preserve"> </w:t>
      </w:r>
      <w:r>
        <w:t xml:space="preserve">does not provide air conditioning, but tenants may install their own window units.  According to local property managers, tenants consider it worth $10 per month not to have the nuisance of installing a window unit. </w:t>
      </w:r>
      <w:r>
        <w:rPr>
          <w:b/>
          <w:i/>
        </w:rPr>
        <w:t>Glen Park</w:t>
      </w:r>
      <w:r>
        <w:t xml:space="preserve"> has wall units provided, but no adjustment has been made because there is no evidence of a marketable difference in rent between central air and wall units in efficiencies in this market.</w:t>
      </w:r>
    </w:p>
    <w:p w:rsidR="002F26AD" w:rsidRDefault="002F26AD"/>
    <w:p w:rsidR="002F26AD" w:rsidRDefault="002F26AD">
      <w:r>
        <w:rPr>
          <w:b/>
        </w:rPr>
        <w:t>Line 17. Microwave/Dishwasher.</w:t>
      </w:r>
      <w:r>
        <w:t xml:space="preserve">  </w:t>
      </w:r>
      <w:r>
        <w:rPr>
          <w:b/>
          <w:i/>
        </w:rPr>
        <w:t>Park View</w:t>
      </w:r>
      <w:r>
        <w:rPr>
          <w:i/>
        </w:rPr>
        <w:t xml:space="preserve">, </w:t>
      </w:r>
      <w:r>
        <w:rPr>
          <w:b/>
          <w:i/>
        </w:rPr>
        <w:t>Lebanon</w:t>
      </w:r>
      <w:r>
        <w:rPr>
          <w:i/>
        </w:rPr>
        <w:t xml:space="preserve">, </w:t>
      </w:r>
      <w:r>
        <w:rPr>
          <w:b/>
          <w:i/>
        </w:rPr>
        <w:t>Holland</w:t>
      </w:r>
      <w:r>
        <w:rPr>
          <w:i/>
        </w:rPr>
        <w:t xml:space="preserve">, </w:t>
      </w:r>
      <w:r>
        <w:t>and</w:t>
      </w:r>
      <w:r>
        <w:rPr>
          <w:i/>
        </w:rPr>
        <w:t xml:space="preserve"> </w:t>
      </w:r>
      <w:r>
        <w:rPr>
          <w:b/>
          <w:i/>
        </w:rPr>
        <w:t>BCD</w:t>
      </w:r>
      <w:r>
        <w:rPr>
          <w:i/>
        </w:rPr>
        <w:t xml:space="preserve"> </w:t>
      </w:r>
      <w:r>
        <w:rPr>
          <w:b/>
          <w:i/>
        </w:rPr>
        <w:t>Village</w:t>
      </w:r>
      <w:r>
        <w:t xml:space="preserve"> all have dishwashers and the subject does not.  In efficiency units in this market, tenants place a minimal value on these amenities.  Therefore, a nominal negative adjustment of $5 was made to the comparables for this amenity.</w:t>
      </w:r>
    </w:p>
    <w:p w:rsidR="002F26AD" w:rsidRDefault="002F26AD"/>
    <w:p w:rsidR="002F26AD" w:rsidRDefault="002F26AD">
      <w:r>
        <w:rPr>
          <w:b/>
        </w:rPr>
        <w:t>Line 18. Washer/Dryer</w:t>
      </w:r>
      <w:r>
        <w:t xml:space="preserve">.  The subject has a coin-operated laundry facility.  </w:t>
      </w:r>
      <w:r>
        <w:rPr>
          <w:b/>
          <w:i/>
        </w:rPr>
        <w:t>Park View</w:t>
      </w:r>
      <w:r>
        <w:t xml:space="preserve"> provides stacked, washer-dryer units. Based on the appraiser’s analysis of the data, renters appear willing to pay a $15 premium for in-unit washer/dryer combinations.  </w:t>
      </w:r>
      <w:r>
        <w:rPr>
          <w:b/>
          <w:i/>
        </w:rPr>
        <w:t>Lebanon</w:t>
      </w:r>
      <w:r>
        <w:rPr>
          <w:b/>
        </w:rPr>
        <w:t xml:space="preserve"> </w:t>
      </w:r>
      <w:r>
        <w:t xml:space="preserve">has hook-ups available in each unit and does </w:t>
      </w:r>
      <w:r>
        <w:rPr>
          <w:i/>
        </w:rPr>
        <w:t>not</w:t>
      </w:r>
      <w:r>
        <w:t xml:space="preserve"> have a common laundry.  In this market, elderly renters generally prefer common laundries to hook-ups. </w:t>
      </w:r>
      <w:r>
        <w:rPr>
          <w:b/>
          <w:i/>
        </w:rPr>
        <w:t>BCD Village</w:t>
      </w:r>
      <w:r>
        <w:t xml:space="preserve"> has no laundry facilities at all. The Appraiser made a $5 adjustment at </w:t>
      </w:r>
      <w:r>
        <w:rPr>
          <w:b/>
          <w:i/>
        </w:rPr>
        <w:t>Lebanon</w:t>
      </w:r>
      <w:r>
        <w:t xml:space="preserve"> and a $10 adjustment at </w:t>
      </w:r>
      <w:r>
        <w:rPr>
          <w:b/>
          <w:i/>
        </w:rPr>
        <w:t>BCD Village</w:t>
      </w:r>
      <w:r>
        <w:t xml:space="preserve"> to reflect the inferior services. </w:t>
      </w:r>
    </w:p>
    <w:p w:rsidR="002F26AD" w:rsidRDefault="002F26AD"/>
    <w:p w:rsidR="002F26AD" w:rsidRDefault="002F26AD">
      <w:r>
        <w:rPr>
          <w:b/>
        </w:rPr>
        <w:t>Line 19. Floor Covering.</w:t>
      </w:r>
      <w:r>
        <w:t xml:space="preserve">  All but two of the comparables have carpeting like the subject.  Those comparables that have only vinyl floors were allocated a positive $5 adjustment to reflect the inferior floor covering.</w:t>
      </w:r>
    </w:p>
    <w:p w:rsidR="002F26AD" w:rsidRDefault="002F26AD"/>
    <w:p w:rsidR="002F26AD" w:rsidRDefault="002F26AD">
      <w:r>
        <w:rPr>
          <w:b/>
        </w:rPr>
        <w:t>Line 20. Window Coverings</w:t>
      </w:r>
      <w:r>
        <w:t xml:space="preserve">.  </w:t>
      </w:r>
      <w:r>
        <w:rPr>
          <w:b/>
          <w:i/>
        </w:rPr>
        <w:t>Glen Park</w:t>
      </w:r>
      <w:r>
        <w:t xml:space="preserve"> has drapes and the subject has blinds.  Since the market does not recognize a rent differential between blinds and drapes, no adjustment was made.</w:t>
      </w:r>
    </w:p>
    <w:p w:rsidR="002F26AD" w:rsidRDefault="002F26AD"/>
    <w:p w:rsidR="002F26AD" w:rsidRDefault="002F26AD">
      <w:r>
        <w:rPr>
          <w:b/>
        </w:rPr>
        <w:t>Line 21. Cable / Satellite / Internet.</w:t>
      </w:r>
      <w:r>
        <w:t xml:space="preserve">  All of the comparables and the subject have either cable or satellite service available.  All the properties require that the tenants pay for their own cable/satellite service.  Since </w:t>
      </w:r>
      <w:r>
        <w:rPr>
          <w:b/>
          <w:i/>
        </w:rPr>
        <w:t>Park View</w:t>
      </w:r>
      <w:r>
        <w:t xml:space="preserve"> also has internet service in all the units, a nominal $5 negative adjustment was made.</w:t>
      </w:r>
    </w:p>
    <w:p w:rsidR="002F26AD" w:rsidRDefault="002F26AD"/>
    <w:p w:rsidR="002F26AD" w:rsidRDefault="002F26AD">
      <w:r>
        <w:rPr>
          <w:b/>
        </w:rPr>
        <w:t>Line 24. Parking</w:t>
      </w:r>
      <w:r>
        <w:t xml:space="preserve">. Parking in the Central Business District is limited and parking on the street is difficult.  As a result, owners of neighborhood parking lots typically charge $20-$30 per month. Winter and summer conditions are harsh enough to make garage parking valuable and garage parking typically costs $60-$70 per month. </w:t>
      </w:r>
    </w:p>
    <w:p w:rsidR="002F26AD" w:rsidRDefault="002F26AD" w:rsidP="00855AC8">
      <w:pPr>
        <w:pStyle w:val="b2"/>
        <w:numPr>
          <w:ilvl w:val="0"/>
          <w:numId w:val="1"/>
        </w:numPr>
      </w:pPr>
      <w:r>
        <w:t xml:space="preserve">The subject offers limited lot parking for $20.  </w:t>
      </w:r>
      <w:r>
        <w:rPr>
          <w:b/>
          <w:i/>
        </w:rPr>
        <w:t>BCD Village</w:t>
      </w:r>
      <w:r>
        <w:t xml:space="preserve"> has no parking available, and tenants who need parking typically pay $20 per month to park in a lot several blocks away.  </w:t>
      </w:r>
      <w:r>
        <w:rPr>
          <w:b/>
          <w:i/>
        </w:rPr>
        <w:t>Lebanon Apts</w:t>
      </w:r>
      <w:r>
        <w:t xml:space="preserve"> and </w:t>
      </w:r>
      <w:r>
        <w:rPr>
          <w:b/>
          <w:i/>
        </w:rPr>
        <w:t xml:space="preserve">Park View Apts </w:t>
      </w:r>
      <w:r>
        <w:t>have no lot parking, but</w:t>
      </w:r>
      <w:r>
        <w:rPr>
          <w:b/>
          <w:i/>
        </w:rPr>
        <w:t xml:space="preserve"> </w:t>
      </w:r>
      <w:r>
        <w:t xml:space="preserve">offer garage parking for $55 and $65, respectively.  </w:t>
      </w:r>
      <w:r>
        <w:rPr>
          <w:b/>
          <w:i/>
        </w:rPr>
        <w:t xml:space="preserve">Holland Apts </w:t>
      </w:r>
      <w:r>
        <w:t xml:space="preserve">and </w:t>
      </w:r>
      <w:r>
        <w:rPr>
          <w:b/>
          <w:i/>
        </w:rPr>
        <w:t>Glen Park</w:t>
      </w:r>
      <w:r>
        <w:t xml:space="preserve"> have lot parking available at no cost. </w:t>
      </w:r>
    </w:p>
    <w:p w:rsidR="002F26AD" w:rsidRDefault="002F26AD" w:rsidP="00855AC8">
      <w:pPr>
        <w:pStyle w:val="b2"/>
        <w:numPr>
          <w:ilvl w:val="0"/>
          <w:numId w:val="1"/>
        </w:numPr>
      </w:pPr>
      <w:r>
        <w:t xml:space="preserve">Comparables were adjusted to reflect whether parking was available and how its cost and quality compared to parking at the subject.  Since tenants at </w:t>
      </w:r>
      <w:r>
        <w:rPr>
          <w:b/>
          <w:i/>
        </w:rPr>
        <w:t>BCD Village</w:t>
      </w:r>
      <w:r>
        <w:t xml:space="preserve"> pay the same parking fee as tenants at the subject but the parking is less convenient, a small upward adjustment of $5 was made to reflect the inferior access to parking. A net, downward adjustment of $5 was made to </w:t>
      </w:r>
      <w:r>
        <w:rPr>
          <w:b/>
          <w:i/>
        </w:rPr>
        <w:t>Lebanon Apts</w:t>
      </w:r>
      <w:r>
        <w:rPr>
          <w:b/>
        </w:rPr>
        <w:t xml:space="preserve"> </w:t>
      </w:r>
      <w:r>
        <w:t>and</w:t>
      </w:r>
      <w:r>
        <w:rPr>
          <w:b/>
        </w:rPr>
        <w:t xml:space="preserve"> </w:t>
      </w:r>
      <w:r>
        <w:rPr>
          <w:b/>
          <w:i/>
        </w:rPr>
        <w:t>Park View Apts</w:t>
      </w:r>
      <w:r>
        <w:t xml:space="preserve">  -- a negative $10 adjustment for the convenience of having highly desirable, on-site garage parking plus a positive $5 for the lack of on-site, lot parking. </w:t>
      </w:r>
      <w:r>
        <w:rPr>
          <w:b/>
          <w:i/>
        </w:rPr>
        <w:t>Holland Apts</w:t>
      </w:r>
      <w:r>
        <w:t xml:space="preserve"> and </w:t>
      </w:r>
      <w:r>
        <w:rPr>
          <w:b/>
          <w:i/>
        </w:rPr>
        <w:t>Glen Park</w:t>
      </w:r>
      <w:r>
        <w:t xml:space="preserve"> were adjusted downward $20, to reflect the fact that their lot parking is free.</w:t>
      </w:r>
    </w:p>
    <w:p w:rsidR="002F26AD" w:rsidRDefault="002F26AD">
      <w:pPr>
        <w:rPr>
          <w:b/>
        </w:rPr>
      </w:pPr>
    </w:p>
    <w:p w:rsidR="002F26AD" w:rsidRDefault="002F26AD">
      <w:r>
        <w:rPr>
          <w:b/>
        </w:rPr>
        <w:t>Line 25. Extra Storage.</w:t>
      </w:r>
      <w:r>
        <w:t xml:space="preserve">  The subject and four of the comparables have extra storage space available outside the living unit.  Since the efficiency apartments are small, this extra storage space is desirable.  Typically, these spaces are about half the size of the smallest storage units available in self-storage facilities in the market area for $30 per month.  Assuming that about half of the tenants would value this amenity, a positive $15 adjustment is made for the lack of storage at </w:t>
      </w:r>
      <w:r>
        <w:rPr>
          <w:b/>
          <w:i/>
        </w:rPr>
        <w:t>Glen Park</w:t>
      </w:r>
      <w:r>
        <w:rPr>
          <w:b/>
        </w:rPr>
        <w:t>.</w:t>
      </w:r>
    </w:p>
    <w:p w:rsidR="002F26AD" w:rsidRDefault="002F26AD"/>
    <w:p w:rsidR="002F26AD" w:rsidRDefault="002F26AD">
      <w:r>
        <w:rPr>
          <w:b/>
        </w:rPr>
        <w:t xml:space="preserve">Line 26.  Security.  </w:t>
      </w:r>
      <w:r>
        <w:t xml:space="preserve">The subject, </w:t>
      </w:r>
      <w:r>
        <w:rPr>
          <w:b/>
          <w:i/>
        </w:rPr>
        <w:t>Holland</w:t>
      </w:r>
      <w:r>
        <w:rPr>
          <w:b/>
        </w:rPr>
        <w:t xml:space="preserve"> </w:t>
      </w:r>
      <w:r>
        <w:t xml:space="preserve">and </w:t>
      </w:r>
      <w:r>
        <w:rPr>
          <w:b/>
          <w:i/>
        </w:rPr>
        <w:t>Lebanon</w:t>
      </w:r>
      <w:r>
        <w:rPr>
          <w:b/>
        </w:rPr>
        <w:t xml:space="preserve"> </w:t>
      </w:r>
      <w:r>
        <w:t xml:space="preserve">have electronic entry systems.  </w:t>
      </w:r>
      <w:r>
        <w:rPr>
          <w:b/>
        </w:rPr>
        <w:t>Park View</w:t>
      </w:r>
      <w:r>
        <w:t xml:space="preserve"> has limited security with dead bolts on the doors.  </w:t>
      </w:r>
      <w:r>
        <w:rPr>
          <w:b/>
          <w:i/>
        </w:rPr>
        <w:t>Glen Park</w:t>
      </w:r>
      <w:r>
        <w:t xml:space="preserve"> does not have a secured entrance.  Based on conversations with local brokers and property managers and an analysis of the market data, the appraiser concluded that a $10 adjustment is warranted to reflect the appeal to the market of the subject’s entry system.  Crime is not a problem in the area.</w:t>
      </w:r>
    </w:p>
    <w:p w:rsidR="002F26AD" w:rsidRDefault="002F26AD">
      <w:r>
        <w:t xml:space="preserve"> </w:t>
      </w:r>
    </w:p>
    <w:p w:rsidR="002F26AD" w:rsidRDefault="002F26AD">
      <w:r>
        <w:rPr>
          <w:b/>
        </w:rPr>
        <w:t>Line 27.  Clubhouse / Meeting Rooms.</w:t>
      </w:r>
      <w:r>
        <w:t xml:space="preserve">  Since </w:t>
      </w:r>
      <w:r>
        <w:rPr>
          <w:b/>
          <w:i/>
        </w:rPr>
        <w:t>Glen Park</w:t>
      </w:r>
      <w:r>
        <w:t xml:space="preserve"> and </w:t>
      </w:r>
      <w:r>
        <w:rPr>
          <w:b/>
          <w:i/>
        </w:rPr>
        <w:t>Park View</w:t>
      </w:r>
      <w:r>
        <w:rPr>
          <w:b/>
        </w:rPr>
        <w:t xml:space="preserve"> </w:t>
      </w:r>
      <w:r>
        <w:t>have no community meeting rooms, a nominal $5 adjustment was made.</w:t>
      </w:r>
    </w:p>
    <w:p w:rsidR="002F26AD" w:rsidRDefault="002F26AD"/>
    <w:p w:rsidR="002F26AD" w:rsidRDefault="002F26AD">
      <w:r>
        <w:rPr>
          <w:b/>
        </w:rPr>
        <w:t>Line 28.  Pool / Recreation Areas.</w:t>
      </w:r>
      <w:r>
        <w:t xml:space="preserve">  </w:t>
      </w:r>
      <w:r>
        <w:rPr>
          <w:b/>
          <w:i/>
        </w:rPr>
        <w:t>Park View</w:t>
      </w:r>
      <w:r>
        <w:t xml:space="preserve"> has a fitness room with weights and aerobic equipment.  </w:t>
      </w:r>
      <w:r>
        <w:rPr>
          <w:b/>
          <w:i/>
        </w:rPr>
        <w:t>Holland</w:t>
      </w:r>
      <w:r>
        <w:rPr>
          <w:b/>
        </w:rPr>
        <w:t>,</w:t>
      </w:r>
      <w:r>
        <w:t xml:space="preserve"> the family project, has a swimming pool. </w:t>
      </w:r>
      <w:r>
        <w:rPr>
          <w:b/>
          <w:i/>
        </w:rPr>
        <w:t>Park View</w:t>
      </w:r>
      <w:r>
        <w:t xml:space="preserve"> was adjusted negatively by $10 to reflect the fitness room and </w:t>
      </w:r>
      <w:r>
        <w:rPr>
          <w:b/>
          <w:i/>
        </w:rPr>
        <w:t>Holland</w:t>
      </w:r>
      <w:r>
        <w:t xml:space="preserve"> was adjusted by $15 to reflect the swimming pool amenity. The adjustments were based on data collected from property managers.</w:t>
      </w:r>
    </w:p>
    <w:p w:rsidR="002F26AD" w:rsidRDefault="002F26AD"/>
    <w:p w:rsidR="002F26AD" w:rsidRDefault="002F26AD">
      <w:r>
        <w:rPr>
          <w:b/>
        </w:rPr>
        <w:t>Line 31. Non-Shelter Services.</w:t>
      </w:r>
      <w:r>
        <w:t xml:space="preserve">  The subject property offers several amenities geared to its elderly tenancy: emergency call system, community sitting and meeting room, and limited transportation.  Two comparables </w:t>
      </w:r>
      <w:r>
        <w:rPr>
          <w:b/>
          <w:i/>
        </w:rPr>
        <w:t xml:space="preserve">(Holland </w:t>
      </w:r>
      <w:r>
        <w:t>and</w:t>
      </w:r>
      <w:r>
        <w:rPr>
          <w:b/>
          <w:i/>
        </w:rPr>
        <w:t xml:space="preserve"> Park View</w:t>
      </w:r>
      <w:r>
        <w:t xml:space="preserve">) have no elderly services. </w:t>
      </w:r>
      <w:r>
        <w:rPr>
          <w:b/>
          <w:i/>
        </w:rPr>
        <w:t>Glen Park, BCD Village</w:t>
      </w:r>
      <w:r>
        <w:rPr>
          <w:b/>
        </w:rPr>
        <w:t xml:space="preserve"> </w:t>
      </w:r>
      <w:r>
        <w:t xml:space="preserve">and </w:t>
      </w:r>
      <w:r>
        <w:rPr>
          <w:b/>
          <w:i/>
        </w:rPr>
        <w:t>Lebanon</w:t>
      </w:r>
      <w:r>
        <w:rPr>
          <w:b/>
        </w:rPr>
        <w:t xml:space="preserve"> </w:t>
      </w:r>
      <w:r>
        <w:t xml:space="preserve">have pull cords in each unit, and </w:t>
      </w:r>
      <w:r>
        <w:rPr>
          <w:b/>
          <w:i/>
        </w:rPr>
        <w:t>Glen Park</w:t>
      </w:r>
      <w:r>
        <w:rPr>
          <w:b/>
        </w:rPr>
        <w:t xml:space="preserve"> </w:t>
      </w:r>
      <w:r>
        <w:t>and</w:t>
      </w:r>
      <w:r>
        <w:rPr>
          <w:b/>
        </w:rPr>
        <w:t xml:space="preserve"> </w:t>
      </w:r>
      <w:r>
        <w:rPr>
          <w:b/>
          <w:i/>
        </w:rPr>
        <w:t>BCD Village</w:t>
      </w:r>
      <w:r>
        <w:rPr>
          <w:b/>
        </w:rPr>
        <w:t xml:space="preserve"> </w:t>
      </w:r>
      <w:r>
        <w:t xml:space="preserve">also offer limited transportation for residents. The property manager at </w:t>
      </w:r>
      <w:r>
        <w:rPr>
          <w:b/>
          <w:i/>
        </w:rPr>
        <w:t>Glen Park</w:t>
      </w:r>
      <w:r>
        <w:rPr>
          <w:b/>
        </w:rPr>
        <w:t xml:space="preserve"> </w:t>
      </w:r>
      <w:r>
        <w:t xml:space="preserve">reported that, based on his experience leasing units at another complex that does not offer elderly services, elderly tenants requiring these elderly services will typically pay up to $50 additional rent for the emergency services and the availability of transportation.  Based on this information and the fact that only a portion of the market would value these services, the appraiser estimated that the market overall would place a $10 value on the pull cords and a $10 value for the availability of transportation. Positive adjustments were made accordingly to </w:t>
      </w:r>
      <w:r>
        <w:rPr>
          <w:b/>
          <w:i/>
        </w:rPr>
        <w:t>Lebanon, Holland, and Park View.</w:t>
      </w:r>
      <w:r>
        <w:t xml:space="preserve"> </w:t>
      </w:r>
    </w:p>
    <w:p w:rsidR="002F26AD" w:rsidRDefault="002F26AD"/>
    <w:p w:rsidR="002F26AD" w:rsidRDefault="002F26AD">
      <w:r>
        <w:rPr>
          <w:b/>
        </w:rPr>
        <w:t xml:space="preserve">Line 33. Heat.  </w:t>
      </w:r>
      <w:r>
        <w:t xml:space="preserve">Heat is included in the rent at the subject and three of the comparables. At </w:t>
      </w:r>
      <w:r>
        <w:rPr>
          <w:b/>
          <w:i/>
        </w:rPr>
        <w:t>Lebanon</w:t>
      </w:r>
      <w:r>
        <w:rPr>
          <w:b/>
        </w:rPr>
        <w:t xml:space="preserve"> </w:t>
      </w:r>
      <w:r>
        <w:t xml:space="preserve">and </w:t>
      </w:r>
      <w:r>
        <w:rPr>
          <w:b/>
          <w:i/>
        </w:rPr>
        <w:t>Park View</w:t>
      </w:r>
      <w:r>
        <w:t xml:space="preserve">, residents pay their own heat. Gas is the heat source at both of these complexes. The Smithville Housing Authority’s published utility allowances estimate gas heat for efficiencies in this market to be $25.  The Appraiser confirmed, with local brokers and the property manager at Lebanon, that $25 per month was a reasonable estimate of the amount tenants would expect to pay for gas heat in this market. Based on this information, a positive $25 adjustment was made to </w:t>
      </w:r>
      <w:r>
        <w:rPr>
          <w:b/>
          <w:i/>
        </w:rPr>
        <w:t>Lebanon</w:t>
      </w:r>
      <w:r>
        <w:t xml:space="preserve"> and </w:t>
      </w:r>
      <w:r>
        <w:rPr>
          <w:b/>
          <w:i/>
        </w:rPr>
        <w:t>Park View</w:t>
      </w:r>
      <w:r>
        <w:t>.</w:t>
      </w:r>
    </w:p>
    <w:p w:rsidR="002F26AD" w:rsidRDefault="002F26AD"/>
    <w:p w:rsidR="002F26AD" w:rsidRDefault="002F26AD">
      <w:r>
        <w:rPr>
          <w:b/>
        </w:rPr>
        <w:t>Line 35. Cooking</w:t>
      </w:r>
      <w:r>
        <w:t xml:space="preserve">.  At the subject property and four of the comparables, electricity used for cooking is not included in the rent. Tenants must pay for this separately.  However, at </w:t>
      </w:r>
      <w:r>
        <w:rPr>
          <w:b/>
          <w:i/>
        </w:rPr>
        <w:t>Glen Park</w:t>
      </w:r>
      <w:r>
        <w:t xml:space="preserve">, all utilities are included in the rent.  The Appraiser made a negative $5 adjustment at </w:t>
      </w:r>
      <w:r>
        <w:rPr>
          <w:b/>
          <w:i/>
        </w:rPr>
        <w:t>Glen Park</w:t>
      </w:r>
      <w:r>
        <w:t xml:space="preserve"> because, in his judgment, a knowledgeable tenant would expect to pay slightly less if electricity for cooking was not included in the rent. This adjustment is consistent with utility allowances published by the housing authorities in both Smithville and Channel Crossing. </w:t>
      </w:r>
    </w:p>
    <w:p w:rsidR="002F26AD" w:rsidRDefault="002F26AD"/>
    <w:p w:rsidR="002F26AD" w:rsidRDefault="002F26AD">
      <w:r>
        <w:rPr>
          <w:b/>
        </w:rPr>
        <w:t xml:space="preserve">Line 36. Hot Water. </w:t>
      </w:r>
      <w:r>
        <w:t xml:space="preserve">The cost of heating hot water is included in the rent at the subject and three of the comparables. At </w:t>
      </w:r>
      <w:r>
        <w:rPr>
          <w:b/>
          <w:i/>
        </w:rPr>
        <w:t>Lebanon</w:t>
      </w:r>
      <w:r>
        <w:rPr>
          <w:b/>
        </w:rPr>
        <w:t xml:space="preserve"> </w:t>
      </w:r>
      <w:r>
        <w:t xml:space="preserve">and </w:t>
      </w:r>
      <w:r>
        <w:rPr>
          <w:b/>
          <w:i/>
        </w:rPr>
        <w:t>Park View</w:t>
      </w:r>
      <w:r>
        <w:t xml:space="preserve">, tenants pay for hot water. Gas is the heat source at both of these complexes. The Smithville Housing Authority’s published utility allowances estimate gas hot water for an efficiency in this market to be $10. The Appraiser confirmed, with local brokers and the property manager at Lebanon, that $10 per month was a reasonable estimate of the amount tenants would expect to pay for gas hot water in this market. Based on this information, a positive $10 adjustment was made to </w:t>
      </w:r>
      <w:r>
        <w:rPr>
          <w:b/>
          <w:i/>
        </w:rPr>
        <w:t>Lebanon</w:t>
      </w:r>
      <w:r>
        <w:t xml:space="preserve"> and </w:t>
      </w:r>
      <w:r>
        <w:rPr>
          <w:b/>
          <w:i/>
        </w:rPr>
        <w:t>Park View</w:t>
      </w:r>
      <w:r>
        <w:t>.</w:t>
      </w:r>
    </w:p>
    <w:p w:rsidR="002F26AD" w:rsidRDefault="002F26AD"/>
    <w:p w:rsidR="002F26AD" w:rsidRDefault="002F26AD">
      <w:r>
        <w:rPr>
          <w:b/>
        </w:rPr>
        <w:t xml:space="preserve">Line 37. Other Electric. </w:t>
      </w:r>
      <w:r>
        <w:t xml:space="preserve">At the subject property, the electric utility charges associated with lights and plugs are not included in the rent. Tenants must pay for this separately. This is also the case at four of the comparables.  However, at </w:t>
      </w:r>
      <w:r>
        <w:rPr>
          <w:b/>
          <w:i/>
        </w:rPr>
        <w:t>Glen Park</w:t>
      </w:r>
      <w:r>
        <w:t xml:space="preserve"> all utilities, including electricity for lights and plugs, are included in the rent. According to the utility allowances published by the housing authorities in Smithville and Channel Crossing, the cost of electricity for lights and plugs is typically  $20 per month. The appraiser made a negative $20 adjustment at </w:t>
      </w:r>
      <w:r>
        <w:rPr>
          <w:b/>
          <w:i/>
        </w:rPr>
        <w:t xml:space="preserve">Glen Park </w:t>
      </w:r>
      <w:r>
        <w:t>to indicate that tenants would typically be willing to pay $20 less if they were required to pay directly for other electric.</w:t>
      </w:r>
    </w:p>
    <w:p w:rsidR="002F26AD" w:rsidRDefault="002F26AD">
      <w:pPr>
        <w:pStyle w:val="Header"/>
        <w:tabs>
          <w:tab w:val="clear" w:pos="4320"/>
          <w:tab w:val="clear" w:pos="8640"/>
        </w:tabs>
      </w:pPr>
    </w:p>
    <w:p w:rsidR="002F26AD" w:rsidRDefault="002F26AD">
      <w:pPr>
        <w:pStyle w:val="BodyText2"/>
      </w:pPr>
      <w:r>
        <w:t xml:space="preserve">Line 46. Conclusion of Market Rent, Primary Unit Type.  </w:t>
      </w:r>
    </w:p>
    <w:p w:rsidR="002F26AD" w:rsidRDefault="002F26AD">
      <w:pPr>
        <w:pStyle w:val="b2"/>
      </w:pPr>
      <w:r>
        <w:t xml:space="preserve">a. The adjusted rents range from $430 to $510. </w:t>
      </w:r>
      <w:r>
        <w:rPr>
          <w:b/>
          <w:i/>
        </w:rPr>
        <w:t>Lebanon</w:t>
      </w:r>
      <w:r>
        <w:rPr>
          <w:b/>
        </w:rPr>
        <w:t xml:space="preserve"> </w:t>
      </w:r>
      <w:r>
        <w:t xml:space="preserve">and </w:t>
      </w:r>
      <w:r>
        <w:rPr>
          <w:b/>
          <w:i/>
        </w:rPr>
        <w:t xml:space="preserve">BCD Village </w:t>
      </w:r>
      <w:r>
        <w:t xml:space="preserve">are the best comparables, because they are most similar to ABC Village Apartments. Both complexes are located in the subject’s neighborhood within a mile of the subject, lease to the elderly and offer elderly services, and are elevator buildings with comparable street appeal. Therefore, greatest weight was placed on Lebanon and BCD Village. </w:t>
      </w:r>
    </w:p>
    <w:p w:rsidR="002F26AD" w:rsidRDefault="002F26AD">
      <w:pPr>
        <w:pStyle w:val="b2"/>
      </w:pPr>
      <w:r>
        <w:t xml:space="preserve">b. </w:t>
      </w:r>
      <w:r>
        <w:rPr>
          <w:b/>
          <w:i/>
        </w:rPr>
        <w:t>Glen Park</w:t>
      </w:r>
      <w:r>
        <w:t xml:space="preserve"> is a good comparable except for the fact that it is outside the subject’s market area. Less weight was placed on it for this reason.</w:t>
      </w:r>
    </w:p>
    <w:p w:rsidR="002F26AD" w:rsidRDefault="002F26AD">
      <w:pPr>
        <w:pStyle w:val="b2"/>
      </w:pPr>
      <w:r>
        <w:t xml:space="preserve">c. Minimal weight was given to </w:t>
      </w:r>
      <w:r>
        <w:rPr>
          <w:b/>
          <w:i/>
        </w:rPr>
        <w:t>Holland</w:t>
      </w:r>
      <w:r>
        <w:t xml:space="preserve"> and </w:t>
      </w:r>
      <w:r>
        <w:rPr>
          <w:b/>
          <w:i/>
        </w:rPr>
        <w:t>Park View</w:t>
      </w:r>
      <w:r>
        <w:t>,</w:t>
      </w:r>
      <w:r>
        <w:rPr>
          <w:b/>
        </w:rPr>
        <w:t xml:space="preserve"> </w:t>
      </w:r>
      <w:r>
        <w:t xml:space="preserve">which are outside the subject’s neighborhood and are not elevator buildings. Further, Holland is a family complex and Park View required the most adjustments </w:t>
      </w:r>
      <w:r>
        <w:rPr>
          <w:i/>
        </w:rPr>
        <w:t>(primarily because it just recently completed renovation, is still in lease up, lacks elderly amenities, and is located in a more desirable location)</w:t>
      </w:r>
      <w:r>
        <w:t>.</w:t>
      </w:r>
    </w:p>
    <w:p w:rsidR="002F26AD" w:rsidRDefault="002F26AD">
      <w:pPr>
        <w:pStyle w:val="Block1"/>
      </w:pPr>
    </w:p>
    <w:p w:rsidR="002F26AD" w:rsidRDefault="002F26AD">
      <w:pPr>
        <w:pStyle w:val="Block1"/>
        <w:ind w:firstLine="0"/>
        <w:rPr>
          <w:b/>
        </w:rPr>
      </w:pPr>
      <w:r>
        <w:t>The Appraiser concluded the market rent for the 450 square foot efficiency units to be $485, which is $1.08 per square foot.</w:t>
      </w:r>
      <w:r>
        <w:rPr>
          <w:b/>
        </w:rPr>
        <w:t xml:space="preserve"> </w:t>
      </w:r>
    </w:p>
    <w:p w:rsidR="002F26AD" w:rsidRDefault="002F26AD"/>
    <w:p w:rsidR="002F26AD" w:rsidRDefault="002F26AD">
      <w:pPr>
        <w:pStyle w:val="BodyText"/>
      </w:pPr>
      <w:r>
        <w:rPr>
          <w:b/>
        </w:rPr>
        <w:t xml:space="preserve">Conclusion of Market Rent, Secondary Unit Type.  </w:t>
      </w:r>
      <w:r>
        <w:t xml:space="preserve">Since the two unit types would be identical except for the 50 square foot difference in size, a separate grid was not prepared.  A rental conclusion for 500 sq. ft. units was obtained by adjusting the primary, 450 sq. ft unit by the appropriate square foot adjustment ($20 for 50 square feet, as computed in Comment #13 above).  The Appraiser concluded market rent for the larger, 500 sq. ft. efficiency units to be $505 -- the primary unit’s $485 rent plus the $20 adjustment. This is $1.01 per square foot.  </w:t>
      </w:r>
    </w:p>
    <w:p w:rsidR="002F26AD" w:rsidRDefault="002F26AD">
      <w:pPr>
        <w:pStyle w:val="BodyText"/>
        <w:jc w:val="left"/>
        <w:sectPr w:rsidR="002F26AD">
          <w:pgSz w:w="12240" w:h="15840"/>
          <w:pgMar w:top="720" w:right="1440" w:bottom="720" w:left="2160" w:header="720" w:footer="720" w:gutter="0"/>
          <w:cols w:space="720"/>
        </w:sectPr>
      </w:pPr>
    </w:p>
    <w:p w:rsidR="002F26AD" w:rsidRDefault="002F26AD">
      <w:pPr>
        <w:pStyle w:val="Title"/>
        <w:widowControl/>
      </w:pPr>
      <w:r>
        <w:t>Lebanon Apartments</w:t>
      </w:r>
    </w:p>
    <w:p w:rsidR="002F26AD" w:rsidRDefault="002F26AD">
      <w:pPr>
        <w:pStyle w:val="Subtitle"/>
        <w:widowControl/>
        <w:rPr>
          <w:sz w:val="28"/>
        </w:rPr>
      </w:pPr>
      <w:r>
        <w:rPr>
          <w:sz w:val="28"/>
        </w:rPr>
        <w:t>13 Main Street</w:t>
      </w:r>
    </w:p>
    <w:p w:rsidR="002F26AD" w:rsidRDefault="002F26AD">
      <w:pPr>
        <w:pStyle w:val="Heading1"/>
        <w:pBdr>
          <w:top w:val="none" w:sz="0" w:space="0" w:color="auto"/>
          <w:left w:val="none" w:sz="0" w:space="0" w:color="auto"/>
          <w:bottom w:val="none" w:sz="0" w:space="0" w:color="auto"/>
          <w:right w:val="none" w:sz="0" w:space="0" w:color="auto"/>
        </w:pBdr>
        <w:rPr>
          <w:b w:val="0"/>
          <w:i w:val="0"/>
          <w:sz w:val="28"/>
        </w:rPr>
      </w:pPr>
      <w:r>
        <w:rPr>
          <w:b w:val="0"/>
          <w:i w:val="0"/>
          <w:sz w:val="28"/>
        </w:rPr>
        <w:t>Smithville</w:t>
      </w:r>
      <w:r>
        <w:rPr>
          <w:sz w:val="28"/>
        </w:rPr>
        <w:t xml:space="preserve">, </w:t>
      </w:r>
      <w:r>
        <w:rPr>
          <w:b w:val="0"/>
          <w:i w:val="0"/>
          <w:sz w:val="28"/>
        </w:rPr>
        <w:t>ST  00012</w:t>
      </w:r>
    </w:p>
    <w:p w:rsidR="002F26AD" w:rsidRDefault="002F26AD">
      <w:pPr>
        <w:jc w:val="center"/>
        <w:rPr>
          <w:sz w:val="28"/>
        </w:rPr>
      </w:pPr>
    </w:p>
    <w:p w:rsidR="002F26AD" w:rsidRDefault="002F26AD">
      <w:pPr>
        <w:pStyle w:val="Heading2"/>
        <w:pBdr>
          <w:top w:val="none" w:sz="0" w:space="0" w:color="auto"/>
          <w:left w:val="none" w:sz="0" w:space="0" w:color="auto"/>
          <w:bottom w:val="none" w:sz="0" w:space="0" w:color="auto"/>
          <w:right w:val="none" w:sz="0" w:space="0" w:color="auto"/>
        </w:pBdr>
        <w:jc w:val="left"/>
        <w:rPr>
          <w:i w:val="0"/>
          <w:sz w:val="24"/>
        </w:rPr>
      </w:pPr>
      <w:r>
        <w:rPr>
          <w:b w:val="0"/>
          <w:i w:val="0"/>
          <w:sz w:val="24"/>
        </w:rPr>
        <w:t>Management Agent</w:t>
      </w:r>
      <w:r>
        <w:rPr>
          <w:i w:val="0"/>
          <w:sz w:val="24"/>
        </w:rPr>
        <w:t>:  XXX Management</w:t>
      </w:r>
      <w:r>
        <w:rPr>
          <w:i w:val="0"/>
          <w:sz w:val="24"/>
        </w:rPr>
        <w:tab/>
      </w:r>
      <w:r>
        <w:rPr>
          <w:i w:val="0"/>
          <w:sz w:val="24"/>
        </w:rPr>
        <w:tab/>
      </w:r>
      <w:r>
        <w:rPr>
          <w:i w:val="0"/>
          <w:sz w:val="24"/>
        </w:rPr>
        <w:tab/>
      </w:r>
      <w:r>
        <w:rPr>
          <w:b w:val="0"/>
          <w:i w:val="0"/>
          <w:sz w:val="24"/>
        </w:rPr>
        <w:t>County</w:t>
      </w:r>
      <w:r>
        <w:rPr>
          <w:i w:val="0"/>
          <w:sz w:val="24"/>
        </w:rPr>
        <w:t>:  Gloucester</w:t>
      </w:r>
    </w:p>
    <w:p w:rsidR="002F26AD" w:rsidRDefault="002F26AD">
      <w:pPr>
        <w:pStyle w:val="Heading2"/>
        <w:pBdr>
          <w:top w:val="none" w:sz="0" w:space="0" w:color="auto"/>
          <w:left w:val="none" w:sz="0" w:space="0" w:color="auto"/>
          <w:bottom w:val="none" w:sz="0" w:space="0" w:color="auto"/>
          <w:right w:val="none" w:sz="0" w:space="0" w:color="auto"/>
        </w:pBdr>
        <w:ind w:right="-360"/>
        <w:jc w:val="left"/>
        <w:rPr>
          <w:i w:val="0"/>
          <w:sz w:val="24"/>
        </w:rPr>
      </w:pPr>
      <w:r>
        <w:rPr>
          <w:b w:val="0"/>
          <w:i w:val="0"/>
          <w:sz w:val="24"/>
        </w:rPr>
        <w:t>Contact</w:t>
      </w:r>
      <w:r>
        <w:rPr>
          <w:i w:val="0"/>
          <w:sz w:val="24"/>
        </w:rPr>
        <w:t>:  Ira Menzer</w:t>
      </w:r>
      <w:r>
        <w:rPr>
          <w:i w:val="0"/>
          <w:sz w:val="24"/>
        </w:rPr>
        <w:tab/>
      </w:r>
      <w:r>
        <w:rPr>
          <w:i w:val="0"/>
          <w:sz w:val="24"/>
        </w:rPr>
        <w:tab/>
      </w:r>
      <w:r>
        <w:rPr>
          <w:i w:val="0"/>
          <w:sz w:val="24"/>
        </w:rPr>
        <w:tab/>
      </w:r>
      <w:r>
        <w:rPr>
          <w:i w:val="0"/>
          <w:sz w:val="24"/>
        </w:rPr>
        <w:tab/>
      </w:r>
      <w:r>
        <w:rPr>
          <w:i w:val="0"/>
          <w:sz w:val="24"/>
        </w:rPr>
        <w:tab/>
      </w:r>
      <w:r>
        <w:rPr>
          <w:i w:val="0"/>
          <w:sz w:val="24"/>
        </w:rPr>
        <w:tab/>
      </w:r>
      <w:r>
        <w:rPr>
          <w:b w:val="0"/>
          <w:i w:val="0"/>
          <w:sz w:val="24"/>
        </w:rPr>
        <w:t>Cross Street</w:t>
      </w:r>
      <w:r>
        <w:rPr>
          <w:i w:val="0"/>
          <w:sz w:val="24"/>
        </w:rPr>
        <w:t>:  Broad and Main Street</w:t>
      </w:r>
    </w:p>
    <w:p w:rsidR="002F26AD" w:rsidRDefault="002F26AD">
      <w:pPr>
        <w:pStyle w:val="Heading2"/>
        <w:pBdr>
          <w:top w:val="none" w:sz="0" w:space="0" w:color="auto"/>
          <w:left w:val="none" w:sz="0" w:space="0" w:color="auto"/>
          <w:bottom w:val="none" w:sz="0" w:space="0" w:color="auto"/>
          <w:right w:val="none" w:sz="0" w:space="0" w:color="auto"/>
        </w:pBdr>
        <w:jc w:val="left"/>
        <w:rPr>
          <w:i w:val="0"/>
          <w:sz w:val="24"/>
        </w:rPr>
      </w:pPr>
      <w:r>
        <w:rPr>
          <w:b w:val="0"/>
          <w:i w:val="0"/>
          <w:sz w:val="24"/>
        </w:rPr>
        <w:t>Contact</w:t>
      </w:r>
      <w:r>
        <w:rPr>
          <w:i w:val="0"/>
          <w:sz w:val="24"/>
        </w:rPr>
        <w:t xml:space="preserve"> </w:t>
      </w:r>
      <w:r>
        <w:rPr>
          <w:b w:val="0"/>
          <w:i w:val="0"/>
          <w:sz w:val="24"/>
        </w:rPr>
        <w:t>Phone</w:t>
      </w:r>
      <w:r>
        <w:rPr>
          <w:i w:val="0"/>
          <w:sz w:val="24"/>
        </w:rPr>
        <w:t>:  (000) 555-4444</w:t>
      </w:r>
      <w:r>
        <w:rPr>
          <w:i w:val="0"/>
          <w:sz w:val="24"/>
        </w:rPr>
        <w:tab/>
      </w:r>
      <w:r>
        <w:rPr>
          <w:i w:val="0"/>
          <w:sz w:val="24"/>
        </w:rPr>
        <w:tab/>
      </w:r>
      <w:r>
        <w:rPr>
          <w:i w:val="0"/>
          <w:sz w:val="24"/>
        </w:rPr>
        <w:tab/>
      </w:r>
      <w:r>
        <w:rPr>
          <w:i w:val="0"/>
          <w:sz w:val="24"/>
        </w:rPr>
        <w:tab/>
      </w:r>
      <w:r>
        <w:rPr>
          <w:b w:val="0"/>
          <w:i w:val="0"/>
          <w:sz w:val="24"/>
        </w:rPr>
        <w:t>Neighborhood</w:t>
      </w:r>
      <w:r>
        <w:rPr>
          <w:i w:val="0"/>
          <w:sz w:val="24"/>
        </w:rPr>
        <w:t>:  Highlands</w:t>
      </w:r>
    </w:p>
    <w:p w:rsidR="002F26AD" w:rsidRDefault="002F26AD">
      <w:pPr>
        <w:jc w:val="left"/>
      </w:pPr>
    </w:p>
    <w:p w:rsidR="002F26AD" w:rsidRDefault="002F26AD">
      <w:pPr>
        <w:jc w:val="left"/>
      </w:pPr>
    </w:p>
    <w:p w:rsidR="002F26AD" w:rsidRDefault="002F26AD">
      <w:pPr>
        <w:jc w:val="center"/>
      </w:pPr>
      <w:r>
        <w:rPr>
          <w:sz w:val="20"/>
        </w:rPr>
        <w:pict>
          <v:shape id="_x0000_i1027" type="#_x0000_t75" style="width:345.75pt;height:202.5pt">
            <v:imagedata r:id="rId12" o:title=""/>
          </v:shape>
        </w:pict>
      </w: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0"/>
        <w:gridCol w:w="1530"/>
        <w:gridCol w:w="1710"/>
        <w:gridCol w:w="1710"/>
        <w:gridCol w:w="1530"/>
        <w:gridCol w:w="1890"/>
      </w:tblGrid>
      <w:tr w:rsidR="002F26AD">
        <w:tblPrEx>
          <w:tblCellMar>
            <w:top w:w="0" w:type="dxa"/>
            <w:bottom w:w="0" w:type="dxa"/>
          </w:tblCellMar>
        </w:tblPrEx>
        <w:trPr>
          <w:trHeight w:val="377"/>
          <w:tblHeader/>
          <w:jc w:val="center"/>
        </w:trPr>
        <w:tc>
          <w:tcPr>
            <w:tcW w:w="1368" w:type="dxa"/>
            <w:tcBorders>
              <w:bottom w:val="double" w:sz="6" w:space="0" w:color="auto"/>
            </w:tcBorders>
            <w:shd w:val="pct10" w:color="auto" w:fill="FFFFFF"/>
          </w:tcPr>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 xml:space="preserve">Unit </w:t>
            </w:r>
          </w:p>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Type</w:t>
            </w:r>
          </w:p>
        </w:tc>
        <w:tc>
          <w:tcPr>
            <w:tcW w:w="1530" w:type="dxa"/>
            <w:tcBorders>
              <w:bottom w:val="double" w:sz="6" w:space="0" w:color="auto"/>
            </w:tcBorders>
            <w:shd w:val="pct10" w:color="auto" w:fill="FFFFFF"/>
          </w:tcPr>
          <w:p w:rsidR="002F26AD" w:rsidRDefault="002F26AD">
            <w:pPr>
              <w:jc w:val="center"/>
              <w:rPr>
                <w:b/>
              </w:rPr>
            </w:pPr>
            <w:r>
              <w:rPr>
                <w:b/>
              </w:rPr>
              <w:t xml:space="preserve">No. of </w:t>
            </w:r>
          </w:p>
          <w:p w:rsidR="002F26AD" w:rsidRDefault="002F26AD">
            <w:pPr>
              <w:jc w:val="center"/>
              <w:rPr>
                <w:b/>
              </w:rPr>
            </w:pPr>
            <w:r>
              <w:rPr>
                <w:b/>
              </w:rPr>
              <w:t>Units</w:t>
            </w:r>
          </w:p>
        </w:tc>
        <w:tc>
          <w:tcPr>
            <w:tcW w:w="1710" w:type="dxa"/>
            <w:tcBorders>
              <w:bottom w:val="double" w:sz="6" w:space="0" w:color="auto"/>
            </w:tcBorders>
            <w:shd w:val="pct10" w:color="auto" w:fill="FFFFFF"/>
          </w:tcPr>
          <w:p w:rsidR="002F26AD" w:rsidRDefault="002F26AD">
            <w:pPr>
              <w:jc w:val="center"/>
              <w:rPr>
                <w:b/>
              </w:rPr>
            </w:pPr>
            <w:r>
              <w:rPr>
                <w:b/>
              </w:rPr>
              <w:t>Used as Comp in RCS?</w:t>
            </w:r>
          </w:p>
          <w:p w:rsidR="002F26AD" w:rsidRDefault="002F26AD">
            <w:pPr>
              <w:jc w:val="center"/>
            </w:pPr>
            <w:r>
              <w:t>(Y/N)</w:t>
            </w:r>
          </w:p>
        </w:tc>
        <w:tc>
          <w:tcPr>
            <w:tcW w:w="1710" w:type="dxa"/>
            <w:tcBorders>
              <w:bottom w:val="double" w:sz="6" w:space="0" w:color="auto"/>
            </w:tcBorders>
            <w:shd w:val="pct10" w:color="auto" w:fill="FFFFFF"/>
          </w:tcPr>
          <w:p w:rsidR="002F26AD" w:rsidRDefault="002F26AD">
            <w:pPr>
              <w:jc w:val="center"/>
              <w:rPr>
                <w:b/>
              </w:rPr>
            </w:pPr>
            <w:r>
              <w:rPr>
                <w:b/>
              </w:rPr>
              <w:t>Average</w:t>
            </w:r>
          </w:p>
          <w:p w:rsidR="002F26AD" w:rsidRDefault="002F26AD">
            <w:pPr>
              <w:jc w:val="center"/>
              <w:rPr>
                <w:b/>
              </w:rPr>
            </w:pPr>
            <w:r>
              <w:rPr>
                <w:b/>
              </w:rPr>
              <w:t>Rent</w:t>
            </w:r>
          </w:p>
        </w:tc>
        <w:tc>
          <w:tcPr>
            <w:tcW w:w="1530" w:type="dxa"/>
            <w:tcBorders>
              <w:bottom w:val="double" w:sz="6" w:space="0" w:color="auto"/>
            </w:tcBorders>
            <w:shd w:val="pct10" w:color="auto" w:fill="FFFFFF"/>
          </w:tcPr>
          <w:p w:rsidR="002F26AD" w:rsidRDefault="002F26AD">
            <w:pPr>
              <w:jc w:val="center"/>
              <w:rPr>
                <w:b/>
              </w:rPr>
            </w:pPr>
            <w:r>
              <w:rPr>
                <w:b/>
              </w:rPr>
              <w:t>Interior</w:t>
            </w:r>
          </w:p>
          <w:p w:rsidR="002F26AD" w:rsidRDefault="002F26AD">
            <w:pPr>
              <w:jc w:val="center"/>
              <w:rPr>
                <w:b/>
              </w:rPr>
            </w:pPr>
            <w:r>
              <w:rPr>
                <w:b/>
              </w:rPr>
              <w:t xml:space="preserve">Size </w:t>
            </w:r>
          </w:p>
          <w:p w:rsidR="002F26AD" w:rsidRDefault="002F26AD">
            <w:pPr>
              <w:jc w:val="center"/>
            </w:pPr>
            <w:r>
              <w:t>(SF)</w:t>
            </w:r>
          </w:p>
        </w:tc>
        <w:tc>
          <w:tcPr>
            <w:tcW w:w="1890" w:type="dxa"/>
            <w:tcBorders>
              <w:bottom w:val="double" w:sz="6" w:space="0" w:color="auto"/>
            </w:tcBorders>
            <w:shd w:val="pct10" w:color="auto" w:fill="FFFFFF"/>
          </w:tcPr>
          <w:p w:rsidR="002F26AD" w:rsidRDefault="002F26AD">
            <w:pPr>
              <w:jc w:val="center"/>
              <w:rPr>
                <w:b/>
              </w:rPr>
            </w:pPr>
            <w:r>
              <w:rPr>
                <w:b/>
              </w:rPr>
              <w:t>Any Rent Restrictions?</w:t>
            </w:r>
          </w:p>
          <w:p w:rsidR="002F26AD" w:rsidRDefault="002F26AD">
            <w:pPr>
              <w:jc w:val="center"/>
            </w:pPr>
            <w:r>
              <w:t>(Y/N)</w:t>
            </w:r>
          </w:p>
        </w:tc>
      </w:tr>
      <w:tr w:rsidR="002F26AD">
        <w:tblPrEx>
          <w:tblCellMar>
            <w:top w:w="0" w:type="dxa"/>
            <w:bottom w:w="0" w:type="dxa"/>
          </w:tblCellMar>
        </w:tblPrEx>
        <w:trPr>
          <w:trHeight w:val="339"/>
          <w:jc w:val="center"/>
        </w:trPr>
        <w:tc>
          <w:tcPr>
            <w:tcW w:w="1368" w:type="dxa"/>
            <w:tcBorders>
              <w:top w:val="nil"/>
            </w:tcBorders>
          </w:tcPr>
          <w:p w:rsidR="002F26AD" w:rsidRDefault="002F26AD">
            <w:pPr>
              <w:jc w:val="center"/>
            </w:pPr>
            <w:r>
              <w:t>0 / 1</w:t>
            </w:r>
          </w:p>
        </w:tc>
        <w:tc>
          <w:tcPr>
            <w:tcW w:w="1530" w:type="dxa"/>
            <w:tcBorders>
              <w:top w:val="nil"/>
            </w:tcBorders>
          </w:tcPr>
          <w:p w:rsidR="002F26AD" w:rsidRDefault="002F26AD">
            <w:pPr>
              <w:jc w:val="center"/>
            </w:pPr>
            <w:r>
              <w:t>3</w:t>
            </w:r>
          </w:p>
        </w:tc>
        <w:tc>
          <w:tcPr>
            <w:tcW w:w="1710" w:type="dxa"/>
            <w:tcBorders>
              <w:top w:val="nil"/>
            </w:tcBorders>
          </w:tcPr>
          <w:p w:rsidR="002F26AD" w:rsidRDefault="002F26AD">
            <w:pPr>
              <w:jc w:val="center"/>
            </w:pPr>
            <w:r>
              <w:t>Y</w:t>
            </w:r>
          </w:p>
        </w:tc>
        <w:tc>
          <w:tcPr>
            <w:tcW w:w="1710" w:type="dxa"/>
            <w:tcBorders>
              <w:top w:val="nil"/>
              <w:bottom w:val="nil"/>
            </w:tcBorders>
          </w:tcPr>
          <w:p w:rsidR="002F26AD" w:rsidRDefault="002F26AD">
            <w:pPr>
              <w:jc w:val="center"/>
            </w:pPr>
            <w:r>
              <w:t>$505</w:t>
            </w:r>
          </w:p>
        </w:tc>
        <w:tc>
          <w:tcPr>
            <w:tcW w:w="1530" w:type="dxa"/>
            <w:tcBorders>
              <w:top w:val="nil"/>
              <w:bottom w:val="nil"/>
            </w:tcBorders>
          </w:tcPr>
          <w:p w:rsidR="002F26AD" w:rsidRDefault="002F26AD">
            <w:pPr>
              <w:jc w:val="center"/>
            </w:pPr>
            <w:r>
              <w:t>500</w:t>
            </w:r>
          </w:p>
        </w:tc>
        <w:tc>
          <w:tcPr>
            <w:tcW w:w="1890" w:type="dxa"/>
            <w:tcBorders>
              <w:top w:val="nil"/>
              <w:bottom w:val="nil"/>
            </w:tcBorders>
          </w:tcPr>
          <w:p w:rsidR="002F26AD" w:rsidRDefault="002F26AD">
            <w:pPr>
              <w:jc w:val="center"/>
            </w:pPr>
            <w:r>
              <w:t>N</w:t>
            </w:r>
          </w:p>
        </w:tc>
      </w:tr>
      <w:tr w:rsidR="002F26AD">
        <w:tblPrEx>
          <w:tblCellMar>
            <w:top w:w="0" w:type="dxa"/>
            <w:bottom w:w="0" w:type="dxa"/>
          </w:tblCellMar>
        </w:tblPrEx>
        <w:trPr>
          <w:cantSplit/>
          <w:trHeight w:val="332"/>
          <w:jc w:val="center"/>
        </w:trPr>
        <w:tc>
          <w:tcPr>
            <w:tcW w:w="1368" w:type="dxa"/>
          </w:tcPr>
          <w:p w:rsidR="002F26AD" w:rsidRDefault="002F26AD">
            <w:pPr>
              <w:jc w:val="center"/>
            </w:pPr>
            <w:r>
              <w:t>1 / 1</w:t>
            </w:r>
          </w:p>
        </w:tc>
        <w:tc>
          <w:tcPr>
            <w:tcW w:w="1530" w:type="dxa"/>
          </w:tcPr>
          <w:p w:rsidR="002F26AD" w:rsidRDefault="002F26AD">
            <w:pPr>
              <w:jc w:val="center"/>
            </w:pPr>
            <w:r>
              <w:t>45</w:t>
            </w:r>
          </w:p>
        </w:tc>
        <w:tc>
          <w:tcPr>
            <w:tcW w:w="1710" w:type="dxa"/>
          </w:tcPr>
          <w:p w:rsidR="002F26AD" w:rsidRDefault="002F26AD">
            <w:pPr>
              <w:jc w:val="center"/>
            </w:pPr>
            <w:r>
              <w:t>N</w:t>
            </w:r>
          </w:p>
        </w:tc>
        <w:tc>
          <w:tcPr>
            <w:tcW w:w="5130" w:type="dxa"/>
            <w:gridSpan w:val="3"/>
            <w:shd w:val="pct5" w:color="auto" w:fill="FFFFFF"/>
          </w:tcPr>
          <w:p w:rsidR="002F26AD" w:rsidRDefault="002F26AD">
            <w:pPr>
              <w:jc w:val="center"/>
            </w:pPr>
          </w:p>
        </w:tc>
      </w:tr>
      <w:tr w:rsidR="002F26AD">
        <w:tblPrEx>
          <w:tblCellMar>
            <w:top w:w="0" w:type="dxa"/>
            <w:bottom w:w="0" w:type="dxa"/>
          </w:tblCellMar>
        </w:tblPrEx>
        <w:trPr>
          <w:cantSplit/>
          <w:trHeight w:val="350"/>
          <w:jc w:val="center"/>
        </w:trPr>
        <w:tc>
          <w:tcPr>
            <w:tcW w:w="1368" w:type="dxa"/>
          </w:tcPr>
          <w:p w:rsidR="002F26AD" w:rsidRDefault="002F26AD">
            <w:pPr>
              <w:jc w:val="center"/>
            </w:pPr>
            <w:r>
              <w:t>2 / 1.5</w:t>
            </w:r>
          </w:p>
        </w:tc>
        <w:tc>
          <w:tcPr>
            <w:tcW w:w="1530" w:type="dxa"/>
          </w:tcPr>
          <w:p w:rsidR="002F26AD" w:rsidRDefault="002F26AD">
            <w:pPr>
              <w:jc w:val="center"/>
            </w:pPr>
            <w:r>
              <w:t>2</w:t>
            </w:r>
          </w:p>
        </w:tc>
        <w:tc>
          <w:tcPr>
            <w:tcW w:w="1710" w:type="dxa"/>
          </w:tcPr>
          <w:p w:rsidR="002F26AD" w:rsidRDefault="002F26AD">
            <w:pPr>
              <w:jc w:val="center"/>
            </w:pPr>
            <w:r>
              <w:t>N</w:t>
            </w:r>
          </w:p>
        </w:tc>
        <w:tc>
          <w:tcPr>
            <w:tcW w:w="5130" w:type="dxa"/>
            <w:gridSpan w:val="3"/>
            <w:shd w:val="pct5" w:color="auto" w:fill="FFFFFF"/>
          </w:tcPr>
          <w:p w:rsidR="002F26AD" w:rsidRDefault="002F26AD">
            <w:pPr>
              <w:jc w:val="center"/>
            </w:pPr>
          </w:p>
        </w:tc>
      </w:tr>
    </w:tbl>
    <w:p w:rsidR="002F26AD" w:rsidRDefault="002F26AD">
      <w:pPr>
        <w:pStyle w:val="Heading4"/>
        <w:pBdr>
          <w:top w:val="none" w:sz="0" w:space="0" w:color="auto"/>
          <w:left w:val="none" w:sz="0" w:space="0" w:color="auto"/>
          <w:bottom w:val="none" w:sz="0" w:space="0" w:color="auto"/>
          <w:right w:val="none" w:sz="0" w:space="0" w:color="auto"/>
        </w:pBdr>
        <w:ind w:left="270"/>
        <w:rPr>
          <w:sz w:val="24"/>
        </w:rPr>
      </w:pPr>
    </w:p>
    <w:p w:rsidR="002F26AD" w:rsidRDefault="002F26AD">
      <w:pPr>
        <w:pStyle w:val="Heading4"/>
        <w:pBdr>
          <w:top w:val="none" w:sz="0" w:space="0" w:color="auto"/>
          <w:left w:val="none" w:sz="0" w:space="0" w:color="auto"/>
          <w:bottom w:val="none" w:sz="0" w:space="0" w:color="auto"/>
          <w:right w:val="none" w:sz="0" w:space="0" w:color="auto"/>
        </w:pBdr>
        <w:ind w:left="270"/>
        <w:jc w:val="left"/>
        <w:rPr>
          <w:sz w:val="24"/>
        </w:rPr>
      </w:pPr>
      <w:r>
        <w:rPr>
          <w:b/>
          <w:sz w:val="24"/>
        </w:rPr>
        <w:t>Total Units</w:t>
      </w:r>
      <w:r>
        <w:rPr>
          <w:sz w:val="24"/>
        </w:rPr>
        <w:t>:  50</w:t>
      </w:r>
      <w:r>
        <w:rPr>
          <w:sz w:val="24"/>
        </w:rPr>
        <w:tab/>
      </w:r>
      <w:r>
        <w:rPr>
          <w:sz w:val="24"/>
        </w:rPr>
        <w:tab/>
      </w:r>
      <w:r>
        <w:rPr>
          <w:sz w:val="24"/>
        </w:rPr>
        <w:tab/>
      </w:r>
      <w:r>
        <w:rPr>
          <w:sz w:val="24"/>
        </w:rPr>
        <w:tab/>
      </w:r>
      <w:r>
        <w:rPr>
          <w:sz w:val="24"/>
        </w:rPr>
        <w:tab/>
      </w:r>
      <w:r>
        <w:rPr>
          <w:sz w:val="24"/>
        </w:rPr>
        <w:tab/>
      </w:r>
      <w:r>
        <w:rPr>
          <w:sz w:val="24"/>
        </w:rPr>
        <w:tab/>
      </w:r>
      <w:r>
        <w:rPr>
          <w:b/>
          <w:sz w:val="24"/>
        </w:rPr>
        <w:t>Project Occupancy</w:t>
      </w:r>
      <w:r>
        <w:rPr>
          <w:sz w:val="24"/>
        </w:rPr>
        <w:t>:   93%</w:t>
      </w:r>
    </w:p>
    <w:p w:rsidR="002F26AD" w:rsidRDefault="002F26AD">
      <w:pPr>
        <w:pStyle w:val="Header"/>
        <w:tabs>
          <w:tab w:val="clear" w:pos="4320"/>
          <w:tab w:val="clear" w:pos="8640"/>
        </w:tabs>
      </w:pPr>
    </w:p>
    <w:p w:rsidR="002F26AD" w:rsidRDefault="002F26AD">
      <w:pPr>
        <w:ind w:firstLine="270"/>
      </w:pPr>
      <w:r>
        <w:rPr>
          <w:b/>
        </w:rPr>
        <w:t>Charges in Addition to Rent</w:t>
      </w:r>
      <w:r>
        <w:t>:  Garage parking available for $55</w:t>
      </w:r>
    </w:p>
    <w:p w:rsidR="002F26AD" w:rsidRDefault="002F26AD">
      <w:pPr>
        <w:ind w:firstLine="270"/>
        <w:rPr>
          <w:b/>
        </w:rPr>
      </w:pPr>
    </w:p>
    <w:p w:rsidR="002F26AD" w:rsidRDefault="002F26AD">
      <w:pPr>
        <w:ind w:firstLine="270"/>
      </w:pPr>
      <w:r>
        <w:rPr>
          <w:b/>
        </w:rPr>
        <w:t>Subsidies and Restrictions at Project</w:t>
      </w:r>
      <w:r>
        <w:t>:  None</w:t>
      </w:r>
    </w:p>
    <w:p w:rsidR="002F26AD" w:rsidRDefault="002F26AD">
      <w:pPr>
        <w:ind w:firstLine="270"/>
      </w:pPr>
    </w:p>
    <w:p w:rsidR="002F26AD" w:rsidRDefault="002F26AD">
      <w:pPr>
        <w:ind w:firstLine="270"/>
      </w:pPr>
      <w:r>
        <w:rPr>
          <w:b/>
        </w:rPr>
        <w:t>Other Comments</w:t>
      </w:r>
      <w:r>
        <w:t>:   Elderly project</w:t>
      </w:r>
    </w:p>
    <w:p w:rsidR="002F26AD" w:rsidRDefault="002F26AD">
      <w:r>
        <w:tab/>
      </w:r>
    </w:p>
    <w:p w:rsidR="002F26AD" w:rsidRDefault="002F26AD">
      <w:pPr>
        <w:ind w:firstLine="270"/>
      </w:pPr>
      <w:r>
        <w:rPr>
          <w:b/>
        </w:rPr>
        <w:t>Date Information Verified</w:t>
      </w:r>
      <w:r>
        <w:t>: 3 / 22 / 00</w:t>
      </w:r>
    </w:p>
    <w:p w:rsidR="002F26AD" w:rsidRDefault="002F26AD">
      <w:pPr>
        <w:pStyle w:val="Title"/>
        <w:widowControl/>
      </w:pPr>
      <w:r>
        <w:rPr>
          <w:sz w:val="24"/>
        </w:rPr>
        <w:br w:type="page"/>
      </w:r>
      <w:r>
        <w:t>BCD Apartments</w:t>
      </w:r>
    </w:p>
    <w:p w:rsidR="002F26AD" w:rsidRDefault="002F26AD">
      <w:pPr>
        <w:pStyle w:val="Title"/>
        <w:widowControl/>
        <w:rPr>
          <w:b w:val="0"/>
        </w:rPr>
      </w:pPr>
      <w:r>
        <w:rPr>
          <w:b w:val="0"/>
        </w:rPr>
        <w:t>212 South Street</w:t>
      </w:r>
    </w:p>
    <w:p w:rsidR="002F26AD" w:rsidRDefault="002F26AD">
      <w:pPr>
        <w:pStyle w:val="Title"/>
        <w:widowControl/>
        <w:rPr>
          <w:b w:val="0"/>
        </w:rPr>
      </w:pPr>
      <w:r>
        <w:rPr>
          <w:b w:val="0"/>
        </w:rPr>
        <w:t>Smithville, ST  00012</w:t>
      </w:r>
    </w:p>
    <w:p w:rsidR="002F26AD" w:rsidRDefault="002F26AD">
      <w:pPr>
        <w:jc w:val="center"/>
        <w:rPr>
          <w:sz w:val="28"/>
        </w:rPr>
      </w:pP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r>
        <w:rPr>
          <w:b w:val="0"/>
          <w:i w:val="0"/>
          <w:sz w:val="24"/>
        </w:rPr>
        <w:t xml:space="preserve">Management Agent:  </w:t>
      </w:r>
      <w:r>
        <w:rPr>
          <w:i w:val="0"/>
          <w:sz w:val="24"/>
        </w:rPr>
        <w:t>ABC Management</w:t>
      </w:r>
      <w:r>
        <w:rPr>
          <w:b w:val="0"/>
          <w:i w:val="0"/>
          <w:sz w:val="24"/>
        </w:rPr>
        <w:tab/>
      </w:r>
      <w:r>
        <w:rPr>
          <w:b w:val="0"/>
          <w:i w:val="0"/>
          <w:sz w:val="24"/>
        </w:rPr>
        <w:tab/>
      </w:r>
      <w:r>
        <w:rPr>
          <w:b w:val="0"/>
          <w:i w:val="0"/>
          <w:sz w:val="24"/>
        </w:rPr>
        <w:tab/>
        <w:t xml:space="preserve">County:  </w:t>
      </w:r>
      <w:r>
        <w:rPr>
          <w:i w:val="0"/>
          <w:sz w:val="24"/>
        </w:rPr>
        <w:t>Gloucester</w:t>
      </w: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r>
        <w:rPr>
          <w:b w:val="0"/>
          <w:i w:val="0"/>
          <w:sz w:val="24"/>
        </w:rPr>
        <w:t xml:space="preserve">Contact:  </w:t>
      </w:r>
      <w:r>
        <w:rPr>
          <w:i w:val="0"/>
          <w:sz w:val="24"/>
        </w:rPr>
        <w:t>Betty Smith</w:t>
      </w:r>
      <w:r>
        <w:rPr>
          <w:b w:val="0"/>
          <w:i w:val="0"/>
          <w:sz w:val="24"/>
        </w:rPr>
        <w:tab/>
      </w:r>
      <w:r>
        <w:rPr>
          <w:b w:val="0"/>
          <w:i w:val="0"/>
          <w:sz w:val="24"/>
        </w:rPr>
        <w:tab/>
      </w:r>
      <w:r>
        <w:rPr>
          <w:b w:val="0"/>
          <w:i w:val="0"/>
          <w:sz w:val="24"/>
        </w:rPr>
        <w:tab/>
      </w:r>
      <w:r>
        <w:rPr>
          <w:b w:val="0"/>
          <w:i w:val="0"/>
          <w:sz w:val="24"/>
        </w:rPr>
        <w:tab/>
      </w:r>
      <w:r>
        <w:rPr>
          <w:b w:val="0"/>
          <w:i w:val="0"/>
          <w:sz w:val="24"/>
        </w:rPr>
        <w:tab/>
      </w:r>
      <w:r>
        <w:rPr>
          <w:b w:val="0"/>
          <w:i w:val="0"/>
          <w:sz w:val="24"/>
        </w:rPr>
        <w:tab/>
        <w:t xml:space="preserve">Cross Street:  </w:t>
      </w:r>
      <w:r>
        <w:rPr>
          <w:i w:val="0"/>
          <w:sz w:val="24"/>
        </w:rPr>
        <w:t>South and Main Street</w:t>
      </w: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r>
        <w:rPr>
          <w:b w:val="0"/>
          <w:i w:val="0"/>
          <w:sz w:val="24"/>
        </w:rPr>
        <w:t xml:space="preserve">Contact Phone:  </w:t>
      </w:r>
      <w:r>
        <w:rPr>
          <w:i w:val="0"/>
          <w:sz w:val="24"/>
        </w:rPr>
        <w:t>(000) 555-6666</w:t>
      </w:r>
      <w:r>
        <w:rPr>
          <w:b w:val="0"/>
          <w:i w:val="0"/>
          <w:sz w:val="24"/>
        </w:rPr>
        <w:tab/>
      </w:r>
      <w:r>
        <w:rPr>
          <w:b w:val="0"/>
          <w:i w:val="0"/>
          <w:sz w:val="24"/>
        </w:rPr>
        <w:tab/>
      </w:r>
      <w:r>
        <w:rPr>
          <w:b w:val="0"/>
          <w:i w:val="0"/>
          <w:sz w:val="24"/>
        </w:rPr>
        <w:tab/>
      </w:r>
      <w:r>
        <w:rPr>
          <w:b w:val="0"/>
          <w:i w:val="0"/>
          <w:sz w:val="24"/>
        </w:rPr>
        <w:tab/>
        <w:t xml:space="preserve">Neighborhood:  </w:t>
      </w:r>
      <w:r>
        <w:rPr>
          <w:i w:val="0"/>
          <w:sz w:val="24"/>
        </w:rPr>
        <w:t>Highlands</w:t>
      </w: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p>
    <w:p w:rsidR="002F26AD" w:rsidRDefault="002F26AD">
      <w:pPr>
        <w:jc w:val="center"/>
      </w:pPr>
    </w:p>
    <w:p w:rsidR="002F26AD" w:rsidRDefault="002F26AD">
      <w:pPr>
        <w:jc w:val="center"/>
      </w:pPr>
      <w:r>
        <w:rPr>
          <w:sz w:val="20"/>
        </w:rPr>
        <w:pict>
          <v:shape id="_x0000_i1028" type="#_x0000_t75" style="width:345pt;height:191.25pt">
            <v:imagedata r:id="rId13" o:title=""/>
          </v:shape>
        </w:pict>
      </w:r>
    </w:p>
    <w:p w:rsidR="002F26AD" w:rsidRDefault="002F26AD">
      <w:pPr>
        <w:jc w:val="center"/>
      </w:pPr>
    </w:p>
    <w:p w:rsidR="002F26AD" w:rsidRDefault="002F26AD">
      <w:pPr>
        <w:jc w:val="center"/>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0"/>
        <w:gridCol w:w="1521"/>
        <w:gridCol w:w="1719"/>
        <w:gridCol w:w="1710"/>
        <w:gridCol w:w="1530"/>
        <w:gridCol w:w="1890"/>
      </w:tblGrid>
      <w:tr w:rsidR="002F26AD">
        <w:tblPrEx>
          <w:tblCellMar>
            <w:top w:w="0" w:type="dxa"/>
            <w:bottom w:w="0" w:type="dxa"/>
          </w:tblCellMar>
        </w:tblPrEx>
        <w:trPr>
          <w:trHeight w:val="377"/>
          <w:tblHeader/>
          <w:jc w:val="center"/>
        </w:trPr>
        <w:tc>
          <w:tcPr>
            <w:tcW w:w="1368" w:type="dxa"/>
            <w:tcBorders>
              <w:bottom w:val="double" w:sz="6" w:space="0" w:color="auto"/>
            </w:tcBorders>
            <w:shd w:val="pct10" w:color="auto" w:fill="FFFFFF"/>
          </w:tcPr>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 xml:space="preserve">Unit </w:t>
            </w:r>
          </w:p>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Type</w:t>
            </w:r>
          </w:p>
        </w:tc>
        <w:tc>
          <w:tcPr>
            <w:tcW w:w="1521" w:type="dxa"/>
            <w:tcBorders>
              <w:bottom w:val="double" w:sz="6" w:space="0" w:color="auto"/>
            </w:tcBorders>
            <w:shd w:val="pct10" w:color="auto" w:fill="FFFFFF"/>
          </w:tcPr>
          <w:p w:rsidR="002F26AD" w:rsidRDefault="002F26AD">
            <w:pPr>
              <w:jc w:val="center"/>
              <w:rPr>
                <w:b/>
              </w:rPr>
            </w:pPr>
            <w:r>
              <w:rPr>
                <w:b/>
              </w:rPr>
              <w:t xml:space="preserve">No. of </w:t>
            </w:r>
          </w:p>
          <w:p w:rsidR="002F26AD" w:rsidRDefault="002F26AD">
            <w:pPr>
              <w:jc w:val="center"/>
              <w:rPr>
                <w:b/>
              </w:rPr>
            </w:pPr>
            <w:r>
              <w:rPr>
                <w:b/>
              </w:rPr>
              <w:t>Units</w:t>
            </w:r>
          </w:p>
        </w:tc>
        <w:tc>
          <w:tcPr>
            <w:tcW w:w="1719" w:type="dxa"/>
            <w:tcBorders>
              <w:bottom w:val="double" w:sz="6" w:space="0" w:color="auto"/>
            </w:tcBorders>
            <w:shd w:val="pct10" w:color="auto" w:fill="FFFFFF"/>
          </w:tcPr>
          <w:p w:rsidR="002F26AD" w:rsidRDefault="002F26AD">
            <w:pPr>
              <w:jc w:val="center"/>
              <w:rPr>
                <w:b/>
              </w:rPr>
            </w:pPr>
            <w:r>
              <w:rPr>
                <w:b/>
              </w:rPr>
              <w:t>Used as Comp in RCS?</w:t>
            </w:r>
          </w:p>
          <w:p w:rsidR="002F26AD" w:rsidRDefault="002F26AD">
            <w:pPr>
              <w:jc w:val="center"/>
            </w:pPr>
            <w:r>
              <w:t>(Y/N)</w:t>
            </w:r>
          </w:p>
        </w:tc>
        <w:tc>
          <w:tcPr>
            <w:tcW w:w="1710" w:type="dxa"/>
            <w:tcBorders>
              <w:bottom w:val="double" w:sz="6" w:space="0" w:color="auto"/>
            </w:tcBorders>
            <w:shd w:val="pct10" w:color="auto" w:fill="FFFFFF"/>
          </w:tcPr>
          <w:p w:rsidR="002F26AD" w:rsidRDefault="002F26AD">
            <w:pPr>
              <w:jc w:val="center"/>
              <w:rPr>
                <w:b/>
              </w:rPr>
            </w:pPr>
            <w:r>
              <w:rPr>
                <w:b/>
              </w:rPr>
              <w:t>Average</w:t>
            </w:r>
          </w:p>
          <w:p w:rsidR="002F26AD" w:rsidRDefault="002F26AD">
            <w:pPr>
              <w:jc w:val="center"/>
              <w:rPr>
                <w:b/>
              </w:rPr>
            </w:pPr>
            <w:r>
              <w:rPr>
                <w:b/>
              </w:rPr>
              <w:t>Rent</w:t>
            </w:r>
          </w:p>
        </w:tc>
        <w:tc>
          <w:tcPr>
            <w:tcW w:w="1530" w:type="dxa"/>
            <w:tcBorders>
              <w:bottom w:val="double" w:sz="6" w:space="0" w:color="auto"/>
            </w:tcBorders>
            <w:shd w:val="pct10" w:color="auto" w:fill="FFFFFF"/>
          </w:tcPr>
          <w:p w:rsidR="002F26AD" w:rsidRDefault="002F26AD">
            <w:pPr>
              <w:jc w:val="center"/>
              <w:rPr>
                <w:b/>
              </w:rPr>
            </w:pPr>
            <w:r>
              <w:rPr>
                <w:b/>
              </w:rPr>
              <w:t>Interior</w:t>
            </w:r>
          </w:p>
          <w:p w:rsidR="002F26AD" w:rsidRDefault="002F26AD">
            <w:pPr>
              <w:jc w:val="center"/>
              <w:rPr>
                <w:b/>
              </w:rPr>
            </w:pPr>
            <w:r>
              <w:rPr>
                <w:b/>
              </w:rPr>
              <w:t>Size</w:t>
            </w:r>
          </w:p>
          <w:p w:rsidR="002F26AD" w:rsidRDefault="002F26AD">
            <w:pPr>
              <w:jc w:val="center"/>
            </w:pPr>
            <w:r>
              <w:t>(SF)</w:t>
            </w:r>
          </w:p>
        </w:tc>
        <w:tc>
          <w:tcPr>
            <w:tcW w:w="1890" w:type="dxa"/>
            <w:tcBorders>
              <w:bottom w:val="double" w:sz="6" w:space="0" w:color="auto"/>
            </w:tcBorders>
            <w:shd w:val="pct10" w:color="auto" w:fill="FFFFFF"/>
          </w:tcPr>
          <w:p w:rsidR="002F26AD" w:rsidRDefault="002F26AD">
            <w:pPr>
              <w:jc w:val="center"/>
              <w:rPr>
                <w:b/>
              </w:rPr>
            </w:pPr>
            <w:r>
              <w:rPr>
                <w:b/>
              </w:rPr>
              <w:t>Any Rent Restrictions?</w:t>
            </w:r>
          </w:p>
          <w:p w:rsidR="002F26AD" w:rsidRDefault="002F26AD">
            <w:pPr>
              <w:jc w:val="center"/>
            </w:pPr>
            <w:r>
              <w:t>(Y/N)</w:t>
            </w:r>
          </w:p>
        </w:tc>
      </w:tr>
      <w:tr w:rsidR="002F26AD">
        <w:tblPrEx>
          <w:tblCellMar>
            <w:top w:w="0" w:type="dxa"/>
            <w:bottom w:w="0" w:type="dxa"/>
          </w:tblCellMar>
        </w:tblPrEx>
        <w:trPr>
          <w:trHeight w:val="339"/>
          <w:jc w:val="center"/>
        </w:trPr>
        <w:tc>
          <w:tcPr>
            <w:tcW w:w="1368" w:type="dxa"/>
            <w:tcBorders>
              <w:top w:val="nil"/>
            </w:tcBorders>
          </w:tcPr>
          <w:p w:rsidR="002F26AD" w:rsidRDefault="002F26AD">
            <w:pPr>
              <w:jc w:val="center"/>
            </w:pPr>
            <w:r>
              <w:t>0 / 1</w:t>
            </w:r>
          </w:p>
        </w:tc>
        <w:tc>
          <w:tcPr>
            <w:tcW w:w="1521" w:type="dxa"/>
            <w:tcBorders>
              <w:top w:val="nil"/>
            </w:tcBorders>
          </w:tcPr>
          <w:p w:rsidR="002F26AD" w:rsidRDefault="002F26AD">
            <w:pPr>
              <w:jc w:val="center"/>
            </w:pPr>
            <w:r>
              <w:t>25</w:t>
            </w:r>
          </w:p>
        </w:tc>
        <w:tc>
          <w:tcPr>
            <w:tcW w:w="1719" w:type="dxa"/>
            <w:tcBorders>
              <w:top w:val="nil"/>
            </w:tcBorders>
          </w:tcPr>
          <w:p w:rsidR="002F26AD" w:rsidRDefault="002F26AD">
            <w:pPr>
              <w:jc w:val="center"/>
            </w:pPr>
            <w:r>
              <w:t>Y</w:t>
            </w:r>
          </w:p>
        </w:tc>
        <w:tc>
          <w:tcPr>
            <w:tcW w:w="1710" w:type="dxa"/>
            <w:tcBorders>
              <w:top w:val="nil"/>
              <w:bottom w:val="nil"/>
            </w:tcBorders>
          </w:tcPr>
          <w:p w:rsidR="002F26AD" w:rsidRDefault="002F26AD">
            <w:pPr>
              <w:jc w:val="center"/>
            </w:pPr>
            <w:r>
              <w:t>$500</w:t>
            </w:r>
          </w:p>
        </w:tc>
        <w:tc>
          <w:tcPr>
            <w:tcW w:w="1530" w:type="dxa"/>
            <w:tcBorders>
              <w:top w:val="nil"/>
              <w:bottom w:val="nil"/>
            </w:tcBorders>
          </w:tcPr>
          <w:p w:rsidR="002F26AD" w:rsidRDefault="002F26AD">
            <w:pPr>
              <w:jc w:val="center"/>
            </w:pPr>
            <w:r>
              <w:t>550</w:t>
            </w:r>
          </w:p>
        </w:tc>
        <w:tc>
          <w:tcPr>
            <w:tcW w:w="1890" w:type="dxa"/>
            <w:tcBorders>
              <w:top w:val="nil"/>
              <w:bottom w:val="nil"/>
            </w:tcBorders>
          </w:tcPr>
          <w:p w:rsidR="002F26AD" w:rsidRDefault="002F26AD">
            <w:pPr>
              <w:jc w:val="center"/>
            </w:pPr>
            <w:r>
              <w:t>N</w:t>
            </w:r>
          </w:p>
        </w:tc>
      </w:tr>
      <w:tr w:rsidR="002F26AD">
        <w:tblPrEx>
          <w:tblCellMar>
            <w:top w:w="0" w:type="dxa"/>
            <w:bottom w:w="0" w:type="dxa"/>
          </w:tblCellMar>
        </w:tblPrEx>
        <w:trPr>
          <w:cantSplit/>
          <w:trHeight w:val="359"/>
          <w:jc w:val="center"/>
        </w:trPr>
        <w:tc>
          <w:tcPr>
            <w:tcW w:w="1368" w:type="dxa"/>
          </w:tcPr>
          <w:p w:rsidR="002F26AD" w:rsidRDefault="002F26AD">
            <w:pPr>
              <w:jc w:val="center"/>
            </w:pPr>
            <w:r>
              <w:t>1 / 1</w:t>
            </w:r>
          </w:p>
        </w:tc>
        <w:tc>
          <w:tcPr>
            <w:tcW w:w="1521" w:type="dxa"/>
          </w:tcPr>
          <w:p w:rsidR="002F26AD" w:rsidRDefault="002F26AD">
            <w:pPr>
              <w:jc w:val="center"/>
            </w:pPr>
            <w:r>
              <w:t>25</w:t>
            </w:r>
          </w:p>
        </w:tc>
        <w:tc>
          <w:tcPr>
            <w:tcW w:w="1719" w:type="dxa"/>
          </w:tcPr>
          <w:p w:rsidR="002F26AD" w:rsidRDefault="002F26AD">
            <w:pPr>
              <w:jc w:val="center"/>
            </w:pPr>
            <w:r>
              <w:t>N</w:t>
            </w:r>
          </w:p>
        </w:tc>
        <w:tc>
          <w:tcPr>
            <w:tcW w:w="5130" w:type="dxa"/>
            <w:gridSpan w:val="3"/>
            <w:shd w:val="pct5" w:color="auto" w:fill="FFFFFF"/>
          </w:tcPr>
          <w:p w:rsidR="002F26AD" w:rsidRDefault="002F26AD">
            <w:pPr>
              <w:jc w:val="center"/>
            </w:pPr>
          </w:p>
        </w:tc>
      </w:tr>
    </w:tbl>
    <w:p w:rsidR="002F26AD" w:rsidRDefault="002F26AD">
      <w:pPr>
        <w:pStyle w:val="Heading4"/>
        <w:pBdr>
          <w:top w:val="none" w:sz="0" w:space="0" w:color="auto"/>
          <w:left w:val="none" w:sz="0" w:space="0" w:color="auto"/>
          <w:bottom w:val="none" w:sz="0" w:space="0" w:color="auto"/>
          <w:right w:val="none" w:sz="0" w:space="0" w:color="auto"/>
        </w:pBdr>
        <w:ind w:left="270"/>
        <w:rPr>
          <w:sz w:val="24"/>
        </w:rPr>
      </w:pPr>
    </w:p>
    <w:p w:rsidR="002F26AD" w:rsidRDefault="002F26AD">
      <w:pPr>
        <w:pStyle w:val="Heading4"/>
        <w:pBdr>
          <w:top w:val="none" w:sz="0" w:space="0" w:color="auto"/>
          <w:left w:val="none" w:sz="0" w:space="0" w:color="auto"/>
          <w:bottom w:val="none" w:sz="0" w:space="0" w:color="auto"/>
          <w:right w:val="none" w:sz="0" w:space="0" w:color="auto"/>
        </w:pBdr>
        <w:ind w:left="270"/>
        <w:jc w:val="left"/>
        <w:rPr>
          <w:sz w:val="24"/>
        </w:rPr>
      </w:pPr>
      <w:r>
        <w:rPr>
          <w:b/>
          <w:sz w:val="24"/>
        </w:rPr>
        <w:t>Total Units</w:t>
      </w:r>
      <w:r>
        <w:rPr>
          <w:sz w:val="24"/>
        </w:rPr>
        <w:t>:   50</w:t>
      </w:r>
      <w:r>
        <w:rPr>
          <w:sz w:val="24"/>
        </w:rPr>
        <w:tab/>
      </w:r>
      <w:r>
        <w:rPr>
          <w:sz w:val="24"/>
        </w:rPr>
        <w:tab/>
      </w:r>
      <w:r>
        <w:rPr>
          <w:sz w:val="24"/>
        </w:rPr>
        <w:tab/>
      </w:r>
      <w:r>
        <w:rPr>
          <w:sz w:val="24"/>
        </w:rPr>
        <w:tab/>
      </w:r>
      <w:r>
        <w:rPr>
          <w:sz w:val="24"/>
        </w:rPr>
        <w:tab/>
      </w:r>
      <w:r>
        <w:rPr>
          <w:sz w:val="24"/>
        </w:rPr>
        <w:tab/>
      </w:r>
      <w:r>
        <w:rPr>
          <w:sz w:val="24"/>
        </w:rPr>
        <w:tab/>
      </w:r>
      <w:r>
        <w:rPr>
          <w:b/>
          <w:sz w:val="24"/>
        </w:rPr>
        <w:t>Project Occupancy</w:t>
      </w:r>
      <w:r>
        <w:rPr>
          <w:sz w:val="24"/>
        </w:rPr>
        <w:t>:  93%</w:t>
      </w:r>
    </w:p>
    <w:p w:rsidR="002F26AD" w:rsidRDefault="002F26AD"/>
    <w:p w:rsidR="002F26AD" w:rsidRDefault="002F26AD">
      <w:pPr>
        <w:ind w:firstLine="270"/>
      </w:pPr>
      <w:r>
        <w:rPr>
          <w:b/>
        </w:rPr>
        <w:t>Charges in Addition to Rent</w:t>
      </w:r>
      <w:r>
        <w:t xml:space="preserve">:  </w:t>
      </w:r>
    </w:p>
    <w:p w:rsidR="002F26AD" w:rsidRDefault="002F26AD">
      <w:pPr>
        <w:ind w:firstLine="270"/>
        <w:rPr>
          <w:b/>
        </w:rPr>
      </w:pPr>
    </w:p>
    <w:p w:rsidR="002F26AD" w:rsidRDefault="002F26AD">
      <w:pPr>
        <w:ind w:firstLine="270"/>
      </w:pPr>
      <w:r>
        <w:rPr>
          <w:b/>
        </w:rPr>
        <w:t>Subsidies and Restrictions at Project</w:t>
      </w:r>
      <w:r>
        <w:t>:  None</w:t>
      </w:r>
    </w:p>
    <w:p w:rsidR="002F26AD" w:rsidRDefault="002F26AD">
      <w:pPr>
        <w:ind w:firstLine="270"/>
      </w:pPr>
    </w:p>
    <w:p w:rsidR="002F26AD" w:rsidRDefault="002F26AD">
      <w:pPr>
        <w:ind w:firstLine="270"/>
      </w:pPr>
      <w:r>
        <w:rPr>
          <w:b/>
        </w:rPr>
        <w:t>Other Comments</w:t>
      </w:r>
      <w:r>
        <w:t xml:space="preserve">:  </w:t>
      </w:r>
    </w:p>
    <w:p w:rsidR="002F26AD" w:rsidRDefault="002F26AD">
      <w:r>
        <w:tab/>
      </w:r>
    </w:p>
    <w:p w:rsidR="002F26AD" w:rsidRDefault="002F26AD">
      <w:pPr>
        <w:ind w:firstLine="270"/>
      </w:pPr>
      <w:r>
        <w:rPr>
          <w:b/>
        </w:rPr>
        <w:t>Date Information Verified</w:t>
      </w:r>
      <w:r>
        <w:t>:   3 / 18 / 00</w:t>
      </w:r>
    </w:p>
    <w:p w:rsidR="002F26AD" w:rsidRDefault="002F26AD">
      <w:pPr>
        <w:pStyle w:val="Title"/>
        <w:widowControl/>
      </w:pPr>
      <w:r>
        <w:rPr>
          <w:sz w:val="24"/>
        </w:rPr>
        <w:br w:type="page"/>
      </w:r>
      <w:r>
        <w:t>Holland Apartments</w:t>
      </w:r>
    </w:p>
    <w:p w:rsidR="002F26AD" w:rsidRDefault="002F26AD">
      <w:pPr>
        <w:pStyle w:val="Subtitle"/>
        <w:widowControl/>
        <w:rPr>
          <w:sz w:val="28"/>
        </w:rPr>
      </w:pPr>
      <w:r>
        <w:rPr>
          <w:sz w:val="28"/>
        </w:rPr>
        <w:t>117 South Street</w:t>
      </w:r>
    </w:p>
    <w:p w:rsidR="002F26AD" w:rsidRDefault="002F26AD">
      <w:pPr>
        <w:pStyle w:val="Heading1"/>
        <w:pBdr>
          <w:top w:val="none" w:sz="0" w:space="0" w:color="auto"/>
          <w:left w:val="none" w:sz="0" w:space="0" w:color="auto"/>
          <w:bottom w:val="none" w:sz="0" w:space="0" w:color="auto"/>
          <w:right w:val="none" w:sz="0" w:space="0" w:color="auto"/>
        </w:pBdr>
        <w:rPr>
          <w:b w:val="0"/>
          <w:i w:val="0"/>
          <w:sz w:val="28"/>
        </w:rPr>
      </w:pPr>
      <w:r>
        <w:rPr>
          <w:b w:val="0"/>
          <w:i w:val="0"/>
          <w:sz w:val="28"/>
        </w:rPr>
        <w:t>Smithville, ST  00012</w:t>
      </w:r>
    </w:p>
    <w:p w:rsidR="002F26AD" w:rsidRDefault="002F26AD">
      <w:pPr>
        <w:jc w:val="center"/>
        <w:rPr>
          <w:sz w:val="28"/>
        </w:rPr>
      </w:pP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r>
        <w:rPr>
          <w:b w:val="0"/>
          <w:i w:val="0"/>
          <w:sz w:val="24"/>
        </w:rPr>
        <w:t xml:space="preserve">Management Agent:  </w:t>
      </w:r>
      <w:r>
        <w:rPr>
          <w:i w:val="0"/>
          <w:sz w:val="24"/>
        </w:rPr>
        <w:t>XXX Management</w:t>
      </w:r>
      <w:r>
        <w:rPr>
          <w:b w:val="0"/>
          <w:i w:val="0"/>
          <w:sz w:val="24"/>
        </w:rPr>
        <w:tab/>
      </w:r>
      <w:r>
        <w:rPr>
          <w:b w:val="0"/>
          <w:i w:val="0"/>
          <w:sz w:val="24"/>
        </w:rPr>
        <w:tab/>
        <w:t xml:space="preserve">County:  </w:t>
      </w:r>
      <w:r>
        <w:rPr>
          <w:i w:val="0"/>
          <w:sz w:val="24"/>
        </w:rPr>
        <w:t>Gloucester</w:t>
      </w: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r>
        <w:rPr>
          <w:b w:val="0"/>
          <w:i w:val="0"/>
          <w:sz w:val="24"/>
        </w:rPr>
        <w:t xml:space="preserve">Contact:  </w:t>
      </w:r>
      <w:r>
        <w:rPr>
          <w:i w:val="0"/>
          <w:sz w:val="24"/>
        </w:rPr>
        <w:t>Ira Menzer</w:t>
      </w:r>
      <w:r>
        <w:rPr>
          <w:b w:val="0"/>
          <w:i w:val="0"/>
          <w:sz w:val="24"/>
        </w:rPr>
        <w:tab/>
      </w:r>
      <w:r>
        <w:rPr>
          <w:b w:val="0"/>
          <w:i w:val="0"/>
          <w:sz w:val="24"/>
        </w:rPr>
        <w:tab/>
      </w:r>
      <w:r>
        <w:rPr>
          <w:b w:val="0"/>
          <w:i w:val="0"/>
          <w:sz w:val="24"/>
        </w:rPr>
        <w:tab/>
      </w:r>
      <w:r>
        <w:rPr>
          <w:b w:val="0"/>
          <w:i w:val="0"/>
          <w:sz w:val="24"/>
        </w:rPr>
        <w:tab/>
      </w:r>
      <w:r>
        <w:rPr>
          <w:b w:val="0"/>
          <w:i w:val="0"/>
          <w:sz w:val="24"/>
        </w:rPr>
        <w:tab/>
        <w:t xml:space="preserve">Cross Street:  </w:t>
      </w:r>
      <w:r>
        <w:rPr>
          <w:i w:val="0"/>
          <w:sz w:val="24"/>
        </w:rPr>
        <w:t>Broad and Marginal Way</w:t>
      </w:r>
    </w:p>
    <w:p w:rsidR="002F26AD" w:rsidRDefault="002F26AD">
      <w:pPr>
        <w:pStyle w:val="Heading2"/>
        <w:pBdr>
          <w:top w:val="none" w:sz="0" w:space="0" w:color="auto"/>
          <w:left w:val="none" w:sz="0" w:space="0" w:color="auto"/>
          <w:bottom w:val="none" w:sz="0" w:space="0" w:color="auto"/>
          <w:right w:val="none" w:sz="0" w:space="0" w:color="auto"/>
        </w:pBdr>
        <w:jc w:val="left"/>
        <w:rPr>
          <w:b w:val="0"/>
          <w:i w:val="0"/>
          <w:sz w:val="24"/>
        </w:rPr>
      </w:pPr>
      <w:r>
        <w:rPr>
          <w:b w:val="0"/>
          <w:i w:val="0"/>
          <w:sz w:val="24"/>
        </w:rPr>
        <w:t xml:space="preserve">Contact Phone:  </w:t>
      </w:r>
      <w:r>
        <w:rPr>
          <w:i w:val="0"/>
          <w:sz w:val="24"/>
        </w:rPr>
        <w:t>(000) 555-4444</w:t>
      </w:r>
      <w:r>
        <w:rPr>
          <w:b w:val="0"/>
          <w:i w:val="0"/>
          <w:sz w:val="24"/>
        </w:rPr>
        <w:tab/>
      </w:r>
      <w:r>
        <w:rPr>
          <w:b w:val="0"/>
          <w:i w:val="0"/>
          <w:sz w:val="24"/>
        </w:rPr>
        <w:tab/>
      </w:r>
      <w:r>
        <w:rPr>
          <w:b w:val="0"/>
          <w:i w:val="0"/>
          <w:sz w:val="24"/>
        </w:rPr>
        <w:tab/>
        <w:t xml:space="preserve">Neighborhood:  </w:t>
      </w:r>
      <w:r>
        <w:rPr>
          <w:i w:val="0"/>
          <w:sz w:val="24"/>
        </w:rPr>
        <w:t>Mixed commercial &amp; residential</w:t>
      </w:r>
    </w:p>
    <w:p w:rsidR="002F26AD" w:rsidRDefault="002F26AD">
      <w:pPr>
        <w:jc w:val="left"/>
      </w:pPr>
    </w:p>
    <w:p w:rsidR="002F26AD" w:rsidRDefault="002F26AD">
      <w:pPr>
        <w:jc w:val="left"/>
      </w:pPr>
    </w:p>
    <w:p w:rsidR="002F26AD" w:rsidRDefault="002F26AD">
      <w:pPr>
        <w:jc w:val="center"/>
      </w:pPr>
      <w:r>
        <w:rPr>
          <w:sz w:val="20"/>
        </w:rPr>
        <w:pict>
          <v:shape id="_x0000_i1029" type="#_x0000_t75" style="width:336pt;height:194.25pt">
            <v:imagedata r:id="rId14" o:title=""/>
          </v:shape>
        </w:pict>
      </w:r>
    </w:p>
    <w:p w:rsidR="002F26AD" w:rsidRDefault="002F26AD">
      <w:pPr>
        <w:jc w:val="center"/>
      </w:pPr>
    </w:p>
    <w:p w:rsidR="002F26AD" w:rsidRDefault="002F26AD">
      <w:pPr>
        <w:jc w:val="center"/>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0"/>
        <w:gridCol w:w="1530"/>
        <w:gridCol w:w="1710"/>
        <w:gridCol w:w="1710"/>
        <w:gridCol w:w="1530"/>
        <w:gridCol w:w="1890"/>
      </w:tblGrid>
      <w:tr w:rsidR="002F26AD">
        <w:tblPrEx>
          <w:tblCellMar>
            <w:top w:w="0" w:type="dxa"/>
            <w:bottom w:w="0" w:type="dxa"/>
          </w:tblCellMar>
        </w:tblPrEx>
        <w:trPr>
          <w:trHeight w:val="377"/>
          <w:tblHeader/>
          <w:jc w:val="center"/>
        </w:trPr>
        <w:tc>
          <w:tcPr>
            <w:tcW w:w="1368" w:type="dxa"/>
            <w:tcBorders>
              <w:bottom w:val="double" w:sz="6" w:space="0" w:color="auto"/>
            </w:tcBorders>
            <w:shd w:val="pct10" w:color="auto" w:fill="FFFFFF"/>
          </w:tcPr>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 xml:space="preserve">Unit </w:t>
            </w:r>
          </w:p>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Type</w:t>
            </w:r>
          </w:p>
        </w:tc>
        <w:tc>
          <w:tcPr>
            <w:tcW w:w="1530" w:type="dxa"/>
            <w:tcBorders>
              <w:bottom w:val="double" w:sz="6" w:space="0" w:color="auto"/>
            </w:tcBorders>
            <w:shd w:val="pct10" w:color="auto" w:fill="FFFFFF"/>
          </w:tcPr>
          <w:p w:rsidR="002F26AD" w:rsidRDefault="002F26AD">
            <w:pPr>
              <w:jc w:val="center"/>
              <w:rPr>
                <w:b/>
              </w:rPr>
            </w:pPr>
            <w:r>
              <w:rPr>
                <w:b/>
              </w:rPr>
              <w:t xml:space="preserve">No. of </w:t>
            </w:r>
          </w:p>
          <w:p w:rsidR="002F26AD" w:rsidRDefault="002F26AD">
            <w:pPr>
              <w:jc w:val="center"/>
              <w:rPr>
                <w:b/>
              </w:rPr>
            </w:pPr>
            <w:r>
              <w:rPr>
                <w:b/>
              </w:rPr>
              <w:t>Units</w:t>
            </w:r>
          </w:p>
        </w:tc>
        <w:tc>
          <w:tcPr>
            <w:tcW w:w="1710" w:type="dxa"/>
            <w:tcBorders>
              <w:bottom w:val="double" w:sz="6" w:space="0" w:color="auto"/>
            </w:tcBorders>
            <w:shd w:val="pct10" w:color="auto" w:fill="FFFFFF"/>
          </w:tcPr>
          <w:p w:rsidR="002F26AD" w:rsidRDefault="002F26AD">
            <w:pPr>
              <w:jc w:val="center"/>
              <w:rPr>
                <w:b/>
              </w:rPr>
            </w:pPr>
            <w:r>
              <w:rPr>
                <w:b/>
              </w:rPr>
              <w:t>Used as Comp in RCS?</w:t>
            </w:r>
          </w:p>
          <w:p w:rsidR="002F26AD" w:rsidRDefault="002F26AD">
            <w:pPr>
              <w:jc w:val="center"/>
              <w:rPr>
                <w:b/>
              </w:rPr>
            </w:pPr>
            <w:r>
              <w:t>(Y/N)</w:t>
            </w:r>
          </w:p>
        </w:tc>
        <w:tc>
          <w:tcPr>
            <w:tcW w:w="1710" w:type="dxa"/>
            <w:tcBorders>
              <w:bottom w:val="double" w:sz="6" w:space="0" w:color="auto"/>
            </w:tcBorders>
            <w:shd w:val="pct10" w:color="auto" w:fill="FFFFFF"/>
          </w:tcPr>
          <w:p w:rsidR="002F26AD" w:rsidRDefault="002F26AD">
            <w:pPr>
              <w:jc w:val="center"/>
              <w:rPr>
                <w:b/>
              </w:rPr>
            </w:pPr>
            <w:r>
              <w:rPr>
                <w:b/>
              </w:rPr>
              <w:t>Average</w:t>
            </w:r>
          </w:p>
          <w:p w:rsidR="002F26AD" w:rsidRDefault="002F26AD">
            <w:pPr>
              <w:jc w:val="center"/>
              <w:rPr>
                <w:b/>
              </w:rPr>
            </w:pPr>
            <w:r>
              <w:rPr>
                <w:b/>
              </w:rPr>
              <w:t>Rent</w:t>
            </w:r>
          </w:p>
        </w:tc>
        <w:tc>
          <w:tcPr>
            <w:tcW w:w="1530" w:type="dxa"/>
            <w:tcBorders>
              <w:bottom w:val="double" w:sz="6" w:space="0" w:color="auto"/>
            </w:tcBorders>
            <w:shd w:val="pct10" w:color="auto" w:fill="FFFFFF"/>
          </w:tcPr>
          <w:p w:rsidR="002F26AD" w:rsidRDefault="002F26AD">
            <w:pPr>
              <w:jc w:val="center"/>
              <w:rPr>
                <w:b/>
              </w:rPr>
            </w:pPr>
            <w:r>
              <w:rPr>
                <w:b/>
              </w:rPr>
              <w:t>Interior</w:t>
            </w:r>
          </w:p>
          <w:p w:rsidR="002F26AD" w:rsidRDefault="002F26AD">
            <w:pPr>
              <w:jc w:val="center"/>
              <w:rPr>
                <w:b/>
              </w:rPr>
            </w:pPr>
            <w:r>
              <w:rPr>
                <w:b/>
              </w:rPr>
              <w:t xml:space="preserve">Size </w:t>
            </w:r>
          </w:p>
          <w:p w:rsidR="002F26AD" w:rsidRDefault="002F26AD">
            <w:pPr>
              <w:jc w:val="center"/>
            </w:pPr>
            <w:r>
              <w:t>(SF)</w:t>
            </w:r>
          </w:p>
        </w:tc>
        <w:tc>
          <w:tcPr>
            <w:tcW w:w="1890" w:type="dxa"/>
            <w:tcBorders>
              <w:bottom w:val="double" w:sz="6" w:space="0" w:color="auto"/>
            </w:tcBorders>
            <w:shd w:val="pct10" w:color="auto" w:fill="FFFFFF"/>
          </w:tcPr>
          <w:p w:rsidR="002F26AD" w:rsidRDefault="002F26AD">
            <w:pPr>
              <w:jc w:val="center"/>
              <w:rPr>
                <w:b/>
              </w:rPr>
            </w:pPr>
            <w:r>
              <w:rPr>
                <w:b/>
              </w:rPr>
              <w:t>Any Rent Restrictions?</w:t>
            </w:r>
          </w:p>
          <w:p w:rsidR="002F26AD" w:rsidRDefault="002F26AD">
            <w:pPr>
              <w:jc w:val="center"/>
            </w:pPr>
            <w:r>
              <w:t>(Y/N)</w:t>
            </w:r>
          </w:p>
        </w:tc>
      </w:tr>
      <w:tr w:rsidR="002F26AD">
        <w:tblPrEx>
          <w:tblCellMar>
            <w:top w:w="0" w:type="dxa"/>
            <w:bottom w:w="0" w:type="dxa"/>
          </w:tblCellMar>
        </w:tblPrEx>
        <w:trPr>
          <w:trHeight w:val="339"/>
          <w:jc w:val="center"/>
        </w:trPr>
        <w:tc>
          <w:tcPr>
            <w:tcW w:w="1368" w:type="dxa"/>
            <w:tcBorders>
              <w:top w:val="nil"/>
            </w:tcBorders>
          </w:tcPr>
          <w:p w:rsidR="002F26AD" w:rsidRDefault="002F26AD">
            <w:pPr>
              <w:jc w:val="center"/>
            </w:pPr>
            <w:r>
              <w:t>0 / 1</w:t>
            </w:r>
          </w:p>
        </w:tc>
        <w:tc>
          <w:tcPr>
            <w:tcW w:w="1530" w:type="dxa"/>
            <w:tcBorders>
              <w:top w:val="nil"/>
            </w:tcBorders>
          </w:tcPr>
          <w:p w:rsidR="002F26AD" w:rsidRDefault="002F26AD">
            <w:pPr>
              <w:jc w:val="center"/>
            </w:pPr>
            <w:r>
              <w:t>3</w:t>
            </w:r>
          </w:p>
        </w:tc>
        <w:tc>
          <w:tcPr>
            <w:tcW w:w="1710" w:type="dxa"/>
            <w:tcBorders>
              <w:top w:val="nil"/>
            </w:tcBorders>
          </w:tcPr>
          <w:p w:rsidR="002F26AD" w:rsidRDefault="002F26AD">
            <w:pPr>
              <w:jc w:val="center"/>
            </w:pPr>
            <w:r>
              <w:t>Y</w:t>
            </w:r>
          </w:p>
        </w:tc>
        <w:tc>
          <w:tcPr>
            <w:tcW w:w="1710" w:type="dxa"/>
            <w:tcBorders>
              <w:top w:val="nil"/>
              <w:bottom w:val="nil"/>
            </w:tcBorders>
          </w:tcPr>
          <w:p w:rsidR="002F26AD" w:rsidRDefault="002F26AD">
            <w:pPr>
              <w:jc w:val="center"/>
            </w:pPr>
            <w:r>
              <w:t>$415</w:t>
            </w:r>
          </w:p>
        </w:tc>
        <w:tc>
          <w:tcPr>
            <w:tcW w:w="1530" w:type="dxa"/>
            <w:tcBorders>
              <w:top w:val="nil"/>
              <w:bottom w:val="nil"/>
            </w:tcBorders>
          </w:tcPr>
          <w:p w:rsidR="002F26AD" w:rsidRDefault="002F26AD">
            <w:pPr>
              <w:jc w:val="center"/>
            </w:pPr>
            <w:r>
              <w:t>500</w:t>
            </w:r>
          </w:p>
        </w:tc>
        <w:tc>
          <w:tcPr>
            <w:tcW w:w="1890" w:type="dxa"/>
            <w:tcBorders>
              <w:top w:val="nil"/>
              <w:bottom w:val="nil"/>
            </w:tcBorders>
          </w:tcPr>
          <w:p w:rsidR="002F26AD" w:rsidRDefault="002F26AD">
            <w:pPr>
              <w:jc w:val="center"/>
            </w:pPr>
            <w:r>
              <w:t>N</w:t>
            </w:r>
          </w:p>
        </w:tc>
      </w:tr>
      <w:tr w:rsidR="002F26AD">
        <w:tblPrEx>
          <w:tblCellMar>
            <w:top w:w="0" w:type="dxa"/>
            <w:bottom w:w="0" w:type="dxa"/>
          </w:tblCellMar>
        </w:tblPrEx>
        <w:trPr>
          <w:cantSplit/>
          <w:trHeight w:val="359"/>
          <w:jc w:val="center"/>
        </w:trPr>
        <w:tc>
          <w:tcPr>
            <w:tcW w:w="1368" w:type="dxa"/>
          </w:tcPr>
          <w:p w:rsidR="002F26AD" w:rsidRDefault="002F26AD">
            <w:pPr>
              <w:jc w:val="center"/>
            </w:pPr>
            <w:r>
              <w:t>1 / 1</w:t>
            </w:r>
          </w:p>
        </w:tc>
        <w:tc>
          <w:tcPr>
            <w:tcW w:w="1530" w:type="dxa"/>
          </w:tcPr>
          <w:p w:rsidR="002F26AD" w:rsidRDefault="002F26AD">
            <w:pPr>
              <w:jc w:val="center"/>
            </w:pPr>
            <w:r>
              <w:t>48</w:t>
            </w:r>
          </w:p>
        </w:tc>
        <w:tc>
          <w:tcPr>
            <w:tcW w:w="1710" w:type="dxa"/>
          </w:tcPr>
          <w:p w:rsidR="002F26AD" w:rsidRDefault="002F26AD">
            <w:pPr>
              <w:jc w:val="center"/>
            </w:pPr>
            <w:r>
              <w:t>N</w:t>
            </w:r>
          </w:p>
        </w:tc>
        <w:tc>
          <w:tcPr>
            <w:tcW w:w="5130" w:type="dxa"/>
            <w:gridSpan w:val="3"/>
            <w:shd w:val="pct5" w:color="auto" w:fill="FFFFFF"/>
          </w:tcPr>
          <w:p w:rsidR="002F26AD" w:rsidRDefault="002F26AD">
            <w:pPr>
              <w:jc w:val="center"/>
            </w:pPr>
          </w:p>
        </w:tc>
      </w:tr>
      <w:tr w:rsidR="002F26AD">
        <w:tblPrEx>
          <w:tblCellMar>
            <w:top w:w="0" w:type="dxa"/>
            <w:bottom w:w="0" w:type="dxa"/>
          </w:tblCellMar>
        </w:tblPrEx>
        <w:trPr>
          <w:cantSplit/>
          <w:trHeight w:val="359"/>
          <w:jc w:val="center"/>
        </w:trPr>
        <w:tc>
          <w:tcPr>
            <w:tcW w:w="1368" w:type="dxa"/>
          </w:tcPr>
          <w:p w:rsidR="002F26AD" w:rsidRDefault="002F26AD">
            <w:pPr>
              <w:jc w:val="center"/>
            </w:pPr>
            <w:r>
              <w:t>2 / 1.5</w:t>
            </w:r>
          </w:p>
        </w:tc>
        <w:tc>
          <w:tcPr>
            <w:tcW w:w="1530" w:type="dxa"/>
          </w:tcPr>
          <w:p w:rsidR="002F26AD" w:rsidRDefault="002F26AD">
            <w:pPr>
              <w:jc w:val="center"/>
            </w:pPr>
            <w:r>
              <w:t>24</w:t>
            </w:r>
          </w:p>
        </w:tc>
        <w:tc>
          <w:tcPr>
            <w:tcW w:w="1710" w:type="dxa"/>
          </w:tcPr>
          <w:p w:rsidR="002F26AD" w:rsidRDefault="002F26AD">
            <w:pPr>
              <w:jc w:val="center"/>
            </w:pPr>
            <w:r>
              <w:t>N</w:t>
            </w:r>
          </w:p>
        </w:tc>
        <w:tc>
          <w:tcPr>
            <w:tcW w:w="5130" w:type="dxa"/>
            <w:gridSpan w:val="3"/>
            <w:shd w:val="pct5" w:color="auto" w:fill="FFFFFF"/>
          </w:tcPr>
          <w:p w:rsidR="002F26AD" w:rsidRDefault="002F26AD">
            <w:pPr>
              <w:jc w:val="center"/>
            </w:pPr>
          </w:p>
        </w:tc>
      </w:tr>
    </w:tbl>
    <w:p w:rsidR="002F26AD" w:rsidRDefault="002F26AD">
      <w:pPr>
        <w:pStyle w:val="Heading4"/>
        <w:pBdr>
          <w:top w:val="none" w:sz="0" w:space="0" w:color="auto"/>
          <w:left w:val="none" w:sz="0" w:space="0" w:color="auto"/>
          <w:bottom w:val="none" w:sz="0" w:space="0" w:color="auto"/>
          <w:right w:val="none" w:sz="0" w:space="0" w:color="auto"/>
        </w:pBdr>
        <w:ind w:left="270"/>
        <w:rPr>
          <w:sz w:val="24"/>
        </w:rPr>
      </w:pPr>
    </w:p>
    <w:p w:rsidR="002F26AD" w:rsidRDefault="002F26AD">
      <w:pPr>
        <w:pStyle w:val="Heading4"/>
        <w:pBdr>
          <w:top w:val="none" w:sz="0" w:space="0" w:color="auto"/>
          <w:left w:val="none" w:sz="0" w:space="0" w:color="auto"/>
          <w:bottom w:val="none" w:sz="0" w:space="0" w:color="auto"/>
          <w:right w:val="none" w:sz="0" w:space="0" w:color="auto"/>
        </w:pBdr>
        <w:ind w:left="270"/>
        <w:jc w:val="left"/>
        <w:rPr>
          <w:sz w:val="24"/>
        </w:rPr>
      </w:pPr>
      <w:r>
        <w:rPr>
          <w:b/>
          <w:sz w:val="24"/>
        </w:rPr>
        <w:t>Total Units</w:t>
      </w:r>
      <w:r>
        <w:rPr>
          <w:sz w:val="24"/>
        </w:rPr>
        <w:t>:  75</w:t>
      </w:r>
      <w:r>
        <w:rPr>
          <w:sz w:val="24"/>
        </w:rPr>
        <w:tab/>
      </w:r>
      <w:r>
        <w:rPr>
          <w:sz w:val="24"/>
        </w:rPr>
        <w:tab/>
      </w:r>
      <w:r>
        <w:rPr>
          <w:sz w:val="24"/>
        </w:rPr>
        <w:tab/>
      </w:r>
      <w:r>
        <w:rPr>
          <w:sz w:val="24"/>
        </w:rPr>
        <w:tab/>
      </w:r>
      <w:r>
        <w:rPr>
          <w:sz w:val="24"/>
        </w:rPr>
        <w:tab/>
      </w:r>
      <w:r>
        <w:rPr>
          <w:sz w:val="24"/>
        </w:rPr>
        <w:tab/>
      </w:r>
      <w:r>
        <w:rPr>
          <w:sz w:val="24"/>
        </w:rPr>
        <w:tab/>
      </w:r>
      <w:r>
        <w:rPr>
          <w:b/>
          <w:sz w:val="24"/>
        </w:rPr>
        <w:t>Project Occupancy</w:t>
      </w:r>
      <w:r>
        <w:rPr>
          <w:sz w:val="24"/>
        </w:rPr>
        <w:t>:   94%</w:t>
      </w:r>
    </w:p>
    <w:p w:rsidR="002F26AD" w:rsidRDefault="002F26AD"/>
    <w:p w:rsidR="002F26AD" w:rsidRDefault="002F26AD">
      <w:pPr>
        <w:ind w:firstLine="270"/>
      </w:pPr>
      <w:r>
        <w:rPr>
          <w:b/>
        </w:rPr>
        <w:t>Charges in Addition to Rent</w:t>
      </w:r>
      <w:r>
        <w:t xml:space="preserve">: </w:t>
      </w:r>
    </w:p>
    <w:p w:rsidR="002F26AD" w:rsidRDefault="002F26AD">
      <w:pPr>
        <w:ind w:firstLine="270"/>
        <w:rPr>
          <w:b/>
        </w:rPr>
      </w:pPr>
    </w:p>
    <w:p w:rsidR="002F26AD" w:rsidRDefault="002F26AD">
      <w:pPr>
        <w:ind w:firstLine="270"/>
      </w:pPr>
      <w:r>
        <w:rPr>
          <w:b/>
        </w:rPr>
        <w:t>Subsidies and Restrictions at Project</w:t>
      </w:r>
      <w:r>
        <w:t>:  None</w:t>
      </w:r>
    </w:p>
    <w:p w:rsidR="002F26AD" w:rsidRDefault="002F26AD">
      <w:pPr>
        <w:ind w:firstLine="270"/>
      </w:pPr>
    </w:p>
    <w:p w:rsidR="002F26AD" w:rsidRDefault="002F26AD">
      <w:pPr>
        <w:ind w:left="270"/>
      </w:pPr>
      <w:r>
        <w:rPr>
          <w:b/>
        </w:rPr>
        <w:t>Other Comments</w:t>
      </w:r>
      <w:r>
        <w:t>:</w:t>
      </w:r>
    </w:p>
    <w:p w:rsidR="002F26AD" w:rsidRDefault="002F26AD">
      <w:r>
        <w:tab/>
      </w:r>
    </w:p>
    <w:p w:rsidR="002F26AD" w:rsidRDefault="002F26AD">
      <w:pPr>
        <w:ind w:firstLine="270"/>
      </w:pPr>
      <w:r>
        <w:rPr>
          <w:b/>
        </w:rPr>
        <w:t>Date Information Verified</w:t>
      </w:r>
      <w:r>
        <w:t>: 3 / 22 / 00</w:t>
      </w:r>
    </w:p>
    <w:p w:rsidR="002F26AD" w:rsidRDefault="002F26AD">
      <w:pPr>
        <w:ind w:firstLine="270"/>
      </w:pPr>
    </w:p>
    <w:p w:rsidR="002F26AD" w:rsidRDefault="002F26AD">
      <w:pPr>
        <w:pStyle w:val="Title"/>
        <w:widowControl/>
      </w:pPr>
      <w:r>
        <w:rPr>
          <w:sz w:val="24"/>
        </w:rPr>
        <w:br w:type="page"/>
      </w:r>
      <w:r>
        <w:t>Park View Apartments</w:t>
      </w:r>
    </w:p>
    <w:p w:rsidR="002F26AD" w:rsidRDefault="002F26AD">
      <w:pPr>
        <w:pStyle w:val="Subtitle"/>
        <w:widowControl/>
        <w:rPr>
          <w:sz w:val="28"/>
        </w:rPr>
      </w:pPr>
      <w:r>
        <w:rPr>
          <w:sz w:val="28"/>
        </w:rPr>
        <w:t>17 Park Avenue</w:t>
      </w:r>
    </w:p>
    <w:p w:rsidR="002F26AD" w:rsidRDefault="002F26AD">
      <w:pPr>
        <w:pStyle w:val="Heading1"/>
        <w:pBdr>
          <w:top w:val="none" w:sz="0" w:space="0" w:color="auto"/>
          <w:left w:val="none" w:sz="0" w:space="0" w:color="auto"/>
          <w:bottom w:val="none" w:sz="0" w:space="0" w:color="auto"/>
          <w:right w:val="none" w:sz="0" w:space="0" w:color="auto"/>
        </w:pBdr>
        <w:rPr>
          <w:b w:val="0"/>
          <w:i w:val="0"/>
          <w:sz w:val="28"/>
        </w:rPr>
      </w:pPr>
      <w:r>
        <w:rPr>
          <w:b w:val="0"/>
          <w:i w:val="0"/>
          <w:sz w:val="28"/>
        </w:rPr>
        <w:t>Lexington, ST  00456</w:t>
      </w:r>
    </w:p>
    <w:p w:rsidR="002F26AD" w:rsidRDefault="002F26AD">
      <w:pPr>
        <w:jc w:val="center"/>
      </w:pPr>
    </w:p>
    <w:p w:rsidR="002F26AD" w:rsidRDefault="002F26AD">
      <w:pPr>
        <w:pStyle w:val="Heading2"/>
        <w:pBdr>
          <w:top w:val="none" w:sz="0" w:space="0" w:color="auto"/>
          <w:left w:val="none" w:sz="0" w:space="0" w:color="auto"/>
          <w:bottom w:val="none" w:sz="0" w:space="0" w:color="auto"/>
          <w:right w:val="none" w:sz="0" w:space="0" w:color="auto"/>
        </w:pBdr>
        <w:jc w:val="left"/>
        <w:rPr>
          <w:i w:val="0"/>
          <w:sz w:val="24"/>
        </w:rPr>
      </w:pPr>
      <w:r>
        <w:rPr>
          <w:b w:val="0"/>
          <w:i w:val="0"/>
          <w:sz w:val="24"/>
        </w:rPr>
        <w:t>Management Agent</w:t>
      </w:r>
      <w:r>
        <w:rPr>
          <w:i w:val="0"/>
          <w:sz w:val="24"/>
        </w:rPr>
        <w:t>:  123 Management</w:t>
      </w:r>
      <w:r>
        <w:rPr>
          <w:i w:val="0"/>
          <w:sz w:val="24"/>
        </w:rPr>
        <w:tab/>
      </w:r>
      <w:r>
        <w:rPr>
          <w:i w:val="0"/>
          <w:sz w:val="24"/>
        </w:rPr>
        <w:tab/>
      </w:r>
      <w:r>
        <w:rPr>
          <w:i w:val="0"/>
          <w:sz w:val="24"/>
        </w:rPr>
        <w:tab/>
      </w:r>
      <w:r>
        <w:rPr>
          <w:b w:val="0"/>
          <w:i w:val="0"/>
          <w:sz w:val="24"/>
        </w:rPr>
        <w:t>County</w:t>
      </w:r>
      <w:r>
        <w:rPr>
          <w:i w:val="0"/>
          <w:sz w:val="24"/>
        </w:rPr>
        <w:t>:  Gloucester</w:t>
      </w:r>
    </w:p>
    <w:p w:rsidR="002F26AD" w:rsidRDefault="002F26AD">
      <w:pPr>
        <w:pStyle w:val="Heading2"/>
        <w:pBdr>
          <w:top w:val="none" w:sz="0" w:space="0" w:color="auto"/>
          <w:left w:val="none" w:sz="0" w:space="0" w:color="auto"/>
          <w:bottom w:val="none" w:sz="0" w:space="0" w:color="auto"/>
          <w:right w:val="none" w:sz="0" w:space="0" w:color="auto"/>
        </w:pBdr>
        <w:ind w:right="-360"/>
        <w:jc w:val="left"/>
        <w:rPr>
          <w:i w:val="0"/>
          <w:sz w:val="24"/>
        </w:rPr>
      </w:pPr>
      <w:r>
        <w:rPr>
          <w:b w:val="0"/>
          <w:i w:val="0"/>
          <w:sz w:val="24"/>
        </w:rPr>
        <w:t>Contact</w:t>
      </w:r>
      <w:r>
        <w:rPr>
          <w:i w:val="0"/>
          <w:sz w:val="24"/>
        </w:rPr>
        <w:t>:  Janet Spence</w:t>
      </w:r>
      <w:r>
        <w:rPr>
          <w:i w:val="0"/>
          <w:sz w:val="24"/>
        </w:rPr>
        <w:tab/>
      </w:r>
      <w:r>
        <w:rPr>
          <w:i w:val="0"/>
          <w:sz w:val="24"/>
        </w:rPr>
        <w:tab/>
      </w:r>
      <w:r>
        <w:rPr>
          <w:i w:val="0"/>
          <w:sz w:val="24"/>
        </w:rPr>
        <w:tab/>
      </w:r>
      <w:r>
        <w:rPr>
          <w:i w:val="0"/>
          <w:sz w:val="24"/>
        </w:rPr>
        <w:tab/>
      </w:r>
      <w:r>
        <w:rPr>
          <w:i w:val="0"/>
          <w:sz w:val="24"/>
        </w:rPr>
        <w:tab/>
      </w:r>
      <w:r>
        <w:rPr>
          <w:b w:val="0"/>
          <w:i w:val="0"/>
          <w:sz w:val="24"/>
        </w:rPr>
        <w:t>Cross Street</w:t>
      </w:r>
      <w:r>
        <w:rPr>
          <w:i w:val="0"/>
          <w:sz w:val="24"/>
        </w:rPr>
        <w:t>:  Main Street at Maple Ave</w:t>
      </w:r>
    </w:p>
    <w:p w:rsidR="002F26AD" w:rsidRDefault="002F26AD">
      <w:pPr>
        <w:pStyle w:val="Heading2"/>
        <w:pBdr>
          <w:top w:val="none" w:sz="0" w:space="0" w:color="auto"/>
          <w:left w:val="none" w:sz="0" w:space="0" w:color="auto"/>
          <w:bottom w:val="none" w:sz="0" w:space="0" w:color="auto"/>
          <w:right w:val="none" w:sz="0" w:space="0" w:color="auto"/>
        </w:pBdr>
        <w:jc w:val="left"/>
        <w:rPr>
          <w:i w:val="0"/>
          <w:sz w:val="24"/>
        </w:rPr>
      </w:pPr>
      <w:r>
        <w:rPr>
          <w:b w:val="0"/>
          <w:i w:val="0"/>
          <w:sz w:val="24"/>
        </w:rPr>
        <w:t>Contact</w:t>
      </w:r>
      <w:r>
        <w:rPr>
          <w:i w:val="0"/>
          <w:sz w:val="24"/>
        </w:rPr>
        <w:t xml:space="preserve"> </w:t>
      </w:r>
      <w:r>
        <w:rPr>
          <w:b w:val="0"/>
          <w:i w:val="0"/>
          <w:sz w:val="24"/>
        </w:rPr>
        <w:t>Phone</w:t>
      </w:r>
      <w:r>
        <w:rPr>
          <w:i w:val="0"/>
          <w:sz w:val="24"/>
        </w:rPr>
        <w:t>:  (000) 555-5555</w:t>
      </w:r>
      <w:r>
        <w:rPr>
          <w:i w:val="0"/>
          <w:sz w:val="24"/>
        </w:rPr>
        <w:tab/>
      </w:r>
      <w:r>
        <w:rPr>
          <w:i w:val="0"/>
          <w:sz w:val="24"/>
        </w:rPr>
        <w:tab/>
      </w:r>
      <w:r>
        <w:rPr>
          <w:i w:val="0"/>
          <w:sz w:val="24"/>
        </w:rPr>
        <w:tab/>
      </w:r>
      <w:r>
        <w:rPr>
          <w:i w:val="0"/>
          <w:sz w:val="24"/>
        </w:rPr>
        <w:tab/>
      </w:r>
      <w:r>
        <w:rPr>
          <w:b w:val="0"/>
          <w:i w:val="0"/>
          <w:sz w:val="24"/>
        </w:rPr>
        <w:t>Neighborhood</w:t>
      </w:r>
      <w:r>
        <w:rPr>
          <w:i w:val="0"/>
          <w:sz w:val="24"/>
        </w:rPr>
        <w:t>:  Residential</w:t>
      </w:r>
    </w:p>
    <w:p w:rsidR="002F26AD" w:rsidRDefault="002F26AD">
      <w:pPr>
        <w:jc w:val="center"/>
      </w:pPr>
    </w:p>
    <w:p w:rsidR="002F26AD" w:rsidRDefault="002F26AD">
      <w:pPr>
        <w:jc w:val="center"/>
      </w:pPr>
    </w:p>
    <w:p w:rsidR="002F26AD" w:rsidRDefault="002F26AD">
      <w:pPr>
        <w:jc w:val="center"/>
      </w:pPr>
      <w:r>
        <w:rPr>
          <w:sz w:val="20"/>
        </w:rPr>
        <w:pict>
          <v:shape id="_x0000_i1030" type="#_x0000_t75" style="width:330pt;height:204.75pt">
            <v:imagedata r:id="rId15" o:title=""/>
          </v:shape>
        </w:pict>
      </w: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0"/>
        <w:gridCol w:w="1530"/>
        <w:gridCol w:w="1710"/>
        <w:gridCol w:w="1710"/>
        <w:gridCol w:w="1530"/>
        <w:gridCol w:w="1890"/>
      </w:tblGrid>
      <w:tr w:rsidR="002F26AD">
        <w:tblPrEx>
          <w:tblCellMar>
            <w:top w:w="0" w:type="dxa"/>
            <w:bottom w:w="0" w:type="dxa"/>
          </w:tblCellMar>
        </w:tblPrEx>
        <w:trPr>
          <w:trHeight w:val="377"/>
          <w:tblHeader/>
          <w:jc w:val="center"/>
        </w:trPr>
        <w:tc>
          <w:tcPr>
            <w:tcW w:w="1368" w:type="dxa"/>
            <w:tcBorders>
              <w:bottom w:val="double" w:sz="6" w:space="0" w:color="auto"/>
            </w:tcBorders>
            <w:shd w:val="pct10" w:color="auto" w:fill="FFFFFF"/>
          </w:tcPr>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 xml:space="preserve">Unit </w:t>
            </w:r>
          </w:p>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Type</w:t>
            </w:r>
          </w:p>
        </w:tc>
        <w:tc>
          <w:tcPr>
            <w:tcW w:w="1530" w:type="dxa"/>
            <w:tcBorders>
              <w:bottom w:val="double" w:sz="6" w:space="0" w:color="auto"/>
            </w:tcBorders>
            <w:shd w:val="pct10" w:color="auto" w:fill="FFFFFF"/>
          </w:tcPr>
          <w:p w:rsidR="002F26AD" w:rsidRDefault="002F26AD">
            <w:pPr>
              <w:jc w:val="center"/>
              <w:rPr>
                <w:b/>
              </w:rPr>
            </w:pPr>
            <w:r>
              <w:rPr>
                <w:b/>
              </w:rPr>
              <w:t xml:space="preserve">No. of </w:t>
            </w:r>
          </w:p>
          <w:p w:rsidR="002F26AD" w:rsidRDefault="002F26AD">
            <w:pPr>
              <w:jc w:val="center"/>
              <w:rPr>
                <w:b/>
              </w:rPr>
            </w:pPr>
            <w:r>
              <w:rPr>
                <w:b/>
              </w:rPr>
              <w:t>Units</w:t>
            </w:r>
          </w:p>
        </w:tc>
        <w:tc>
          <w:tcPr>
            <w:tcW w:w="1710" w:type="dxa"/>
            <w:tcBorders>
              <w:bottom w:val="double" w:sz="6" w:space="0" w:color="auto"/>
            </w:tcBorders>
            <w:shd w:val="pct10" w:color="auto" w:fill="FFFFFF"/>
          </w:tcPr>
          <w:p w:rsidR="002F26AD" w:rsidRDefault="002F26AD">
            <w:pPr>
              <w:jc w:val="center"/>
              <w:rPr>
                <w:b/>
              </w:rPr>
            </w:pPr>
            <w:r>
              <w:rPr>
                <w:b/>
              </w:rPr>
              <w:t>Used as Comp in RCS?</w:t>
            </w:r>
          </w:p>
          <w:p w:rsidR="002F26AD" w:rsidRDefault="002F26AD">
            <w:pPr>
              <w:jc w:val="center"/>
              <w:rPr>
                <w:b/>
              </w:rPr>
            </w:pPr>
            <w:r>
              <w:t>(Y/N)</w:t>
            </w:r>
          </w:p>
        </w:tc>
        <w:tc>
          <w:tcPr>
            <w:tcW w:w="1710" w:type="dxa"/>
            <w:tcBorders>
              <w:bottom w:val="double" w:sz="6" w:space="0" w:color="auto"/>
            </w:tcBorders>
            <w:shd w:val="pct10" w:color="auto" w:fill="FFFFFF"/>
          </w:tcPr>
          <w:p w:rsidR="002F26AD" w:rsidRDefault="002F26AD">
            <w:pPr>
              <w:jc w:val="center"/>
              <w:rPr>
                <w:b/>
              </w:rPr>
            </w:pPr>
            <w:r>
              <w:rPr>
                <w:b/>
              </w:rPr>
              <w:t>Average</w:t>
            </w:r>
          </w:p>
          <w:p w:rsidR="002F26AD" w:rsidRDefault="002F26AD">
            <w:pPr>
              <w:jc w:val="center"/>
              <w:rPr>
                <w:b/>
              </w:rPr>
            </w:pPr>
            <w:r>
              <w:rPr>
                <w:b/>
              </w:rPr>
              <w:t>Rent</w:t>
            </w:r>
          </w:p>
        </w:tc>
        <w:tc>
          <w:tcPr>
            <w:tcW w:w="1530" w:type="dxa"/>
            <w:tcBorders>
              <w:bottom w:val="double" w:sz="6" w:space="0" w:color="auto"/>
            </w:tcBorders>
            <w:shd w:val="pct10" w:color="auto" w:fill="FFFFFF"/>
          </w:tcPr>
          <w:p w:rsidR="002F26AD" w:rsidRDefault="002F26AD">
            <w:pPr>
              <w:jc w:val="center"/>
              <w:rPr>
                <w:b/>
              </w:rPr>
            </w:pPr>
            <w:r>
              <w:rPr>
                <w:b/>
              </w:rPr>
              <w:t>Interior</w:t>
            </w:r>
          </w:p>
          <w:p w:rsidR="002F26AD" w:rsidRDefault="002F26AD">
            <w:pPr>
              <w:jc w:val="center"/>
              <w:rPr>
                <w:b/>
              </w:rPr>
            </w:pPr>
            <w:r>
              <w:rPr>
                <w:b/>
              </w:rPr>
              <w:t>Size</w:t>
            </w:r>
          </w:p>
          <w:p w:rsidR="002F26AD" w:rsidRDefault="002F26AD">
            <w:pPr>
              <w:jc w:val="center"/>
            </w:pPr>
            <w:r>
              <w:t>(SF)</w:t>
            </w:r>
          </w:p>
        </w:tc>
        <w:tc>
          <w:tcPr>
            <w:tcW w:w="1890" w:type="dxa"/>
            <w:tcBorders>
              <w:bottom w:val="double" w:sz="6" w:space="0" w:color="auto"/>
            </w:tcBorders>
            <w:shd w:val="pct10" w:color="auto" w:fill="FFFFFF"/>
          </w:tcPr>
          <w:p w:rsidR="002F26AD" w:rsidRDefault="002F26AD">
            <w:pPr>
              <w:jc w:val="center"/>
              <w:rPr>
                <w:b/>
              </w:rPr>
            </w:pPr>
            <w:r>
              <w:rPr>
                <w:b/>
              </w:rPr>
              <w:t>Any Rent Restrictions?</w:t>
            </w:r>
          </w:p>
          <w:p w:rsidR="002F26AD" w:rsidRDefault="002F26AD">
            <w:pPr>
              <w:jc w:val="center"/>
            </w:pPr>
            <w:r>
              <w:t>(Y/N)</w:t>
            </w:r>
          </w:p>
        </w:tc>
      </w:tr>
      <w:tr w:rsidR="002F26AD">
        <w:tblPrEx>
          <w:tblCellMar>
            <w:top w:w="0" w:type="dxa"/>
            <w:bottom w:w="0" w:type="dxa"/>
          </w:tblCellMar>
        </w:tblPrEx>
        <w:trPr>
          <w:trHeight w:val="339"/>
          <w:jc w:val="center"/>
        </w:trPr>
        <w:tc>
          <w:tcPr>
            <w:tcW w:w="1368" w:type="dxa"/>
            <w:tcBorders>
              <w:top w:val="nil"/>
            </w:tcBorders>
          </w:tcPr>
          <w:p w:rsidR="002F26AD" w:rsidRDefault="002F26AD">
            <w:pPr>
              <w:jc w:val="center"/>
            </w:pPr>
            <w:r>
              <w:t>0 / 1</w:t>
            </w:r>
          </w:p>
        </w:tc>
        <w:tc>
          <w:tcPr>
            <w:tcW w:w="1530" w:type="dxa"/>
            <w:tcBorders>
              <w:top w:val="nil"/>
            </w:tcBorders>
          </w:tcPr>
          <w:p w:rsidR="002F26AD" w:rsidRDefault="002F26AD">
            <w:pPr>
              <w:jc w:val="center"/>
            </w:pPr>
            <w:r>
              <w:t>30</w:t>
            </w:r>
          </w:p>
        </w:tc>
        <w:tc>
          <w:tcPr>
            <w:tcW w:w="1710" w:type="dxa"/>
            <w:tcBorders>
              <w:top w:val="nil"/>
            </w:tcBorders>
          </w:tcPr>
          <w:p w:rsidR="002F26AD" w:rsidRDefault="002F26AD">
            <w:pPr>
              <w:jc w:val="center"/>
            </w:pPr>
            <w:r>
              <w:t>Y</w:t>
            </w:r>
          </w:p>
        </w:tc>
        <w:tc>
          <w:tcPr>
            <w:tcW w:w="1710" w:type="dxa"/>
            <w:tcBorders>
              <w:top w:val="nil"/>
              <w:bottom w:val="nil"/>
            </w:tcBorders>
          </w:tcPr>
          <w:p w:rsidR="002F26AD" w:rsidRDefault="002F26AD">
            <w:pPr>
              <w:jc w:val="center"/>
            </w:pPr>
            <w:r>
              <w:t>$525</w:t>
            </w:r>
          </w:p>
        </w:tc>
        <w:tc>
          <w:tcPr>
            <w:tcW w:w="1530" w:type="dxa"/>
            <w:tcBorders>
              <w:top w:val="nil"/>
              <w:bottom w:val="nil"/>
            </w:tcBorders>
          </w:tcPr>
          <w:p w:rsidR="002F26AD" w:rsidRDefault="002F26AD">
            <w:pPr>
              <w:jc w:val="center"/>
            </w:pPr>
            <w:r>
              <w:t>550</w:t>
            </w:r>
          </w:p>
        </w:tc>
        <w:tc>
          <w:tcPr>
            <w:tcW w:w="1890" w:type="dxa"/>
            <w:tcBorders>
              <w:top w:val="nil"/>
              <w:bottom w:val="nil"/>
            </w:tcBorders>
          </w:tcPr>
          <w:p w:rsidR="002F26AD" w:rsidRDefault="002F26AD">
            <w:pPr>
              <w:jc w:val="center"/>
            </w:pPr>
            <w:r>
              <w:t>N</w:t>
            </w:r>
          </w:p>
        </w:tc>
      </w:tr>
      <w:tr w:rsidR="002F26AD">
        <w:tblPrEx>
          <w:tblCellMar>
            <w:top w:w="0" w:type="dxa"/>
            <w:bottom w:w="0" w:type="dxa"/>
          </w:tblCellMar>
        </w:tblPrEx>
        <w:trPr>
          <w:cantSplit/>
          <w:trHeight w:val="359"/>
          <w:jc w:val="center"/>
        </w:trPr>
        <w:tc>
          <w:tcPr>
            <w:tcW w:w="1368" w:type="dxa"/>
          </w:tcPr>
          <w:p w:rsidR="002F26AD" w:rsidRDefault="002F26AD">
            <w:pPr>
              <w:jc w:val="center"/>
            </w:pPr>
            <w:r>
              <w:t>1 / 1</w:t>
            </w:r>
          </w:p>
        </w:tc>
        <w:tc>
          <w:tcPr>
            <w:tcW w:w="1530" w:type="dxa"/>
          </w:tcPr>
          <w:p w:rsidR="002F26AD" w:rsidRDefault="002F26AD">
            <w:pPr>
              <w:jc w:val="center"/>
            </w:pPr>
            <w:r>
              <w:t>30</w:t>
            </w:r>
          </w:p>
        </w:tc>
        <w:tc>
          <w:tcPr>
            <w:tcW w:w="1710" w:type="dxa"/>
          </w:tcPr>
          <w:p w:rsidR="002F26AD" w:rsidRDefault="002F26AD">
            <w:pPr>
              <w:jc w:val="center"/>
            </w:pPr>
            <w:r>
              <w:t>N</w:t>
            </w:r>
          </w:p>
        </w:tc>
        <w:tc>
          <w:tcPr>
            <w:tcW w:w="5130" w:type="dxa"/>
            <w:gridSpan w:val="3"/>
            <w:shd w:val="pct5" w:color="auto" w:fill="FFFFFF"/>
          </w:tcPr>
          <w:p w:rsidR="002F26AD" w:rsidRDefault="002F26AD">
            <w:pPr>
              <w:jc w:val="center"/>
            </w:pPr>
          </w:p>
        </w:tc>
      </w:tr>
    </w:tbl>
    <w:p w:rsidR="002F26AD" w:rsidRDefault="002F26AD">
      <w:pPr>
        <w:pStyle w:val="Heading4"/>
        <w:pBdr>
          <w:top w:val="none" w:sz="0" w:space="0" w:color="auto"/>
          <w:left w:val="none" w:sz="0" w:space="0" w:color="auto"/>
          <w:bottom w:val="none" w:sz="0" w:space="0" w:color="auto"/>
          <w:right w:val="none" w:sz="0" w:space="0" w:color="auto"/>
        </w:pBdr>
        <w:ind w:left="270"/>
        <w:rPr>
          <w:sz w:val="24"/>
        </w:rPr>
      </w:pPr>
    </w:p>
    <w:p w:rsidR="002F26AD" w:rsidRDefault="002F26AD">
      <w:pPr>
        <w:pStyle w:val="Heading4"/>
        <w:pBdr>
          <w:top w:val="none" w:sz="0" w:space="0" w:color="auto"/>
          <w:left w:val="none" w:sz="0" w:space="0" w:color="auto"/>
          <w:bottom w:val="none" w:sz="0" w:space="0" w:color="auto"/>
          <w:right w:val="none" w:sz="0" w:space="0" w:color="auto"/>
        </w:pBdr>
        <w:ind w:left="270"/>
        <w:jc w:val="left"/>
        <w:rPr>
          <w:sz w:val="24"/>
        </w:rPr>
      </w:pPr>
      <w:r>
        <w:rPr>
          <w:b/>
          <w:sz w:val="24"/>
        </w:rPr>
        <w:t>Total Units:</w:t>
      </w:r>
      <w:r>
        <w:rPr>
          <w:sz w:val="24"/>
        </w:rPr>
        <w:t xml:space="preserve"> 60</w:t>
      </w:r>
      <w:r>
        <w:rPr>
          <w:sz w:val="24"/>
        </w:rPr>
        <w:tab/>
      </w:r>
      <w:r>
        <w:rPr>
          <w:sz w:val="24"/>
        </w:rPr>
        <w:tab/>
      </w:r>
      <w:r>
        <w:rPr>
          <w:sz w:val="24"/>
        </w:rPr>
        <w:tab/>
      </w:r>
      <w:r>
        <w:rPr>
          <w:sz w:val="24"/>
        </w:rPr>
        <w:tab/>
      </w:r>
      <w:r>
        <w:rPr>
          <w:sz w:val="24"/>
        </w:rPr>
        <w:tab/>
      </w:r>
      <w:r>
        <w:rPr>
          <w:sz w:val="24"/>
        </w:rPr>
        <w:tab/>
      </w:r>
      <w:r>
        <w:rPr>
          <w:sz w:val="24"/>
        </w:rPr>
        <w:tab/>
      </w:r>
      <w:r>
        <w:rPr>
          <w:b/>
          <w:sz w:val="24"/>
        </w:rPr>
        <w:t xml:space="preserve">Project Occupancy:  </w:t>
      </w:r>
      <w:r>
        <w:rPr>
          <w:sz w:val="24"/>
        </w:rPr>
        <w:t>80%</w:t>
      </w:r>
    </w:p>
    <w:p w:rsidR="002F26AD" w:rsidRDefault="002F26AD"/>
    <w:p w:rsidR="002F26AD" w:rsidRDefault="002F26AD">
      <w:pPr>
        <w:ind w:firstLine="270"/>
      </w:pPr>
      <w:r>
        <w:rPr>
          <w:b/>
        </w:rPr>
        <w:t>Charges in Addition to Rent</w:t>
      </w:r>
      <w:r>
        <w:t>:  Garage parking available for $65</w:t>
      </w:r>
    </w:p>
    <w:p w:rsidR="002F26AD" w:rsidRDefault="002F26AD">
      <w:pPr>
        <w:ind w:firstLine="270"/>
        <w:rPr>
          <w:b/>
        </w:rPr>
      </w:pPr>
    </w:p>
    <w:p w:rsidR="002F26AD" w:rsidRDefault="002F26AD">
      <w:pPr>
        <w:ind w:left="360" w:hanging="90"/>
      </w:pPr>
      <w:r>
        <w:rPr>
          <w:b/>
        </w:rPr>
        <w:t>Subsidies and Restrictions at Project</w:t>
      </w:r>
      <w:r>
        <w:t>:  One-bedroom units are restricted to households earning less than 60% of median income.  Rent is based on requirements of low-income housing tax-credit regulations.</w:t>
      </w:r>
    </w:p>
    <w:p w:rsidR="002F26AD" w:rsidRDefault="002F26AD">
      <w:pPr>
        <w:ind w:firstLine="270"/>
      </w:pPr>
    </w:p>
    <w:p w:rsidR="002F26AD" w:rsidRDefault="002F26AD">
      <w:pPr>
        <w:ind w:firstLine="270"/>
      </w:pPr>
      <w:r>
        <w:rPr>
          <w:b/>
        </w:rPr>
        <w:t>Other Comments</w:t>
      </w:r>
      <w:r>
        <w:t>:   Elderly project</w:t>
      </w:r>
    </w:p>
    <w:p w:rsidR="002F26AD" w:rsidRDefault="002F26AD"/>
    <w:p w:rsidR="002F26AD" w:rsidRDefault="002F26AD">
      <w:pPr>
        <w:ind w:firstLine="270"/>
      </w:pPr>
      <w:r>
        <w:rPr>
          <w:b/>
        </w:rPr>
        <w:t>Date Information Verified</w:t>
      </w:r>
      <w:r>
        <w:t>: 3 / 20 / 00</w:t>
      </w:r>
    </w:p>
    <w:p w:rsidR="002F26AD" w:rsidRDefault="002F26AD">
      <w:pPr>
        <w:ind w:firstLine="270"/>
      </w:pPr>
    </w:p>
    <w:p w:rsidR="002F26AD" w:rsidRDefault="002F26AD">
      <w:pPr>
        <w:pStyle w:val="Title"/>
        <w:widowControl/>
      </w:pPr>
      <w:r>
        <w:rPr>
          <w:sz w:val="24"/>
        </w:rPr>
        <w:br w:type="page"/>
      </w:r>
      <w:r>
        <w:t>Glen Park</w:t>
      </w:r>
    </w:p>
    <w:p w:rsidR="002F26AD" w:rsidRDefault="002F26AD">
      <w:pPr>
        <w:pStyle w:val="Subtitle"/>
        <w:widowControl/>
        <w:rPr>
          <w:sz w:val="28"/>
        </w:rPr>
      </w:pPr>
      <w:r>
        <w:rPr>
          <w:sz w:val="28"/>
        </w:rPr>
        <w:t>305 37</w:t>
      </w:r>
      <w:r>
        <w:rPr>
          <w:sz w:val="28"/>
          <w:vertAlign w:val="superscript"/>
        </w:rPr>
        <w:t>th</w:t>
      </w:r>
      <w:r>
        <w:rPr>
          <w:sz w:val="28"/>
        </w:rPr>
        <w:t xml:space="preserve"> Street</w:t>
      </w:r>
    </w:p>
    <w:p w:rsidR="002F26AD" w:rsidRDefault="002F26AD">
      <w:pPr>
        <w:pStyle w:val="Heading1"/>
        <w:pBdr>
          <w:top w:val="none" w:sz="0" w:space="0" w:color="auto"/>
          <w:left w:val="none" w:sz="0" w:space="0" w:color="auto"/>
          <w:bottom w:val="none" w:sz="0" w:space="0" w:color="auto"/>
          <w:right w:val="none" w:sz="0" w:space="0" w:color="auto"/>
        </w:pBdr>
        <w:rPr>
          <w:b w:val="0"/>
          <w:i w:val="0"/>
          <w:sz w:val="28"/>
        </w:rPr>
      </w:pPr>
      <w:r>
        <w:rPr>
          <w:b w:val="0"/>
          <w:i w:val="0"/>
          <w:sz w:val="28"/>
        </w:rPr>
        <w:t>Channel Crossing, ST  00123</w:t>
      </w:r>
    </w:p>
    <w:p w:rsidR="002F26AD" w:rsidRDefault="002F26AD">
      <w:pPr>
        <w:jc w:val="center"/>
        <w:rPr>
          <w:sz w:val="28"/>
        </w:rPr>
      </w:pPr>
    </w:p>
    <w:p w:rsidR="002F26AD" w:rsidRDefault="002F26AD">
      <w:pPr>
        <w:pStyle w:val="Heading2"/>
        <w:pBdr>
          <w:top w:val="none" w:sz="0" w:space="0" w:color="auto"/>
          <w:left w:val="none" w:sz="0" w:space="0" w:color="auto"/>
          <w:bottom w:val="none" w:sz="0" w:space="0" w:color="auto"/>
          <w:right w:val="none" w:sz="0" w:space="0" w:color="auto"/>
        </w:pBdr>
        <w:jc w:val="left"/>
        <w:rPr>
          <w:i w:val="0"/>
          <w:sz w:val="24"/>
        </w:rPr>
      </w:pPr>
      <w:r>
        <w:rPr>
          <w:b w:val="0"/>
          <w:i w:val="0"/>
          <w:sz w:val="24"/>
        </w:rPr>
        <w:t>Management Agent</w:t>
      </w:r>
      <w:r>
        <w:rPr>
          <w:i w:val="0"/>
          <w:sz w:val="24"/>
        </w:rPr>
        <w:t>:  XYZ Management</w:t>
      </w:r>
      <w:r>
        <w:rPr>
          <w:i w:val="0"/>
          <w:sz w:val="24"/>
        </w:rPr>
        <w:tab/>
      </w:r>
      <w:r>
        <w:rPr>
          <w:i w:val="0"/>
          <w:sz w:val="24"/>
        </w:rPr>
        <w:tab/>
      </w:r>
      <w:r>
        <w:rPr>
          <w:i w:val="0"/>
          <w:sz w:val="24"/>
        </w:rPr>
        <w:tab/>
      </w:r>
      <w:r>
        <w:rPr>
          <w:b w:val="0"/>
          <w:i w:val="0"/>
          <w:sz w:val="24"/>
        </w:rPr>
        <w:t>County</w:t>
      </w:r>
      <w:r>
        <w:rPr>
          <w:i w:val="0"/>
          <w:sz w:val="24"/>
        </w:rPr>
        <w:t>:  Jefferson</w:t>
      </w:r>
    </w:p>
    <w:p w:rsidR="002F26AD" w:rsidRDefault="002F26AD">
      <w:pPr>
        <w:pStyle w:val="Heading2"/>
        <w:pBdr>
          <w:top w:val="none" w:sz="0" w:space="0" w:color="auto"/>
          <w:left w:val="none" w:sz="0" w:space="0" w:color="auto"/>
          <w:bottom w:val="none" w:sz="0" w:space="0" w:color="auto"/>
          <w:right w:val="none" w:sz="0" w:space="0" w:color="auto"/>
        </w:pBdr>
        <w:ind w:right="-360"/>
        <w:jc w:val="left"/>
        <w:rPr>
          <w:i w:val="0"/>
          <w:sz w:val="24"/>
        </w:rPr>
      </w:pPr>
      <w:r>
        <w:rPr>
          <w:b w:val="0"/>
          <w:i w:val="0"/>
          <w:sz w:val="24"/>
        </w:rPr>
        <w:t>Contact</w:t>
      </w:r>
      <w:r>
        <w:rPr>
          <w:i w:val="0"/>
          <w:sz w:val="24"/>
        </w:rPr>
        <w:t>:  John Adams</w:t>
      </w:r>
      <w:r>
        <w:rPr>
          <w:i w:val="0"/>
          <w:sz w:val="24"/>
        </w:rPr>
        <w:tab/>
      </w:r>
      <w:r>
        <w:rPr>
          <w:i w:val="0"/>
          <w:sz w:val="24"/>
        </w:rPr>
        <w:tab/>
      </w:r>
      <w:r>
        <w:rPr>
          <w:i w:val="0"/>
          <w:sz w:val="24"/>
        </w:rPr>
        <w:tab/>
      </w:r>
      <w:r>
        <w:rPr>
          <w:i w:val="0"/>
          <w:sz w:val="24"/>
        </w:rPr>
        <w:tab/>
      </w:r>
      <w:r>
        <w:rPr>
          <w:i w:val="0"/>
          <w:sz w:val="24"/>
        </w:rPr>
        <w:tab/>
      </w:r>
      <w:r>
        <w:rPr>
          <w:b w:val="0"/>
          <w:i w:val="0"/>
          <w:sz w:val="24"/>
        </w:rPr>
        <w:t>Cross Street</w:t>
      </w:r>
      <w:r>
        <w:rPr>
          <w:i w:val="0"/>
          <w:sz w:val="24"/>
        </w:rPr>
        <w:t>:  Pleasant Avenue and 37th</w:t>
      </w:r>
    </w:p>
    <w:p w:rsidR="002F26AD" w:rsidRDefault="002F26AD">
      <w:pPr>
        <w:pStyle w:val="Heading2"/>
        <w:pBdr>
          <w:top w:val="none" w:sz="0" w:space="0" w:color="auto"/>
          <w:left w:val="none" w:sz="0" w:space="0" w:color="auto"/>
          <w:bottom w:val="none" w:sz="0" w:space="0" w:color="auto"/>
          <w:right w:val="none" w:sz="0" w:space="0" w:color="auto"/>
        </w:pBdr>
        <w:jc w:val="left"/>
        <w:rPr>
          <w:i w:val="0"/>
          <w:sz w:val="24"/>
        </w:rPr>
      </w:pPr>
      <w:r>
        <w:rPr>
          <w:b w:val="0"/>
          <w:i w:val="0"/>
          <w:sz w:val="24"/>
        </w:rPr>
        <w:t>Contact</w:t>
      </w:r>
      <w:r>
        <w:rPr>
          <w:i w:val="0"/>
          <w:sz w:val="24"/>
        </w:rPr>
        <w:t xml:space="preserve"> </w:t>
      </w:r>
      <w:r>
        <w:rPr>
          <w:b w:val="0"/>
          <w:i w:val="0"/>
          <w:sz w:val="24"/>
        </w:rPr>
        <w:t>Phone</w:t>
      </w:r>
      <w:r>
        <w:rPr>
          <w:i w:val="0"/>
          <w:sz w:val="24"/>
        </w:rPr>
        <w:t>:  (000) 666-5555</w:t>
      </w:r>
      <w:r>
        <w:rPr>
          <w:i w:val="0"/>
          <w:sz w:val="24"/>
        </w:rPr>
        <w:tab/>
      </w:r>
      <w:r>
        <w:rPr>
          <w:i w:val="0"/>
          <w:sz w:val="24"/>
        </w:rPr>
        <w:tab/>
      </w:r>
      <w:r>
        <w:rPr>
          <w:i w:val="0"/>
          <w:sz w:val="24"/>
        </w:rPr>
        <w:tab/>
      </w:r>
      <w:r>
        <w:rPr>
          <w:i w:val="0"/>
          <w:sz w:val="24"/>
        </w:rPr>
        <w:tab/>
      </w:r>
      <w:r>
        <w:rPr>
          <w:b w:val="0"/>
          <w:i w:val="0"/>
          <w:sz w:val="24"/>
        </w:rPr>
        <w:t>Neighborhood</w:t>
      </w:r>
      <w:r>
        <w:rPr>
          <w:i w:val="0"/>
          <w:sz w:val="24"/>
        </w:rPr>
        <w:t>:  Park East</w:t>
      </w:r>
    </w:p>
    <w:p w:rsidR="002F26AD" w:rsidRDefault="002F26AD">
      <w:pPr>
        <w:jc w:val="center"/>
      </w:pPr>
    </w:p>
    <w:p w:rsidR="002F26AD" w:rsidRDefault="002F26AD">
      <w:pPr>
        <w:jc w:val="center"/>
      </w:pPr>
    </w:p>
    <w:p w:rsidR="002F26AD" w:rsidRDefault="002F26AD">
      <w:pPr>
        <w:jc w:val="center"/>
      </w:pPr>
      <w:r>
        <w:rPr>
          <w:sz w:val="20"/>
        </w:rPr>
        <w:pict>
          <v:shape id="_x0000_i1031" type="#_x0000_t75" style="width:336.75pt;height:204.75pt">
            <v:imagedata r:id="rId16" o:title=""/>
          </v:shape>
        </w:pict>
      </w:r>
    </w:p>
    <w:p w:rsidR="002F26AD" w:rsidRDefault="002F26AD">
      <w:pPr>
        <w:jc w:val="center"/>
      </w:pPr>
    </w:p>
    <w:p w:rsidR="002F26AD" w:rsidRDefault="002F26AD">
      <w:pPr>
        <w:jc w:val="center"/>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p w:rsidR="002F26AD" w:rsidRDefault="002F26AD">
      <w:pPr>
        <w:pStyle w:val="Header"/>
        <w:tabs>
          <w:tab w:val="clear" w:pos="4320"/>
          <w:tab w:val="clear" w:pos="864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0"/>
        <w:gridCol w:w="1530"/>
        <w:gridCol w:w="1710"/>
        <w:gridCol w:w="1710"/>
        <w:gridCol w:w="1530"/>
        <w:gridCol w:w="1890"/>
      </w:tblGrid>
      <w:tr w:rsidR="002F26AD">
        <w:tblPrEx>
          <w:tblCellMar>
            <w:top w:w="0" w:type="dxa"/>
            <w:bottom w:w="0" w:type="dxa"/>
          </w:tblCellMar>
        </w:tblPrEx>
        <w:trPr>
          <w:trHeight w:val="377"/>
          <w:tblHeader/>
          <w:jc w:val="center"/>
        </w:trPr>
        <w:tc>
          <w:tcPr>
            <w:tcW w:w="1368" w:type="dxa"/>
            <w:tcBorders>
              <w:bottom w:val="double" w:sz="6" w:space="0" w:color="auto"/>
            </w:tcBorders>
            <w:shd w:val="pct10" w:color="auto" w:fill="FFFFFF"/>
          </w:tcPr>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 xml:space="preserve">Unit </w:t>
            </w:r>
          </w:p>
          <w:p w:rsidR="002F26AD" w:rsidRDefault="002F26AD">
            <w:pPr>
              <w:pStyle w:val="Heading3"/>
              <w:pBdr>
                <w:top w:val="none" w:sz="0" w:space="0" w:color="auto"/>
                <w:left w:val="none" w:sz="0" w:space="0" w:color="auto"/>
                <w:bottom w:val="none" w:sz="0" w:space="0" w:color="auto"/>
                <w:right w:val="none" w:sz="0" w:space="0" w:color="auto"/>
              </w:pBdr>
              <w:rPr>
                <w:b/>
                <w:sz w:val="24"/>
              </w:rPr>
            </w:pPr>
            <w:r>
              <w:rPr>
                <w:b/>
                <w:sz w:val="24"/>
              </w:rPr>
              <w:t>Type</w:t>
            </w:r>
          </w:p>
        </w:tc>
        <w:tc>
          <w:tcPr>
            <w:tcW w:w="1530" w:type="dxa"/>
            <w:tcBorders>
              <w:bottom w:val="double" w:sz="6" w:space="0" w:color="auto"/>
            </w:tcBorders>
            <w:shd w:val="pct10" w:color="auto" w:fill="FFFFFF"/>
          </w:tcPr>
          <w:p w:rsidR="002F26AD" w:rsidRDefault="002F26AD">
            <w:pPr>
              <w:jc w:val="center"/>
              <w:rPr>
                <w:b/>
              </w:rPr>
            </w:pPr>
            <w:r>
              <w:rPr>
                <w:b/>
              </w:rPr>
              <w:t xml:space="preserve">No. of </w:t>
            </w:r>
          </w:p>
          <w:p w:rsidR="002F26AD" w:rsidRDefault="002F26AD">
            <w:pPr>
              <w:jc w:val="center"/>
              <w:rPr>
                <w:b/>
              </w:rPr>
            </w:pPr>
            <w:r>
              <w:rPr>
                <w:b/>
              </w:rPr>
              <w:t>Units</w:t>
            </w:r>
          </w:p>
        </w:tc>
        <w:tc>
          <w:tcPr>
            <w:tcW w:w="1710" w:type="dxa"/>
            <w:tcBorders>
              <w:bottom w:val="double" w:sz="6" w:space="0" w:color="auto"/>
            </w:tcBorders>
            <w:shd w:val="pct10" w:color="auto" w:fill="FFFFFF"/>
          </w:tcPr>
          <w:p w:rsidR="002F26AD" w:rsidRDefault="002F26AD">
            <w:pPr>
              <w:jc w:val="center"/>
              <w:rPr>
                <w:b/>
              </w:rPr>
            </w:pPr>
            <w:r>
              <w:rPr>
                <w:b/>
              </w:rPr>
              <w:t>Used as Comp in RCS?</w:t>
            </w:r>
          </w:p>
          <w:p w:rsidR="002F26AD" w:rsidRDefault="002F26AD">
            <w:pPr>
              <w:jc w:val="center"/>
              <w:rPr>
                <w:b/>
              </w:rPr>
            </w:pPr>
            <w:r>
              <w:t>(Y/N)</w:t>
            </w:r>
          </w:p>
        </w:tc>
        <w:tc>
          <w:tcPr>
            <w:tcW w:w="1710" w:type="dxa"/>
            <w:tcBorders>
              <w:bottom w:val="double" w:sz="6" w:space="0" w:color="auto"/>
            </w:tcBorders>
            <w:shd w:val="pct10" w:color="auto" w:fill="FFFFFF"/>
          </w:tcPr>
          <w:p w:rsidR="002F26AD" w:rsidRDefault="002F26AD">
            <w:pPr>
              <w:jc w:val="center"/>
              <w:rPr>
                <w:b/>
              </w:rPr>
            </w:pPr>
            <w:r>
              <w:rPr>
                <w:b/>
              </w:rPr>
              <w:t>Average</w:t>
            </w:r>
          </w:p>
          <w:p w:rsidR="002F26AD" w:rsidRDefault="002F26AD">
            <w:pPr>
              <w:jc w:val="center"/>
              <w:rPr>
                <w:b/>
              </w:rPr>
            </w:pPr>
            <w:r>
              <w:rPr>
                <w:b/>
              </w:rPr>
              <w:t>Rent</w:t>
            </w:r>
          </w:p>
        </w:tc>
        <w:tc>
          <w:tcPr>
            <w:tcW w:w="1530" w:type="dxa"/>
            <w:tcBorders>
              <w:bottom w:val="double" w:sz="6" w:space="0" w:color="auto"/>
            </w:tcBorders>
            <w:shd w:val="pct10" w:color="auto" w:fill="FFFFFF"/>
          </w:tcPr>
          <w:p w:rsidR="002F26AD" w:rsidRDefault="002F26AD">
            <w:pPr>
              <w:jc w:val="center"/>
              <w:rPr>
                <w:b/>
              </w:rPr>
            </w:pPr>
            <w:r>
              <w:rPr>
                <w:b/>
              </w:rPr>
              <w:t>Interior</w:t>
            </w:r>
          </w:p>
          <w:p w:rsidR="002F26AD" w:rsidRDefault="002F26AD">
            <w:pPr>
              <w:jc w:val="center"/>
              <w:rPr>
                <w:b/>
              </w:rPr>
            </w:pPr>
            <w:r>
              <w:rPr>
                <w:b/>
              </w:rPr>
              <w:t>Size</w:t>
            </w:r>
          </w:p>
          <w:p w:rsidR="002F26AD" w:rsidRDefault="002F26AD">
            <w:pPr>
              <w:jc w:val="center"/>
            </w:pPr>
            <w:r>
              <w:t>(SF)</w:t>
            </w:r>
          </w:p>
        </w:tc>
        <w:tc>
          <w:tcPr>
            <w:tcW w:w="1890" w:type="dxa"/>
            <w:tcBorders>
              <w:bottom w:val="double" w:sz="6" w:space="0" w:color="auto"/>
            </w:tcBorders>
            <w:shd w:val="pct10" w:color="auto" w:fill="FFFFFF"/>
          </w:tcPr>
          <w:p w:rsidR="002F26AD" w:rsidRDefault="002F26AD">
            <w:pPr>
              <w:jc w:val="center"/>
              <w:rPr>
                <w:b/>
              </w:rPr>
            </w:pPr>
            <w:r>
              <w:rPr>
                <w:b/>
              </w:rPr>
              <w:t>Any Rent Restrictions?</w:t>
            </w:r>
          </w:p>
          <w:p w:rsidR="002F26AD" w:rsidRDefault="002F26AD">
            <w:pPr>
              <w:jc w:val="center"/>
            </w:pPr>
            <w:r>
              <w:t>(Y/N)</w:t>
            </w:r>
          </w:p>
        </w:tc>
      </w:tr>
      <w:tr w:rsidR="002F26AD">
        <w:tblPrEx>
          <w:tblCellMar>
            <w:top w:w="0" w:type="dxa"/>
            <w:bottom w:w="0" w:type="dxa"/>
          </w:tblCellMar>
        </w:tblPrEx>
        <w:trPr>
          <w:trHeight w:val="339"/>
          <w:jc w:val="center"/>
        </w:trPr>
        <w:tc>
          <w:tcPr>
            <w:tcW w:w="1368" w:type="dxa"/>
            <w:tcBorders>
              <w:top w:val="nil"/>
            </w:tcBorders>
          </w:tcPr>
          <w:p w:rsidR="002F26AD" w:rsidRDefault="002F26AD">
            <w:pPr>
              <w:jc w:val="center"/>
            </w:pPr>
            <w:r>
              <w:t>0 / 1</w:t>
            </w:r>
          </w:p>
        </w:tc>
        <w:tc>
          <w:tcPr>
            <w:tcW w:w="1530" w:type="dxa"/>
            <w:tcBorders>
              <w:top w:val="nil"/>
            </w:tcBorders>
          </w:tcPr>
          <w:p w:rsidR="002F26AD" w:rsidRDefault="002F26AD">
            <w:pPr>
              <w:jc w:val="center"/>
            </w:pPr>
            <w:r>
              <w:t>10</w:t>
            </w:r>
          </w:p>
        </w:tc>
        <w:tc>
          <w:tcPr>
            <w:tcW w:w="1710" w:type="dxa"/>
            <w:tcBorders>
              <w:top w:val="nil"/>
            </w:tcBorders>
          </w:tcPr>
          <w:p w:rsidR="002F26AD" w:rsidRDefault="002F26AD">
            <w:pPr>
              <w:jc w:val="center"/>
            </w:pPr>
            <w:r>
              <w:t>Y</w:t>
            </w:r>
          </w:p>
        </w:tc>
        <w:tc>
          <w:tcPr>
            <w:tcW w:w="1710" w:type="dxa"/>
            <w:tcBorders>
              <w:top w:val="nil"/>
              <w:bottom w:val="nil"/>
            </w:tcBorders>
          </w:tcPr>
          <w:p w:rsidR="002F26AD" w:rsidRDefault="002F26AD">
            <w:pPr>
              <w:jc w:val="center"/>
            </w:pPr>
            <w:r>
              <w:t>$525</w:t>
            </w:r>
          </w:p>
        </w:tc>
        <w:tc>
          <w:tcPr>
            <w:tcW w:w="1530" w:type="dxa"/>
            <w:tcBorders>
              <w:top w:val="nil"/>
              <w:bottom w:val="nil"/>
            </w:tcBorders>
          </w:tcPr>
          <w:p w:rsidR="002F26AD" w:rsidRDefault="002F26AD">
            <w:pPr>
              <w:jc w:val="center"/>
            </w:pPr>
            <w:r>
              <w:t>450</w:t>
            </w:r>
          </w:p>
        </w:tc>
        <w:tc>
          <w:tcPr>
            <w:tcW w:w="1890" w:type="dxa"/>
            <w:tcBorders>
              <w:top w:val="nil"/>
              <w:bottom w:val="nil"/>
            </w:tcBorders>
          </w:tcPr>
          <w:p w:rsidR="002F26AD" w:rsidRDefault="002F26AD">
            <w:pPr>
              <w:jc w:val="center"/>
            </w:pPr>
            <w:r>
              <w:t>N</w:t>
            </w:r>
          </w:p>
        </w:tc>
      </w:tr>
      <w:tr w:rsidR="002F26AD">
        <w:tblPrEx>
          <w:tblCellMar>
            <w:top w:w="0" w:type="dxa"/>
            <w:bottom w:w="0" w:type="dxa"/>
          </w:tblCellMar>
        </w:tblPrEx>
        <w:trPr>
          <w:cantSplit/>
          <w:trHeight w:val="359"/>
          <w:jc w:val="center"/>
        </w:trPr>
        <w:tc>
          <w:tcPr>
            <w:tcW w:w="1368" w:type="dxa"/>
          </w:tcPr>
          <w:p w:rsidR="002F26AD" w:rsidRDefault="002F26AD">
            <w:pPr>
              <w:jc w:val="center"/>
            </w:pPr>
            <w:r>
              <w:t>1 / 1</w:t>
            </w:r>
          </w:p>
        </w:tc>
        <w:tc>
          <w:tcPr>
            <w:tcW w:w="1530" w:type="dxa"/>
          </w:tcPr>
          <w:p w:rsidR="002F26AD" w:rsidRDefault="002F26AD">
            <w:pPr>
              <w:jc w:val="center"/>
            </w:pPr>
            <w:r>
              <w:t>25</w:t>
            </w:r>
          </w:p>
        </w:tc>
        <w:tc>
          <w:tcPr>
            <w:tcW w:w="1710" w:type="dxa"/>
          </w:tcPr>
          <w:p w:rsidR="002F26AD" w:rsidRDefault="002F26AD">
            <w:pPr>
              <w:jc w:val="center"/>
            </w:pPr>
            <w:r>
              <w:t>N</w:t>
            </w:r>
          </w:p>
        </w:tc>
        <w:tc>
          <w:tcPr>
            <w:tcW w:w="5130" w:type="dxa"/>
            <w:gridSpan w:val="3"/>
            <w:shd w:val="pct5" w:color="auto" w:fill="FFFFFF"/>
          </w:tcPr>
          <w:p w:rsidR="002F26AD" w:rsidRDefault="002F26AD"/>
        </w:tc>
      </w:tr>
      <w:tr w:rsidR="002F26AD">
        <w:tblPrEx>
          <w:tblCellMar>
            <w:top w:w="0" w:type="dxa"/>
            <w:bottom w:w="0" w:type="dxa"/>
          </w:tblCellMar>
        </w:tblPrEx>
        <w:trPr>
          <w:cantSplit/>
          <w:trHeight w:val="359"/>
          <w:jc w:val="center"/>
        </w:trPr>
        <w:tc>
          <w:tcPr>
            <w:tcW w:w="1368" w:type="dxa"/>
          </w:tcPr>
          <w:p w:rsidR="002F26AD" w:rsidRDefault="002F26AD">
            <w:pPr>
              <w:jc w:val="center"/>
            </w:pPr>
            <w:r>
              <w:t>2/1</w:t>
            </w:r>
          </w:p>
        </w:tc>
        <w:tc>
          <w:tcPr>
            <w:tcW w:w="1530" w:type="dxa"/>
          </w:tcPr>
          <w:p w:rsidR="002F26AD" w:rsidRDefault="002F26AD">
            <w:pPr>
              <w:jc w:val="center"/>
            </w:pPr>
            <w:r>
              <w:t>15</w:t>
            </w:r>
          </w:p>
        </w:tc>
        <w:tc>
          <w:tcPr>
            <w:tcW w:w="1710" w:type="dxa"/>
          </w:tcPr>
          <w:p w:rsidR="002F26AD" w:rsidRDefault="002F26AD">
            <w:pPr>
              <w:jc w:val="center"/>
            </w:pPr>
            <w:r>
              <w:t>N</w:t>
            </w:r>
          </w:p>
        </w:tc>
        <w:tc>
          <w:tcPr>
            <w:tcW w:w="5130" w:type="dxa"/>
            <w:gridSpan w:val="3"/>
            <w:shd w:val="pct5" w:color="auto" w:fill="FFFFFF"/>
          </w:tcPr>
          <w:p w:rsidR="002F26AD" w:rsidRDefault="002F26AD"/>
        </w:tc>
      </w:tr>
    </w:tbl>
    <w:p w:rsidR="002F26AD" w:rsidRDefault="002F26AD">
      <w:pPr>
        <w:pStyle w:val="Heading4"/>
        <w:pBdr>
          <w:top w:val="none" w:sz="0" w:space="0" w:color="auto"/>
          <w:left w:val="none" w:sz="0" w:space="0" w:color="auto"/>
          <w:bottom w:val="none" w:sz="0" w:space="0" w:color="auto"/>
          <w:right w:val="none" w:sz="0" w:space="0" w:color="auto"/>
        </w:pBdr>
        <w:ind w:left="270"/>
        <w:rPr>
          <w:sz w:val="24"/>
        </w:rPr>
      </w:pPr>
    </w:p>
    <w:p w:rsidR="002F26AD" w:rsidRDefault="002F26AD">
      <w:pPr>
        <w:pStyle w:val="Heading4"/>
        <w:pBdr>
          <w:top w:val="none" w:sz="0" w:space="0" w:color="auto"/>
          <w:left w:val="none" w:sz="0" w:space="0" w:color="auto"/>
          <w:bottom w:val="none" w:sz="0" w:space="0" w:color="auto"/>
          <w:right w:val="none" w:sz="0" w:space="0" w:color="auto"/>
        </w:pBdr>
        <w:ind w:left="270"/>
        <w:jc w:val="left"/>
        <w:rPr>
          <w:sz w:val="24"/>
        </w:rPr>
      </w:pPr>
      <w:r>
        <w:rPr>
          <w:b/>
          <w:sz w:val="24"/>
        </w:rPr>
        <w:t>Total Units</w:t>
      </w:r>
      <w:r>
        <w:rPr>
          <w:sz w:val="24"/>
        </w:rPr>
        <w:t>:    50</w:t>
      </w:r>
      <w:r>
        <w:rPr>
          <w:sz w:val="24"/>
        </w:rPr>
        <w:tab/>
      </w:r>
      <w:r>
        <w:rPr>
          <w:sz w:val="24"/>
        </w:rPr>
        <w:tab/>
      </w:r>
      <w:r>
        <w:rPr>
          <w:sz w:val="24"/>
        </w:rPr>
        <w:tab/>
      </w:r>
      <w:r>
        <w:rPr>
          <w:sz w:val="24"/>
        </w:rPr>
        <w:tab/>
      </w:r>
      <w:r>
        <w:rPr>
          <w:sz w:val="24"/>
        </w:rPr>
        <w:tab/>
      </w:r>
      <w:r>
        <w:rPr>
          <w:sz w:val="24"/>
        </w:rPr>
        <w:tab/>
      </w:r>
      <w:r>
        <w:rPr>
          <w:b/>
          <w:sz w:val="24"/>
        </w:rPr>
        <w:t>Project Occupancy</w:t>
      </w:r>
      <w:r>
        <w:rPr>
          <w:sz w:val="24"/>
        </w:rPr>
        <w:t>: 98%</w:t>
      </w:r>
    </w:p>
    <w:p w:rsidR="002F26AD" w:rsidRDefault="002F26AD">
      <w:pPr>
        <w:pStyle w:val="Header"/>
        <w:tabs>
          <w:tab w:val="clear" w:pos="4320"/>
          <w:tab w:val="clear" w:pos="8640"/>
        </w:tabs>
      </w:pPr>
    </w:p>
    <w:p w:rsidR="002F26AD" w:rsidRDefault="002F26AD">
      <w:pPr>
        <w:ind w:firstLine="270"/>
      </w:pPr>
      <w:r>
        <w:rPr>
          <w:b/>
        </w:rPr>
        <w:t>Charges in Addition to Rent</w:t>
      </w:r>
      <w:r>
        <w:t xml:space="preserve">: </w:t>
      </w:r>
    </w:p>
    <w:p w:rsidR="002F26AD" w:rsidRDefault="002F26AD">
      <w:pPr>
        <w:ind w:firstLine="270"/>
      </w:pPr>
    </w:p>
    <w:p w:rsidR="002F26AD" w:rsidRDefault="002F26AD">
      <w:pPr>
        <w:ind w:firstLine="270"/>
      </w:pPr>
      <w:r>
        <w:rPr>
          <w:b/>
        </w:rPr>
        <w:t>Subsidies and Restrictions at Project</w:t>
      </w:r>
      <w:r>
        <w:t>:  None</w:t>
      </w:r>
    </w:p>
    <w:p w:rsidR="002F26AD" w:rsidRDefault="002F26AD">
      <w:pPr>
        <w:ind w:firstLine="270"/>
        <w:rPr>
          <w:b/>
        </w:rPr>
      </w:pPr>
    </w:p>
    <w:p w:rsidR="002F26AD" w:rsidRDefault="002F26AD">
      <w:pPr>
        <w:ind w:firstLine="270"/>
      </w:pPr>
      <w:r>
        <w:rPr>
          <w:b/>
        </w:rPr>
        <w:t>Other Comments</w:t>
      </w:r>
      <w:r>
        <w:t>:   Elderly project</w:t>
      </w:r>
    </w:p>
    <w:p w:rsidR="002F26AD" w:rsidRDefault="002F26AD">
      <w:pPr>
        <w:ind w:firstLine="270"/>
      </w:pPr>
    </w:p>
    <w:p w:rsidR="002F26AD" w:rsidRDefault="002F26AD">
      <w:pPr>
        <w:ind w:firstLine="270"/>
      </w:pPr>
      <w:r>
        <w:rPr>
          <w:b/>
        </w:rPr>
        <w:t>Date Information Verified</w:t>
      </w:r>
      <w:r>
        <w:t>: 3 / 29 / 00</w:t>
      </w:r>
    </w:p>
    <w:p w:rsidR="002F26AD" w:rsidRDefault="002F26AD">
      <w:pPr>
        <w:ind w:right="324"/>
        <w:jc w:val="center"/>
        <w:rPr>
          <w:b/>
          <w:u w:val="single"/>
        </w:rPr>
        <w:sectPr w:rsidR="002F26AD">
          <w:pgSz w:w="12240" w:h="15840"/>
          <w:pgMar w:top="720" w:right="360" w:bottom="720" w:left="360" w:header="720" w:footer="720" w:gutter="0"/>
          <w:cols w:space="720"/>
        </w:sectPr>
      </w:pPr>
    </w:p>
    <w:p w:rsidR="002F26AD" w:rsidRDefault="002F26AD">
      <w:pPr>
        <w:ind w:right="324"/>
        <w:jc w:val="right"/>
        <w:rPr>
          <w:b/>
          <w:i/>
        </w:rPr>
      </w:pPr>
    </w:p>
    <w:p w:rsidR="002F26AD" w:rsidRDefault="002F26AD">
      <w:pPr>
        <w:rPr>
          <w:b/>
          <w:i/>
          <w:sz w:val="20"/>
        </w:rPr>
      </w:pPr>
      <w:r>
        <w:rPr>
          <w:b/>
          <w:i/>
        </w:rPr>
        <w:t>Appraiser Certification</w:t>
      </w:r>
    </w:p>
    <w:p w:rsidR="002F26AD" w:rsidRDefault="002F26AD">
      <w:pPr>
        <w:ind w:right="324"/>
        <w:jc w:val="center"/>
        <w:rPr>
          <w:b/>
          <w:i/>
          <w:sz w:val="20"/>
        </w:rPr>
      </w:pPr>
    </w:p>
    <w:p w:rsidR="002F26AD" w:rsidRDefault="002F26AD">
      <w:pPr>
        <w:ind w:right="324"/>
        <w:rPr>
          <w:i/>
          <w:sz w:val="20"/>
        </w:rPr>
      </w:pPr>
      <w:r>
        <w:rPr>
          <w:b/>
          <w:i/>
          <w:sz w:val="20"/>
        </w:rPr>
        <w:t>Project Name:</w:t>
      </w:r>
      <w:r>
        <w:rPr>
          <w:sz w:val="20"/>
          <w:u w:val="single"/>
        </w:rPr>
        <w:t xml:space="preserve"> ABC Village Apts</w:t>
      </w:r>
      <w:r>
        <w:rPr>
          <w:b/>
          <w:i/>
          <w:sz w:val="20"/>
        </w:rPr>
        <w:tab/>
      </w:r>
      <w:r>
        <w:rPr>
          <w:b/>
          <w:i/>
          <w:sz w:val="20"/>
        </w:rPr>
        <w:tab/>
        <w:t>FHA Proje</w:t>
      </w:r>
      <w:r>
        <w:rPr>
          <w:i/>
          <w:sz w:val="20"/>
        </w:rPr>
        <w:t>ct</w:t>
      </w:r>
      <w:r>
        <w:rPr>
          <w:sz w:val="20"/>
        </w:rPr>
        <w:t xml:space="preserve"> </w:t>
      </w:r>
      <w:r>
        <w:rPr>
          <w:b/>
          <w:i/>
          <w:sz w:val="20"/>
        </w:rPr>
        <w:t>No :</w:t>
      </w:r>
      <w:r>
        <w:rPr>
          <w:i/>
          <w:sz w:val="20"/>
          <w:u w:val="single"/>
        </w:rPr>
        <w:t>12335666</w:t>
      </w:r>
      <w:r>
        <w:rPr>
          <w:i/>
          <w:sz w:val="20"/>
        </w:rPr>
        <w:t xml:space="preserve"> </w:t>
      </w:r>
    </w:p>
    <w:p w:rsidR="002F26AD" w:rsidRDefault="002F26AD">
      <w:pPr>
        <w:ind w:right="324"/>
        <w:rPr>
          <w:b/>
          <w:i/>
          <w:sz w:val="20"/>
        </w:rPr>
      </w:pPr>
    </w:p>
    <w:p w:rsidR="002F26AD" w:rsidRDefault="002F26AD">
      <w:pPr>
        <w:ind w:right="324"/>
        <w:rPr>
          <w:b/>
          <w:i/>
          <w:sz w:val="20"/>
        </w:rPr>
      </w:pPr>
    </w:p>
    <w:p w:rsidR="002F26AD" w:rsidRDefault="002F26AD">
      <w:pPr>
        <w:ind w:right="324"/>
        <w:rPr>
          <w:b/>
          <w:i/>
          <w:sz w:val="20"/>
        </w:rPr>
      </w:pPr>
      <w:r>
        <w:rPr>
          <w:b/>
          <w:i/>
          <w:sz w:val="20"/>
        </w:rPr>
        <w:t>By my signature below, I certify that, to the best of my knowledge and belief:</w:t>
      </w:r>
    </w:p>
    <w:p w:rsidR="002F26AD" w:rsidRDefault="002F26AD" w:rsidP="00855AC8">
      <w:pPr>
        <w:numPr>
          <w:ilvl w:val="0"/>
          <w:numId w:val="2"/>
        </w:numPr>
        <w:spacing w:before="120"/>
        <w:ind w:right="324"/>
        <w:rPr>
          <w:sz w:val="20"/>
        </w:rPr>
      </w:pPr>
      <w:r>
        <w:rPr>
          <w:sz w:val="20"/>
        </w:rPr>
        <w:t>The statements of fact contained in this report are true and correct.</w:t>
      </w:r>
    </w:p>
    <w:p w:rsidR="002F26AD" w:rsidRDefault="002F26AD" w:rsidP="00855AC8">
      <w:pPr>
        <w:numPr>
          <w:ilvl w:val="0"/>
          <w:numId w:val="2"/>
        </w:numPr>
        <w:spacing w:before="120"/>
        <w:ind w:right="324"/>
        <w:rPr>
          <w:sz w:val="20"/>
        </w:rPr>
      </w:pPr>
      <w:r>
        <w:rPr>
          <w:sz w:val="20"/>
        </w:rPr>
        <w:t>The reported analyses, opinions, and conclusions are limited only by the reported assumptions and limiting conditions, and are  my personal, impartial, and unbiased professional analyses, opinions, and conclusions.</w:t>
      </w:r>
    </w:p>
    <w:p w:rsidR="002F26AD" w:rsidRDefault="002F26AD" w:rsidP="00855AC8">
      <w:pPr>
        <w:numPr>
          <w:ilvl w:val="0"/>
          <w:numId w:val="2"/>
        </w:numPr>
        <w:spacing w:before="120"/>
        <w:ind w:right="324"/>
        <w:rPr>
          <w:sz w:val="20"/>
        </w:rPr>
      </w:pPr>
      <w:r>
        <w:rPr>
          <w:sz w:val="20"/>
        </w:rPr>
        <w:t xml:space="preserve">I have no present or prospective financial interest in the above property, its ownership or management agent entity, or the principals of those entities.  I am not an employee of those principals or entities and I have no business or close personal/family interest with those parties that commonly would be perceived to create bias or a conflict of interest. </w:t>
      </w:r>
    </w:p>
    <w:p w:rsidR="002F26AD" w:rsidRDefault="002F26AD" w:rsidP="00855AC8">
      <w:pPr>
        <w:numPr>
          <w:ilvl w:val="0"/>
          <w:numId w:val="2"/>
        </w:numPr>
        <w:spacing w:before="120"/>
        <w:ind w:right="324"/>
        <w:rPr>
          <w:sz w:val="20"/>
        </w:rPr>
      </w:pPr>
      <w:r>
        <w:rPr>
          <w:sz w:val="20"/>
        </w:rPr>
        <w:t>I have no bias with respect to the property that is the subject of this report or to the ownership or management parties involved with this assignment.</w:t>
      </w:r>
    </w:p>
    <w:p w:rsidR="002F26AD" w:rsidRDefault="002F26AD" w:rsidP="00855AC8">
      <w:pPr>
        <w:numPr>
          <w:ilvl w:val="0"/>
          <w:numId w:val="2"/>
        </w:numPr>
        <w:spacing w:before="120"/>
        <w:ind w:right="324"/>
        <w:rPr>
          <w:sz w:val="20"/>
        </w:rPr>
      </w:pPr>
      <w:r>
        <w:rPr>
          <w:sz w:val="20"/>
        </w:rPr>
        <w:t>My engagement in and compensation for this assignment were and are not contingent upon the reporting of a predetermined rent or direction in rent. My fee is my only compensation for this rent study assignment. There are no other side agreements or considerations.</w:t>
      </w:r>
    </w:p>
    <w:p w:rsidR="002F26AD" w:rsidRDefault="002F26AD" w:rsidP="00855AC8">
      <w:pPr>
        <w:numPr>
          <w:ilvl w:val="0"/>
          <w:numId w:val="2"/>
        </w:numPr>
        <w:spacing w:before="120"/>
        <w:ind w:right="324"/>
        <w:rPr>
          <w:sz w:val="20"/>
        </w:rPr>
      </w:pPr>
      <w:r>
        <w:rPr>
          <w:sz w:val="20"/>
        </w:rPr>
        <w:t>My analyses, opinions, and conclusions were developed, and this report has been prepared, in conformity with the Uniform Standards of Professional Appraisal Practice and all applicable HUD procedures for performing Rent Comparability Studies for Section 8 contracts.</w:t>
      </w:r>
    </w:p>
    <w:p w:rsidR="002F26AD" w:rsidRDefault="002F26AD" w:rsidP="00855AC8">
      <w:pPr>
        <w:numPr>
          <w:ilvl w:val="0"/>
          <w:numId w:val="2"/>
        </w:numPr>
        <w:spacing w:before="120"/>
        <w:ind w:right="324"/>
        <w:rPr>
          <w:sz w:val="20"/>
        </w:rPr>
      </w:pPr>
      <w:r>
        <w:rPr>
          <w:sz w:val="20"/>
          <w:u w:val="single"/>
        </w:rPr>
        <w:t>Joe Jones &amp; Sharon Allen</w:t>
      </w:r>
      <w:r>
        <w:rPr>
          <w:sz w:val="20"/>
        </w:rPr>
        <w:t xml:space="preserve"> inspected the interior and exterior of the subject property. </w:t>
      </w:r>
      <w:r>
        <w:rPr>
          <w:sz w:val="20"/>
          <w:u w:val="single"/>
        </w:rPr>
        <w:t>Sharon Allen</w:t>
      </w:r>
      <w:r>
        <w:rPr>
          <w:sz w:val="20"/>
        </w:rPr>
        <w:t xml:space="preserve"> inspected the exteriors of the properties used as comparables in this report.</w:t>
      </w:r>
    </w:p>
    <w:p w:rsidR="002F26AD" w:rsidRDefault="002F26AD" w:rsidP="00855AC8">
      <w:pPr>
        <w:numPr>
          <w:ilvl w:val="0"/>
          <w:numId w:val="2"/>
        </w:numPr>
        <w:spacing w:before="120"/>
        <w:ind w:right="324"/>
        <w:rPr>
          <w:sz w:val="20"/>
        </w:rPr>
      </w:pPr>
      <w:r>
        <w:rPr>
          <w:sz w:val="20"/>
        </w:rPr>
        <w:t xml:space="preserve">No one provided significant professional assistance to the person signing this report except the persons listed here: </w:t>
      </w:r>
      <w:r>
        <w:rPr>
          <w:sz w:val="20"/>
          <w:u w:val="single"/>
        </w:rPr>
        <w:t>Sharon Allen, Assistant Appraiser</w:t>
      </w:r>
      <w:r>
        <w:rPr>
          <w:sz w:val="20"/>
        </w:rPr>
        <w:t>. If anyone is listed here, his/her contribution is identified in the Scope of Work section of this report.</w:t>
      </w:r>
    </w:p>
    <w:p w:rsidR="002F26AD" w:rsidRDefault="002F26AD" w:rsidP="00855AC8">
      <w:pPr>
        <w:numPr>
          <w:ilvl w:val="0"/>
          <w:numId w:val="2"/>
        </w:numPr>
        <w:spacing w:before="120"/>
        <w:ind w:right="324"/>
        <w:rPr>
          <w:sz w:val="20"/>
        </w:rPr>
      </w:pPr>
      <w:r>
        <w:rPr>
          <w:sz w:val="20"/>
        </w:rPr>
        <w:t>I am a certified general appraiser, licensed and in good standing with the state appraiser regulatory agency where the subject property is located and I meet all of the appraiser qualifications required in HUD’s rent comparability procedures.</w:t>
      </w:r>
    </w:p>
    <w:p w:rsidR="002F26AD" w:rsidRDefault="002F26AD" w:rsidP="00855AC8">
      <w:pPr>
        <w:numPr>
          <w:ilvl w:val="0"/>
          <w:numId w:val="2"/>
        </w:numPr>
        <w:spacing w:before="120"/>
        <w:ind w:right="324"/>
        <w:rPr>
          <w:sz w:val="20"/>
        </w:rPr>
      </w:pPr>
      <w:r>
        <w:rPr>
          <w:sz w:val="20"/>
        </w:rPr>
        <w:t xml:space="preserve">I am not debarred or suspended from doing business with the Federal Government. I also am not under a Limited Denial of Participation (LDP) imposed by the HUD Multifamily HUB or Program Center having jurisdiction over the Section 8 project. Any LDPs in effect now or in the past three years were imposed by the following HUD offices.   </w:t>
      </w:r>
      <w:r>
        <w:rPr>
          <w:sz w:val="20"/>
          <w:u w:val="single"/>
        </w:rPr>
        <w:t xml:space="preserve"> None</w:t>
      </w:r>
      <w:r>
        <w:rPr>
          <w:sz w:val="20"/>
        </w:rPr>
        <w:t xml:space="preserve">     </w:t>
      </w:r>
    </w:p>
    <w:p w:rsidR="002F26AD" w:rsidRDefault="002F26AD">
      <w:pPr>
        <w:ind w:right="324"/>
        <w:rPr>
          <w:sz w:val="20"/>
        </w:rPr>
      </w:pPr>
    </w:p>
    <w:p w:rsidR="002F26AD" w:rsidRDefault="002F26AD">
      <w:pPr>
        <w:rPr>
          <w:sz w:val="20"/>
        </w:rPr>
      </w:pPr>
    </w:p>
    <w:p w:rsidR="002F26AD" w:rsidRDefault="002F26AD">
      <w:pPr>
        <w:ind w:right="324"/>
        <w:rPr>
          <w:b/>
          <w:sz w:val="20"/>
        </w:rPr>
      </w:pPr>
      <w:r>
        <w:rPr>
          <w:b/>
          <w:sz w:val="20"/>
        </w:rPr>
        <w:t>Warning</w:t>
      </w:r>
      <w:r>
        <w:rPr>
          <w:b/>
          <w:i/>
          <w:sz w:val="20"/>
        </w:rPr>
        <w:t>:</w:t>
      </w:r>
      <w:r>
        <w:rPr>
          <w:sz w:val="20"/>
        </w:rPr>
        <w:t xml:space="preserve">  </w:t>
      </w:r>
      <w:r>
        <w:rPr>
          <w:b/>
          <w:sz w:val="20"/>
        </w:rPr>
        <w:t>If you knowingly make a false statement on this form, you may be subject to civil penalties under Section 1001 of Title 18 of the United States Code.  In addition, any person who knowingly and materially violates any required disclosure of information, including intentional non-disclosure, is subject to civil money penalty not to exceed $10,000.00 for each violation.</w:t>
      </w:r>
    </w:p>
    <w:p w:rsidR="002F26AD" w:rsidRDefault="002F26AD">
      <w:pPr>
        <w:ind w:right="324"/>
        <w:rPr>
          <w:sz w:val="20"/>
        </w:rPr>
      </w:pPr>
    </w:p>
    <w:p w:rsidR="002F26AD" w:rsidRDefault="002F26AD">
      <w:pPr>
        <w:rPr>
          <w:sz w:val="20"/>
        </w:rPr>
      </w:pPr>
    </w:p>
    <w:p w:rsidR="002F26AD" w:rsidRDefault="002F26AD">
      <w:pPr>
        <w:ind w:right="324"/>
        <w:rPr>
          <w:sz w:val="20"/>
        </w:rPr>
      </w:pPr>
      <w:r>
        <w:rPr>
          <w:b/>
          <w:sz w:val="20"/>
        </w:rPr>
        <w:t>Appraiser’s Name</w:t>
      </w:r>
      <w:r>
        <w:rPr>
          <w:sz w:val="20"/>
        </w:rPr>
        <w:t xml:space="preserve">: </w:t>
      </w:r>
      <w:r>
        <w:rPr>
          <w:sz w:val="20"/>
          <w:u w:val="single"/>
        </w:rPr>
        <w:t>Joe Jones</w:t>
      </w:r>
      <w:r>
        <w:rPr>
          <w:sz w:val="20"/>
        </w:rPr>
        <w:tab/>
      </w:r>
      <w:r>
        <w:rPr>
          <w:sz w:val="20"/>
        </w:rPr>
        <w:tab/>
      </w:r>
      <w:r>
        <w:rPr>
          <w:b/>
          <w:sz w:val="20"/>
        </w:rPr>
        <w:t>Signature</w:t>
      </w:r>
      <w:r>
        <w:rPr>
          <w:sz w:val="20"/>
        </w:rPr>
        <w:t xml:space="preserve">: </w:t>
      </w:r>
      <w:r>
        <w:rPr>
          <w:rFonts w:ascii="Lucida Handwriting" w:hAnsi="Lucida Handwriting"/>
          <w:sz w:val="20"/>
          <w:u w:val="single"/>
        </w:rPr>
        <w:t>Joseph Jones</w:t>
      </w:r>
      <w:r>
        <w:rPr>
          <w:sz w:val="20"/>
        </w:rPr>
        <w:tab/>
      </w:r>
      <w:r>
        <w:rPr>
          <w:sz w:val="20"/>
        </w:rPr>
        <w:tab/>
      </w:r>
      <w:r>
        <w:rPr>
          <w:b/>
          <w:sz w:val="20"/>
        </w:rPr>
        <w:t>Date</w:t>
      </w:r>
      <w:r>
        <w:rPr>
          <w:sz w:val="20"/>
        </w:rPr>
        <w:t xml:space="preserve">: </w:t>
      </w:r>
      <w:r>
        <w:rPr>
          <w:sz w:val="20"/>
          <w:u w:val="single"/>
        </w:rPr>
        <w:t>4/15/00</w:t>
      </w:r>
    </w:p>
    <w:p w:rsidR="002F26AD" w:rsidRDefault="002F26AD">
      <w:pPr>
        <w:ind w:right="324"/>
        <w:rPr>
          <w:b/>
          <w:sz w:val="16"/>
        </w:rPr>
      </w:pPr>
    </w:p>
    <w:p w:rsidR="002F26AD" w:rsidRDefault="002F26AD">
      <w:pPr>
        <w:ind w:right="324"/>
        <w:rPr>
          <w:sz w:val="20"/>
        </w:rPr>
      </w:pPr>
      <w:r>
        <w:rPr>
          <w:b/>
          <w:sz w:val="20"/>
        </w:rPr>
        <w:t>Permanent License No</w:t>
      </w:r>
      <w:r>
        <w:rPr>
          <w:sz w:val="20"/>
        </w:rPr>
        <w:t>:</w:t>
      </w:r>
      <w:r>
        <w:rPr>
          <w:sz w:val="20"/>
          <w:u w:val="single"/>
        </w:rPr>
        <w:t xml:space="preserve"> CG2222</w:t>
      </w:r>
      <w:r>
        <w:rPr>
          <w:sz w:val="20"/>
        </w:rPr>
        <w:tab/>
      </w:r>
      <w:r>
        <w:rPr>
          <w:sz w:val="20"/>
        </w:rPr>
        <w:tab/>
      </w:r>
      <w:r>
        <w:rPr>
          <w:b/>
          <w:sz w:val="20"/>
        </w:rPr>
        <w:t>Issuing State</w:t>
      </w:r>
      <w:r>
        <w:rPr>
          <w:sz w:val="20"/>
        </w:rPr>
        <w:t xml:space="preserve">: </w:t>
      </w:r>
      <w:r>
        <w:rPr>
          <w:sz w:val="20"/>
          <w:u w:val="single"/>
        </w:rPr>
        <w:t xml:space="preserve">ST </w:t>
      </w:r>
      <w:r>
        <w:rPr>
          <w:sz w:val="20"/>
        </w:rPr>
        <w:tab/>
      </w:r>
      <w:r>
        <w:rPr>
          <w:sz w:val="20"/>
        </w:rPr>
        <w:tab/>
      </w:r>
      <w:r>
        <w:rPr>
          <w:sz w:val="20"/>
        </w:rPr>
        <w:tab/>
      </w:r>
      <w:r>
        <w:rPr>
          <w:b/>
          <w:sz w:val="20"/>
        </w:rPr>
        <w:t>Expires</w:t>
      </w:r>
      <w:r>
        <w:rPr>
          <w:sz w:val="20"/>
        </w:rPr>
        <w:t xml:space="preserve">: </w:t>
      </w:r>
      <w:r>
        <w:rPr>
          <w:sz w:val="20"/>
          <w:u w:val="single"/>
        </w:rPr>
        <w:t>4/15/01</w:t>
      </w:r>
    </w:p>
    <w:p w:rsidR="002F26AD" w:rsidRDefault="002F26AD">
      <w:pPr>
        <w:ind w:right="324"/>
        <w:rPr>
          <w:sz w:val="16"/>
        </w:rPr>
      </w:pPr>
    </w:p>
    <w:p w:rsidR="002F26AD" w:rsidRDefault="002F26AD">
      <w:pPr>
        <w:ind w:right="324"/>
        <w:rPr>
          <w:b/>
          <w:i/>
          <w:sz w:val="20"/>
        </w:rPr>
      </w:pPr>
      <w:r>
        <w:rPr>
          <w:b/>
          <w:sz w:val="20"/>
        </w:rPr>
        <w:t xml:space="preserve">Did you prepare the RCS under a temporary license? </w:t>
      </w:r>
      <w:r>
        <w:rPr>
          <w:sz w:val="20"/>
          <w:u w:val="single"/>
        </w:rPr>
        <w:t>No</w:t>
      </w:r>
      <w:r>
        <w:rPr>
          <w:b/>
          <w:sz w:val="20"/>
        </w:rPr>
        <w:t xml:space="preserve">  </w:t>
      </w:r>
      <w:r>
        <w:rPr>
          <w:i/>
          <w:sz w:val="20"/>
        </w:rPr>
        <w:t xml:space="preserve">If so, </w:t>
      </w:r>
      <w:r>
        <w:rPr>
          <w:i/>
          <w:sz w:val="20"/>
          <w:u w:val="single"/>
        </w:rPr>
        <w:t>attach a copy</w:t>
      </w:r>
      <w:r>
        <w:rPr>
          <w:i/>
          <w:sz w:val="20"/>
        </w:rPr>
        <w:t xml:space="preserve"> of the temporary license.</w:t>
      </w:r>
    </w:p>
    <w:p w:rsidR="002F26AD" w:rsidRDefault="002F26AD">
      <w:pPr>
        <w:spacing w:before="40"/>
        <w:ind w:left="720"/>
        <w:rPr>
          <w:b/>
          <w:sz w:val="20"/>
        </w:rPr>
      </w:pPr>
    </w:p>
    <w:p w:rsidR="002F26AD" w:rsidRDefault="002F26AD">
      <w:pPr>
        <w:pStyle w:val="BodyText"/>
        <w:rPr>
          <w:b/>
          <w:sz w:val="20"/>
        </w:rPr>
      </w:pPr>
      <w:r>
        <w:rPr>
          <w:b/>
          <w:i/>
        </w:rPr>
        <w:br w:type="page"/>
      </w:r>
    </w:p>
    <w:p w:rsidR="002F26AD" w:rsidRDefault="002F26AD">
      <w:pPr>
        <w:pStyle w:val="Block1"/>
        <w:rPr>
          <w:b/>
        </w:rPr>
      </w:pPr>
      <w:r>
        <w:rPr>
          <w:b/>
        </w:rPr>
        <w:t>Subject Photos</w:t>
      </w:r>
    </w:p>
    <w:p w:rsidR="002F26AD" w:rsidRDefault="002F26AD">
      <w:pPr>
        <w:pStyle w:val="Block1"/>
        <w:rPr>
          <w:b/>
        </w:rPr>
      </w:pPr>
    </w:p>
    <w:p w:rsidR="002F26AD" w:rsidRDefault="002F26AD">
      <w:pPr>
        <w:pStyle w:val="Block1"/>
        <w:rPr>
          <w:b/>
        </w:rPr>
      </w:pPr>
      <w:r>
        <w:rPr>
          <w:b/>
        </w:rPr>
        <w:t>Additional Photos of Comps</w:t>
      </w:r>
    </w:p>
    <w:sectPr w:rsidR="002F26AD" w:rsidSect="002F26AD">
      <w:pgSz w:w="12240" w:h="15840"/>
      <w:pgMar w:top="720" w:right="1440" w:bottom="720" w:left="1440" w:header="720" w:footer="720" w:gutter="0"/>
      <w:pgNumType w:start="1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6AD" w:rsidRDefault="002F26AD">
      <w:r>
        <w:separator/>
      </w:r>
    </w:p>
  </w:endnote>
  <w:endnote w:type="continuationSeparator" w:id="1">
    <w:p w:rsidR="002F26AD" w:rsidRDefault="002F2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Handwriting">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AD" w:rsidRDefault="002F26A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26AD" w:rsidRDefault="002F26AD">
    <w:pPr>
      <w:pStyle w:val="Footer"/>
      <w:ind w:right="360"/>
    </w:pPr>
    <w:r>
      <w:t>01/15/08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6AD" w:rsidRDefault="002F26AD">
      <w:r>
        <w:separator/>
      </w:r>
    </w:p>
  </w:footnote>
  <w:footnote w:type="continuationSeparator" w:id="1">
    <w:p w:rsidR="002F26AD" w:rsidRDefault="002F2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AD" w:rsidRDefault="002F26AD">
    <w:pPr>
      <w:pStyle w:val="Header"/>
      <w:jc w:val="right"/>
      <w:rPr>
        <w:sz w:val="20"/>
      </w:rPr>
    </w:pPr>
    <w:r>
      <w:rPr>
        <w:sz w:val="20"/>
      </w:rPr>
      <w:t>Appendix 9-3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B50FE"/>
    <w:multiLevelType w:val="singleLevel"/>
    <w:tmpl w:val="C16A8344"/>
    <w:lvl w:ilvl="0">
      <w:start w:val="1"/>
      <w:numFmt w:val="decimal"/>
      <w:lvlText w:val="%1."/>
      <w:legacy w:legacy="1" w:legacySpace="0" w:legacyIndent="360"/>
      <w:lvlJc w:val="left"/>
      <w:pPr>
        <w:ind w:left="360" w:hanging="360"/>
      </w:pPr>
      <w:rPr>
        <w:rFonts w:cs="Times New Roman"/>
      </w:rPr>
    </w:lvl>
  </w:abstractNum>
  <w:abstractNum w:abstractNumId="1">
    <w:nsid w:val="70524251"/>
    <w:multiLevelType w:val="singleLevel"/>
    <w:tmpl w:val="C22EF494"/>
    <w:lvl w:ilvl="0">
      <w:start w:val="1"/>
      <w:numFmt w:val="lowerLetter"/>
      <w:lvlText w:val="%1. "/>
      <w:legacy w:legacy="1" w:legacySpace="0" w:legacyIndent="360"/>
      <w:lvlJc w:val="left"/>
      <w:pPr>
        <w:ind w:left="720" w:hanging="360"/>
      </w:pPr>
      <w:rPr>
        <w:rFonts w:cs="Times New Roman"/>
        <w:b w:val="0"/>
        <w:i w:val="0"/>
        <w:sz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5AC8"/>
    <w:rsid w:val="000954B8"/>
    <w:rsid w:val="002F26AD"/>
    <w:rsid w:val="00855A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
    <w:qFormat/>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uiPriority w:val="9"/>
    <w:qFormat/>
    <w:pPr>
      <w:keepNext/>
      <w:pBdr>
        <w:top w:val="single" w:sz="24" w:space="1" w:color="auto"/>
        <w:left w:val="single" w:sz="24" w:space="4" w:color="auto"/>
        <w:bottom w:val="single" w:sz="24" w:space="1" w:color="auto"/>
        <w:right w:val="single" w:sz="24" w:space="4" w:color="auto"/>
      </w:pBdr>
      <w:jc w:val="center"/>
      <w:outlineLvl w:val="0"/>
    </w:pPr>
    <w:rPr>
      <w:b/>
      <w:i/>
      <w:sz w:val="36"/>
    </w:rPr>
  </w:style>
  <w:style w:type="paragraph" w:styleId="Heading2">
    <w:name w:val="heading 2"/>
    <w:basedOn w:val="Normal"/>
    <w:next w:val="Normal"/>
    <w:link w:val="Heading2Char"/>
    <w:uiPriority w:val="9"/>
    <w:qFormat/>
    <w:pPr>
      <w:keepNext/>
      <w:pBdr>
        <w:top w:val="single" w:sz="24" w:space="1" w:color="auto"/>
        <w:left w:val="single" w:sz="24" w:space="4" w:color="auto"/>
        <w:bottom w:val="single" w:sz="24" w:space="1" w:color="auto"/>
        <w:right w:val="single" w:sz="24" w:space="4" w:color="auto"/>
      </w:pBdr>
      <w:jc w:val="center"/>
      <w:outlineLvl w:val="1"/>
    </w:pPr>
    <w:rPr>
      <w:b/>
      <w:i/>
      <w:sz w:val="32"/>
    </w:rPr>
  </w:style>
  <w:style w:type="paragraph" w:styleId="Heading3">
    <w:name w:val="heading 3"/>
    <w:basedOn w:val="Normal"/>
    <w:next w:val="Normal"/>
    <w:link w:val="Heading3Char"/>
    <w:uiPriority w:val="9"/>
    <w:qFormat/>
    <w:pPr>
      <w:keepNext/>
      <w:pBdr>
        <w:top w:val="single" w:sz="24" w:space="1" w:color="auto"/>
        <w:left w:val="single" w:sz="24" w:space="4" w:color="auto"/>
        <w:bottom w:val="single" w:sz="24" w:space="1" w:color="auto"/>
        <w:right w:val="single" w:sz="24" w:space="4" w:color="auto"/>
      </w:pBdr>
      <w:jc w:val="center"/>
      <w:outlineLvl w:val="2"/>
    </w:pPr>
    <w:rPr>
      <w:sz w:val="28"/>
    </w:rPr>
  </w:style>
  <w:style w:type="paragraph" w:styleId="Heading4">
    <w:name w:val="heading 4"/>
    <w:basedOn w:val="Normal"/>
    <w:next w:val="Normal"/>
    <w:link w:val="Heading4Char"/>
    <w:uiPriority w:val="9"/>
    <w:qFormat/>
    <w:pPr>
      <w:keepNext/>
      <w:pBdr>
        <w:top w:val="single" w:sz="24" w:space="1" w:color="auto"/>
        <w:left w:val="single" w:sz="24" w:space="4" w:color="auto"/>
        <w:bottom w:val="single" w:sz="24" w:space="1" w:color="auto"/>
        <w:right w:val="single" w:sz="24" w:space="4" w:color="auto"/>
      </w:pBdr>
      <w:jc w:val="center"/>
      <w:outlineLvl w:val="3"/>
    </w:pPr>
    <w:rPr>
      <w:sz w:val="32"/>
    </w:rPr>
  </w:style>
  <w:style w:type="paragraph" w:styleId="Heading5">
    <w:name w:val="heading 5"/>
    <w:basedOn w:val="Normal"/>
    <w:next w:val="Normal"/>
    <w:link w:val="Heading5Char"/>
    <w:uiPriority w:val="9"/>
    <w:qFormat/>
    <w:pPr>
      <w:keepNext/>
      <w:jc w:val="center"/>
      <w:outlineLvl w:val="4"/>
    </w:pPr>
    <w:rPr>
      <w:sz w:val="32"/>
    </w:rPr>
  </w:style>
  <w:style w:type="paragraph" w:styleId="Heading6">
    <w:name w:val="heading 6"/>
    <w:basedOn w:val="Normal"/>
    <w:next w:val="Normal"/>
    <w:link w:val="Heading6Char"/>
    <w:uiPriority w:val="9"/>
    <w:qFormat/>
    <w:pPr>
      <w:keepNext/>
      <w:jc w:val="center"/>
      <w:outlineLvl w:val="5"/>
    </w:pPr>
    <w:rPr>
      <w:b/>
    </w:rPr>
  </w:style>
  <w:style w:type="paragraph" w:styleId="Heading7">
    <w:name w:val="heading 7"/>
    <w:basedOn w:val="Normal"/>
    <w:next w:val="Normal"/>
    <w:link w:val="Heading7Char"/>
    <w:uiPriority w:val="9"/>
    <w:qFormat/>
    <w:pPr>
      <w:keepNext/>
      <w:ind w:left="3600" w:hanging="3600"/>
      <w:outlineLvl w:val="6"/>
    </w:pPr>
    <w:rPr>
      <w:b/>
      <w:sz w:val="28"/>
    </w:rPr>
  </w:style>
  <w:style w:type="paragraph" w:styleId="Heading8">
    <w:name w:val="heading 8"/>
    <w:basedOn w:val="Normal"/>
    <w:next w:val="Normal"/>
    <w:link w:val="Heading8Char"/>
    <w:uiPriority w:val="9"/>
    <w:qFormat/>
    <w:pPr>
      <w:keepNext/>
      <w:outlineLvl w:val="7"/>
    </w:pPr>
    <w:rPr>
      <w:b/>
      <w:sz w:val="28"/>
    </w:rPr>
  </w:style>
  <w:style w:type="paragraph" w:styleId="Heading9">
    <w:name w:val="heading 9"/>
    <w:basedOn w:val="Normal"/>
    <w:next w:val="Normal"/>
    <w:link w:val="Heading9Char"/>
    <w:uiPriority w:val="9"/>
    <w:qFormat/>
    <w:pPr>
      <w:keepNext/>
      <w:ind w:left="720"/>
      <w:outlineLvl w:val="8"/>
    </w:p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0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D70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D70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D70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D70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D70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D70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D70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D705A"/>
    <w:rPr>
      <w:rFonts w:asciiTheme="majorHAnsi" w:eastAsiaTheme="majorEastAsia" w:hAnsiTheme="majorHAnsi" w:cstheme="majorBidi"/>
      <w:sz w:val="22"/>
      <w:szCs w:val="22"/>
    </w:rPr>
  </w:style>
  <w:style w:type="paragraph" w:styleId="EnvelopeReturn">
    <w:name w:val="envelope return"/>
    <w:basedOn w:val="Normal"/>
    <w:uiPriority w:val="99"/>
    <w:rPr>
      <w:b/>
    </w:rPr>
  </w:style>
  <w:style w:type="paragraph" w:styleId="EnvelopeAddress">
    <w:name w:val="envelope address"/>
    <w:basedOn w:val="Normal"/>
    <w:uiPriority w:val="99"/>
    <w:pPr>
      <w:framePr w:w="7920" w:h="1980" w:hRule="exact" w:hSpace="180" w:wrap="auto" w:hAnchor="page" w:xAlign="center" w:yAlign="bottom"/>
      <w:ind w:left="2880"/>
    </w:pPr>
    <w:rPr>
      <w:b/>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rsid w:val="002D705A"/>
    <w:rPr>
      <w:sz w:val="24"/>
    </w:rPr>
  </w:style>
  <w:style w:type="paragraph" w:styleId="BodyText2">
    <w:name w:val="Body Text 2"/>
    <w:basedOn w:val="Normal"/>
    <w:link w:val="BodyText2Char"/>
    <w:uiPriority w:val="99"/>
    <w:rPr>
      <w:b/>
    </w:rPr>
  </w:style>
  <w:style w:type="character" w:customStyle="1" w:styleId="BodyText2Char">
    <w:name w:val="Body Text 2 Char"/>
    <w:basedOn w:val="DefaultParagraphFont"/>
    <w:link w:val="BodyText2"/>
    <w:uiPriority w:val="99"/>
    <w:semiHidden/>
    <w:rsid w:val="002D705A"/>
    <w:rPr>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D705A"/>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D705A"/>
    <w:rPr>
      <w:sz w:val="24"/>
    </w:rPr>
  </w:style>
  <w:style w:type="paragraph" w:customStyle="1" w:styleId="b2">
    <w:name w:val="b2"/>
    <w:aliases w:val="block 2"/>
    <w:basedOn w:val="Block1"/>
    <w:pPr>
      <w:spacing w:before="100"/>
      <w:ind w:left="619" w:hanging="259"/>
    </w:pPr>
  </w:style>
  <w:style w:type="paragraph" w:customStyle="1" w:styleId="Block1">
    <w:name w:val="Block 1"/>
    <w:aliases w:val="b1"/>
    <w:pPr>
      <w:overflowPunct w:val="0"/>
      <w:autoSpaceDE w:val="0"/>
      <w:autoSpaceDN w:val="0"/>
      <w:adjustRightInd w:val="0"/>
      <w:ind w:left="260" w:hanging="260"/>
      <w:jc w:val="both"/>
      <w:textAlignment w:val="baseline"/>
    </w:pPr>
    <w:rPr>
      <w:sz w:val="24"/>
    </w:rPr>
  </w:style>
  <w:style w:type="paragraph" w:customStyle="1" w:styleId="block3">
    <w:name w:val="block 3"/>
    <w:aliases w:val="b3"/>
    <w:basedOn w:val="Normal"/>
    <w:pPr>
      <w:spacing w:before="100"/>
      <w:ind w:left="979" w:hanging="259"/>
    </w:pPr>
  </w:style>
  <w:style w:type="paragraph" w:customStyle="1" w:styleId="block4">
    <w:name w:val="block 4"/>
    <w:aliases w:val="b4"/>
    <w:basedOn w:val="block3"/>
    <w:pPr>
      <w:ind w:left="1340"/>
    </w:pPr>
  </w:style>
  <w:style w:type="paragraph" w:customStyle="1" w:styleId="block5">
    <w:name w:val="block 5"/>
    <w:aliases w:val="b5"/>
    <w:basedOn w:val="block4"/>
    <w:pPr>
      <w:ind w:left="1700"/>
    </w:pPr>
  </w:style>
  <w:style w:type="paragraph" w:styleId="BodyText3">
    <w:name w:val="Body Text 3"/>
    <w:basedOn w:val="Normal"/>
    <w:link w:val="BodyText3Char"/>
    <w:uiPriority w:val="99"/>
    <w:pPr>
      <w:ind w:right="-100"/>
      <w:jc w:val="center"/>
    </w:pPr>
    <w:rPr>
      <w:b/>
      <w:color w:val="000080"/>
    </w:rPr>
  </w:style>
  <w:style w:type="character" w:customStyle="1" w:styleId="BodyText3Char">
    <w:name w:val="Body Text 3 Char"/>
    <w:basedOn w:val="DefaultParagraphFont"/>
    <w:link w:val="BodyText3"/>
    <w:uiPriority w:val="99"/>
    <w:semiHidden/>
    <w:rsid w:val="002D705A"/>
    <w:rPr>
      <w:sz w:val="16"/>
      <w:szCs w:val="16"/>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val="0"/>
      <w:jc w:val="center"/>
    </w:pPr>
    <w:rPr>
      <w:b/>
      <w:sz w:val="28"/>
    </w:rPr>
  </w:style>
  <w:style w:type="character" w:customStyle="1" w:styleId="TitleChar">
    <w:name w:val="Title Char"/>
    <w:basedOn w:val="DefaultParagraphFont"/>
    <w:link w:val="Title"/>
    <w:uiPriority w:val="10"/>
    <w:rsid w:val="002D705A"/>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pPr>
      <w:widowControl w:val="0"/>
      <w:jc w:val="center"/>
    </w:pPr>
  </w:style>
  <w:style w:type="character" w:customStyle="1" w:styleId="SubtitleChar">
    <w:name w:val="Subtitle Char"/>
    <w:basedOn w:val="DefaultParagraphFont"/>
    <w:link w:val="Subtitle"/>
    <w:uiPriority w:val="11"/>
    <w:rsid w:val="002D705A"/>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5310</Words>
  <Characters>30269</Characters>
  <Application>Microsoft Office Outlook</Application>
  <DocSecurity>0</DocSecurity>
  <Lines>0</Lines>
  <Paragraphs>0</Paragraphs>
  <ScaleCrop>false</ScaleCrop>
  <Company>ATS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Consulting Report</dc:title>
  <dc:subject/>
  <dc:creator>Peter J. Giaquinto</dc:creator>
  <cp:keywords/>
  <dc:description/>
  <cp:lastModifiedBy>H05349</cp:lastModifiedBy>
  <cp:revision>2</cp:revision>
  <cp:lastPrinted>2000-11-02T12:11:00Z</cp:lastPrinted>
  <dcterms:created xsi:type="dcterms:W3CDTF">2008-01-11T12:24:00Z</dcterms:created>
  <dcterms:modified xsi:type="dcterms:W3CDTF">2008-01-11T12:24:00Z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1745612353</vt:i4>
  </property>
  <property fmtid="{D5CDD505-2E9C-101B-9397-08002B2CF9AE}" pid="3" name="_NewReviewCycle">
    <vt:lpwstr/>
  </property>
  <property fmtid="{D5CDD505-2E9C-101B-9397-08002B2CF9AE}" pid="4" name="_EmailSubject">
    <vt:lpwstr>Paperwork Reduction Act Submission (Section 8 Contract Renewal Policy ) OMB Control 2502-New</vt:lpwstr>
  </property>
  <property fmtid="{D5CDD505-2E9C-101B-9397-08002B2CF9AE}" pid="5" name="_AuthorEmail">
    <vt:lpwstr>Edith.V.Lyons@hud.gov</vt:lpwstr>
  </property>
  <property fmtid="{D5CDD505-2E9C-101B-9397-08002B2CF9AE}" pid="6" name="_AuthorEmailDisplayName">
    <vt:lpwstr>Lyons, Edith V</vt:lpwstr>
  </property>
</Properties>
</file>