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D4" w:rsidRDefault="00A35BD4">
      <w:pPr>
        <w:jc w:val="center"/>
        <w:rPr>
          <w:rFonts w:ascii="Times New Roman" w:hAnsi="Times New Roman"/>
          <w:sz w:val="24"/>
        </w:rPr>
      </w:pPr>
      <w:r>
        <w:rPr>
          <w:rFonts w:ascii="Times New Roman" w:hAnsi="Times New Roman"/>
          <w:sz w:val="24"/>
        </w:rPr>
        <w:t>SUPPORTING STATEMENT</w:t>
      </w:r>
    </w:p>
    <w:p w:rsidR="00001D0B" w:rsidRDefault="00001D0B">
      <w:pPr>
        <w:jc w:val="center"/>
        <w:rPr>
          <w:rFonts w:ascii="Times New Roman" w:hAnsi="Times New Roman"/>
          <w:sz w:val="24"/>
        </w:rPr>
      </w:pPr>
      <w:r>
        <w:rPr>
          <w:rFonts w:ascii="Times New Roman" w:hAnsi="Times New Roman"/>
          <w:sz w:val="24"/>
        </w:rPr>
        <w:t>Suspicious Activity Report by Depository Institutions</w:t>
      </w:r>
    </w:p>
    <w:p w:rsidR="00001D0B" w:rsidRDefault="00001D0B">
      <w:pPr>
        <w:jc w:val="center"/>
        <w:rPr>
          <w:rFonts w:ascii="Times New Roman" w:hAnsi="Times New Roman"/>
          <w:sz w:val="24"/>
        </w:rPr>
      </w:pPr>
      <w:r>
        <w:rPr>
          <w:rFonts w:ascii="Times New Roman" w:hAnsi="Times New Roman"/>
          <w:sz w:val="24"/>
        </w:rPr>
        <w:t>3133-0094</w:t>
      </w:r>
    </w:p>
    <w:p w:rsidR="00001D0B" w:rsidRDefault="00001D0B">
      <w:pPr>
        <w:jc w:val="center"/>
        <w:rPr>
          <w:rFonts w:ascii="Times New Roman" w:hAnsi="Times New Roman"/>
          <w:sz w:val="24"/>
        </w:rPr>
      </w:pPr>
      <w:r>
        <w:rPr>
          <w:rFonts w:ascii="Times New Roman" w:hAnsi="Times New Roman"/>
          <w:sz w:val="24"/>
        </w:rPr>
        <w:t>2009</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NOTE:  The Department of the Treasury's Financial Crimes Enforcement Network ("FinCEN") and the five federal financial institution supervisory agencies</w:t>
      </w:r>
      <w:r>
        <w:rPr>
          <w:rStyle w:val="FootnoteReference"/>
          <w:rFonts w:ascii="Times New Roman" w:hAnsi="Times New Roman"/>
          <w:sz w:val="24"/>
        </w:rPr>
        <w:footnoteReference w:id="1"/>
      </w:r>
      <w:r>
        <w:rPr>
          <w:rFonts w:ascii="Times New Roman" w:hAnsi="Times New Roman"/>
          <w:sz w:val="24"/>
        </w:rPr>
        <w:t xml:space="preserve"> (the "bank regulators") are </w:t>
      </w:r>
      <w:r w:rsidR="00A449EE">
        <w:rPr>
          <w:rFonts w:ascii="Times New Roman" w:hAnsi="Times New Roman"/>
          <w:sz w:val="24"/>
        </w:rPr>
        <w:t xml:space="preserve">renewing without change the 2006 OMB approved version of </w:t>
      </w:r>
      <w:r>
        <w:rPr>
          <w:rFonts w:ascii="Times New Roman" w:hAnsi="Times New Roman"/>
          <w:sz w:val="24"/>
        </w:rPr>
        <w:t xml:space="preserve">the Suspicious Activity Report </w:t>
      </w:r>
      <w:r w:rsidR="00211FCD">
        <w:rPr>
          <w:rFonts w:ascii="Times New Roman" w:hAnsi="Times New Roman"/>
          <w:sz w:val="24"/>
        </w:rPr>
        <w:t xml:space="preserve">by Depository </w:t>
      </w:r>
      <w:r w:rsidR="009B4E6E">
        <w:rPr>
          <w:rFonts w:ascii="Times New Roman" w:hAnsi="Times New Roman"/>
          <w:sz w:val="24"/>
        </w:rPr>
        <w:t>Institutions</w:t>
      </w:r>
      <w:r w:rsidR="00211FCD">
        <w:rPr>
          <w:rFonts w:ascii="Times New Roman" w:hAnsi="Times New Roman"/>
          <w:sz w:val="24"/>
        </w:rPr>
        <w:t xml:space="preserve"> </w:t>
      </w:r>
      <w:r>
        <w:rPr>
          <w:rFonts w:ascii="Times New Roman" w:hAnsi="Times New Roman"/>
          <w:sz w:val="24"/>
        </w:rPr>
        <w:t>("SAR</w:t>
      </w:r>
      <w:r w:rsidR="00211FCD">
        <w:rPr>
          <w:rFonts w:ascii="Times New Roman" w:hAnsi="Times New Roman"/>
          <w:sz w:val="24"/>
        </w:rPr>
        <w:t>-DI</w:t>
      </w:r>
      <w:r>
        <w:rPr>
          <w:rFonts w:ascii="Times New Roman" w:hAnsi="Times New Roman"/>
          <w:sz w:val="24"/>
        </w:rPr>
        <w:t>").  Although the OCC, OTS, FDIC, NCUA, and FinCEN are submitting the SAR information collection to OMB for approval, the Board of Governors of the Federal Reserve System (the Board) has participated in the review of this information collection and will process its extension under its Paperwork Reduction Act delegated authority.</w:t>
      </w:r>
    </w:p>
    <w:p w:rsidR="00A35BD4" w:rsidRDefault="00A35BD4">
      <w:pPr>
        <w:rPr>
          <w:rFonts w:ascii="Times New Roman" w:hAnsi="Times New Roman"/>
          <w:sz w:val="24"/>
        </w:rPr>
      </w:pPr>
      <w:r>
        <w:rPr>
          <w:rFonts w:ascii="Times New Roman" w:hAnsi="Times New Roman"/>
          <w:sz w:val="24"/>
        </w:rPr>
        <w:t xml:space="preserve"> </w:t>
      </w:r>
    </w:p>
    <w:p w:rsidR="00A35BD4" w:rsidRDefault="00A35BD4">
      <w:pPr>
        <w:rPr>
          <w:rFonts w:ascii="Times New Roman" w:hAnsi="Times New Roman"/>
          <w:sz w:val="24"/>
        </w:rPr>
      </w:pPr>
      <w:r>
        <w:rPr>
          <w:rFonts w:ascii="Times New Roman" w:hAnsi="Times New Roman"/>
          <w:sz w:val="24"/>
        </w:rPr>
        <w:t xml:space="preserve">1.  </w:t>
      </w:r>
      <w:r>
        <w:rPr>
          <w:rFonts w:ascii="Times New Roman" w:hAnsi="Times New Roman"/>
          <w:sz w:val="24"/>
          <w:u w:val="single"/>
        </w:rPr>
        <w:t>Circumstances Necessitating Collection of Information</w:t>
      </w:r>
    </w:p>
    <w:p w:rsidR="00A35BD4" w:rsidRDefault="00A35BD4">
      <w:pPr>
        <w:rPr>
          <w:rFonts w:ascii="Times New Roman" w:hAnsi="Times New Roman"/>
          <w:sz w:val="24"/>
        </w:rPr>
      </w:pPr>
    </w:p>
    <w:p w:rsidR="00A35BD4" w:rsidRDefault="00A35BD4" w:rsidP="00D227EB">
      <w:pPr>
        <w:pStyle w:val="Heading1"/>
      </w:pPr>
      <w:r>
        <w:tab/>
        <w:t xml:space="preserve"> FinCEN and the bank regulators adopted the SAR in 1996 to simplify the process through which banks</w:t>
      </w:r>
      <w:r w:rsidR="00211FCD">
        <w:rPr>
          <w:rStyle w:val="FootnoteReference"/>
        </w:rPr>
        <w:footnoteReference w:id="2"/>
      </w:r>
      <w:r>
        <w:t xml:space="preserve"> inform their regulators and law enforcement about suspected criminal activity.  The SAR</w:t>
      </w:r>
      <w:r w:rsidR="00211FCD">
        <w:t>-DI</w:t>
      </w:r>
      <w:r>
        <w:t xml:space="preserve"> was updated in 1999 and again in 2003.  FinCEN and the bank regulators </w:t>
      </w:r>
      <w:r w:rsidR="00A449EE">
        <w:t xml:space="preserve">updated the form again in 2006 </w:t>
      </w:r>
      <w:r>
        <w:t>to clarify the form, improve its usefulness to law enforcement and the bank regulators, and to facilit</w:t>
      </w:r>
      <w:r w:rsidR="00A449EE">
        <w:t>ate joint filing of the report.  The current action renews the 2006 version but permits filing institutions to continue to file the 2003 version until technical difficulties with the BSA database are corrected</w:t>
      </w:r>
      <w:r w:rsidR="00D227EB">
        <w:rPr>
          <w:rStyle w:val="FootnoteReference"/>
        </w:rPr>
        <w:footnoteReference w:id="3"/>
      </w:r>
      <w:r w:rsidR="00A449EE">
        <w:t xml:space="preserve">. </w:t>
      </w:r>
      <w:r>
        <w:t xml:space="preserve"> </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In 1992, the Treasury was granted broad authority to require suspicious transaction reporting under the Bank Secrecy Act.  </w:t>
      </w:r>
      <w:r>
        <w:rPr>
          <w:rFonts w:ascii="Times New Roman" w:hAnsi="Times New Roman"/>
          <w:sz w:val="24"/>
          <w:u w:val="single"/>
        </w:rPr>
        <w:t>See</w:t>
      </w:r>
      <w:r>
        <w:rPr>
          <w:rFonts w:ascii="Times New Roman" w:hAnsi="Times New Roman"/>
          <w:sz w:val="24"/>
        </w:rPr>
        <w:t xml:space="preserve"> 31 U.S.C. 5318(g).  FinCEN, which has been delegated authority to administer the Bank Secrecy Act, joined with the bank regulators in 1996 in requiring, on a consolidated form (the SAR</w:t>
      </w:r>
      <w:r w:rsidR="00211FCD">
        <w:rPr>
          <w:rFonts w:ascii="Times New Roman" w:hAnsi="Times New Roman"/>
          <w:sz w:val="24"/>
        </w:rPr>
        <w:t>-DI</w:t>
      </w:r>
      <w:r>
        <w:rPr>
          <w:rFonts w:ascii="Times New Roman" w:hAnsi="Times New Roman"/>
          <w:sz w:val="24"/>
        </w:rPr>
        <w:t xml:space="preserve"> form), reports of suspicious transactions.</w:t>
      </w:r>
      <w:r w:rsidR="00211FCD">
        <w:rPr>
          <w:rStyle w:val="FootnoteReference"/>
          <w:rFonts w:ascii="Times New Roman" w:hAnsi="Times New Roman"/>
          <w:sz w:val="24"/>
        </w:rPr>
        <w:footnoteReference w:id="4"/>
      </w:r>
      <w:r>
        <w:rPr>
          <w:rFonts w:ascii="Times New Roman" w:hAnsi="Times New Roman"/>
          <w:sz w:val="24"/>
        </w:rPr>
        <w:t xml:space="preserve">  The filing of SAR</w:t>
      </w:r>
      <w:r w:rsidR="00211FCD">
        <w:rPr>
          <w:rFonts w:ascii="Times New Roman" w:hAnsi="Times New Roman"/>
          <w:sz w:val="24"/>
        </w:rPr>
        <w:t>-DI</w:t>
      </w:r>
      <w:r>
        <w:rPr>
          <w:rFonts w:ascii="Times New Roman" w:hAnsi="Times New Roman"/>
          <w:sz w:val="24"/>
        </w:rPr>
        <w:t>s is necessary to prevent and detect the laundering of money and other funds at banks.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Banks are required to retain a copy of the any SAR</w:t>
      </w:r>
      <w:r w:rsidR="00211FCD">
        <w:rPr>
          <w:rFonts w:ascii="Times New Roman" w:hAnsi="Times New Roman"/>
          <w:sz w:val="24"/>
        </w:rPr>
        <w:t>-DI</w:t>
      </w:r>
      <w:r>
        <w:rPr>
          <w:rFonts w:ascii="Times New Roman" w:hAnsi="Times New Roman"/>
          <w:sz w:val="24"/>
        </w:rPr>
        <w:t xml:space="preserve"> filed and supporting documentation </w:t>
      </w:r>
      <w:r>
        <w:rPr>
          <w:rFonts w:ascii="Times New Roman" w:hAnsi="Times New Roman"/>
          <w:sz w:val="24"/>
        </w:rPr>
        <w:lastRenderedPageBreak/>
        <w:t>for the filing of the SAR</w:t>
      </w:r>
      <w:r w:rsidR="00211FCD">
        <w:rPr>
          <w:rFonts w:ascii="Times New Roman" w:hAnsi="Times New Roman"/>
          <w:sz w:val="24"/>
        </w:rPr>
        <w:t>-DI</w:t>
      </w:r>
      <w:r>
        <w:rPr>
          <w:rFonts w:ascii="Times New Roman" w:hAnsi="Times New Roman"/>
          <w:sz w:val="24"/>
        </w:rPr>
        <w:t xml:space="preserve"> for five years.  See 31 CFR 103.18(d) and 31 CFR 103.38.  These documents are necessary for criminal investigations and prosecutions.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2.  </w:t>
      </w:r>
      <w:r>
        <w:rPr>
          <w:rFonts w:ascii="Times New Roman" w:hAnsi="Times New Roman"/>
          <w:sz w:val="24"/>
          <w:u w:val="single"/>
        </w:rPr>
        <w:t>Method of Collection and Use of Data</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Information about suspicious transactions conducted or attempted by, at, through, or otherwise involving banks are collected through the filing </w:t>
      </w:r>
      <w:r w:rsidR="00211FCD">
        <w:rPr>
          <w:rFonts w:ascii="Times New Roman" w:hAnsi="Times New Roman"/>
          <w:sz w:val="24"/>
        </w:rPr>
        <w:t xml:space="preserve">of a SAR-DI </w:t>
      </w:r>
      <w:r>
        <w:rPr>
          <w:rFonts w:ascii="Times New Roman" w:hAnsi="Times New Roman"/>
          <w:sz w:val="24"/>
        </w:rPr>
        <w:t>by banks with FinCEN</w:t>
      </w:r>
      <w:r w:rsidR="00211FCD">
        <w:rPr>
          <w:rFonts w:ascii="Times New Roman" w:hAnsi="Times New Roman"/>
          <w:sz w:val="24"/>
        </w:rPr>
        <w:t>.</w:t>
      </w:r>
      <w:r>
        <w:rPr>
          <w:rFonts w:ascii="Times New Roman" w:hAnsi="Times New Roman"/>
          <w:sz w:val="24"/>
        </w:rPr>
        <w:t xml:space="preserve">   FinCEN has arranged for the Internal Revenue Service </w:t>
      </w:r>
      <w:r w:rsidR="00211FCD">
        <w:rPr>
          <w:rFonts w:ascii="Times New Roman" w:hAnsi="Times New Roman"/>
          <w:sz w:val="24"/>
        </w:rPr>
        <w:t xml:space="preserve">Enterprise </w:t>
      </w:r>
      <w:r>
        <w:rPr>
          <w:rFonts w:ascii="Times New Roman" w:hAnsi="Times New Roman"/>
          <w:sz w:val="24"/>
        </w:rPr>
        <w:t>Computing Center ("</w:t>
      </w:r>
      <w:r w:rsidR="00211FCD">
        <w:rPr>
          <w:rFonts w:ascii="Times New Roman" w:hAnsi="Times New Roman"/>
          <w:sz w:val="24"/>
        </w:rPr>
        <w:t>E</w:t>
      </w:r>
      <w:r>
        <w:rPr>
          <w:rFonts w:ascii="Times New Roman" w:hAnsi="Times New Roman"/>
          <w:sz w:val="24"/>
        </w:rPr>
        <w:t xml:space="preserve">CC") to operate the computer system containing the information collected.  FinCEN and </w:t>
      </w:r>
      <w:r w:rsidR="00211FCD">
        <w:rPr>
          <w:rFonts w:ascii="Times New Roman" w:hAnsi="Times New Roman"/>
          <w:sz w:val="24"/>
        </w:rPr>
        <w:t>E</w:t>
      </w:r>
      <w:r>
        <w:rPr>
          <w:rFonts w:ascii="Times New Roman" w:hAnsi="Times New Roman"/>
          <w:sz w:val="24"/>
        </w:rPr>
        <w:t>CC provide on-line access to the information collected to representatives of the bank regulators and appropriate law enforcement agencies.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FinCEN and law enforcement agencies use the information on SAR</w:t>
      </w:r>
      <w:r w:rsidR="00BF3FF7">
        <w:rPr>
          <w:rFonts w:ascii="Times New Roman" w:hAnsi="Times New Roman"/>
          <w:sz w:val="24"/>
        </w:rPr>
        <w:t>-DI</w:t>
      </w:r>
      <w:r>
        <w:rPr>
          <w:rFonts w:ascii="Times New Roman" w:hAnsi="Times New Roman"/>
          <w:sz w:val="24"/>
        </w:rPr>
        <w:t>s and the supporting documentation retained by the banks for criminal investigation and prosecution purposes.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3.  </w:t>
      </w:r>
      <w:r>
        <w:rPr>
          <w:rFonts w:ascii="Times New Roman" w:hAnsi="Times New Roman"/>
          <w:sz w:val="24"/>
          <w:u w:val="single"/>
        </w:rPr>
        <w:t>Use of Improved Information Technology to Reduce Burden</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r>
      <w:r w:rsidR="00344BF4">
        <w:rPr>
          <w:rFonts w:ascii="Times New Roman" w:hAnsi="Times New Roman"/>
          <w:sz w:val="24"/>
        </w:rPr>
        <w:t xml:space="preserve">Using a computerized form (BSA E-filing), a bank can reduce the time required for its compliance staff to complete the form.  </w:t>
      </w:r>
      <w:r w:rsidR="00B77663">
        <w:rPr>
          <w:rFonts w:ascii="Times New Roman" w:hAnsi="Times New Roman"/>
          <w:sz w:val="24"/>
        </w:rPr>
        <w:t>Currently, a</w:t>
      </w:r>
      <w:r>
        <w:rPr>
          <w:rFonts w:ascii="Times New Roman" w:hAnsi="Times New Roman"/>
          <w:sz w:val="24"/>
        </w:rPr>
        <w:t xml:space="preserve"> “fill-in” version </w:t>
      </w:r>
      <w:r w:rsidR="00B77663">
        <w:rPr>
          <w:rFonts w:ascii="Times New Roman" w:hAnsi="Times New Roman"/>
          <w:sz w:val="24"/>
        </w:rPr>
        <w:t xml:space="preserve">of the 2003 form </w:t>
      </w:r>
      <w:r w:rsidR="00BF3FF7">
        <w:rPr>
          <w:rFonts w:ascii="Times New Roman" w:hAnsi="Times New Roman"/>
          <w:sz w:val="24"/>
        </w:rPr>
        <w:t>is</w:t>
      </w:r>
      <w:r>
        <w:rPr>
          <w:rFonts w:ascii="Times New Roman" w:hAnsi="Times New Roman"/>
          <w:sz w:val="24"/>
        </w:rPr>
        <w:t xml:space="preserve"> also </w:t>
      </w:r>
      <w:r w:rsidR="00B77663">
        <w:rPr>
          <w:rFonts w:ascii="Times New Roman" w:hAnsi="Times New Roman"/>
          <w:sz w:val="24"/>
        </w:rPr>
        <w:t xml:space="preserve">accessible from the NCUA web page </w:t>
      </w:r>
      <w:hyperlink r:id="rId9" w:history="1">
        <w:r w:rsidR="00B77663" w:rsidRPr="00B77663">
          <w:rPr>
            <w:rStyle w:val="Hyperlink"/>
            <w:rFonts w:ascii="Times New Roman" w:hAnsi="Times New Roman"/>
            <w:sz w:val="24"/>
          </w:rPr>
          <w:t>http://www.ncua.gov/GenInfo/GuidesManuals/sar/sar.aspx</w:t>
        </w:r>
      </w:hyperlink>
      <w:r w:rsidR="00B77663">
        <w:rPr>
          <w:rFonts w:ascii="Times New Roman" w:hAnsi="Times New Roman"/>
          <w:sz w:val="24"/>
        </w:rPr>
        <w:t xml:space="preserve">.  The direct link to the 2003 form can be found at </w:t>
      </w:r>
      <w:hyperlink r:id="rId10" w:history="1">
        <w:r w:rsidR="0058447B" w:rsidRPr="00495BA9">
          <w:rPr>
            <w:rStyle w:val="Hyperlink"/>
            <w:rFonts w:ascii="Times New Roman" w:hAnsi="Times New Roman"/>
            <w:sz w:val="24"/>
          </w:rPr>
          <w:t>http://www.fincen.gov/forms/files/f9022-47_sar-di.pdf</w:t>
        </w:r>
      </w:hyperlink>
      <w:r w:rsidR="0058447B">
        <w:rPr>
          <w:rFonts w:ascii="Times New Roman" w:hAnsi="Times New Roman"/>
          <w:sz w:val="24"/>
        </w:rPr>
        <w:t xml:space="preserve">. </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4.  </w:t>
      </w:r>
      <w:r>
        <w:rPr>
          <w:rFonts w:ascii="Times New Roman" w:hAnsi="Times New Roman"/>
          <w:sz w:val="24"/>
          <w:u w:val="single"/>
        </w:rPr>
        <w:t>Efforts to Identify Duplication</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Prior to the SAR</w:t>
      </w:r>
      <w:r w:rsidR="00BF3FF7">
        <w:rPr>
          <w:rFonts w:ascii="Times New Roman" w:hAnsi="Times New Roman"/>
          <w:sz w:val="24"/>
        </w:rPr>
        <w:t>-DI</w:t>
      </w:r>
      <w:r>
        <w:rPr>
          <w:rFonts w:ascii="Times New Roman" w:hAnsi="Times New Roman"/>
          <w:sz w:val="24"/>
        </w:rPr>
        <w:t xml:space="preserve"> system, each of the bank regulators required collection of similar information independently and on separate forms.  The SAR</w:t>
      </w:r>
      <w:r w:rsidR="00BF3FF7">
        <w:rPr>
          <w:rFonts w:ascii="Times New Roman" w:hAnsi="Times New Roman"/>
          <w:sz w:val="24"/>
        </w:rPr>
        <w:t>-DI</w:t>
      </w:r>
      <w:r>
        <w:rPr>
          <w:rFonts w:ascii="Times New Roman" w:hAnsi="Times New Roman"/>
          <w:sz w:val="24"/>
        </w:rPr>
        <w:t xml:space="preserve"> takes the place of all these separate reports and thus eliminates duplication.  </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5.  </w:t>
      </w:r>
      <w:r>
        <w:rPr>
          <w:rFonts w:ascii="Times New Roman" w:hAnsi="Times New Roman"/>
          <w:sz w:val="24"/>
          <w:u w:val="single"/>
        </w:rPr>
        <w:t>Methods to Minimize Burden on Small Businesses or Other Small Entities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Not applicable.</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6.  </w:t>
      </w:r>
      <w:r>
        <w:rPr>
          <w:rFonts w:ascii="Times New Roman" w:hAnsi="Times New Roman"/>
          <w:sz w:val="24"/>
          <w:u w:val="single"/>
        </w:rPr>
        <w:t>Consequences of Less Frequent Collection on Federal Programs or Policy Activities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With the automated SAR</w:t>
      </w:r>
      <w:r w:rsidR="00BF3FF7">
        <w:rPr>
          <w:rFonts w:ascii="Times New Roman" w:hAnsi="Times New Roman"/>
          <w:sz w:val="24"/>
        </w:rPr>
        <w:t>-DI</w:t>
      </w:r>
      <w:r>
        <w:rPr>
          <w:rFonts w:ascii="Times New Roman" w:hAnsi="Times New Roman"/>
          <w:sz w:val="24"/>
        </w:rPr>
        <w:t xml:space="preserve"> system, the bank regulators, law enforcement, and industry alike benefit from improved detection of financial crime, analysis of trends, and coordination of investigative efforts.  If SAR</w:t>
      </w:r>
      <w:r w:rsidR="00BF3FF7">
        <w:rPr>
          <w:rFonts w:ascii="Times New Roman" w:hAnsi="Times New Roman"/>
          <w:sz w:val="24"/>
        </w:rPr>
        <w:t>-DI</w:t>
      </w:r>
      <w:r>
        <w:rPr>
          <w:rFonts w:ascii="Times New Roman" w:hAnsi="Times New Roman"/>
          <w:sz w:val="24"/>
        </w:rPr>
        <w:t>s were no longer required, law enforcement and regulatory efforts to fight crime and protect the safety and soundness of banks would be severely hampered.</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7.  </w:t>
      </w:r>
      <w:r>
        <w:rPr>
          <w:rFonts w:ascii="Times New Roman" w:hAnsi="Times New Roman"/>
          <w:sz w:val="24"/>
          <w:u w:val="single"/>
        </w:rPr>
        <w:t>Special Circumstances Requiring Data Collection Inconsistent with Guidelines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The reporting of suspicious activity on a SAR</w:t>
      </w:r>
      <w:r w:rsidR="00BF3FF7">
        <w:rPr>
          <w:rFonts w:ascii="Times New Roman" w:hAnsi="Times New Roman"/>
          <w:sz w:val="24"/>
        </w:rPr>
        <w:t>-DI</w:t>
      </w:r>
      <w:r>
        <w:rPr>
          <w:rFonts w:ascii="Times New Roman" w:hAnsi="Times New Roman"/>
          <w:sz w:val="24"/>
        </w:rPr>
        <w:t xml:space="preserve"> may occur more frequently than quarterly, depending on the frequency of the activity.  For reasons explained in paragraph 6 above, this </w:t>
      </w:r>
      <w:r>
        <w:rPr>
          <w:rFonts w:ascii="Times New Roman" w:hAnsi="Times New Roman"/>
          <w:sz w:val="24"/>
        </w:rPr>
        <w:lastRenderedPageBreak/>
        <w:t>information must be reported in a timely manner to enable law enforcement to take appropriate investigative action.  Records must be kept more than 3 years because substantive violations of the law that may be indicated by the activity reported on the SAR</w:t>
      </w:r>
      <w:r w:rsidR="00BF3FF7">
        <w:rPr>
          <w:rFonts w:ascii="Times New Roman" w:hAnsi="Times New Roman"/>
          <w:sz w:val="24"/>
        </w:rPr>
        <w:t>-DI</w:t>
      </w:r>
      <w:r>
        <w:rPr>
          <w:rFonts w:ascii="Times New Roman" w:hAnsi="Times New Roman"/>
          <w:sz w:val="24"/>
        </w:rPr>
        <w:t xml:space="preserve"> are generally subject to statutes of limitations longer than 3 years.</w:t>
      </w:r>
    </w:p>
    <w:p w:rsidR="00A35BD4" w:rsidRDefault="00A35BD4">
      <w:pPr>
        <w:rPr>
          <w:rFonts w:ascii="Times New Roman" w:hAnsi="Times New Roman"/>
          <w:sz w:val="24"/>
        </w:rPr>
      </w:pPr>
    </w:p>
    <w:p w:rsidR="002D768D" w:rsidRDefault="002D768D">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8.  </w:t>
      </w:r>
      <w:r>
        <w:rPr>
          <w:rFonts w:ascii="Times New Roman" w:hAnsi="Times New Roman"/>
          <w:sz w:val="24"/>
          <w:u w:val="single"/>
        </w:rPr>
        <w:t>Consultation with Individuals Outside of the Agency on Availability of Data, Frequency of Collection, Clarity of Instructions and Forms, and Data Elements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The requirement to file a SAR</w:t>
      </w:r>
      <w:r w:rsidR="00BF3FF7">
        <w:rPr>
          <w:rFonts w:ascii="Times New Roman" w:hAnsi="Times New Roman"/>
          <w:sz w:val="24"/>
        </w:rPr>
        <w:t>-DI</w:t>
      </w:r>
      <w:r>
        <w:rPr>
          <w:rFonts w:ascii="Times New Roman" w:hAnsi="Times New Roman"/>
          <w:sz w:val="24"/>
        </w:rPr>
        <w:t xml:space="preserve"> and maintain records of the supporting documentation</w:t>
      </w:r>
      <w:r w:rsidR="00F5583A">
        <w:rPr>
          <w:rFonts w:ascii="Times New Roman" w:hAnsi="Times New Roman"/>
          <w:sz w:val="24"/>
        </w:rPr>
        <w:t xml:space="preserve"> </w:t>
      </w:r>
      <w:r>
        <w:rPr>
          <w:rFonts w:ascii="Times New Roman" w:hAnsi="Times New Roman"/>
          <w:sz w:val="24"/>
        </w:rPr>
        <w:t>was adopted in 1996 after notice and comment procedures.</w:t>
      </w:r>
      <w:r w:rsidR="00847FFB">
        <w:rPr>
          <w:rStyle w:val="FootnoteReference"/>
          <w:rFonts w:ascii="Times New Roman" w:hAnsi="Times New Roman"/>
          <w:sz w:val="24"/>
        </w:rPr>
        <w:footnoteReference w:id="5"/>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The SAR</w:t>
      </w:r>
      <w:r w:rsidR="00847FFB">
        <w:rPr>
          <w:rFonts w:ascii="Times New Roman" w:hAnsi="Times New Roman"/>
          <w:sz w:val="24"/>
        </w:rPr>
        <w:t>-DI</w:t>
      </w:r>
      <w:r>
        <w:rPr>
          <w:rFonts w:ascii="Times New Roman" w:hAnsi="Times New Roman"/>
          <w:sz w:val="24"/>
        </w:rPr>
        <w:t xml:space="preserve"> was developed in conjunction with the bank regulators and the Department of Justice.  The SAR</w:t>
      </w:r>
      <w:r w:rsidR="00847FFB">
        <w:rPr>
          <w:rFonts w:ascii="Times New Roman" w:hAnsi="Times New Roman"/>
          <w:sz w:val="24"/>
        </w:rPr>
        <w:t>-DI</w:t>
      </w:r>
      <w:r>
        <w:rPr>
          <w:rFonts w:ascii="Times New Roman" w:hAnsi="Times New Roman"/>
          <w:sz w:val="24"/>
        </w:rPr>
        <w:t xml:space="preserve"> supports the action taken by the agencies in furtherance of the goals of the Attorney General's Bank Fraud Working Group.  </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FinCEN and the bank regulators issued a joint Federal Register notice (60-day notice) regarding the </w:t>
      </w:r>
      <w:r w:rsidR="00EF2E21">
        <w:rPr>
          <w:rFonts w:ascii="Times New Roman" w:hAnsi="Times New Roman"/>
          <w:sz w:val="24"/>
        </w:rPr>
        <w:t xml:space="preserve">renewal of the 2006 SAR-DI without change </w:t>
      </w:r>
      <w:r>
        <w:rPr>
          <w:rFonts w:ascii="Times New Roman" w:hAnsi="Times New Roman"/>
          <w:sz w:val="24"/>
        </w:rPr>
        <w:t xml:space="preserve">on </w:t>
      </w:r>
      <w:r w:rsidR="00EF2E21">
        <w:rPr>
          <w:rFonts w:ascii="Times New Roman" w:hAnsi="Times New Roman"/>
          <w:sz w:val="24"/>
        </w:rPr>
        <w:t>April</w:t>
      </w:r>
      <w:r>
        <w:rPr>
          <w:rFonts w:ascii="Times New Roman" w:hAnsi="Times New Roman"/>
          <w:sz w:val="24"/>
        </w:rPr>
        <w:t xml:space="preserve"> 1, 200</w:t>
      </w:r>
      <w:r w:rsidR="00EF2E21">
        <w:rPr>
          <w:rFonts w:ascii="Times New Roman" w:hAnsi="Times New Roman"/>
          <w:sz w:val="24"/>
        </w:rPr>
        <w:t>9.  (74</w:t>
      </w:r>
      <w:r>
        <w:rPr>
          <w:rFonts w:ascii="Times New Roman" w:hAnsi="Times New Roman"/>
          <w:sz w:val="24"/>
        </w:rPr>
        <w:t xml:space="preserve"> FR </w:t>
      </w:r>
      <w:r w:rsidR="00EF2E21">
        <w:rPr>
          <w:rFonts w:ascii="Times New Roman" w:hAnsi="Times New Roman"/>
          <w:sz w:val="24"/>
        </w:rPr>
        <w:t>14863</w:t>
      </w:r>
      <w:r>
        <w:rPr>
          <w:rFonts w:ascii="Times New Roman" w:hAnsi="Times New Roman"/>
          <w:sz w:val="24"/>
        </w:rPr>
        <w:t xml:space="preserve">)  The comments received in response to the 60-day notice (discussed below) were carefully considered.     The second </w:t>
      </w:r>
      <w:r w:rsidR="00EF2E21">
        <w:rPr>
          <w:rFonts w:ascii="Times New Roman" w:hAnsi="Times New Roman"/>
          <w:sz w:val="24"/>
        </w:rPr>
        <w:t>public notice</w:t>
      </w:r>
      <w:r>
        <w:rPr>
          <w:rFonts w:ascii="Times New Roman" w:hAnsi="Times New Roman"/>
          <w:sz w:val="24"/>
        </w:rPr>
        <w:t xml:space="preserve"> advises the public that the agencies are submitting the SAR</w:t>
      </w:r>
      <w:r w:rsidR="00847FFB">
        <w:rPr>
          <w:rFonts w:ascii="Times New Roman" w:hAnsi="Times New Roman"/>
          <w:sz w:val="24"/>
        </w:rPr>
        <w:t>-DI</w:t>
      </w:r>
      <w:r>
        <w:rPr>
          <w:rFonts w:ascii="Times New Roman" w:hAnsi="Times New Roman"/>
          <w:sz w:val="24"/>
        </w:rPr>
        <w:t xml:space="preserve"> to OMB for review, discusses the comments received, and explains agency action taken as a result of the comments</w:t>
      </w:r>
      <w:r w:rsidR="004F2F4F">
        <w:rPr>
          <w:rFonts w:ascii="Times New Roman" w:hAnsi="Times New Roman"/>
          <w:sz w:val="24"/>
        </w:rPr>
        <w:t xml:space="preserve">.  </w:t>
      </w:r>
      <w:r w:rsidR="00953B05">
        <w:rPr>
          <w:rFonts w:ascii="Times New Roman" w:hAnsi="Times New Roman"/>
          <w:sz w:val="24"/>
        </w:rPr>
        <w:t>Three</w:t>
      </w:r>
      <w:r w:rsidR="002D768D">
        <w:rPr>
          <w:rFonts w:ascii="Times New Roman" w:hAnsi="Times New Roman"/>
          <w:sz w:val="24"/>
        </w:rPr>
        <w:t xml:space="preserve"> comments were received in response to the </w:t>
      </w:r>
      <w:r w:rsidR="006C2259">
        <w:rPr>
          <w:rFonts w:ascii="Times New Roman" w:hAnsi="Times New Roman"/>
          <w:sz w:val="24"/>
        </w:rPr>
        <w:t>April</w:t>
      </w:r>
      <w:r w:rsidR="002D768D">
        <w:rPr>
          <w:rFonts w:ascii="Times New Roman" w:hAnsi="Times New Roman"/>
          <w:sz w:val="24"/>
        </w:rPr>
        <w:t xml:space="preserve"> 1, 2009, </w:t>
      </w:r>
      <w:r w:rsidR="002D768D" w:rsidRPr="006C2259">
        <w:rPr>
          <w:rFonts w:ascii="Times New Roman" w:hAnsi="Times New Roman"/>
          <w:sz w:val="24"/>
          <w:u w:val="single"/>
        </w:rPr>
        <w:t>Federal Register</w:t>
      </w:r>
      <w:r w:rsidR="006C2259" w:rsidRPr="006C2259">
        <w:rPr>
          <w:rFonts w:ascii="Times New Roman" w:hAnsi="Times New Roman"/>
          <w:sz w:val="24"/>
        </w:rPr>
        <w:t xml:space="preserve"> notice.</w:t>
      </w:r>
    </w:p>
    <w:p w:rsidR="008A2A0E" w:rsidRDefault="008A2A0E">
      <w:pPr>
        <w:rPr>
          <w:rFonts w:ascii="Times New Roman" w:hAnsi="Times New Roman"/>
          <w:sz w:val="24"/>
        </w:rPr>
      </w:pPr>
    </w:p>
    <w:p w:rsidR="008A2A0E" w:rsidRDefault="00011A60">
      <w:pPr>
        <w:rPr>
          <w:rFonts w:ascii="Times New Roman" w:hAnsi="Times New Roman"/>
          <w:sz w:val="24"/>
        </w:rPr>
      </w:pPr>
      <w:r>
        <w:rPr>
          <w:rFonts w:ascii="Times New Roman" w:hAnsi="Times New Roman"/>
          <w:sz w:val="24"/>
        </w:rPr>
        <w:t>T</w:t>
      </w:r>
      <w:r w:rsidR="008A2A0E">
        <w:rPr>
          <w:rFonts w:ascii="Times New Roman" w:hAnsi="Times New Roman"/>
          <w:sz w:val="24"/>
        </w:rPr>
        <w:t xml:space="preserve">wo respondents indicated concern that burden hours did not reflect the </w:t>
      </w:r>
      <w:r w:rsidR="00E813C3">
        <w:rPr>
          <w:rFonts w:ascii="Times New Roman" w:hAnsi="Times New Roman"/>
          <w:sz w:val="24"/>
        </w:rPr>
        <w:t>time-required</w:t>
      </w:r>
      <w:r w:rsidR="008A2A0E">
        <w:rPr>
          <w:rFonts w:ascii="Times New Roman" w:hAnsi="Times New Roman"/>
          <w:sz w:val="24"/>
        </w:rPr>
        <w:t xml:space="preserve"> to </w:t>
      </w:r>
      <w:r w:rsidR="00847FFB">
        <w:rPr>
          <w:rFonts w:ascii="Times New Roman" w:hAnsi="Times New Roman"/>
          <w:sz w:val="24"/>
        </w:rPr>
        <w:t xml:space="preserve">investigate, document, and review decisions to </w:t>
      </w:r>
      <w:r w:rsidR="008A2A0E">
        <w:rPr>
          <w:rFonts w:ascii="Times New Roman" w:hAnsi="Times New Roman"/>
          <w:sz w:val="24"/>
        </w:rPr>
        <w:t>complete and file a SAR</w:t>
      </w:r>
      <w:r w:rsidR="00847FFB">
        <w:rPr>
          <w:rFonts w:ascii="Times New Roman" w:hAnsi="Times New Roman"/>
          <w:sz w:val="24"/>
        </w:rPr>
        <w:t>-DI</w:t>
      </w:r>
      <w:r w:rsidR="008A2A0E">
        <w:rPr>
          <w:rFonts w:ascii="Times New Roman" w:hAnsi="Times New Roman"/>
          <w:sz w:val="24"/>
        </w:rPr>
        <w:t>.</w:t>
      </w:r>
    </w:p>
    <w:p w:rsidR="00781105" w:rsidRDefault="00781105">
      <w:pPr>
        <w:rPr>
          <w:rFonts w:ascii="Times New Roman" w:hAnsi="Times New Roman"/>
          <w:sz w:val="24"/>
        </w:rPr>
      </w:pPr>
    </w:p>
    <w:p w:rsidR="00E813C3" w:rsidRDefault="00E813C3">
      <w:pPr>
        <w:rPr>
          <w:rFonts w:ascii="Times New Roman" w:hAnsi="Times New Roman"/>
          <w:sz w:val="24"/>
        </w:rPr>
      </w:pPr>
      <w:r>
        <w:rPr>
          <w:rFonts w:ascii="Times New Roman" w:hAnsi="Times New Roman"/>
          <w:sz w:val="24"/>
        </w:rPr>
        <w:t xml:space="preserve">Response: </w:t>
      </w:r>
      <w:r w:rsidR="00847FFB">
        <w:rPr>
          <w:rFonts w:ascii="Times New Roman" w:hAnsi="Times New Roman"/>
          <w:sz w:val="24"/>
        </w:rPr>
        <w:t xml:space="preserve">The burden hour estimate is not intended to capture the entire time for the SAR-DI completion process.  </w:t>
      </w:r>
      <w:r>
        <w:rPr>
          <w:rFonts w:ascii="Times New Roman" w:hAnsi="Times New Roman"/>
          <w:sz w:val="24"/>
        </w:rPr>
        <w:t xml:space="preserve">FinCEN’s burden hours include 60 minutes for form completion </w:t>
      </w:r>
      <w:r w:rsidRPr="00E813C3">
        <w:rPr>
          <w:rFonts w:ascii="Times New Roman" w:hAnsi="Times New Roman"/>
          <w:sz w:val="24"/>
          <w:u w:val="single"/>
        </w:rPr>
        <w:t>and</w:t>
      </w:r>
      <w:r>
        <w:rPr>
          <w:rFonts w:ascii="Times New Roman" w:hAnsi="Times New Roman"/>
          <w:sz w:val="24"/>
        </w:rPr>
        <w:t xml:space="preserve"> 60 minutes for recordkeeping as required in 31 CFR 103.18(d) and 31 CFR 103.38.  This recordkeeping requirement is not </w:t>
      </w:r>
      <w:r w:rsidR="00880CC7">
        <w:rPr>
          <w:rFonts w:ascii="Times New Roman" w:hAnsi="Times New Roman"/>
          <w:sz w:val="24"/>
        </w:rPr>
        <w:t xml:space="preserve">required to be </w:t>
      </w:r>
      <w:r>
        <w:rPr>
          <w:rFonts w:ascii="Times New Roman" w:hAnsi="Times New Roman"/>
          <w:sz w:val="24"/>
        </w:rPr>
        <w:t>duplicated in the banking regulators burden figures.</w:t>
      </w:r>
    </w:p>
    <w:p w:rsidR="00E813C3" w:rsidRDefault="00E813C3">
      <w:pPr>
        <w:rPr>
          <w:rFonts w:ascii="Times New Roman" w:hAnsi="Times New Roman"/>
          <w:sz w:val="24"/>
        </w:rPr>
      </w:pPr>
    </w:p>
    <w:p w:rsidR="00E813C3" w:rsidRDefault="00781105">
      <w:pPr>
        <w:rPr>
          <w:rFonts w:ascii="Times New Roman" w:hAnsi="Times New Roman"/>
          <w:sz w:val="24"/>
        </w:rPr>
      </w:pPr>
      <w:r>
        <w:rPr>
          <w:rFonts w:ascii="Times New Roman" w:hAnsi="Times New Roman"/>
          <w:sz w:val="24"/>
        </w:rPr>
        <w:t>A</w:t>
      </w:r>
      <w:r w:rsidR="004F2F4F">
        <w:rPr>
          <w:rFonts w:ascii="Times New Roman" w:hAnsi="Times New Roman"/>
          <w:sz w:val="24"/>
        </w:rPr>
        <w:t xml:space="preserve"> respondent suggested eliminating the SAR</w:t>
      </w:r>
      <w:r w:rsidR="00847FFB">
        <w:rPr>
          <w:rFonts w:ascii="Times New Roman" w:hAnsi="Times New Roman"/>
          <w:sz w:val="24"/>
        </w:rPr>
        <w:t>-DI</w:t>
      </w:r>
      <w:r w:rsidR="004F2F4F">
        <w:rPr>
          <w:rFonts w:ascii="Times New Roman" w:hAnsi="Times New Roman"/>
          <w:sz w:val="24"/>
        </w:rPr>
        <w:t xml:space="preserve"> narrative (</w:t>
      </w:r>
      <w:r w:rsidR="00A14E45">
        <w:rPr>
          <w:rFonts w:ascii="Times New Roman" w:hAnsi="Times New Roman"/>
          <w:sz w:val="24"/>
        </w:rPr>
        <w:t>Part V</w:t>
      </w:r>
      <w:r w:rsidR="004F2F4F">
        <w:rPr>
          <w:rFonts w:ascii="Times New Roman" w:hAnsi="Times New Roman"/>
          <w:sz w:val="24"/>
        </w:rPr>
        <w:t xml:space="preserve">) and replacing it with check boxes. </w:t>
      </w:r>
      <w:r>
        <w:rPr>
          <w:rFonts w:ascii="Times New Roman" w:hAnsi="Times New Roman"/>
          <w:sz w:val="24"/>
        </w:rPr>
        <w:t>This respondent also recommended redesigning item 35, Suspicious Activity. This reference is to the 2003 version of the SAR</w:t>
      </w:r>
      <w:r w:rsidR="00847FFB">
        <w:rPr>
          <w:rFonts w:ascii="Times New Roman" w:hAnsi="Times New Roman"/>
          <w:sz w:val="24"/>
        </w:rPr>
        <w:t>-DI</w:t>
      </w:r>
      <w:r>
        <w:rPr>
          <w:rFonts w:ascii="Times New Roman" w:hAnsi="Times New Roman"/>
          <w:sz w:val="24"/>
        </w:rPr>
        <w:t xml:space="preserve"> but applies to the 2006 version under current review.</w:t>
      </w:r>
    </w:p>
    <w:p w:rsidR="00880CC7" w:rsidRDefault="00880CC7">
      <w:pPr>
        <w:rPr>
          <w:rFonts w:ascii="Times New Roman" w:hAnsi="Times New Roman"/>
          <w:sz w:val="24"/>
        </w:rPr>
      </w:pPr>
    </w:p>
    <w:p w:rsidR="00D44405" w:rsidRDefault="00781105">
      <w:pPr>
        <w:rPr>
          <w:rFonts w:ascii="Times New Roman" w:hAnsi="Times New Roman"/>
          <w:sz w:val="24"/>
        </w:rPr>
      </w:pPr>
      <w:r>
        <w:rPr>
          <w:rFonts w:ascii="Times New Roman" w:hAnsi="Times New Roman"/>
          <w:sz w:val="24"/>
        </w:rPr>
        <w:t>Response:</w:t>
      </w:r>
      <w:r w:rsidR="009B4E6E">
        <w:rPr>
          <w:rFonts w:ascii="Times New Roman" w:hAnsi="Times New Roman"/>
          <w:sz w:val="24"/>
        </w:rPr>
        <w:t xml:space="preserve"> </w:t>
      </w:r>
      <w:r w:rsidR="00847FFB">
        <w:rPr>
          <w:rFonts w:ascii="Times New Roman" w:hAnsi="Times New Roman"/>
          <w:sz w:val="24"/>
        </w:rPr>
        <w:t>The SAR-DI form is being renewed without change.  This comment may be further contemplated when changes to the form are being considered.</w:t>
      </w:r>
    </w:p>
    <w:p w:rsidR="00D44405" w:rsidRDefault="00D44405">
      <w:pPr>
        <w:rPr>
          <w:rFonts w:ascii="Times New Roman" w:hAnsi="Times New Roman"/>
          <w:sz w:val="24"/>
        </w:rPr>
      </w:pPr>
    </w:p>
    <w:p w:rsidR="008D7644" w:rsidRDefault="00953B05">
      <w:pPr>
        <w:rPr>
          <w:rFonts w:ascii="Times New Roman" w:hAnsi="Times New Roman"/>
          <w:sz w:val="24"/>
        </w:rPr>
      </w:pPr>
      <w:r>
        <w:rPr>
          <w:rFonts w:ascii="Times New Roman" w:hAnsi="Times New Roman"/>
          <w:sz w:val="24"/>
        </w:rPr>
        <w:t>Two respondents</w:t>
      </w:r>
      <w:r w:rsidR="00D44405">
        <w:rPr>
          <w:rFonts w:ascii="Times New Roman" w:hAnsi="Times New Roman"/>
          <w:sz w:val="24"/>
        </w:rPr>
        <w:t xml:space="preserve"> suggested that the current 90-day filing requirement for continuing activity be </w:t>
      </w:r>
      <w:r w:rsidR="00D44405">
        <w:rPr>
          <w:rFonts w:ascii="Times New Roman" w:hAnsi="Times New Roman"/>
          <w:sz w:val="24"/>
        </w:rPr>
        <w:lastRenderedPageBreak/>
        <w:t xml:space="preserve">extended </w:t>
      </w:r>
      <w:r>
        <w:rPr>
          <w:rFonts w:ascii="Times New Roman" w:hAnsi="Times New Roman"/>
          <w:sz w:val="24"/>
        </w:rPr>
        <w:t xml:space="preserve">beyond the current period up </w:t>
      </w:r>
      <w:r w:rsidR="00D44405">
        <w:rPr>
          <w:rFonts w:ascii="Times New Roman" w:hAnsi="Times New Roman"/>
          <w:sz w:val="24"/>
        </w:rPr>
        <w:t>to six</w:t>
      </w:r>
      <w:r w:rsidR="008D7644">
        <w:rPr>
          <w:rFonts w:ascii="Times New Roman" w:hAnsi="Times New Roman"/>
          <w:sz w:val="24"/>
        </w:rPr>
        <w:t xml:space="preserve"> </w:t>
      </w:r>
      <w:r w:rsidR="00D44405">
        <w:rPr>
          <w:rFonts w:ascii="Times New Roman" w:hAnsi="Times New Roman"/>
          <w:sz w:val="24"/>
        </w:rPr>
        <w:t xml:space="preserve">(6) months.  </w:t>
      </w:r>
    </w:p>
    <w:p w:rsidR="008D7644" w:rsidRDefault="008D7644">
      <w:pPr>
        <w:rPr>
          <w:rFonts w:ascii="Times New Roman" w:hAnsi="Times New Roman"/>
          <w:sz w:val="24"/>
        </w:rPr>
      </w:pPr>
    </w:p>
    <w:p w:rsidR="006A273B" w:rsidRDefault="008D7644">
      <w:pPr>
        <w:rPr>
          <w:rFonts w:ascii="Times New Roman" w:hAnsi="Times New Roman"/>
          <w:sz w:val="24"/>
        </w:rPr>
      </w:pPr>
      <w:r>
        <w:rPr>
          <w:rFonts w:ascii="Times New Roman" w:hAnsi="Times New Roman"/>
          <w:sz w:val="24"/>
        </w:rPr>
        <w:t xml:space="preserve">Response: </w:t>
      </w:r>
      <w:r w:rsidR="00D44405">
        <w:rPr>
          <w:rFonts w:ascii="Times New Roman" w:hAnsi="Times New Roman"/>
          <w:sz w:val="24"/>
        </w:rPr>
        <w:t xml:space="preserve"> </w:t>
      </w:r>
      <w:r w:rsidR="00847FFB">
        <w:rPr>
          <w:rFonts w:ascii="Times New Roman" w:hAnsi="Times New Roman"/>
          <w:sz w:val="24"/>
        </w:rPr>
        <w:t>The requirement to file a SAR-DI on continuing activity every 90 days is set forth in FinCEN guidance</w:t>
      </w:r>
      <w:r w:rsidR="00847FFB">
        <w:rPr>
          <w:rStyle w:val="FootnoteReference"/>
          <w:rFonts w:ascii="Times New Roman" w:hAnsi="Times New Roman"/>
          <w:sz w:val="24"/>
        </w:rPr>
        <w:footnoteReference w:id="6"/>
      </w:r>
      <w:r w:rsidR="00847FFB">
        <w:rPr>
          <w:rFonts w:ascii="Times New Roman" w:hAnsi="Times New Roman"/>
          <w:sz w:val="24"/>
        </w:rPr>
        <w:t xml:space="preserve"> </w:t>
      </w:r>
      <w:r w:rsidR="00847FFB" w:rsidRPr="00847FFB">
        <w:rPr>
          <w:rFonts w:ascii="Times New Roman" w:hAnsi="Times New Roman"/>
          <w:sz w:val="24"/>
        </w:rPr>
        <w:t>and is outside the scope of the SAR-DI form renewal process.</w:t>
      </w:r>
    </w:p>
    <w:p w:rsidR="006A273B" w:rsidRDefault="006A273B">
      <w:pPr>
        <w:rPr>
          <w:rFonts w:ascii="Times New Roman" w:hAnsi="Times New Roman"/>
          <w:sz w:val="24"/>
        </w:rPr>
      </w:pPr>
    </w:p>
    <w:p w:rsidR="006A273B" w:rsidRDefault="006A273B">
      <w:pPr>
        <w:rPr>
          <w:rFonts w:ascii="Times New Roman" w:hAnsi="Times New Roman"/>
          <w:sz w:val="24"/>
        </w:rPr>
      </w:pPr>
      <w:r>
        <w:rPr>
          <w:rFonts w:ascii="Times New Roman" w:hAnsi="Times New Roman"/>
          <w:sz w:val="24"/>
        </w:rPr>
        <w:t>A respondent provided its in-house cost for SAR</w:t>
      </w:r>
      <w:r w:rsidR="00847FFB">
        <w:rPr>
          <w:rFonts w:ascii="Times New Roman" w:hAnsi="Times New Roman"/>
          <w:sz w:val="24"/>
        </w:rPr>
        <w:t>-DI</w:t>
      </w:r>
      <w:r>
        <w:rPr>
          <w:rFonts w:ascii="Times New Roman" w:hAnsi="Times New Roman"/>
          <w:sz w:val="24"/>
        </w:rPr>
        <w:t xml:space="preserve"> reporting.</w:t>
      </w:r>
    </w:p>
    <w:p w:rsidR="006A273B" w:rsidRDefault="006A273B">
      <w:pPr>
        <w:rPr>
          <w:rFonts w:ascii="Times New Roman" w:hAnsi="Times New Roman"/>
          <w:sz w:val="24"/>
        </w:rPr>
      </w:pPr>
    </w:p>
    <w:p w:rsidR="00DD707A" w:rsidRDefault="006A273B">
      <w:pPr>
        <w:rPr>
          <w:rFonts w:ascii="Times New Roman" w:hAnsi="Times New Roman"/>
          <w:sz w:val="24"/>
        </w:rPr>
      </w:pPr>
      <w:r>
        <w:rPr>
          <w:rFonts w:ascii="Times New Roman" w:hAnsi="Times New Roman"/>
          <w:sz w:val="24"/>
        </w:rPr>
        <w:t>Response: Cost noted.</w:t>
      </w:r>
      <w:r w:rsidR="008D7644">
        <w:rPr>
          <w:rFonts w:ascii="Times New Roman" w:hAnsi="Times New Roman"/>
          <w:sz w:val="24"/>
        </w:rPr>
        <w:t xml:space="preserve"> </w:t>
      </w:r>
    </w:p>
    <w:p w:rsidR="00953B05" w:rsidRDefault="00953B05">
      <w:pPr>
        <w:rPr>
          <w:rFonts w:ascii="Times New Roman" w:hAnsi="Times New Roman"/>
          <w:sz w:val="24"/>
        </w:rPr>
      </w:pPr>
    </w:p>
    <w:p w:rsidR="004D5A51" w:rsidRDefault="00953B05">
      <w:pPr>
        <w:rPr>
          <w:rFonts w:ascii="Times New Roman" w:hAnsi="Times New Roman"/>
          <w:sz w:val="24"/>
        </w:rPr>
      </w:pPr>
      <w:r>
        <w:rPr>
          <w:rFonts w:ascii="Times New Roman" w:hAnsi="Times New Roman"/>
          <w:sz w:val="24"/>
        </w:rPr>
        <w:t>A respondent recommended amending the current process for correcting previously filed SAR</w:t>
      </w:r>
      <w:r w:rsidR="00E015ED">
        <w:rPr>
          <w:rFonts w:ascii="Times New Roman" w:hAnsi="Times New Roman"/>
          <w:sz w:val="24"/>
        </w:rPr>
        <w:t>-DI</w:t>
      </w:r>
      <w:r>
        <w:rPr>
          <w:rFonts w:ascii="Times New Roman" w:hAnsi="Times New Roman"/>
          <w:sz w:val="24"/>
        </w:rPr>
        <w:t>s to the process currently used to amend previously filed currency transaction reports (CTR’s).</w:t>
      </w:r>
    </w:p>
    <w:p w:rsidR="004D5A51" w:rsidRDefault="004D5A51">
      <w:pPr>
        <w:rPr>
          <w:rFonts w:ascii="Times New Roman" w:hAnsi="Times New Roman"/>
          <w:sz w:val="24"/>
        </w:rPr>
      </w:pPr>
    </w:p>
    <w:p w:rsidR="00CB7C6B" w:rsidRDefault="004D5A51">
      <w:pPr>
        <w:rPr>
          <w:rFonts w:ascii="Times New Roman" w:hAnsi="Times New Roman"/>
          <w:sz w:val="24"/>
        </w:rPr>
      </w:pPr>
      <w:r>
        <w:rPr>
          <w:rFonts w:ascii="Times New Roman" w:hAnsi="Times New Roman"/>
          <w:sz w:val="24"/>
        </w:rPr>
        <w:t xml:space="preserve">Response: </w:t>
      </w:r>
      <w:r w:rsidR="00DE1E13">
        <w:rPr>
          <w:rFonts w:ascii="Times New Roman" w:hAnsi="Times New Roman"/>
          <w:sz w:val="24"/>
        </w:rPr>
        <w:t xml:space="preserve">In </w:t>
      </w:r>
      <w:r w:rsidR="00DE1E13" w:rsidRPr="00DE1E13">
        <w:rPr>
          <w:rFonts w:ascii="Times New Roman" w:hAnsi="Times New Roman"/>
          <w:sz w:val="24"/>
        </w:rPr>
        <w:t>a separate endeavor from the SAR-DI form renewal process</w:t>
      </w:r>
      <w:r w:rsidR="00DE1E13">
        <w:rPr>
          <w:rFonts w:ascii="Times New Roman" w:hAnsi="Times New Roman"/>
          <w:sz w:val="24"/>
        </w:rPr>
        <w:t>,</w:t>
      </w:r>
      <w:r w:rsidR="00DE1E13" w:rsidRPr="00DE1E13">
        <w:rPr>
          <w:rFonts w:ascii="Times New Roman" w:hAnsi="Times New Roman"/>
          <w:sz w:val="24"/>
        </w:rPr>
        <w:t xml:space="preserve"> </w:t>
      </w:r>
      <w:r>
        <w:rPr>
          <w:rFonts w:ascii="Times New Roman" w:hAnsi="Times New Roman"/>
          <w:sz w:val="24"/>
        </w:rPr>
        <w:t>FinCEN is currently in the process of developing a SAR receipt acknowledgement and correction process</w:t>
      </w:r>
      <w:r w:rsidR="006C5D79">
        <w:rPr>
          <w:rFonts w:ascii="Times New Roman" w:hAnsi="Times New Roman"/>
          <w:sz w:val="24"/>
        </w:rPr>
        <w:t xml:space="preserve">.  </w:t>
      </w:r>
      <w:r>
        <w:rPr>
          <w:rFonts w:ascii="Times New Roman" w:hAnsi="Times New Roman"/>
          <w:sz w:val="24"/>
        </w:rPr>
        <w:t xml:space="preserve"> </w:t>
      </w:r>
      <w:r w:rsidR="006C5D79">
        <w:rPr>
          <w:rFonts w:ascii="Times New Roman" w:hAnsi="Times New Roman"/>
          <w:sz w:val="24"/>
        </w:rPr>
        <w:t xml:space="preserve">While </w:t>
      </w:r>
      <w:r>
        <w:rPr>
          <w:rFonts w:ascii="Times New Roman" w:hAnsi="Times New Roman"/>
          <w:sz w:val="24"/>
        </w:rPr>
        <w:t xml:space="preserve">several issues regarding processing </w:t>
      </w:r>
      <w:r w:rsidR="00CB7C6B">
        <w:rPr>
          <w:rFonts w:ascii="Times New Roman" w:hAnsi="Times New Roman"/>
          <w:sz w:val="24"/>
        </w:rPr>
        <w:t xml:space="preserve">must </w:t>
      </w:r>
      <w:r>
        <w:rPr>
          <w:rFonts w:ascii="Times New Roman" w:hAnsi="Times New Roman"/>
          <w:sz w:val="24"/>
        </w:rPr>
        <w:t xml:space="preserve">be </w:t>
      </w:r>
      <w:r w:rsidR="00CB7C6B">
        <w:rPr>
          <w:rFonts w:ascii="Times New Roman" w:hAnsi="Times New Roman"/>
          <w:sz w:val="24"/>
        </w:rPr>
        <w:t xml:space="preserve">addressed and </w:t>
      </w:r>
      <w:r>
        <w:rPr>
          <w:rFonts w:ascii="Times New Roman" w:hAnsi="Times New Roman"/>
          <w:sz w:val="24"/>
        </w:rPr>
        <w:t>finalized</w:t>
      </w:r>
      <w:r w:rsidR="006C5D79">
        <w:rPr>
          <w:rFonts w:ascii="Times New Roman" w:hAnsi="Times New Roman"/>
          <w:sz w:val="24"/>
        </w:rPr>
        <w:t>,</w:t>
      </w:r>
      <w:r>
        <w:rPr>
          <w:rFonts w:ascii="Times New Roman" w:hAnsi="Times New Roman"/>
          <w:sz w:val="24"/>
        </w:rPr>
        <w:t xml:space="preserve"> </w:t>
      </w:r>
      <w:r w:rsidR="00CB7C6B">
        <w:rPr>
          <w:rFonts w:ascii="Times New Roman" w:hAnsi="Times New Roman"/>
          <w:sz w:val="24"/>
        </w:rPr>
        <w:t xml:space="preserve">FinCEN has established a target date of late 2009 to test the new SAR acknowledgement </w:t>
      </w:r>
      <w:r w:rsidR="00344BF4">
        <w:rPr>
          <w:rFonts w:ascii="Times New Roman" w:hAnsi="Times New Roman"/>
          <w:sz w:val="24"/>
        </w:rPr>
        <w:t xml:space="preserve">part of the </w:t>
      </w:r>
      <w:r w:rsidR="00CB7C6B">
        <w:rPr>
          <w:rFonts w:ascii="Times New Roman" w:hAnsi="Times New Roman"/>
          <w:sz w:val="24"/>
        </w:rPr>
        <w:t>process.</w:t>
      </w:r>
    </w:p>
    <w:p w:rsidR="00CB7C6B" w:rsidRDefault="00CB7C6B">
      <w:pPr>
        <w:rPr>
          <w:rFonts w:ascii="Times New Roman" w:hAnsi="Times New Roman"/>
          <w:sz w:val="24"/>
        </w:rPr>
      </w:pPr>
    </w:p>
    <w:p w:rsidR="00D27730" w:rsidRDefault="00CB7C6B">
      <w:pPr>
        <w:rPr>
          <w:rFonts w:ascii="Times New Roman" w:hAnsi="Times New Roman"/>
          <w:sz w:val="24"/>
        </w:rPr>
      </w:pPr>
      <w:r>
        <w:rPr>
          <w:rFonts w:ascii="Times New Roman" w:hAnsi="Times New Roman"/>
          <w:sz w:val="24"/>
        </w:rPr>
        <w:t xml:space="preserve">A respondent noted that </w:t>
      </w:r>
      <w:r>
        <w:rPr>
          <w:rFonts w:ascii="Times New Roman" w:hAnsi="Times New Roman"/>
          <w:sz w:val="24"/>
          <w:szCs w:val="24"/>
        </w:rPr>
        <w:t>c</w:t>
      </w:r>
      <w:r w:rsidRPr="00CB7C6B">
        <w:rPr>
          <w:rFonts w:ascii="Times New Roman" w:hAnsi="Times New Roman"/>
          <w:sz w:val="24"/>
          <w:szCs w:val="24"/>
        </w:rPr>
        <w:t>urrently, financial institutions that use a manual process to complete the SAR-DI form are required to print the entire form package in order to access additional pages for added narrative and suspect descriptions.</w:t>
      </w:r>
      <w:r w:rsidRPr="008D5861">
        <w:rPr>
          <w:rFonts w:ascii="Arial" w:hAnsi="Arial"/>
          <w:sz w:val="24"/>
          <w:szCs w:val="24"/>
        </w:rPr>
        <w:t xml:space="preserve"> </w:t>
      </w:r>
      <w:r>
        <w:rPr>
          <w:rFonts w:ascii="Times New Roman" w:hAnsi="Times New Roman"/>
          <w:sz w:val="24"/>
          <w:szCs w:val="24"/>
        </w:rPr>
        <w:t>The respondent</w:t>
      </w:r>
      <w:r w:rsidRPr="00CB7C6B">
        <w:rPr>
          <w:rFonts w:ascii="Times New Roman" w:hAnsi="Times New Roman"/>
          <w:sz w:val="24"/>
          <w:szCs w:val="24"/>
        </w:rPr>
        <w:t xml:space="preserve"> suggest</w:t>
      </w:r>
      <w:r>
        <w:rPr>
          <w:rFonts w:ascii="Times New Roman" w:hAnsi="Times New Roman"/>
          <w:sz w:val="24"/>
          <w:szCs w:val="24"/>
        </w:rPr>
        <w:t>ed</w:t>
      </w:r>
      <w:r w:rsidRPr="00CB7C6B">
        <w:rPr>
          <w:rFonts w:ascii="Times New Roman" w:hAnsi="Times New Roman"/>
          <w:sz w:val="24"/>
          <w:szCs w:val="24"/>
        </w:rPr>
        <w:t xml:space="preserve"> that the agencies consider providing additional narrative and suspect pages similar to page two of the Currency Transaction Report (CTR), which allows financial institutions to document additional information when multiple individuals are involved in a transaction.</w:t>
      </w:r>
      <w:r w:rsidR="004D5A51">
        <w:rPr>
          <w:rFonts w:ascii="Times New Roman" w:hAnsi="Times New Roman"/>
          <w:sz w:val="24"/>
        </w:rPr>
        <w:t xml:space="preserve"> </w:t>
      </w:r>
    </w:p>
    <w:p w:rsidR="00D27730" w:rsidRDefault="00D27730">
      <w:pPr>
        <w:rPr>
          <w:rFonts w:ascii="Times New Roman" w:hAnsi="Times New Roman"/>
          <w:sz w:val="24"/>
        </w:rPr>
      </w:pPr>
    </w:p>
    <w:p w:rsidR="00781105" w:rsidRDefault="00D27730">
      <w:pPr>
        <w:rPr>
          <w:rFonts w:ascii="Times New Roman" w:hAnsi="Times New Roman"/>
          <w:sz w:val="24"/>
        </w:rPr>
      </w:pPr>
      <w:r>
        <w:rPr>
          <w:rFonts w:ascii="Times New Roman" w:hAnsi="Times New Roman"/>
          <w:sz w:val="24"/>
        </w:rPr>
        <w:t xml:space="preserve">Response: </w:t>
      </w:r>
      <w:r w:rsidR="00E015ED" w:rsidRPr="00E015ED">
        <w:rPr>
          <w:rFonts w:ascii="Times New Roman" w:hAnsi="Times New Roman"/>
          <w:sz w:val="24"/>
        </w:rPr>
        <w:t xml:space="preserve">The SAR-DI form is being renewed without change.  This comment may be further contemplated when changes to </w:t>
      </w:r>
      <w:r w:rsidR="00DE1E13" w:rsidRPr="00E015ED">
        <w:rPr>
          <w:rFonts w:ascii="Times New Roman" w:hAnsi="Times New Roman"/>
          <w:sz w:val="24"/>
        </w:rPr>
        <w:t xml:space="preserve">the </w:t>
      </w:r>
      <w:r w:rsidR="00DE1E13">
        <w:rPr>
          <w:rFonts w:ascii="Times New Roman" w:hAnsi="Times New Roman"/>
          <w:sz w:val="24"/>
        </w:rPr>
        <w:t xml:space="preserve">paper SAR-DI </w:t>
      </w:r>
      <w:r w:rsidR="00E015ED" w:rsidRPr="00E015ED">
        <w:rPr>
          <w:rFonts w:ascii="Times New Roman" w:hAnsi="Times New Roman"/>
          <w:sz w:val="24"/>
        </w:rPr>
        <w:t xml:space="preserve">form are being </w:t>
      </w:r>
      <w:r w:rsidR="00416771" w:rsidRPr="00E015ED">
        <w:rPr>
          <w:rFonts w:ascii="Times New Roman" w:hAnsi="Times New Roman"/>
          <w:sz w:val="24"/>
        </w:rPr>
        <w:t>con</w:t>
      </w:r>
      <w:r w:rsidR="00416771">
        <w:rPr>
          <w:rFonts w:ascii="Times New Roman" w:hAnsi="Times New Roman"/>
          <w:sz w:val="24"/>
        </w:rPr>
        <w:t>sidered</w:t>
      </w:r>
      <w:r w:rsidR="00E015ED" w:rsidRPr="00E015ED">
        <w:rPr>
          <w:rFonts w:ascii="Times New Roman" w:hAnsi="Times New Roman"/>
          <w:sz w:val="24"/>
        </w:rPr>
        <w:t>.</w:t>
      </w:r>
      <w:r>
        <w:rPr>
          <w:rFonts w:ascii="Times New Roman" w:hAnsi="Times New Roman"/>
          <w:sz w:val="24"/>
        </w:rPr>
        <w:t xml:space="preserve"> </w:t>
      </w:r>
      <w:r w:rsidR="00725154">
        <w:rPr>
          <w:rFonts w:ascii="Times New Roman" w:hAnsi="Times New Roman"/>
          <w:sz w:val="24"/>
        </w:rPr>
        <w:t xml:space="preserve"> </w:t>
      </w:r>
      <w:r>
        <w:rPr>
          <w:rFonts w:ascii="Times New Roman" w:hAnsi="Times New Roman"/>
          <w:sz w:val="24"/>
        </w:rPr>
        <w:t>Effective June 27, 2009, FinCEN will convert the current BSA E-File system to adobe Forms. The new filing system is supported by a dynamic forms package that supports adding multiple subjects, and expanded narratives</w:t>
      </w:r>
      <w:r w:rsidR="00344BF4">
        <w:rPr>
          <w:rFonts w:ascii="Times New Roman" w:hAnsi="Times New Roman"/>
          <w:sz w:val="24"/>
        </w:rPr>
        <w:t xml:space="preserve"> as required</w:t>
      </w:r>
      <w:r>
        <w:rPr>
          <w:rFonts w:ascii="Times New Roman" w:hAnsi="Times New Roman"/>
          <w:sz w:val="24"/>
        </w:rPr>
        <w:t xml:space="preserve">. The </w:t>
      </w:r>
      <w:r w:rsidR="00344BF4">
        <w:rPr>
          <w:rFonts w:ascii="Times New Roman" w:hAnsi="Times New Roman"/>
          <w:sz w:val="24"/>
        </w:rPr>
        <w:t xml:space="preserve">BSA E-File system is secure and supports both discreet (single) and bulk filing requirements.   </w:t>
      </w:r>
      <w:r>
        <w:rPr>
          <w:rFonts w:ascii="Times New Roman" w:hAnsi="Times New Roman"/>
          <w:sz w:val="24"/>
        </w:rPr>
        <w:t xml:space="preserve"> </w:t>
      </w:r>
      <w:r w:rsidR="004D5A51">
        <w:rPr>
          <w:rFonts w:ascii="Times New Roman" w:hAnsi="Times New Roman"/>
          <w:sz w:val="24"/>
        </w:rPr>
        <w:t xml:space="preserve">  </w:t>
      </w:r>
      <w:r w:rsidR="008D7644">
        <w:rPr>
          <w:rFonts w:ascii="Times New Roman" w:hAnsi="Times New Roman"/>
          <w:sz w:val="24"/>
        </w:rPr>
        <w:t xml:space="preserve">  </w:t>
      </w:r>
      <w:r w:rsidR="00D44405">
        <w:rPr>
          <w:rFonts w:ascii="Times New Roman" w:hAnsi="Times New Roman"/>
          <w:sz w:val="24"/>
        </w:rPr>
        <w:t xml:space="preserve"> </w:t>
      </w:r>
      <w:r w:rsidR="00781105">
        <w:rPr>
          <w:rFonts w:ascii="Times New Roman" w:hAnsi="Times New Roman"/>
          <w:sz w:val="24"/>
        </w:rPr>
        <w:t xml:space="preserve">  </w:t>
      </w:r>
    </w:p>
    <w:p w:rsidR="00A35BD4" w:rsidRDefault="00A35BD4">
      <w:pPr>
        <w:rPr>
          <w:rFonts w:ascii="Times New Roman" w:hAnsi="Times New Roman"/>
          <w:sz w:val="24"/>
        </w:rPr>
      </w:pPr>
    </w:p>
    <w:p w:rsidR="006A273B" w:rsidRDefault="006A273B">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9.  </w:t>
      </w:r>
      <w:r>
        <w:rPr>
          <w:rFonts w:ascii="Times New Roman" w:hAnsi="Times New Roman"/>
          <w:sz w:val="24"/>
          <w:u w:val="single"/>
        </w:rPr>
        <w:t>Payments or Gifts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No payments or gifts will be made to respondents.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Assurance of Confidentiality of Responses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Information provided to the government on SAR</w:t>
      </w:r>
      <w:r w:rsidR="00847FFB">
        <w:rPr>
          <w:rFonts w:ascii="Times New Roman" w:hAnsi="Times New Roman"/>
          <w:sz w:val="24"/>
        </w:rPr>
        <w:t>-DI</w:t>
      </w:r>
      <w:r>
        <w:rPr>
          <w:rFonts w:ascii="Times New Roman" w:hAnsi="Times New Roman"/>
          <w:sz w:val="24"/>
        </w:rPr>
        <w:t>s is expressly prohibited from disclosure under 31 U.S.C. 5318(g)(2), and the participating agencies' Privacy Act notice</w:t>
      </w:r>
      <w:r w:rsidR="007E6C07">
        <w:rPr>
          <w:rFonts w:ascii="Times New Roman" w:hAnsi="Times New Roman"/>
          <w:sz w:val="24"/>
        </w:rPr>
        <w:t>s</w:t>
      </w:r>
      <w:r>
        <w:rPr>
          <w:rFonts w:ascii="Times New Roman" w:hAnsi="Times New Roman"/>
          <w:sz w:val="24"/>
        </w:rPr>
        <w:t xml:space="preserve"> make clear that the system of records is intended for the official use of law enforcement and bank </w:t>
      </w:r>
      <w:r>
        <w:rPr>
          <w:rFonts w:ascii="Times New Roman" w:hAnsi="Times New Roman"/>
          <w:sz w:val="24"/>
        </w:rPr>
        <w:lastRenderedPageBreak/>
        <w:t>regulators.   Appropriate system security safeguards have been put in place to protect against unauthorized access.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Justification of Sensitive Questions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No sensitive questions are asked.</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12.  </w:t>
      </w:r>
      <w:r>
        <w:rPr>
          <w:rFonts w:ascii="Times New Roman" w:hAnsi="Times New Roman"/>
          <w:sz w:val="24"/>
          <w:u w:val="single"/>
        </w:rPr>
        <w:t>Estimated Annual Hourly Burden</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Estimated number of</w:t>
      </w:r>
      <w:r w:rsidR="00EF2E21">
        <w:rPr>
          <w:rFonts w:ascii="Times New Roman" w:hAnsi="Times New Roman"/>
          <w:sz w:val="24"/>
        </w:rPr>
        <w:t xml:space="preserve"> respondents: </w:t>
      </w:r>
      <w:r w:rsidR="00001D0B">
        <w:rPr>
          <w:rFonts w:ascii="Times New Roman" w:hAnsi="Times New Roman"/>
          <w:sz w:val="24"/>
        </w:rPr>
        <w:t>NCUA</w:t>
      </w:r>
      <w:r w:rsidR="00001D0B">
        <w:rPr>
          <w:rFonts w:ascii="Times New Roman" w:hAnsi="Times New Roman"/>
          <w:sz w:val="24"/>
        </w:rPr>
        <w:tab/>
        <w:t>7,834</w:t>
      </w:r>
    </w:p>
    <w:p w:rsidR="00001D0B" w:rsidRDefault="00001D0B" w:rsidP="00001D0B">
      <w:pPr>
        <w:ind w:left="720"/>
        <w:rPr>
          <w:rFonts w:ascii="Times New Roman" w:hAnsi="Times New Roman"/>
          <w:sz w:val="24"/>
        </w:rPr>
      </w:pPr>
    </w:p>
    <w:p w:rsidR="00001D0B" w:rsidRPr="00805138" w:rsidRDefault="00001D0B" w:rsidP="00001D0B">
      <w:pPr>
        <w:ind w:left="720"/>
        <w:rPr>
          <w:rFonts w:ascii="Times New Roman" w:hAnsi="Times New Roman"/>
          <w:i/>
          <w:sz w:val="24"/>
        </w:rPr>
      </w:pPr>
      <w:r w:rsidRPr="00805138">
        <w:rPr>
          <w:rFonts w:ascii="Times New Roman" w:hAnsi="Times New Roman"/>
          <w:i/>
          <w:sz w:val="24"/>
        </w:rPr>
        <w:t>There are a total of 7,834 possible respondents for NCUA as that is the current total number of credit unions.</w:t>
      </w:r>
    </w:p>
    <w:p w:rsidR="00A35BD4" w:rsidRDefault="00A35BD4">
      <w:pPr>
        <w:rPr>
          <w:rFonts w:ascii="Times New Roman" w:hAnsi="Times New Roman"/>
          <w:sz w:val="24"/>
        </w:rPr>
      </w:pPr>
      <w:r>
        <w:rPr>
          <w:rFonts w:ascii="Times New Roman" w:hAnsi="Times New Roman"/>
          <w:sz w:val="24"/>
        </w:rPr>
        <w:t xml:space="preserve">  </w:t>
      </w:r>
      <w:r w:rsidR="00EF2E21">
        <w:rPr>
          <w:rFonts w:ascii="Times New Roman" w:hAnsi="Times New Roman"/>
          <w:sz w:val="24"/>
        </w:rPr>
        <w:t xml:space="preserve">          </w:t>
      </w:r>
      <w:r w:rsidR="00EF2E21">
        <w:rPr>
          <w:rFonts w:ascii="Times New Roman" w:hAnsi="Times New Roman"/>
          <w:sz w:val="24"/>
        </w:rPr>
        <w:tab/>
      </w:r>
      <w:r w:rsidR="00EF2E21">
        <w:rPr>
          <w:rFonts w:ascii="Times New Roman" w:hAnsi="Times New Roman"/>
          <w:sz w:val="24"/>
        </w:rPr>
        <w:tab/>
      </w:r>
      <w:r w:rsidR="00EF2E21">
        <w:rPr>
          <w:rFonts w:ascii="Times New Roman" w:hAnsi="Times New Roman"/>
          <w:sz w:val="24"/>
        </w:rPr>
        <w:tab/>
      </w:r>
    </w:p>
    <w:p w:rsidR="00A35BD4" w:rsidRDefault="00A35BD4">
      <w:pPr>
        <w:rPr>
          <w:rFonts w:ascii="Times New Roman" w:hAnsi="Times New Roman"/>
          <w:sz w:val="24"/>
        </w:rPr>
      </w:pPr>
      <w:r>
        <w:rPr>
          <w:rFonts w:ascii="Times New Roman" w:hAnsi="Times New Roman"/>
          <w:sz w:val="24"/>
        </w:rPr>
        <w:tab/>
        <w:t xml:space="preserve">Estimated total annual responses:  </w:t>
      </w:r>
      <w:r w:rsidR="00001D0B">
        <w:rPr>
          <w:rFonts w:ascii="Times New Roman" w:hAnsi="Times New Roman"/>
          <w:sz w:val="24"/>
        </w:rPr>
        <w:t>NCUA</w:t>
      </w:r>
      <w:r>
        <w:rPr>
          <w:rFonts w:ascii="Times New Roman" w:hAnsi="Times New Roman"/>
          <w:sz w:val="24"/>
        </w:rPr>
        <w:t xml:space="preserve">      </w:t>
      </w:r>
      <w:r w:rsidR="00001D0B">
        <w:rPr>
          <w:rFonts w:ascii="Times New Roman" w:hAnsi="Times New Roman"/>
          <w:sz w:val="24"/>
        </w:rPr>
        <w:t>56,500</w:t>
      </w:r>
    </w:p>
    <w:p w:rsidR="00001D0B" w:rsidRDefault="00001D0B">
      <w:pPr>
        <w:rPr>
          <w:rFonts w:ascii="Times New Roman" w:hAnsi="Times New Roman"/>
          <w:sz w:val="24"/>
        </w:rPr>
      </w:pPr>
    </w:p>
    <w:p w:rsidR="00001D0B" w:rsidRPr="00805138" w:rsidRDefault="00805138" w:rsidP="00805138">
      <w:pPr>
        <w:ind w:left="720"/>
        <w:rPr>
          <w:rFonts w:ascii="Times New Roman" w:hAnsi="Times New Roman"/>
          <w:i/>
          <w:sz w:val="24"/>
        </w:rPr>
      </w:pPr>
      <w:r w:rsidRPr="00805138">
        <w:rPr>
          <w:rFonts w:ascii="Times New Roman" w:hAnsi="Times New Roman"/>
          <w:i/>
          <w:sz w:val="24"/>
        </w:rPr>
        <w:t>The estimated total annual responses are based upon the increase of SAR filings in year 2007.</w:t>
      </w:r>
    </w:p>
    <w:p w:rsidR="003B7391" w:rsidRDefault="00A35BD4">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p>
    <w:p w:rsidR="00805138" w:rsidRDefault="00A35BD4" w:rsidP="00805138">
      <w:pPr>
        <w:ind w:firstLine="720"/>
        <w:rPr>
          <w:rFonts w:ascii="Times New Roman" w:hAnsi="Times New Roman"/>
          <w:sz w:val="24"/>
          <w:szCs w:val="24"/>
        </w:rPr>
      </w:pPr>
      <w:r>
        <w:rPr>
          <w:rFonts w:ascii="Times New Roman" w:hAnsi="Times New Roman"/>
          <w:sz w:val="24"/>
        </w:rPr>
        <w:t xml:space="preserve">Estimated total annual burden hours: </w:t>
      </w:r>
      <w:r w:rsidR="00805138">
        <w:rPr>
          <w:rFonts w:ascii="Times New Roman" w:hAnsi="Times New Roman"/>
          <w:sz w:val="24"/>
        </w:rPr>
        <w:t>NCUA</w:t>
      </w:r>
      <w:r w:rsidR="00847FFB">
        <w:rPr>
          <w:rFonts w:ascii="Times New Roman" w:hAnsi="Times New Roman"/>
          <w:sz w:val="24"/>
        </w:rPr>
        <w:t xml:space="preserve"> has</w:t>
      </w:r>
      <w:r>
        <w:rPr>
          <w:rFonts w:ascii="Times New Roman" w:hAnsi="Times New Roman"/>
          <w:sz w:val="24"/>
          <w:szCs w:val="24"/>
        </w:rPr>
        <w:t xml:space="preserve"> estimated 60 minutes for form completion.  </w:t>
      </w:r>
    </w:p>
    <w:p w:rsidR="003B7391" w:rsidRPr="00805138" w:rsidRDefault="003B7391">
      <w:pPr>
        <w:rPr>
          <w:rFonts w:ascii="Times New Roman" w:hAnsi="Times New Roman"/>
          <w:i/>
          <w:sz w:val="24"/>
        </w:rPr>
      </w:pPr>
    </w:p>
    <w:p w:rsidR="003B7391" w:rsidRPr="00805138" w:rsidRDefault="007772DD">
      <w:pPr>
        <w:ind w:firstLine="720"/>
        <w:rPr>
          <w:rFonts w:ascii="Times New Roman" w:hAnsi="Times New Roman"/>
          <w:i/>
          <w:sz w:val="24"/>
        </w:rPr>
      </w:pPr>
      <w:r w:rsidRPr="00805138">
        <w:rPr>
          <w:rFonts w:ascii="Times New Roman" w:hAnsi="Times New Roman"/>
          <w:i/>
          <w:sz w:val="24"/>
        </w:rPr>
        <w:t xml:space="preserve">Estimated total annual burden hours: </w:t>
      </w:r>
      <w:r w:rsidR="00805138" w:rsidRPr="00805138">
        <w:rPr>
          <w:rFonts w:ascii="Times New Roman" w:hAnsi="Times New Roman"/>
          <w:i/>
          <w:sz w:val="24"/>
        </w:rPr>
        <w:t>NCUA</w:t>
      </w:r>
      <w:r w:rsidR="00A35BD4" w:rsidRPr="00805138">
        <w:rPr>
          <w:rFonts w:ascii="Times New Roman" w:hAnsi="Times New Roman"/>
          <w:i/>
          <w:sz w:val="24"/>
        </w:rPr>
        <w:t xml:space="preserve"> </w:t>
      </w:r>
      <w:r w:rsidR="00805138" w:rsidRPr="00805138">
        <w:rPr>
          <w:rFonts w:ascii="Times New Roman" w:hAnsi="Times New Roman"/>
          <w:i/>
          <w:sz w:val="24"/>
        </w:rPr>
        <w:t>56,500</w:t>
      </w:r>
      <w:r w:rsidR="00393872" w:rsidRPr="00805138">
        <w:rPr>
          <w:rFonts w:ascii="Times New Roman" w:hAnsi="Times New Roman"/>
          <w:i/>
          <w:sz w:val="24"/>
        </w:rPr>
        <w:t xml:space="preserve"> hours</w:t>
      </w:r>
    </w:p>
    <w:p w:rsidR="00CB7648" w:rsidRDefault="00A35BD4" w:rsidP="00CB7648">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13.  </w:t>
      </w:r>
      <w:r>
        <w:rPr>
          <w:rFonts w:ascii="Times New Roman" w:hAnsi="Times New Roman"/>
          <w:sz w:val="24"/>
          <w:u w:val="single"/>
        </w:rPr>
        <w:t>Estimated Annual Cost</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Not applicable.</w:t>
      </w:r>
      <w:r>
        <w:rPr>
          <w:rFonts w:ascii="Times New Roman" w:hAnsi="Times New Roman"/>
          <w:sz w:val="24"/>
        </w:rPr>
        <w:tab/>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Estimated Annualized Cost to Federal Government</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Not applicable.</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15.  </w:t>
      </w:r>
      <w:r>
        <w:rPr>
          <w:rFonts w:ascii="Times New Roman" w:hAnsi="Times New Roman"/>
          <w:sz w:val="24"/>
          <w:u w:val="single"/>
        </w:rPr>
        <w:t>Reasons for change in Burden</w:t>
      </w:r>
      <w:r>
        <w:rPr>
          <w:rFonts w:ascii="Times New Roman" w:hAnsi="Times New Roman"/>
          <w:sz w:val="24"/>
        </w:rPr>
        <w:t>.</w:t>
      </w:r>
    </w:p>
    <w:p w:rsidR="00A35BD4" w:rsidRDefault="00A35BD4">
      <w:pPr>
        <w:rPr>
          <w:rFonts w:ascii="Times New Roman" w:hAnsi="Times New Roman"/>
          <w:sz w:val="24"/>
        </w:rPr>
      </w:pPr>
    </w:p>
    <w:p w:rsidR="00A35BD4" w:rsidRDefault="00847FFB">
      <w:pPr>
        <w:rPr>
          <w:rFonts w:ascii="Times New Roman" w:hAnsi="Times New Roman"/>
          <w:sz w:val="24"/>
        </w:rPr>
      </w:pPr>
      <w:r>
        <w:rPr>
          <w:rFonts w:ascii="Times New Roman" w:hAnsi="Times New Roman"/>
          <w:sz w:val="24"/>
        </w:rPr>
        <w:t>T</w:t>
      </w:r>
      <w:r w:rsidR="00CE3220">
        <w:rPr>
          <w:rFonts w:ascii="Times New Roman" w:hAnsi="Times New Roman"/>
          <w:sz w:val="24"/>
        </w:rPr>
        <w:t xml:space="preserve">he </w:t>
      </w:r>
      <w:r>
        <w:rPr>
          <w:rFonts w:ascii="Times New Roman" w:hAnsi="Times New Roman"/>
          <w:sz w:val="24"/>
        </w:rPr>
        <w:t xml:space="preserve">increase in </w:t>
      </w:r>
      <w:r w:rsidR="007E6C07">
        <w:rPr>
          <w:rFonts w:ascii="Times New Roman" w:hAnsi="Times New Roman"/>
          <w:sz w:val="24"/>
        </w:rPr>
        <w:t xml:space="preserve">suspicious activity </w:t>
      </w:r>
      <w:r w:rsidR="00A35BD4">
        <w:rPr>
          <w:rFonts w:ascii="Times New Roman" w:hAnsi="Times New Roman"/>
          <w:sz w:val="24"/>
        </w:rPr>
        <w:t xml:space="preserve">has resulted in an increase in total filings. </w:t>
      </w:r>
      <w:r w:rsidR="00805138">
        <w:rPr>
          <w:rFonts w:ascii="Times New Roman" w:hAnsi="Times New Roman"/>
          <w:sz w:val="24"/>
        </w:rPr>
        <w:t xml:space="preserve">The increase in the total number of responses is due to the credit unions’ increased awareness of the requirement of when to file a SAR, as well as improved suspicious activity monitoring systems.  The total number of SARs filed by credit unions increased dramatically over the past few years.  The 56,500 estimated responses </w:t>
      </w:r>
      <w:r w:rsidR="00A14E45">
        <w:rPr>
          <w:rFonts w:ascii="Times New Roman" w:hAnsi="Times New Roman"/>
          <w:sz w:val="24"/>
        </w:rPr>
        <w:t>are</w:t>
      </w:r>
      <w:r w:rsidR="00805138">
        <w:rPr>
          <w:rFonts w:ascii="Times New Roman" w:hAnsi="Times New Roman"/>
          <w:sz w:val="24"/>
        </w:rPr>
        <w:t xml:space="preserve"> based upon an estimated increase over the number of SARs filed by credit unions in 2007.</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Plans for Tabulation, Statistical Analysis and Publication</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Not applicable.</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Request not to Display Expiration Date of OMB Control Number</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u w:val="single"/>
        </w:rPr>
      </w:pPr>
      <w:r>
        <w:rPr>
          <w:rFonts w:ascii="Times New Roman" w:hAnsi="Times New Roman"/>
          <w:sz w:val="24"/>
        </w:rPr>
        <w:tab/>
        <w:t>To avoid having to reprint the form just to show a new date, FinCEN is requesting permission not to display the OMB expiration date on the SAR</w:t>
      </w:r>
      <w:r w:rsidR="00847FFB">
        <w:rPr>
          <w:rFonts w:ascii="Times New Roman" w:hAnsi="Times New Roman"/>
          <w:sz w:val="24"/>
        </w:rPr>
        <w:t>-DI</w:t>
      </w:r>
      <w:r>
        <w:rPr>
          <w:rFonts w:ascii="Times New Roman" w:hAnsi="Times New Roman"/>
          <w:sz w:val="24"/>
        </w:rPr>
        <w:t xml:space="preserve"> form.</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18.  </w:t>
      </w:r>
      <w:r>
        <w:rPr>
          <w:rFonts w:ascii="Times New Roman" w:hAnsi="Times New Roman"/>
          <w:sz w:val="24"/>
          <w:u w:val="single"/>
        </w:rPr>
        <w:t>Exceptions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Not applicable.</w:t>
      </w:r>
    </w:p>
    <w:p w:rsidR="00A35BD4" w:rsidRDefault="00A35BD4">
      <w:pPr>
        <w:rPr>
          <w:rFonts w:ascii="Times New Roman" w:hAnsi="Times New Roman"/>
          <w:sz w:val="24"/>
        </w:rPr>
      </w:pPr>
      <w:r>
        <w:rPr>
          <w:rFonts w:ascii="Times New Roman" w:hAnsi="Times New Roman"/>
          <w:sz w:val="24"/>
        </w:rPr>
        <w:br w:type="page"/>
      </w:r>
      <w:r>
        <w:rPr>
          <w:rFonts w:ascii="Times New Roman" w:hAnsi="Times New Roman"/>
          <w:sz w:val="24"/>
        </w:rPr>
        <w:lastRenderedPageBreak/>
        <w:t>ATTACHMENT 1 TO THE PAPERWORK REDUCTION ACT SUBMISSION FOR THE SUSPICIOUS ACTIVITY REPORT</w:t>
      </w:r>
    </w:p>
    <w:p w:rsidR="00A35BD4" w:rsidRDefault="00A35BD4">
      <w:pPr>
        <w:rPr>
          <w:rFonts w:ascii="Times New Roman" w:hAnsi="Times New Roman"/>
          <w:sz w:val="24"/>
        </w:rPr>
      </w:pP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r>
      <w:r w:rsidR="00805138">
        <w:rPr>
          <w:rFonts w:ascii="Times New Roman" w:hAnsi="Times New Roman"/>
          <w:sz w:val="24"/>
        </w:rPr>
        <w:t>NCUA’s</w:t>
      </w:r>
      <w:r>
        <w:rPr>
          <w:rFonts w:ascii="Times New Roman" w:hAnsi="Times New Roman"/>
          <w:sz w:val="24"/>
        </w:rPr>
        <w:t xml:space="preserve"> form number for the Suspicious Activity Report is </w:t>
      </w:r>
      <w:r w:rsidR="00805138">
        <w:rPr>
          <w:rFonts w:ascii="Times New Roman" w:hAnsi="Times New Roman"/>
          <w:sz w:val="24"/>
        </w:rPr>
        <w:t xml:space="preserve">NCUA </w:t>
      </w:r>
      <w:r>
        <w:rPr>
          <w:rFonts w:ascii="Times New Roman" w:hAnsi="Times New Roman"/>
          <w:sz w:val="24"/>
        </w:rPr>
        <w:t xml:space="preserve">Form </w:t>
      </w:r>
      <w:r w:rsidR="00805138">
        <w:rPr>
          <w:rFonts w:ascii="Times New Roman" w:hAnsi="Times New Roman"/>
          <w:sz w:val="24"/>
        </w:rPr>
        <w:t>2362</w:t>
      </w:r>
      <w:r>
        <w:rPr>
          <w:rFonts w:ascii="Times New Roman" w:hAnsi="Times New Roman"/>
          <w:sz w:val="24"/>
        </w:rPr>
        <w:t xml:space="preserve">, and the OMB Control Number assigned to </w:t>
      </w:r>
      <w:r w:rsidR="00805138">
        <w:rPr>
          <w:rFonts w:ascii="Times New Roman" w:hAnsi="Times New Roman"/>
          <w:sz w:val="24"/>
        </w:rPr>
        <w:t>NCUA</w:t>
      </w:r>
      <w:r>
        <w:rPr>
          <w:rFonts w:ascii="Times New Roman" w:hAnsi="Times New Roman"/>
          <w:sz w:val="24"/>
        </w:rPr>
        <w:t xml:space="preserve"> for the Suspicious Activity Report is </w:t>
      </w:r>
      <w:r w:rsidR="00D73420">
        <w:rPr>
          <w:rFonts w:ascii="Times New Roman" w:hAnsi="Times New Roman"/>
          <w:sz w:val="24"/>
        </w:rPr>
        <w:t>3133-0094</w:t>
      </w:r>
      <w:r>
        <w:rPr>
          <w:rFonts w:ascii="Times New Roman" w:hAnsi="Times New Roman"/>
          <w:sz w:val="24"/>
        </w:rPr>
        <w:t xml:space="preserve">.  Each of the other agencies requiring the filing of the Suspicious Activity Report has its own form number and OMB Control Number.  To facilitate cross-reference of those agencies' Paperwork Reduction Act submissions, those </w:t>
      </w:r>
      <w:r w:rsidR="000428D8">
        <w:rPr>
          <w:rFonts w:ascii="Times New Roman" w:hAnsi="Times New Roman"/>
          <w:sz w:val="24"/>
        </w:rPr>
        <w:t>agencies,</w:t>
      </w:r>
      <w:r>
        <w:rPr>
          <w:rFonts w:ascii="Times New Roman" w:hAnsi="Times New Roman"/>
          <w:sz w:val="24"/>
        </w:rPr>
        <w:t xml:space="preserve"> and their numbers are as follow:</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u w:val="single"/>
        </w:rPr>
        <w:t>Federal Depository Insurance Corporation</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Form Number -- 6710/06</w:t>
      </w:r>
    </w:p>
    <w:p w:rsidR="00A35BD4" w:rsidRDefault="00A35BD4">
      <w:pPr>
        <w:rPr>
          <w:rFonts w:ascii="Times New Roman" w:hAnsi="Times New Roman"/>
          <w:sz w:val="24"/>
        </w:rPr>
      </w:pPr>
      <w:r>
        <w:rPr>
          <w:rFonts w:ascii="Times New Roman" w:hAnsi="Times New Roman"/>
          <w:sz w:val="24"/>
        </w:rPr>
        <w:t>OMB Control Number -- 3064-0077</w:t>
      </w:r>
    </w:p>
    <w:p w:rsidR="00805138" w:rsidRDefault="00805138">
      <w:pPr>
        <w:rPr>
          <w:rFonts w:ascii="Times New Roman" w:hAnsi="Times New Roman"/>
          <w:sz w:val="24"/>
        </w:rPr>
      </w:pPr>
    </w:p>
    <w:p w:rsidR="00805138" w:rsidRDefault="00805138">
      <w:pPr>
        <w:rPr>
          <w:rFonts w:ascii="Times New Roman" w:hAnsi="Times New Roman"/>
          <w:sz w:val="24"/>
          <w:u w:val="single"/>
        </w:rPr>
      </w:pPr>
      <w:r w:rsidRPr="00805138">
        <w:rPr>
          <w:rFonts w:ascii="Times New Roman" w:hAnsi="Times New Roman"/>
          <w:sz w:val="24"/>
          <w:u w:val="single"/>
        </w:rPr>
        <w:t>FinCEN</w:t>
      </w:r>
    </w:p>
    <w:p w:rsidR="00805138" w:rsidRDefault="00805138">
      <w:pPr>
        <w:rPr>
          <w:rFonts w:ascii="Times New Roman" w:hAnsi="Times New Roman"/>
          <w:sz w:val="24"/>
          <w:u w:val="single"/>
        </w:rPr>
      </w:pPr>
    </w:p>
    <w:p w:rsidR="00805138" w:rsidRDefault="00805138">
      <w:pPr>
        <w:rPr>
          <w:rFonts w:ascii="Times New Roman" w:hAnsi="Times New Roman"/>
          <w:sz w:val="24"/>
        </w:rPr>
      </w:pPr>
      <w:r>
        <w:rPr>
          <w:rFonts w:ascii="Times New Roman" w:hAnsi="Times New Roman"/>
          <w:sz w:val="24"/>
        </w:rPr>
        <w:t>Form Number – 111</w:t>
      </w:r>
    </w:p>
    <w:p w:rsidR="00805138" w:rsidRPr="00805138" w:rsidRDefault="00805138">
      <w:pPr>
        <w:rPr>
          <w:rFonts w:ascii="Times New Roman" w:hAnsi="Times New Roman"/>
          <w:sz w:val="24"/>
        </w:rPr>
      </w:pPr>
      <w:r>
        <w:rPr>
          <w:rFonts w:ascii="Times New Roman" w:hAnsi="Times New Roman"/>
          <w:sz w:val="24"/>
        </w:rPr>
        <w:t>OMB Control Number – 1506-0001</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u w:val="single"/>
        </w:rPr>
        <w:t>Office of the Comptroller of the Currency</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Form Number -- 8010-9, 8010-1)</w:t>
      </w:r>
    </w:p>
    <w:p w:rsidR="00A35BD4" w:rsidRDefault="00A35BD4">
      <w:pPr>
        <w:rPr>
          <w:rFonts w:ascii="Times New Roman" w:hAnsi="Times New Roman"/>
          <w:sz w:val="24"/>
        </w:rPr>
      </w:pPr>
      <w:r>
        <w:rPr>
          <w:rFonts w:ascii="Times New Roman" w:hAnsi="Times New Roman"/>
          <w:sz w:val="24"/>
        </w:rPr>
        <w:t>OMB Control Number -- 1557-0180</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u w:val="single"/>
        </w:rPr>
        <w:t>Office of Thrift Supervision</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Form Number -- 1601</w:t>
      </w:r>
    </w:p>
    <w:p w:rsidR="00A35BD4" w:rsidRDefault="00A35BD4">
      <w:pPr>
        <w:rPr>
          <w:rFonts w:ascii="Times New Roman" w:hAnsi="Times New Roman"/>
          <w:sz w:val="24"/>
        </w:rPr>
      </w:pPr>
      <w:r>
        <w:rPr>
          <w:rFonts w:ascii="Times New Roman" w:hAnsi="Times New Roman"/>
          <w:sz w:val="24"/>
        </w:rPr>
        <w:t>OMB Control Number -- 1550-0003</w:t>
      </w:r>
    </w:p>
    <w:p w:rsidR="00A35BD4" w:rsidRDefault="00A35BD4">
      <w:pPr>
        <w:rPr>
          <w:rFonts w:ascii="Times New Roman" w:hAnsi="Times New Roman"/>
          <w:sz w:val="24"/>
        </w:rPr>
      </w:pPr>
    </w:p>
    <w:sectPr w:rsidR="00A35BD4" w:rsidSect="00126A73">
      <w:headerReference w:type="default" r:id="rId11"/>
      <w:footerReference w:type="even" r:id="rId12"/>
      <w:footerReference w:type="default" r:id="rId13"/>
      <w:endnotePr>
        <w:numFmt w:val="decimal"/>
      </w:endnotePr>
      <w:type w:val="continuous"/>
      <w:pgSz w:w="12240" w:h="15840"/>
      <w:pgMar w:top="1400" w:right="1170" w:bottom="1400"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D7A" w:rsidRDefault="009B4D7A">
      <w:r>
        <w:separator/>
      </w:r>
    </w:p>
  </w:endnote>
  <w:endnote w:type="continuationSeparator" w:id="0">
    <w:p w:rsidR="009B4D7A" w:rsidRDefault="009B4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0B" w:rsidRDefault="00616132">
    <w:pPr>
      <w:pStyle w:val="Footer"/>
      <w:framePr w:wrap="around" w:vAnchor="text" w:hAnchor="margin" w:xAlign="center" w:y="1"/>
      <w:rPr>
        <w:rStyle w:val="PageNumber"/>
      </w:rPr>
    </w:pPr>
    <w:r>
      <w:rPr>
        <w:rStyle w:val="PageNumber"/>
      </w:rPr>
      <w:fldChar w:fldCharType="begin"/>
    </w:r>
    <w:r w:rsidR="00001D0B">
      <w:rPr>
        <w:rStyle w:val="PageNumber"/>
      </w:rPr>
      <w:instrText xml:space="preserve">PAGE  </w:instrText>
    </w:r>
    <w:r>
      <w:rPr>
        <w:rStyle w:val="PageNumber"/>
      </w:rPr>
      <w:fldChar w:fldCharType="end"/>
    </w:r>
  </w:p>
  <w:p w:rsidR="00001D0B" w:rsidRDefault="00001D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0B" w:rsidRDefault="00616132">
    <w:pPr>
      <w:pStyle w:val="Footer"/>
      <w:framePr w:wrap="around" w:vAnchor="text" w:hAnchor="margin" w:xAlign="center" w:y="1"/>
      <w:rPr>
        <w:rStyle w:val="PageNumber"/>
      </w:rPr>
    </w:pPr>
    <w:r>
      <w:rPr>
        <w:rStyle w:val="PageNumber"/>
      </w:rPr>
      <w:fldChar w:fldCharType="begin"/>
    </w:r>
    <w:r w:rsidR="00001D0B">
      <w:rPr>
        <w:rStyle w:val="PageNumber"/>
      </w:rPr>
      <w:instrText xml:space="preserve">PAGE  </w:instrText>
    </w:r>
    <w:r>
      <w:rPr>
        <w:rStyle w:val="PageNumber"/>
      </w:rPr>
      <w:fldChar w:fldCharType="separate"/>
    </w:r>
    <w:r w:rsidR="001A2C40">
      <w:rPr>
        <w:rStyle w:val="PageNumber"/>
        <w:noProof/>
      </w:rPr>
      <w:t>6</w:t>
    </w:r>
    <w:r>
      <w:rPr>
        <w:rStyle w:val="PageNumber"/>
      </w:rPr>
      <w:fldChar w:fldCharType="end"/>
    </w:r>
  </w:p>
  <w:p w:rsidR="00001D0B" w:rsidRDefault="00001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D7A" w:rsidRDefault="009B4D7A">
      <w:r>
        <w:separator/>
      </w:r>
    </w:p>
  </w:footnote>
  <w:footnote w:type="continuationSeparator" w:id="0">
    <w:p w:rsidR="009B4D7A" w:rsidRDefault="009B4D7A">
      <w:r>
        <w:continuationSeparator/>
      </w:r>
    </w:p>
  </w:footnote>
  <w:footnote w:id="1">
    <w:p w:rsidR="00001D0B" w:rsidRPr="00D227EB" w:rsidRDefault="00001D0B">
      <w:pPr>
        <w:rPr>
          <w:rFonts w:ascii="Times New Roman" w:hAnsi="Times New Roman"/>
        </w:rPr>
      </w:pPr>
      <w:r w:rsidRPr="00D227EB">
        <w:rPr>
          <w:rStyle w:val="FootnoteReference"/>
          <w:rFonts w:ascii="Times New Roman" w:hAnsi="Times New Roman"/>
        </w:rPr>
        <w:footnoteRef/>
      </w:r>
      <w:r w:rsidRPr="00D227EB">
        <w:rPr>
          <w:rFonts w:ascii="Times New Roman" w:hAnsi="Times New Roman"/>
        </w:rPr>
        <w:t xml:space="preserve">  The five federal financial institution supervisory agencies are the Board of Governors of the Federal Reserve System (the "Board"), the Federal Depository Insurance Corporation (the ""FDIC"), the Office of the Comptroller of the Currency (the "OCC"), the Office of Thrift Supervision (the "OTS"), and the National Credit Union Administration (the "NCUA").</w:t>
      </w:r>
    </w:p>
  </w:footnote>
  <w:footnote w:id="2">
    <w:p w:rsidR="00001D0B" w:rsidRDefault="00001D0B">
      <w:pPr>
        <w:pStyle w:val="FootnoteText"/>
      </w:pPr>
      <w:r>
        <w:rPr>
          <w:rStyle w:val="FootnoteReference"/>
        </w:rPr>
        <w:footnoteRef/>
      </w:r>
      <w:r>
        <w:t xml:space="preserve"> </w:t>
      </w:r>
      <w:r w:rsidRPr="00211FCD">
        <w:rPr>
          <w:rFonts w:ascii="Times New Roman" w:hAnsi="Times New Roman"/>
        </w:rPr>
        <w:t xml:space="preserve">Under the BSA, as implemented by </w:t>
      </w:r>
      <w:r w:rsidRPr="00211FCD">
        <w:rPr>
          <w:rFonts w:ascii="Times New Roman" w:hAnsi="Times New Roman"/>
          <w:bCs/>
        </w:rPr>
        <w:t>31 CFR 103.11</w:t>
      </w:r>
      <w:r w:rsidRPr="00211FCD">
        <w:rPr>
          <w:rFonts w:ascii="Times New Roman" w:hAnsi="Times New Roman"/>
        </w:rPr>
        <w:t>, the term “bank” includes each agent, agency, branch or office within the United States of commercial banks, savings and loan associations, thrift institutions, credit unions, and foreign banks.</w:t>
      </w:r>
      <w:r w:rsidRPr="00211FCD">
        <w:t xml:space="preserve">  </w:t>
      </w:r>
    </w:p>
  </w:footnote>
  <w:footnote w:id="3">
    <w:p w:rsidR="00001D0B" w:rsidRDefault="00001D0B" w:rsidP="00211FCD">
      <w:r w:rsidRPr="00D227EB">
        <w:rPr>
          <w:rStyle w:val="FootnoteReference"/>
          <w:rFonts w:ascii="Times New Roman" w:hAnsi="Times New Roman"/>
        </w:rPr>
        <w:footnoteRef/>
      </w:r>
      <w:r w:rsidRPr="00D227EB">
        <w:rPr>
          <w:rFonts w:ascii="Times New Roman" w:hAnsi="Times New Roman"/>
        </w:rPr>
        <w:t xml:space="preserve"> </w:t>
      </w:r>
      <w:r w:rsidRPr="00D227EB">
        <w:rPr>
          <w:rStyle w:val="FootnoteTextChar"/>
          <w:rFonts w:ascii="Times New Roman" w:hAnsi="Times New Roman"/>
        </w:rPr>
        <w:t xml:space="preserve">The form being renewed was approved by OMB effective June 30, 2007. On May 1, 2007, FinCEN published a Federal Register notice </w:t>
      </w:r>
      <w:r w:rsidRPr="00D227EB">
        <w:rPr>
          <w:rFonts w:ascii="Times New Roman" w:hAnsi="Times New Roman"/>
        </w:rPr>
        <w:t>(72 FR 23891)</w:t>
      </w:r>
      <w:r w:rsidRPr="00D227EB">
        <w:rPr>
          <w:rStyle w:val="FootnoteTextChar"/>
          <w:rFonts w:ascii="Times New Roman" w:hAnsi="Times New Roman"/>
        </w:rPr>
        <w:t xml:space="preserve"> (</w:t>
      </w:r>
      <w:hyperlink r:id="rId1" w:history="1">
        <w:r w:rsidRPr="00D227EB">
          <w:rPr>
            <w:rStyle w:val="FootnoteTextChar"/>
            <w:rFonts w:ascii="Times New Roman" w:hAnsi="Times New Roman"/>
          </w:rPr>
          <w:t>http://www.fincen.gov/statutes_regs/frn/pdf/sar_fr_notice.pdf</w:t>
        </w:r>
      </w:hyperlink>
      <w:r w:rsidRPr="00D227EB">
        <w:rPr>
          <w:rStyle w:val="FootnoteTextChar"/>
          <w:rFonts w:ascii="Times New Roman" w:hAnsi="Times New Roman"/>
        </w:rPr>
        <w:t>) announcing the delayed implementation of the revised Suspicious Activity Report (SAR) forms.  The revised SAR forms that support joint filings were originally scheduled to become effective on June 30, 2007 and mandatory on December 31, 2007.  The delay in implementation does not impact ongoing suspicious activity reporting.  Filers should continue to use the July 2003 form until further notice (</w:t>
      </w:r>
      <w:hyperlink r:id="rId2" w:history="1">
        <w:r w:rsidRPr="00D227EB">
          <w:rPr>
            <w:rStyle w:val="FootnoteTextChar"/>
            <w:rFonts w:ascii="Times New Roman" w:hAnsi="Times New Roman"/>
          </w:rPr>
          <w:t>http://www.fincen.gov/forms/files/f9022-47_sar-di.pdf</w:t>
        </w:r>
      </w:hyperlink>
      <w:r w:rsidRPr="00D227EB">
        <w:rPr>
          <w:rStyle w:val="FootnoteTextChar"/>
          <w:rFonts w:ascii="Times New Roman" w:hAnsi="Times New Roman"/>
        </w:rPr>
        <w:t>). FinCEN will establish new dates for using the revised SAR forms in a future notice.  Depository institutions will be provided ample lead time to incorporate the approved version.</w:t>
      </w:r>
      <w:r>
        <w:rPr>
          <w:rStyle w:val="FootnoteTextChar"/>
        </w:rPr>
        <w:t xml:space="preserve">   </w:t>
      </w:r>
    </w:p>
  </w:footnote>
  <w:footnote w:id="4">
    <w:p w:rsidR="00001D0B" w:rsidRDefault="00001D0B">
      <w:pPr>
        <w:pStyle w:val="FootnoteText"/>
      </w:pPr>
      <w:r>
        <w:rPr>
          <w:rStyle w:val="FootnoteReference"/>
        </w:rPr>
        <w:footnoteRef/>
      </w:r>
      <w:r>
        <w:t xml:space="preserve"> </w:t>
      </w:r>
      <w:r w:rsidRPr="00211FCD">
        <w:rPr>
          <w:rFonts w:ascii="Times New Roman" w:hAnsi="Times New Roman"/>
          <w:i/>
        </w:rPr>
        <w:t>See</w:t>
      </w:r>
      <w:r w:rsidRPr="00211FCD">
        <w:rPr>
          <w:rFonts w:ascii="Times New Roman" w:hAnsi="Times New Roman"/>
        </w:rPr>
        <w:t xml:space="preserve"> 12 CFR 208.62, 211.5(k), 211.24(f), and 225.4(f) (Board of Governors of the Federal Reserve System); 12 CFR 353 (Federal Deposit Insurance Corporation); 12 CFR 748 (National Credit Union Administration); 12 CFR 21.11 (Office of the Comptroller of the Currency); 12 CFR 563.180 (Office of Thrift Supervision) (does not apply to Savings and Loan Holding Companies); and </w:t>
      </w:r>
      <w:r w:rsidRPr="00211FCD">
        <w:rPr>
          <w:rFonts w:ascii="Times New Roman" w:hAnsi="Times New Roman"/>
          <w:bCs/>
        </w:rPr>
        <w:t>31 CFR 103.18</w:t>
      </w:r>
      <w:r w:rsidRPr="00211FCD">
        <w:rPr>
          <w:rFonts w:ascii="Times New Roman" w:hAnsi="Times New Roman"/>
        </w:rPr>
        <w:t xml:space="preserve"> (FinCEN).</w:t>
      </w:r>
    </w:p>
  </w:footnote>
  <w:footnote w:id="5">
    <w:p w:rsidR="00001D0B" w:rsidRPr="00847FFB" w:rsidRDefault="00001D0B">
      <w:pPr>
        <w:pStyle w:val="FootnoteText"/>
        <w:rPr>
          <w:rFonts w:ascii="Times New Roman" w:hAnsi="Times New Roman"/>
        </w:rPr>
      </w:pPr>
      <w:r>
        <w:rPr>
          <w:rStyle w:val="FootnoteReference"/>
        </w:rPr>
        <w:footnoteRef/>
      </w:r>
      <w:r>
        <w:t xml:space="preserve"> </w:t>
      </w:r>
      <w:r w:rsidRPr="00847FFB">
        <w:rPr>
          <w:rFonts w:ascii="Times New Roman" w:hAnsi="Times New Roman"/>
          <w:i/>
        </w:rPr>
        <w:t>See</w:t>
      </w:r>
      <w:r w:rsidRPr="00847FFB">
        <w:rPr>
          <w:rFonts w:ascii="Times New Roman" w:hAnsi="Times New Roman"/>
        </w:rPr>
        <w:t xml:space="preserve"> 12 CFR 208.62, 211.5(k), 211.24(f), and 225.4(f) (Board of Governors of the Federal Reserve System); 12 CFR 353 (Federal Deposit Insurance Corporation); 12 CFR 748 (National Credit Union Administration); 12 CFR 21.11 (Office of the Comptroller of the Currency); 12 CFR 563.180 (Office of Thrift Supervision) (does not apply to Savings and Loan Holding Companies); and </w:t>
      </w:r>
      <w:r w:rsidRPr="00847FFB">
        <w:rPr>
          <w:rFonts w:ascii="Times New Roman" w:hAnsi="Times New Roman"/>
          <w:bCs/>
        </w:rPr>
        <w:t>31 CFR 103.18</w:t>
      </w:r>
      <w:r w:rsidRPr="00847FFB">
        <w:rPr>
          <w:rFonts w:ascii="Times New Roman" w:hAnsi="Times New Roman"/>
        </w:rPr>
        <w:t xml:space="preserve"> (FinCEN).</w:t>
      </w:r>
    </w:p>
  </w:footnote>
  <w:footnote w:id="6">
    <w:p w:rsidR="00001D0B" w:rsidRPr="00847FFB" w:rsidRDefault="00001D0B">
      <w:pPr>
        <w:pStyle w:val="FootnoteText"/>
        <w:rPr>
          <w:rFonts w:ascii="Times New Roman" w:hAnsi="Times New Roman"/>
        </w:rPr>
      </w:pPr>
      <w:r w:rsidRPr="00847FFB">
        <w:rPr>
          <w:rStyle w:val="FootnoteReference"/>
          <w:rFonts w:ascii="Times New Roman" w:hAnsi="Times New Roman"/>
        </w:rPr>
        <w:footnoteRef/>
      </w:r>
      <w:r w:rsidRPr="00847FFB">
        <w:rPr>
          <w:rFonts w:ascii="Times New Roman" w:hAnsi="Times New Roman"/>
        </w:rPr>
        <w:t xml:space="preserve"> Bank Secrecy Act Advisory Group, “Section 5 — Issues and Guidance,” </w:t>
      </w:r>
      <w:r w:rsidRPr="00847FFB">
        <w:rPr>
          <w:rFonts w:ascii="Times New Roman" w:hAnsi="Times New Roman"/>
          <w:i/>
        </w:rPr>
        <w:t>The SAR Activity Review—Trends, Tips &amp; Issues</w:t>
      </w:r>
      <w:r w:rsidRPr="00847FFB">
        <w:rPr>
          <w:rFonts w:ascii="Times New Roman" w:hAnsi="Times New Roman"/>
        </w:rPr>
        <w:t>, Issue 1, October 2000, page 27 at www.fincen.gov.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0B" w:rsidRDefault="00001D0B">
    <w:pPr>
      <w:jc w:val="center"/>
      <w:rPr>
        <w:szCs w:val="24"/>
      </w:rPr>
    </w:pPr>
  </w:p>
  <w:p w:rsidR="00001D0B" w:rsidRDefault="00001D0B">
    <w:pPr>
      <w:jc w:val="cent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76420"/>
    <w:multiLevelType w:val="hybridMultilevel"/>
    <w:tmpl w:val="B9B87B6E"/>
    <w:lvl w:ilvl="0" w:tplc="E26CF6B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AD2CAE"/>
    <w:multiLevelType w:val="hybridMultilevel"/>
    <w:tmpl w:val="3A868772"/>
    <w:lvl w:ilvl="0" w:tplc="3072FBF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3B32B3"/>
    <w:multiLevelType w:val="hybridMultilevel"/>
    <w:tmpl w:val="5438646C"/>
    <w:lvl w:ilvl="0" w:tplc="2EE68B08">
      <w:start w:val="15"/>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EF2E21"/>
    <w:rsid w:val="00001D0B"/>
    <w:rsid w:val="00011A60"/>
    <w:rsid w:val="000428D8"/>
    <w:rsid w:val="00107E02"/>
    <w:rsid w:val="00126A73"/>
    <w:rsid w:val="00143F87"/>
    <w:rsid w:val="001A2C40"/>
    <w:rsid w:val="001C7BDC"/>
    <w:rsid w:val="001D524B"/>
    <w:rsid w:val="00211FCD"/>
    <w:rsid w:val="00230748"/>
    <w:rsid w:val="002D768D"/>
    <w:rsid w:val="00307610"/>
    <w:rsid w:val="00344BF4"/>
    <w:rsid w:val="00385952"/>
    <w:rsid w:val="00392F42"/>
    <w:rsid w:val="00393872"/>
    <w:rsid w:val="003B7391"/>
    <w:rsid w:val="003C0B77"/>
    <w:rsid w:val="003C2A85"/>
    <w:rsid w:val="003D6E8D"/>
    <w:rsid w:val="00416771"/>
    <w:rsid w:val="00496406"/>
    <w:rsid w:val="004D5A51"/>
    <w:rsid w:val="004F2F4F"/>
    <w:rsid w:val="005447F2"/>
    <w:rsid w:val="00570DAF"/>
    <w:rsid w:val="0057502B"/>
    <w:rsid w:val="0058447B"/>
    <w:rsid w:val="005F51A4"/>
    <w:rsid w:val="00616132"/>
    <w:rsid w:val="006A273B"/>
    <w:rsid w:val="006C2259"/>
    <w:rsid w:val="006C5D79"/>
    <w:rsid w:val="00725154"/>
    <w:rsid w:val="00727E1C"/>
    <w:rsid w:val="007772DD"/>
    <w:rsid w:val="00781105"/>
    <w:rsid w:val="007D18AB"/>
    <w:rsid w:val="007E6C07"/>
    <w:rsid w:val="00805138"/>
    <w:rsid w:val="00836D55"/>
    <w:rsid w:val="00845EA2"/>
    <w:rsid w:val="00847FFB"/>
    <w:rsid w:val="00880CC7"/>
    <w:rsid w:val="008A2A0E"/>
    <w:rsid w:val="008C1427"/>
    <w:rsid w:val="008D7644"/>
    <w:rsid w:val="00925F35"/>
    <w:rsid w:val="00953B05"/>
    <w:rsid w:val="009A2ED9"/>
    <w:rsid w:val="009B4D7A"/>
    <w:rsid w:val="009B4E6E"/>
    <w:rsid w:val="009E189B"/>
    <w:rsid w:val="009F2955"/>
    <w:rsid w:val="00A14E45"/>
    <w:rsid w:val="00A35BD4"/>
    <w:rsid w:val="00A449EE"/>
    <w:rsid w:val="00A7543B"/>
    <w:rsid w:val="00A75BE0"/>
    <w:rsid w:val="00A97115"/>
    <w:rsid w:val="00AC065D"/>
    <w:rsid w:val="00B46304"/>
    <w:rsid w:val="00B50D8F"/>
    <w:rsid w:val="00B77663"/>
    <w:rsid w:val="00B8610A"/>
    <w:rsid w:val="00BD64DD"/>
    <w:rsid w:val="00BF3FF7"/>
    <w:rsid w:val="00C03491"/>
    <w:rsid w:val="00C16639"/>
    <w:rsid w:val="00C34496"/>
    <w:rsid w:val="00C545FB"/>
    <w:rsid w:val="00CB7648"/>
    <w:rsid w:val="00CB7C6B"/>
    <w:rsid w:val="00CE3220"/>
    <w:rsid w:val="00D227EB"/>
    <w:rsid w:val="00D27730"/>
    <w:rsid w:val="00D44405"/>
    <w:rsid w:val="00D73420"/>
    <w:rsid w:val="00DD707A"/>
    <w:rsid w:val="00DE1E13"/>
    <w:rsid w:val="00E015ED"/>
    <w:rsid w:val="00E25541"/>
    <w:rsid w:val="00E7377B"/>
    <w:rsid w:val="00E813C3"/>
    <w:rsid w:val="00EE234A"/>
    <w:rsid w:val="00EF2447"/>
    <w:rsid w:val="00EF2E21"/>
    <w:rsid w:val="00F0693E"/>
    <w:rsid w:val="00F5583A"/>
    <w:rsid w:val="00F76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A73"/>
    <w:pPr>
      <w:widowControl w:val="0"/>
      <w:autoSpaceDE w:val="0"/>
      <w:autoSpaceDN w:val="0"/>
      <w:adjustRightInd w:val="0"/>
    </w:pPr>
    <w:rPr>
      <w:rFonts w:ascii="Courier 10cpi" w:hAnsi="Courier 10cpi"/>
    </w:rPr>
  </w:style>
  <w:style w:type="paragraph" w:styleId="Heading1">
    <w:name w:val="heading 1"/>
    <w:basedOn w:val="Normal"/>
    <w:next w:val="Normal"/>
    <w:qFormat/>
    <w:rsid w:val="00126A73"/>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126A73"/>
    <w:rPr>
      <w:vertAlign w:val="superscript"/>
    </w:rPr>
  </w:style>
  <w:style w:type="character" w:styleId="FootnoteReference">
    <w:name w:val="footnote reference"/>
    <w:basedOn w:val="DefaultParagraphFont"/>
    <w:semiHidden/>
    <w:rsid w:val="00126A73"/>
    <w:rPr>
      <w:vertAlign w:val="superscript"/>
    </w:rPr>
  </w:style>
  <w:style w:type="paragraph" w:styleId="BodyText">
    <w:name w:val="Body Text"/>
    <w:basedOn w:val="Normal"/>
    <w:rsid w:val="00126A73"/>
    <w:pPr>
      <w:jc w:val="center"/>
    </w:pPr>
    <w:rPr>
      <w:rFonts w:ascii="Times New Roman" w:hAnsi="Times New Roman"/>
      <w:szCs w:val="24"/>
    </w:rPr>
  </w:style>
  <w:style w:type="paragraph" w:styleId="HTMLPreformatted">
    <w:name w:val="HTML Preformatted"/>
    <w:basedOn w:val="Normal"/>
    <w:rsid w:val="0012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FootnoteText">
    <w:name w:val="footnote text"/>
    <w:basedOn w:val="Normal"/>
    <w:link w:val="FootnoteTextChar"/>
    <w:semiHidden/>
    <w:rsid w:val="00126A73"/>
  </w:style>
  <w:style w:type="character" w:styleId="Strong">
    <w:name w:val="Strong"/>
    <w:basedOn w:val="DefaultParagraphFont"/>
    <w:qFormat/>
    <w:rsid w:val="00126A73"/>
    <w:rPr>
      <w:b/>
      <w:bCs/>
    </w:rPr>
  </w:style>
  <w:style w:type="paragraph" w:styleId="Title">
    <w:name w:val="Title"/>
    <w:basedOn w:val="Normal"/>
    <w:qFormat/>
    <w:rsid w:val="00126A73"/>
    <w:pPr>
      <w:widowControl/>
      <w:autoSpaceDE/>
      <w:autoSpaceDN/>
      <w:adjustRightInd/>
      <w:jc w:val="center"/>
    </w:pPr>
    <w:rPr>
      <w:rFonts w:ascii="Times New Roman" w:hAnsi="Times New Roman"/>
      <w:b/>
      <w:bCs/>
      <w:sz w:val="32"/>
      <w:szCs w:val="24"/>
    </w:rPr>
  </w:style>
  <w:style w:type="paragraph" w:styleId="BodyText2">
    <w:name w:val="Body Text 2"/>
    <w:basedOn w:val="Normal"/>
    <w:rsid w:val="00126A73"/>
    <w:rPr>
      <w:rFonts w:ascii="Times New Roman" w:hAnsi="Times New Roman"/>
      <w:sz w:val="24"/>
    </w:rPr>
  </w:style>
  <w:style w:type="paragraph" w:styleId="Header">
    <w:name w:val="header"/>
    <w:basedOn w:val="Normal"/>
    <w:rsid w:val="00126A73"/>
    <w:pPr>
      <w:tabs>
        <w:tab w:val="center" w:pos="4320"/>
        <w:tab w:val="right" w:pos="8640"/>
      </w:tabs>
    </w:pPr>
  </w:style>
  <w:style w:type="paragraph" w:styleId="Footer">
    <w:name w:val="footer"/>
    <w:basedOn w:val="Normal"/>
    <w:rsid w:val="00126A73"/>
    <w:pPr>
      <w:tabs>
        <w:tab w:val="center" w:pos="4320"/>
        <w:tab w:val="right" w:pos="8640"/>
      </w:tabs>
    </w:pPr>
  </w:style>
  <w:style w:type="character" w:styleId="PageNumber">
    <w:name w:val="page number"/>
    <w:basedOn w:val="DefaultParagraphFont"/>
    <w:rsid w:val="00126A73"/>
  </w:style>
  <w:style w:type="paragraph" w:customStyle="1" w:styleId="ArticleLevel1">
    <w:name w:val="Article Level (1)"/>
    <w:basedOn w:val="Normal"/>
    <w:rsid w:val="00126A73"/>
    <w:pPr>
      <w:widowControl/>
      <w:autoSpaceDE/>
      <w:autoSpaceDN/>
      <w:adjustRightInd/>
      <w:spacing w:line="480" w:lineRule="auto"/>
    </w:pPr>
    <w:rPr>
      <w:rFonts w:ascii="Times New Roman" w:hAnsi="Times New Roman"/>
      <w:sz w:val="24"/>
    </w:rPr>
  </w:style>
  <w:style w:type="character" w:styleId="Emphasis">
    <w:name w:val="Emphasis"/>
    <w:basedOn w:val="DefaultParagraphFont"/>
    <w:qFormat/>
    <w:rsid w:val="00D227EB"/>
    <w:rPr>
      <w:i/>
      <w:iCs/>
    </w:rPr>
  </w:style>
  <w:style w:type="character" w:customStyle="1" w:styleId="FootnoteTextChar">
    <w:name w:val="Footnote Text Char"/>
    <w:basedOn w:val="DefaultParagraphFont"/>
    <w:link w:val="FootnoteText"/>
    <w:semiHidden/>
    <w:rsid w:val="00D227EB"/>
    <w:rPr>
      <w:rFonts w:ascii="Courier 10cpi" w:hAnsi="Courier 10cpi"/>
    </w:rPr>
  </w:style>
  <w:style w:type="character" w:styleId="Hyperlink">
    <w:name w:val="Hyperlink"/>
    <w:basedOn w:val="DefaultParagraphFont"/>
    <w:rsid w:val="0058447B"/>
    <w:rPr>
      <w:color w:val="0000FF"/>
      <w:u w:val="single"/>
    </w:rPr>
  </w:style>
  <w:style w:type="character" w:styleId="CommentReference">
    <w:name w:val="annotation reference"/>
    <w:basedOn w:val="DefaultParagraphFont"/>
    <w:rsid w:val="00847FFB"/>
    <w:rPr>
      <w:sz w:val="16"/>
      <w:szCs w:val="16"/>
    </w:rPr>
  </w:style>
  <w:style w:type="paragraph" w:styleId="CommentText">
    <w:name w:val="annotation text"/>
    <w:basedOn w:val="Normal"/>
    <w:link w:val="CommentTextChar"/>
    <w:rsid w:val="00847FFB"/>
  </w:style>
  <w:style w:type="character" w:customStyle="1" w:styleId="CommentTextChar">
    <w:name w:val="Comment Text Char"/>
    <w:basedOn w:val="DefaultParagraphFont"/>
    <w:link w:val="CommentText"/>
    <w:rsid w:val="00847FFB"/>
    <w:rPr>
      <w:rFonts w:ascii="Courier 10cpi" w:hAnsi="Courier 10cpi"/>
    </w:rPr>
  </w:style>
  <w:style w:type="paragraph" w:styleId="CommentSubject">
    <w:name w:val="annotation subject"/>
    <w:basedOn w:val="CommentText"/>
    <w:next w:val="CommentText"/>
    <w:link w:val="CommentSubjectChar"/>
    <w:rsid w:val="00847FFB"/>
    <w:rPr>
      <w:b/>
      <w:bCs/>
    </w:rPr>
  </w:style>
  <w:style w:type="character" w:customStyle="1" w:styleId="CommentSubjectChar">
    <w:name w:val="Comment Subject Char"/>
    <w:basedOn w:val="CommentTextChar"/>
    <w:link w:val="CommentSubject"/>
    <w:rsid w:val="00847FFB"/>
    <w:rPr>
      <w:b/>
      <w:bCs/>
    </w:rPr>
  </w:style>
  <w:style w:type="paragraph" w:styleId="BalloonText">
    <w:name w:val="Balloon Text"/>
    <w:basedOn w:val="Normal"/>
    <w:link w:val="BalloonTextChar"/>
    <w:rsid w:val="00847FFB"/>
    <w:rPr>
      <w:rFonts w:ascii="Tahoma" w:hAnsi="Tahoma" w:cs="Tahoma"/>
      <w:sz w:val="16"/>
      <w:szCs w:val="16"/>
    </w:rPr>
  </w:style>
  <w:style w:type="character" w:customStyle="1" w:styleId="BalloonTextChar">
    <w:name w:val="Balloon Text Char"/>
    <w:basedOn w:val="DefaultParagraphFont"/>
    <w:link w:val="BalloonText"/>
    <w:rsid w:val="00847FFB"/>
    <w:rPr>
      <w:rFonts w:ascii="Tahoma" w:hAnsi="Tahoma" w:cs="Tahoma"/>
      <w:sz w:val="16"/>
      <w:szCs w:val="16"/>
    </w:rPr>
  </w:style>
  <w:style w:type="paragraph" w:styleId="Revision">
    <w:name w:val="Revision"/>
    <w:hidden/>
    <w:uiPriority w:val="99"/>
    <w:semiHidden/>
    <w:rsid w:val="00836D55"/>
    <w:rPr>
      <w:rFonts w:ascii="Courier 10cpi" w:hAnsi="Courier 10cpi"/>
    </w:rPr>
  </w:style>
  <w:style w:type="character" w:styleId="FollowedHyperlink">
    <w:name w:val="FollowedHyperlink"/>
    <w:basedOn w:val="DefaultParagraphFont"/>
    <w:rsid w:val="00B776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incen.gov/forms/files/f9022-47_sar-di.pdf" TargetMode="External"/><Relationship Id="rId4" Type="http://schemas.openxmlformats.org/officeDocument/2006/relationships/styles" Target="styles.xml"/><Relationship Id="rId9" Type="http://schemas.openxmlformats.org/officeDocument/2006/relationships/hyperlink" Target="http://www.ncua.gov/GenInfo/GuidesManuals/sar/sar.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incen.gov/forms/files/f9022-47_sar-di.pdf" TargetMode="External"/><Relationship Id="rId1" Type="http://schemas.openxmlformats.org/officeDocument/2006/relationships/hyperlink" Target="http://www.fincen.gov/statutes_regs/frn/pdf/sar_fr_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4B035-7D05-47D5-8C5E-5EF106DDDE33}">
  <ds:schemaRefs>
    <ds:schemaRef ds:uri="http://schemas.openxmlformats.org/officeDocument/2006/bibliography"/>
  </ds:schemaRefs>
</ds:datastoreItem>
</file>

<file path=customXml/itemProps2.xml><?xml version="1.0" encoding="utf-8"?>
<ds:datastoreItem xmlns:ds="http://schemas.openxmlformats.org/officeDocument/2006/customXml" ds:itemID="{363758CE-ECDF-4747-ABC0-77F3660B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11925</CharactersWithSpaces>
  <SharedDoc>false</SharedDoc>
  <HLinks>
    <vt:vector size="18" baseType="variant">
      <vt:variant>
        <vt:i4>1572961</vt:i4>
      </vt:variant>
      <vt:variant>
        <vt:i4>0</vt:i4>
      </vt:variant>
      <vt:variant>
        <vt:i4>0</vt:i4>
      </vt:variant>
      <vt:variant>
        <vt:i4>5</vt:i4>
      </vt:variant>
      <vt:variant>
        <vt:lpwstr>http://www.fincen.gov/forms/files/f9022-47_sar-di.pdf</vt:lpwstr>
      </vt:variant>
      <vt:variant>
        <vt:lpwstr/>
      </vt:variant>
      <vt:variant>
        <vt:i4>1572961</vt:i4>
      </vt:variant>
      <vt:variant>
        <vt:i4>3</vt:i4>
      </vt:variant>
      <vt:variant>
        <vt:i4>0</vt:i4>
      </vt:variant>
      <vt:variant>
        <vt:i4>5</vt:i4>
      </vt:variant>
      <vt:variant>
        <vt:lpwstr>http://www.fincen.gov/forms/files/f9022-47_sar-di.pdf</vt:lpwstr>
      </vt:variant>
      <vt:variant>
        <vt:lpwstr/>
      </vt:variant>
      <vt:variant>
        <vt:i4>8126555</vt:i4>
      </vt:variant>
      <vt:variant>
        <vt:i4>0</vt:i4>
      </vt:variant>
      <vt:variant>
        <vt:i4>0</vt:i4>
      </vt:variant>
      <vt:variant>
        <vt:i4>5</vt:i4>
      </vt:variant>
      <vt:variant>
        <vt:lpwstr>http://www.fincen.gov/statutes_regs/frn/pdf/sar_fr_notice.pdf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StephR</dc:creator>
  <cp:lastModifiedBy>Michael Johnson</cp:lastModifiedBy>
  <cp:revision>2</cp:revision>
  <cp:lastPrinted>2009-07-30T13:11:00Z</cp:lastPrinted>
  <dcterms:created xsi:type="dcterms:W3CDTF">2009-11-12T17:58:00Z</dcterms:created>
  <dcterms:modified xsi:type="dcterms:W3CDTF">2009-11-12T17:58:00Z</dcterms:modified>
</cp:coreProperties>
</file>