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72A" w:rsidRDefault="0040472A" w:rsidP="00CC1EF3">
      <w:pPr>
        <w:jc w:val="center"/>
        <w:rPr>
          <w:b/>
          <w:color w:val="000000"/>
          <w:sz w:val="28"/>
          <w:szCs w:val="28"/>
        </w:rPr>
      </w:pPr>
    </w:p>
    <w:p w:rsidR="0040472A" w:rsidRDefault="0040472A" w:rsidP="00CC1EF3">
      <w:pPr>
        <w:jc w:val="center"/>
        <w:rPr>
          <w:b/>
          <w:color w:val="000000"/>
          <w:sz w:val="28"/>
          <w:szCs w:val="28"/>
        </w:rPr>
      </w:pPr>
    </w:p>
    <w:p w:rsidR="00CC1EF3" w:rsidRDefault="00CC1EF3" w:rsidP="00CC1EF3">
      <w:pPr>
        <w:jc w:val="center"/>
        <w:rPr>
          <w:b/>
          <w:color w:val="000000"/>
          <w:sz w:val="28"/>
          <w:szCs w:val="28"/>
        </w:rPr>
      </w:pPr>
      <w:r>
        <w:rPr>
          <w:b/>
          <w:color w:val="000000"/>
          <w:sz w:val="28"/>
          <w:szCs w:val="28"/>
        </w:rPr>
        <w:t xml:space="preserve">Paperwork </w:t>
      </w:r>
      <w:r w:rsidR="0040472A">
        <w:rPr>
          <w:b/>
          <w:color w:val="000000"/>
          <w:sz w:val="28"/>
          <w:szCs w:val="28"/>
        </w:rPr>
        <w:t>Requirement</w:t>
      </w:r>
      <w:r>
        <w:rPr>
          <w:b/>
          <w:color w:val="000000"/>
          <w:sz w:val="28"/>
          <w:szCs w:val="28"/>
        </w:rPr>
        <w:t xml:space="preserve">  </w:t>
      </w:r>
    </w:p>
    <w:p w:rsidR="00056D8E" w:rsidRPr="00056D8E" w:rsidRDefault="00056D8E" w:rsidP="00056D8E">
      <w:pPr>
        <w:jc w:val="center"/>
        <w:rPr>
          <w:b/>
          <w:bCs/>
          <w:color w:val="000000"/>
          <w:sz w:val="28"/>
          <w:szCs w:val="28"/>
        </w:rPr>
      </w:pPr>
      <w:r w:rsidRPr="00056D8E">
        <w:rPr>
          <w:b/>
          <w:sz w:val="28"/>
          <w:szCs w:val="28"/>
        </w:rPr>
        <w:t xml:space="preserve">Funding and Liquidity Risk Management </w:t>
      </w:r>
      <w:r w:rsidRPr="00056D8E">
        <w:rPr>
          <w:b/>
          <w:bCs/>
          <w:color w:val="000000"/>
          <w:sz w:val="28"/>
          <w:szCs w:val="28"/>
        </w:rPr>
        <w:t>Guidance</w:t>
      </w:r>
    </w:p>
    <w:p w:rsidR="00056D8E" w:rsidRPr="00056D8E" w:rsidRDefault="00056D8E" w:rsidP="00056D8E">
      <w:pPr>
        <w:jc w:val="center"/>
        <w:rPr>
          <w:color w:val="000000"/>
          <w:sz w:val="28"/>
          <w:szCs w:val="28"/>
        </w:rPr>
      </w:pPr>
      <w:r w:rsidRPr="00056D8E">
        <w:rPr>
          <w:b/>
          <w:bCs/>
          <w:color w:val="000000"/>
          <w:sz w:val="28"/>
          <w:szCs w:val="28"/>
        </w:rPr>
        <w:t>(FR 4198; OMB No. 7100-</w:t>
      </w:r>
      <w:smartTag w:uri="urn:schemas-microsoft-com:office:smarttags" w:element="stockticker">
        <w:r w:rsidRPr="00056D8E">
          <w:rPr>
            <w:b/>
            <w:bCs/>
            <w:color w:val="000000"/>
            <w:sz w:val="28"/>
            <w:szCs w:val="28"/>
          </w:rPr>
          <w:t>NEW</w:t>
        </w:r>
      </w:smartTag>
      <w:r w:rsidRPr="00056D8E">
        <w:rPr>
          <w:b/>
          <w:bCs/>
          <w:color w:val="000000"/>
          <w:sz w:val="28"/>
          <w:szCs w:val="28"/>
        </w:rPr>
        <w:t>)</w:t>
      </w:r>
    </w:p>
    <w:p w:rsidR="00CC1EF3" w:rsidRDefault="00CC1EF3" w:rsidP="00CC1EF3">
      <w:pPr>
        <w:jc w:val="center"/>
        <w:rPr>
          <w:i/>
          <w:color w:val="000000"/>
        </w:rPr>
      </w:pPr>
    </w:p>
    <w:p w:rsidR="00CC1EF3" w:rsidRDefault="00CC1EF3" w:rsidP="00CC1EF3">
      <w:pPr>
        <w:jc w:val="center"/>
        <w:rPr>
          <w:i/>
          <w:color w:val="000000"/>
        </w:rPr>
      </w:pPr>
    </w:p>
    <w:p w:rsidR="00CC1EF3" w:rsidRPr="00F258E9" w:rsidRDefault="00CC1EF3" w:rsidP="00F258E9">
      <w:pPr>
        <w:rPr>
          <w:b/>
          <w:color w:val="000000"/>
        </w:rPr>
      </w:pPr>
      <w:r w:rsidRPr="00F258E9">
        <w:rPr>
          <w:b/>
          <w:color w:val="000000"/>
        </w:rPr>
        <w:t xml:space="preserve">Section 14 </w:t>
      </w:r>
      <w:r w:rsidR="00F258E9">
        <w:rPr>
          <w:b/>
          <w:color w:val="000000"/>
        </w:rPr>
        <w:t xml:space="preserve">of the Guidance </w:t>
      </w:r>
      <w:r w:rsidRPr="00F258E9">
        <w:rPr>
          <w:b/>
          <w:color w:val="000000"/>
        </w:rPr>
        <w:t>- Strategic Planning and Budgeting Processes</w:t>
      </w:r>
    </w:p>
    <w:p w:rsidR="00CC1EF3" w:rsidRPr="006F17AA" w:rsidRDefault="00CC1EF3" w:rsidP="00CC1EF3">
      <w:pPr>
        <w:jc w:val="center"/>
        <w:rPr>
          <w:b/>
          <w:bCs/>
          <w:i/>
          <w:color w:val="000000"/>
          <w:szCs w:val="24"/>
        </w:rPr>
      </w:pPr>
    </w:p>
    <w:p w:rsidR="00F258E9" w:rsidRDefault="00F258E9" w:rsidP="00F258E9">
      <w:pPr>
        <w:pStyle w:val="ListParagraph"/>
        <w:numPr>
          <w:ilvl w:val="0"/>
          <w:numId w:val="1"/>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rPr>
      </w:pPr>
      <w:r w:rsidRPr="00F258E9">
        <w:rPr>
          <w:color w:val="000000"/>
        </w:rPr>
        <w:t>I</w:t>
      </w:r>
      <w:r w:rsidR="00CC1EF3" w:rsidRPr="00F258E9">
        <w:rPr>
          <w:color w:val="000000"/>
        </w:rPr>
        <w:t xml:space="preserve">nstitutions should consider liquidity costs, benefits, and risks in strategic planning and budgeting processes.  </w:t>
      </w:r>
    </w:p>
    <w:p w:rsidR="00F258E9" w:rsidRDefault="00CC1EF3" w:rsidP="00F258E9">
      <w:pPr>
        <w:pStyle w:val="ListParagraph"/>
        <w:numPr>
          <w:ilvl w:val="0"/>
          <w:numId w:val="1"/>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rPr>
      </w:pPr>
      <w:r w:rsidRPr="00F258E9">
        <w:rPr>
          <w:color w:val="000000"/>
        </w:rPr>
        <w:t xml:space="preserve">Significant business activities should be evaluated for liquidity risk exposure as well as profitability.  </w:t>
      </w:r>
    </w:p>
    <w:p w:rsidR="00F258E9" w:rsidRDefault="00CC1EF3" w:rsidP="00F258E9">
      <w:pPr>
        <w:pStyle w:val="ListParagraph"/>
        <w:numPr>
          <w:ilvl w:val="0"/>
          <w:numId w:val="1"/>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rPr>
      </w:pPr>
      <w:r w:rsidRPr="00F258E9">
        <w:rPr>
          <w:color w:val="000000"/>
        </w:rPr>
        <w:t xml:space="preserve">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w:t>
      </w:r>
    </w:p>
    <w:p w:rsidR="00CC1EF3" w:rsidRPr="00F258E9" w:rsidRDefault="00CC1EF3" w:rsidP="00F258E9">
      <w:pPr>
        <w:pStyle w:val="ListParagraph"/>
        <w:numPr>
          <w:ilvl w:val="0"/>
          <w:numId w:val="1"/>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color w:val="000000"/>
        </w:rPr>
      </w:pPr>
      <w:r w:rsidRPr="00F258E9">
        <w:rPr>
          <w:color w:val="000000"/>
        </w:rPr>
        <w:t>The quantification and attribution of liquidity risks should be explicit and transparent at the line management level and should include consideration of how liquidity would be affected under stressed conditions.</w:t>
      </w:r>
    </w:p>
    <w:p w:rsidR="00CC1EF3" w:rsidRDefault="00CC1EF3" w:rsidP="00CC1EF3">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rPr>
          <w:color w:val="000000"/>
        </w:rPr>
      </w:pPr>
    </w:p>
    <w:p w:rsidR="00CC1EF3" w:rsidRPr="00F258E9" w:rsidRDefault="00CC1EF3" w:rsidP="00F258E9">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color w:val="000000"/>
        </w:rPr>
      </w:pPr>
      <w:r w:rsidRPr="00F258E9">
        <w:rPr>
          <w:b/>
          <w:iCs/>
        </w:rPr>
        <w:t xml:space="preserve">Section 20 </w:t>
      </w:r>
      <w:r w:rsidR="00F258E9">
        <w:rPr>
          <w:b/>
          <w:iCs/>
        </w:rPr>
        <w:t xml:space="preserve">of the Guidance </w:t>
      </w:r>
      <w:r w:rsidRPr="00F258E9">
        <w:rPr>
          <w:b/>
          <w:iCs/>
        </w:rPr>
        <w:t>- Liquidity Risk Reports</w:t>
      </w:r>
    </w:p>
    <w:p w:rsidR="00CC1EF3" w:rsidRDefault="00CC1EF3" w:rsidP="00CC1EF3">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pPr>
    </w:p>
    <w:p w:rsidR="00F258E9" w:rsidRPr="00F258E9" w:rsidRDefault="00F258E9" w:rsidP="00F258E9">
      <w:pPr>
        <w:pStyle w:val="ListParagraph"/>
        <w:numPr>
          <w:ilvl w:val="0"/>
          <w:numId w:val="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i/>
        </w:rPr>
      </w:pPr>
      <w:r w:rsidRPr="00F258E9">
        <w:rPr>
          <w:iCs/>
        </w:rPr>
        <w:t>L</w:t>
      </w:r>
      <w:r w:rsidR="00CC1EF3" w:rsidRPr="00F258E9">
        <w:rPr>
          <w:iCs/>
        </w:rPr>
        <w:t xml:space="preserve">iquidity risk reports </w:t>
      </w:r>
      <w:r>
        <w:rPr>
          <w:iCs/>
        </w:rPr>
        <w:t xml:space="preserve">should </w:t>
      </w:r>
      <w:r w:rsidR="00CC1EF3" w:rsidRPr="00F258E9">
        <w:rPr>
          <w:iCs/>
        </w:rPr>
        <w:t xml:space="preserve">provide aggregate information with sufficient supporting detail to enable management to assess the sensitivity of the institution to changes in market conditions, its own financial performance, and other important risk factors.  </w:t>
      </w:r>
    </w:p>
    <w:p w:rsidR="00CC1EF3" w:rsidRPr="00F258E9" w:rsidRDefault="00CC1EF3" w:rsidP="00F258E9">
      <w:pPr>
        <w:pStyle w:val="ListParagraph"/>
        <w:numPr>
          <w:ilvl w:val="0"/>
          <w:numId w:val="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i/>
        </w:rPr>
      </w:pPr>
      <w:r w:rsidRPr="00F258E9">
        <w:rPr>
          <w:iCs/>
        </w:rPr>
        <w:t xml:space="preserve">Institutions should also report on the use of and availability of government support, such as lending and guarantee programs, and implications on liquidity positions, particularly since these programs are generally temporary or reserved as a source for contingent funding. </w:t>
      </w:r>
    </w:p>
    <w:p w:rsidR="0040472A" w:rsidRDefault="0040472A"/>
    <w:sectPr w:rsidR="0040472A" w:rsidSect="00E176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1062"/>
    <w:multiLevelType w:val="hybridMultilevel"/>
    <w:tmpl w:val="4D9E1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D2957EA"/>
    <w:multiLevelType w:val="hybridMultilevel"/>
    <w:tmpl w:val="FB6E4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1EF3"/>
    <w:rsid w:val="00056D8E"/>
    <w:rsid w:val="000F41CB"/>
    <w:rsid w:val="002B1709"/>
    <w:rsid w:val="003310F4"/>
    <w:rsid w:val="0040472A"/>
    <w:rsid w:val="0041762A"/>
    <w:rsid w:val="00AE51A2"/>
    <w:rsid w:val="00CC1EF3"/>
    <w:rsid w:val="00E17658"/>
    <w:rsid w:val="00E905E0"/>
    <w:rsid w:val="00F2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F3"/>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m1swf99</dc:creator>
  <cp:keywords/>
  <dc:description/>
  <cp:lastModifiedBy>Scott William Farmer</cp:lastModifiedBy>
  <cp:revision>4</cp:revision>
  <dcterms:created xsi:type="dcterms:W3CDTF">2009-10-02T19:37:00Z</dcterms:created>
  <dcterms:modified xsi:type="dcterms:W3CDTF">2009-12-01T20:14:00Z</dcterms:modified>
</cp:coreProperties>
</file>