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53CD" w:rsidRDefault="003D53CD">
      <w:pPr>
        <w:rPr>
          <w:b/>
          <w:u w:val="single"/>
        </w:rPr>
      </w:pPr>
      <w:r w:rsidRPr="003D53CD">
        <w:rPr>
          <w:b/>
          <w:u w:val="single"/>
        </w:rPr>
        <w:t>Justification for Non-Material Change to Cuba Remittance Affidavit Form, 1505-0167</w:t>
      </w:r>
    </w:p>
    <w:p w:rsidR="003D53CD" w:rsidRPr="003D53CD" w:rsidRDefault="003D53CD">
      <w:r>
        <w:t xml:space="preserve">The Office of Foreign Asset Control </w:t>
      </w:r>
      <w:r w:rsidR="007D491E">
        <w:t xml:space="preserve">(OFAC) </w:t>
      </w:r>
      <w:r>
        <w:t xml:space="preserve">requests clearance for a non-material, non-substantive change to the Cuba Remittance Affidavit Form.  The changes are required to reflect changes in the maximum amount of allowable remittance (raised from $1,000 to $2,000), and the removal of the $300 cap per payee household in a three month period.  </w:t>
      </w:r>
      <w:r w:rsidR="007D491E">
        <w:t>While it is possible that these changes will result in a change in the estimated annual response rate for this form, due to a variety of factors it is currently impossible to anticipate what those changes might be.  OFAC will monitor any response rate fluctuations in the near future and revise the cleared estimation as necessary.</w:t>
      </w:r>
    </w:p>
    <w:sectPr w:rsidR="003D53CD" w:rsidRPr="003D53CD" w:rsidSect="003C727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D53CD"/>
    <w:rsid w:val="003C7274"/>
    <w:rsid w:val="003D53CD"/>
    <w:rsid w:val="007D491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727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113</Words>
  <Characters>647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The U.S. Department of the Treasury</Company>
  <LinksUpToDate>false</LinksUpToDate>
  <CharactersWithSpaces>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 Department of Treasury</dc:creator>
  <cp:keywords/>
  <dc:description/>
  <cp:lastModifiedBy>US Department of Treasury</cp:lastModifiedBy>
  <cp:revision>1</cp:revision>
  <dcterms:created xsi:type="dcterms:W3CDTF">2009-09-01T15:11:00Z</dcterms:created>
  <dcterms:modified xsi:type="dcterms:W3CDTF">2009-09-01T15:26:00Z</dcterms:modified>
</cp:coreProperties>
</file>