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977" w:rsidRDefault="008726E3">
      <w:pPr>
        <w:pStyle w:val="Title"/>
      </w:pPr>
      <w:r>
        <w:t>Paperwork Reduction Act Submission</w:t>
      </w:r>
    </w:p>
    <w:p w:rsidR="00A86977" w:rsidRDefault="008726E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tblPr>
      <w:tblGrid>
        <w:gridCol w:w="5508"/>
        <w:gridCol w:w="1920"/>
        <w:gridCol w:w="1800"/>
        <w:gridCol w:w="1788"/>
      </w:tblGrid>
      <w:tr w:rsidR="00A86977">
        <w:tc>
          <w:tcPr>
            <w:tcW w:w="7428" w:type="dxa"/>
            <w:gridSpan w:val="2"/>
            <w:tcBorders>
              <w:top w:val="single" w:sz="6" w:space="0" w:color="auto"/>
            </w:tcBorders>
          </w:tcPr>
          <w:p w:rsidR="00A86977" w:rsidRDefault="008726E3">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A86977" w:rsidRDefault="008726E3">
            <w:pPr>
              <w:ind w:left="120"/>
              <w:rPr>
                <w:rFonts w:ascii="Helvetica" w:hAnsi="Helvetica"/>
                <w:b/>
                <w:sz w:val="18"/>
              </w:rPr>
            </w:pPr>
            <w:r>
              <w:rPr>
                <w:rFonts w:ascii="Helvetica" w:hAnsi="Helvetica"/>
                <w:b/>
                <w:sz w:val="18"/>
              </w:rPr>
              <w:t>U.S. Department of Housing and Urban Development</w:t>
            </w:r>
          </w:p>
          <w:p w:rsidR="00A86977" w:rsidRDefault="008726E3">
            <w:pPr>
              <w:spacing w:before="40" w:after="40"/>
              <w:ind w:left="120"/>
              <w:rPr>
                <w:rFonts w:ascii="Helvetica" w:hAnsi="Helvetica"/>
                <w:sz w:val="18"/>
              </w:rPr>
            </w:pPr>
            <w:r>
              <w:rPr>
                <w:rFonts w:ascii="Helvetica" w:hAnsi="Helvetica"/>
                <w:sz w:val="18"/>
              </w:rPr>
              <w:t>Office of Healthy Homes and Lead Hazard Control</w:t>
            </w:r>
          </w:p>
          <w:p w:rsidR="00A86977" w:rsidRDefault="00A86977">
            <w:pPr>
              <w:spacing w:before="40" w:after="40"/>
              <w:ind w:left="120"/>
              <w:rPr>
                <w:rFonts w:ascii="Helvetica" w:hAnsi="Helvetica"/>
                <w:sz w:val="16"/>
              </w:rPr>
            </w:pPr>
          </w:p>
        </w:tc>
        <w:tc>
          <w:tcPr>
            <w:tcW w:w="1800" w:type="dxa"/>
            <w:tcBorders>
              <w:top w:val="single" w:sz="6" w:space="0" w:color="auto"/>
              <w:left w:val="single" w:sz="6" w:space="0" w:color="auto"/>
            </w:tcBorders>
          </w:tcPr>
          <w:p w:rsidR="00A86977" w:rsidRDefault="008726E3">
            <w:pPr>
              <w:rPr>
                <w:rFonts w:ascii="Helvetica" w:hAnsi="Helvetica"/>
                <w:sz w:val="16"/>
              </w:rPr>
            </w:pPr>
            <w:r>
              <w:rPr>
                <w:rFonts w:ascii="Helvetica" w:hAnsi="Helvetica"/>
                <w:sz w:val="16"/>
              </w:rPr>
              <w:t xml:space="preserve">2. </w:t>
            </w:r>
            <w:r>
              <w:rPr>
                <w:rFonts w:ascii="Helvetica" w:hAnsi="Helvetica"/>
                <w:sz w:val="14"/>
              </w:rPr>
              <w:t>OMB Control Number:</w:t>
            </w:r>
          </w:p>
          <w:p w:rsidR="00A86977" w:rsidRDefault="008726E3">
            <w:pPr>
              <w:spacing w:before="40" w:after="40"/>
              <w:ind w:left="132"/>
              <w:rPr>
                <w:rFonts w:ascii="Helvetica" w:hAnsi="Helvetica"/>
                <w:sz w:val="16"/>
              </w:rPr>
            </w:pPr>
            <w:r>
              <w:rPr>
                <w:rFonts w:ascii="Helvetica" w:hAnsi="Helvetica"/>
                <w:sz w:val="16"/>
              </w:rPr>
              <w:t xml:space="preserve">a. </w:t>
            </w:r>
            <w:r>
              <w:rPr>
                <w:rFonts w:ascii="Helvetica" w:hAnsi="Helvetica"/>
                <w:b/>
              </w:rPr>
              <w:t>2539-0008</w:t>
            </w:r>
          </w:p>
          <w:p w:rsidR="00A86977" w:rsidRDefault="00A86977">
            <w:pPr>
              <w:ind w:left="-120"/>
              <w:rPr>
                <w:rFonts w:ascii="Helvetica" w:hAnsi="Helvetica"/>
                <w:sz w:val="16"/>
              </w:rPr>
            </w:pPr>
          </w:p>
        </w:tc>
        <w:tc>
          <w:tcPr>
            <w:tcW w:w="1788" w:type="dxa"/>
            <w:tcBorders>
              <w:top w:val="single" w:sz="6" w:space="0" w:color="auto"/>
            </w:tcBorders>
          </w:tcPr>
          <w:p w:rsidR="00A86977" w:rsidRDefault="008726E3">
            <w:pPr>
              <w:spacing w:before="200"/>
              <w:rPr>
                <w:rFonts w:ascii="Helvetica" w:hAnsi="Helvetica"/>
                <w:sz w:val="18"/>
              </w:rPr>
            </w:pPr>
            <w:r>
              <w:rPr>
                <w:rFonts w:ascii="Helvetica" w:hAnsi="Helvetica"/>
                <w:sz w:val="16"/>
              </w:rPr>
              <w:t xml:space="preserve">b. </w:t>
            </w:r>
            <w:r w:rsidR="00D31B98">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sidR="00D31B98">
              <w:rPr>
                <w:rFonts w:ascii="Helvetica" w:hAnsi="Helvetica"/>
              </w:rPr>
            </w:r>
            <w:r w:rsidR="00D31B98">
              <w:rPr>
                <w:rFonts w:ascii="Helvetica" w:hAnsi="Helvetica"/>
              </w:rPr>
              <w:fldChar w:fldCharType="end"/>
            </w:r>
            <w:bookmarkEnd w:id="0"/>
            <w:r>
              <w:rPr>
                <w:rFonts w:ascii="Helvetica" w:hAnsi="Helvetica"/>
              </w:rPr>
              <w:t xml:space="preserve"> </w:t>
            </w:r>
            <w:r>
              <w:rPr>
                <w:rFonts w:ascii="Helvetica" w:hAnsi="Helvetica"/>
                <w:sz w:val="18"/>
              </w:rPr>
              <w:t>None</w:t>
            </w:r>
          </w:p>
          <w:p w:rsidR="00A86977" w:rsidRDefault="008726E3">
            <w:pPr>
              <w:spacing w:before="40" w:after="40"/>
              <w:ind w:left="372"/>
              <w:rPr>
                <w:rFonts w:ascii="Helvetica" w:hAnsi="Helvetica"/>
              </w:rPr>
            </w:pPr>
            <w:r>
              <w:rPr>
                <w:rFonts w:ascii="Helvetica" w:hAnsi="Helvetica"/>
                <w:sz w:val="16"/>
              </w:rPr>
              <w:t xml:space="preserve"> </w:t>
            </w:r>
            <w:r w:rsidR="00D31B98">
              <w:rPr>
                <w:rFonts w:ascii="Helvetica" w:hAnsi="Helvetica"/>
                <w:b/>
              </w:rPr>
              <w:fldChar w:fldCharType="begin">
                <w:ffData>
                  <w:name w:val="Text3"/>
                  <w:enabled/>
                  <w:calcOnExit w:val="0"/>
                  <w:textInput/>
                </w:ffData>
              </w:fldChar>
            </w:r>
            <w:bookmarkStart w:id="1" w:name="Text3"/>
            <w:r>
              <w:rPr>
                <w:rFonts w:ascii="Helvetica" w:hAnsi="Helvetica"/>
                <w:b/>
              </w:rPr>
              <w:instrText xml:space="preserve"> FORMTEXT </w:instrText>
            </w:r>
            <w:r w:rsidR="00D31B98">
              <w:rPr>
                <w:rFonts w:ascii="Helvetica" w:hAnsi="Helvetica"/>
                <w:b/>
              </w:rPr>
            </w:r>
            <w:r w:rsidR="00D31B98">
              <w:rPr>
                <w:rFonts w:ascii="Helvetica" w:hAnsi="Helvetica"/>
                <w:b/>
              </w:rPr>
              <w:fldChar w:fldCharType="separate"/>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sidR="00D31B98">
              <w:rPr>
                <w:rFonts w:ascii="Helvetica" w:hAnsi="Helvetica"/>
                <w:b/>
              </w:rPr>
              <w:fldChar w:fldCharType="end"/>
            </w:r>
            <w:bookmarkEnd w:id="1"/>
          </w:p>
        </w:tc>
      </w:tr>
      <w:tr w:rsidR="00A86977">
        <w:tc>
          <w:tcPr>
            <w:tcW w:w="5508" w:type="dxa"/>
            <w:tcBorders>
              <w:top w:val="single" w:sz="6" w:space="0" w:color="auto"/>
            </w:tcBorders>
          </w:tcPr>
          <w:p w:rsidR="00A86977" w:rsidRDefault="008726E3">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A86977" w:rsidRDefault="00D31B9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2" w:name="Check2"/>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8726E3">
              <w:rPr>
                <w:rFonts w:ascii="Helvetica" w:hAnsi="Helvetica"/>
                <w:sz w:val="16"/>
              </w:rPr>
              <w:t xml:space="preserve"> New Collection </w:t>
            </w:r>
          </w:p>
          <w:p w:rsidR="00A86977" w:rsidRDefault="00D31B9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3" w:name="Check3"/>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8726E3">
              <w:rPr>
                <w:rFonts w:ascii="Helvetica" w:hAnsi="Helvetica"/>
                <w:sz w:val="16"/>
              </w:rPr>
              <w:t xml:space="preserve"> Revision of a currently approved collection</w:t>
            </w:r>
          </w:p>
          <w:p w:rsidR="00A86977" w:rsidRDefault="00D31B98">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4" w:name="Check4"/>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8726E3">
              <w:rPr>
                <w:rFonts w:ascii="Helvetica" w:hAnsi="Helvetica"/>
                <w:sz w:val="16"/>
              </w:rPr>
              <w:t xml:space="preserve"> Extension of a currently approved collection</w:t>
            </w:r>
          </w:p>
          <w:p w:rsidR="00A86977" w:rsidRDefault="00D31B9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bookmarkStart w:id="5" w:name="Check5"/>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8726E3">
              <w:rPr>
                <w:rFonts w:ascii="Helvetica" w:hAnsi="Helvetica"/>
                <w:sz w:val="16"/>
              </w:rPr>
              <w:t xml:space="preserve"> Reinstatement, </w:t>
            </w:r>
            <w:r w:rsidR="008726E3">
              <w:rPr>
                <w:rFonts w:ascii="Helvetica" w:hAnsi="Helvetica"/>
                <w:b/>
                <w:sz w:val="16"/>
              </w:rPr>
              <w:t>without change</w:t>
            </w:r>
            <w:r w:rsidR="008726E3">
              <w:rPr>
                <w:rFonts w:ascii="Helvetica" w:hAnsi="Helvetica"/>
                <w:sz w:val="16"/>
              </w:rPr>
              <w:t xml:space="preserve">, of previously approved </w:t>
            </w:r>
          </w:p>
          <w:p w:rsidR="00A86977" w:rsidRDefault="008726E3">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A86977" w:rsidRDefault="00D31B9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6" w:name="Check6"/>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8726E3">
              <w:rPr>
                <w:rFonts w:ascii="Helvetica" w:hAnsi="Helvetica"/>
                <w:sz w:val="16"/>
              </w:rPr>
              <w:t xml:space="preserve"> Reinstatement, </w:t>
            </w:r>
            <w:r w:rsidR="008726E3">
              <w:rPr>
                <w:rFonts w:ascii="Helvetica" w:hAnsi="Helvetica"/>
                <w:b/>
                <w:sz w:val="16"/>
              </w:rPr>
              <w:t>with change</w:t>
            </w:r>
            <w:r w:rsidR="008726E3">
              <w:rPr>
                <w:rFonts w:ascii="Helvetica" w:hAnsi="Helvetica"/>
                <w:sz w:val="16"/>
              </w:rPr>
              <w:t xml:space="preserve">, of previously approved collection </w:t>
            </w:r>
          </w:p>
          <w:p w:rsidR="00A86977" w:rsidRDefault="008726E3">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A86977" w:rsidRDefault="00D31B9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8726E3">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8726E3">
              <w:rPr>
                <w:rFonts w:ascii="Helvetica" w:hAnsi="Helvetica"/>
                <w:sz w:val="16"/>
              </w:rPr>
              <w:t xml:space="preserve"> Existing collection in use without an OMB control number</w:t>
            </w:r>
          </w:p>
          <w:p w:rsidR="00A86977" w:rsidRDefault="008726E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A86977" w:rsidRDefault="008726E3">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A86977" w:rsidRDefault="00D31B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8" w:name="Check8"/>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8726E3">
              <w:rPr>
                <w:rFonts w:ascii="Helvetica" w:hAnsi="Helvetica"/>
                <w:sz w:val="16"/>
              </w:rPr>
              <w:t xml:space="preserve"> Regular</w:t>
            </w:r>
          </w:p>
          <w:p w:rsidR="00A86977" w:rsidRDefault="00D31B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9" w:name="Check9"/>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8726E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0" w:name="Text4"/>
            <w:r w:rsidR="008726E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726E3">
              <w:rPr>
                <w:rFonts w:ascii="Helvetica" w:hAnsi="Helvetica"/>
                <w:noProof/>
                <w:sz w:val="18"/>
              </w:rPr>
              <w:t> </w:t>
            </w:r>
            <w:r w:rsidR="008726E3">
              <w:rPr>
                <w:rFonts w:ascii="Helvetica" w:hAnsi="Helvetica"/>
                <w:noProof/>
                <w:sz w:val="18"/>
              </w:rPr>
              <w:t> </w:t>
            </w:r>
            <w:r w:rsidR="008726E3">
              <w:rPr>
                <w:rFonts w:ascii="Helvetica" w:hAnsi="Helvetica"/>
                <w:noProof/>
                <w:sz w:val="18"/>
              </w:rPr>
              <w:t> </w:t>
            </w:r>
            <w:r w:rsidR="008726E3">
              <w:rPr>
                <w:rFonts w:ascii="Helvetica" w:hAnsi="Helvetica"/>
                <w:noProof/>
                <w:sz w:val="18"/>
              </w:rPr>
              <w:t> </w:t>
            </w:r>
            <w:r w:rsidR="008726E3">
              <w:rPr>
                <w:rFonts w:ascii="Helvetica" w:hAnsi="Helvetica"/>
                <w:noProof/>
                <w:sz w:val="18"/>
              </w:rPr>
              <w:t> </w:t>
            </w:r>
            <w:r>
              <w:rPr>
                <w:rFonts w:ascii="Helvetica" w:hAnsi="Helvetica"/>
                <w:sz w:val="18"/>
              </w:rPr>
              <w:fldChar w:fldCharType="end"/>
            </w:r>
            <w:bookmarkEnd w:id="10"/>
          </w:p>
          <w:p w:rsidR="00A86977" w:rsidRDefault="00D31B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1" w:name="Check10"/>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8726E3">
              <w:rPr>
                <w:rFonts w:ascii="Helvetica" w:hAnsi="Helvetica"/>
                <w:sz w:val="18"/>
              </w:rPr>
              <w:t xml:space="preserve"> </w:t>
            </w:r>
            <w:r w:rsidR="008726E3">
              <w:rPr>
                <w:rFonts w:ascii="Helvetica" w:hAnsi="Helvetica"/>
                <w:sz w:val="16"/>
              </w:rPr>
              <w:t>Delegated</w:t>
            </w:r>
          </w:p>
          <w:p w:rsidR="00A86977" w:rsidRDefault="008726E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A86977" w:rsidRDefault="00D31B9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2" w:name="Check13"/>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8726E3">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3" w:name="Check12"/>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8726E3">
              <w:rPr>
                <w:rFonts w:ascii="Helvetica" w:hAnsi="Helvetica"/>
                <w:sz w:val="18"/>
              </w:rPr>
              <w:t xml:space="preserve"> No</w:t>
            </w:r>
          </w:p>
          <w:p w:rsidR="00A86977" w:rsidRDefault="008726E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A86977" w:rsidRDefault="008726E3">
            <w:pPr>
              <w:tabs>
                <w:tab w:val="left" w:pos="240"/>
                <w:tab w:val="left" w:pos="3132"/>
              </w:tabs>
              <w:ind w:left="252"/>
              <w:rPr>
                <w:rFonts w:ascii="Helvetica" w:hAnsi="Helvetica"/>
                <w:sz w:val="16"/>
              </w:rPr>
            </w:pPr>
            <w:r>
              <w:rPr>
                <w:rFonts w:ascii="Helvetica" w:hAnsi="Helvetica"/>
                <w:sz w:val="16"/>
              </w:rPr>
              <w:t xml:space="preserve">a. </w:t>
            </w:r>
            <w:r w:rsidR="00D31B98">
              <w:rPr>
                <w:rFonts w:ascii="Helvetica" w:hAnsi="Helvetica"/>
                <w:b/>
                <w:sz w:val="18"/>
              </w:rPr>
              <w:fldChar w:fldCharType="begin">
                <w:ffData>
                  <w:name w:val="Check14"/>
                  <w:enabled/>
                  <w:calcOnExit w:val="0"/>
                  <w:checkBox>
                    <w:sizeAuto/>
                    <w:default w:val="1"/>
                  </w:checkBox>
                </w:ffData>
              </w:fldChar>
            </w:r>
            <w:bookmarkStart w:id="14" w:name="Check14"/>
            <w:r>
              <w:rPr>
                <w:rFonts w:ascii="Helvetica" w:hAnsi="Helvetica"/>
                <w:b/>
                <w:sz w:val="18"/>
              </w:rPr>
              <w:instrText xml:space="preserve"> FORMCHECKBOX </w:instrText>
            </w:r>
            <w:r w:rsidR="00D31B98">
              <w:rPr>
                <w:rFonts w:ascii="Helvetica" w:hAnsi="Helvetica"/>
                <w:b/>
                <w:sz w:val="18"/>
              </w:rPr>
            </w:r>
            <w:r w:rsidR="00D31B98">
              <w:rPr>
                <w:rFonts w:ascii="Helvetica" w:hAnsi="Helvetica"/>
                <w:b/>
                <w:sz w:val="18"/>
              </w:rPr>
              <w:fldChar w:fldCharType="end"/>
            </w:r>
            <w:bookmarkEnd w:id="14"/>
            <w:r>
              <w:rPr>
                <w:rFonts w:ascii="Helvetica" w:hAnsi="Helvetica"/>
                <w:sz w:val="16"/>
              </w:rPr>
              <w:t xml:space="preserve"> Three years from approval date  </w:t>
            </w:r>
            <w:r>
              <w:rPr>
                <w:rFonts w:ascii="Helvetica" w:hAnsi="Helvetica"/>
                <w:sz w:val="16"/>
              </w:rPr>
              <w:tab/>
              <w:t xml:space="preserve">b. </w:t>
            </w:r>
            <w:r w:rsidR="00D31B98">
              <w:rPr>
                <w:rFonts w:ascii="Helvetica" w:hAnsi="Helvetica"/>
                <w:b/>
                <w:sz w:val="18"/>
              </w:rPr>
              <w:fldChar w:fldCharType="begin">
                <w:ffData>
                  <w:name w:val="Check15"/>
                  <w:enabled/>
                  <w:calcOnExit w:val="0"/>
                  <w:checkBox>
                    <w:sizeAuto/>
                    <w:default w:val="0"/>
                  </w:checkBox>
                </w:ffData>
              </w:fldChar>
            </w:r>
            <w:bookmarkStart w:id="15" w:name="Check15"/>
            <w:r>
              <w:rPr>
                <w:rFonts w:ascii="Helvetica" w:hAnsi="Helvetica"/>
                <w:b/>
                <w:sz w:val="18"/>
              </w:rPr>
              <w:instrText xml:space="preserve"> FORMCHECKBOX </w:instrText>
            </w:r>
            <w:r w:rsidR="00D31B98">
              <w:rPr>
                <w:rFonts w:ascii="Helvetica" w:hAnsi="Helvetica"/>
                <w:b/>
                <w:sz w:val="18"/>
              </w:rPr>
            </w:r>
            <w:r w:rsidR="00D31B98">
              <w:rPr>
                <w:rFonts w:ascii="Helvetica" w:hAnsi="Helvetica"/>
                <w:b/>
                <w:sz w:val="18"/>
              </w:rPr>
              <w:fldChar w:fldCharType="end"/>
            </w:r>
            <w:bookmarkEnd w:id="15"/>
            <w:r>
              <w:rPr>
                <w:rFonts w:ascii="Helvetica" w:hAnsi="Helvetica"/>
                <w:sz w:val="16"/>
              </w:rPr>
              <w:t xml:space="preserve"> Other (specify)</w:t>
            </w:r>
          </w:p>
          <w:p w:rsidR="00A86977" w:rsidRDefault="008726E3">
            <w:pPr>
              <w:tabs>
                <w:tab w:val="left" w:pos="3252"/>
              </w:tabs>
              <w:spacing w:after="60"/>
              <w:rPr>
                <w:rFonts w:ascii="Helvetica" w:hAnsi="Helvetica"/>
                <w:sz w:val="16"/>
              </w:rPr>
            </w:pPr>
            <w:r>
              <w:rPr>
                <w:rFonts w:ascii="Helvetica" w:hAnsi="Helvetica"/>
                <w:sz w:val="18"/>
              </w:rPr>
              <w:tab/>
              <w:t xml:space="preserve"> </w:t>
            </w:r>
            <w:r w:rsidR="00D31B98">
              <w:rPr>
                <w:rFonts w:ascii="Helvetica" w:hAnsi="Helvetica"/>
                <w:sz w:val="18"/>
              </w:rPr>
              <w:fldChar w:fldCharType="begin">
                <w:ffData>
                  <w:name w:val="Text5"/>
                  <w:enabled/>
                  <w:calcOnExit w:val="0"/>
                  <w:textInput/>
                </w:ffData>
              </w:fldChar>
            </w:r>
            <w:bookmarkStart w:id="16" w:name="Text5"/>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bookmarkEnd w:id="16"/>
          </w:p>
        </w:tc>
      </w:tr>
    </w:tbl>
    <w:p w:rsidR="00A86977" w:rsidRDefault="008726E3">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A86977" w:rsidRDefault="008726E3">
      <w:pPr>
        <w:tabs>
          <w:tab w:val="left" w:pos="240"/>
        </w:tabs>
        <w:spacing w:after="40"/>
        <w:ind w:left="120" w:right="-120"/>
        <w:rPr>
          <w:rFonts w:ascii="Helvetica" w:hAnsi="Helvetica"/>
          <w:sz w:val="18"/>
        </w:rPr>
      </w:pPr>
      <w:r>
        <w:rPr>
          <w:rFonts w:ascii="Helvetica" w:hAnsi="Helvetica"/>
          <w:b/>
          <w:sz w:val="18"/>
        </w:rPr>
        <w:t>Healthy Home and Lead Hazard Control Grant Programs Data Collection – Progress Reporting</w:t>
      </w:r>
    </w:p>
    <w:p w:rsidR="00A86977" w:rsidRDefault="008726E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A86977" w:rsidRDefault="008726E3">
      <w:pPr>
        <w:spacing w:after="40"/>
        <w:ind w:left="120" w:right="-120"/>
        <w:rPr>
          <w:rFonts w:ascii="Helvetica" w:hAnsi="Helvetica"/>
          <w:sz w:val="18"/>
        </w:rPr>
      </w:pPr>
      <w:r>
        <w:rPr>
          <w:rFonts w:ascii="Helvetica" w:hAnsi="Helvetica"/>
          <w:sz w:val="18"/>
        </w:rPr>
        <w:t>HUD-96006</w:t>
      </w:r>
    </w:p>
    <w:p w:rsidR="00A86977" w:rsidRDefault="008726E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A86977" w:rsidRDefault="008726E3">
      <w:pPr>
        <w:spacing w:after="40"/>
        <w:ind w:left="120" w:right="-120"/>
        <w:rPr>
          <w:rFonts w:ascii="Helvetica" w:hAnsi="Helvetica"/>
          <w:sz w:val="18"/>
        </w:rPr>
      </w:pPr>
      <w:r>
        <w:rPr>
          <w:rFonts w:ascii="Helvetica" w:hAnsi="Helvetica"/>
          <w:sz w:val="18"/>
        </w:rPr>
        <w:t>Housing, Lead-based paint, Hazard Control, Healthy homes</w:t>
      </w:r>
    </w:p>
    <w:p w:rsidR="00A86977" w:rsidRDefault="008726E3">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A86977" w:rsidRDefault="008726E3">
      <w:pPr>
        <w:tabs>
          <w:tab w:val="left" w:pos="240"/>
        </w:tabs>
        <w:spacing w:after="60"/>
        <w:ind w:left="240" w:right="-120" w:hanging="120"/>
        <w:rPr>
          <w:rFonts w:ascii="Helvetica" w:hAnsi="Helvetica"/>
          <w:sz w:val="18"/>
        </w:rPr>
      </w:pPr>
      <w:r>
        <w:rPr>
          <w:rFonts w:ascii="Helvetica" w:hAnsi="Helvetica"/>
          <w:sz w:val="18"/>
        </w:rPr>
        <w:t xml:space="preserve">This data collection is designed to provide HUD timely information on progress of </w:t>
      </w:r>
      <w:r w:rsidR="00CD3155">
        <w:rPr>
          <w:rFonts w:ascii="Helvetica" w:hAnsi="Helvetica"/>
          <w:sz w:val="18"/>
        </w:rPr>
        <w:t xml:space="preserve">all OHHLHC grant programs, including </w:t>
      </w:r>
      <w:r>
        <w:rPr>
          <w:rFonts w:ascii="Helvetica" w:hAnsi="Helvetica"/>
          <w:sz w:val="18"/>
        </w:rPr>
        <w:t>Healthy Homes Demonstration Program, Healthy Homes Technical Studies Program, Lead Base</w:t>
      </w:r>
      <w:r w:rsidR="00CD3155">
        <w:rPr>
          <w:rFonts w:ascii="Helvetica" w:hAnsi="Helvetica"/>
          <w:sz w:val="18"/>
        </w:rPr>
        <w:t>d</w:t>
      </w:r>
      <w:r>
        <w:rPr>
          <w:rFonts w:ascii="Helvetica" w:hAnsi="Helvetica"/>
          <w:sz w:val="18"/>
        </w:rPr>
        <w:t xml:space="preserve"> </w:t>
      </w:r>
      <w:r w:rsidR="00CD3155">
        <w:rPr>
          <w:rFonts w:ascii="Helvetica" w:hAnsi="Helvetica"/>
          <w:sz w:val="18"/>
        </w:rPr>
        <w:t xml:space="preserve">Paint </w:t>
      </w:r>
      <w:r>
        <w:rPr>
          <w:rFonts w:ascii="Helvetica" w:hAnsi="Helvetica"/>
          <w:sz w:val="18"/>
        </w:rPr>
        <w:t>Hazard Control Program, Lead Hazard Reduction Demonstration Program, Lead Outreach Program, Lead Technical Studies Program, Operation Lead Elimination Action Program</w:t>
      </w:r>
      <w:r w:rsidR="001224DF">
        <w:rPr>
          <w:rFonts w:ascii="Helvetica" w:hAnsi="Helvetica"/>
          <w:sz w:val="18"/>
        </w:rPr>
        <w:t>,</w:t>
      </w:r>
      <w:r>
        <w:rPr>
          <w:rFonts w:ascii="Helvetica" w:hAnsi="Helvetica"/>
          <w:sz w:val="18"/>
        </w:rPr>
        <w:t xml:space="preserve"> </w:t>
      </w:r>
      <w:r w:rsidR="001224DF">
        <w:rPr>
          <w:rFonts w:ascii="Helvetica" w:hAnsi="Helvetica"/>
          <w:sz w:val="18"/>
        </w:rPr>
        <w:t xml:space="preserve">Green Healthy Housing Technical Studies Program, and Lead Hazard Control Capacity Building Program </w:t>
      </w:r>
      <w:r>
        <w:rPr>
          <w:rFonts w:ascii="Helvetica" w:hAnsi="Helvetica"/>
          <w:sz w:val="18"/>
        </w:rPr>
        <w:t>grant activities</w:t>
      </w:r>
      <w:r w:rsidR="00CD3155">
        <w:rPr>
          <w:rFonts w:ascii="Helvetica" w:hAnsi="Helvetica"/>
          <w:sz w:val="18"/>
        </w:rPr>
        <w:t>,</w:t>
      </w:r>
      <w:r>
        <w:rPr>
          <w:rFonts w:ascii="Helvetica" w:hAnsi="Helvetica"/>
          <w:sz w:val="18"/>
        </w:rPr>
        <w:t xml:space="preserve">.  HUD will provide Congress with status reports as required by statute.  </w:t>
      </w:r>
    </w:p>
    <w:tbl>
      <w:tblPr>
        <w:tblW w:w="0" w:type="auto"/>
        <w:tblLayout w:type="fixed"/>
        <w:tblLook w:val="0000"/>
      </w:tblPr>
      <w:tblGrid>
        <w:gridCol w:w="4908"/>
        <w:gridCol w:w="720"/>
        <w:gridCol w:w="5508"/>
      </w:tblGrid>
      <w:tr w:rsidR="00A86977">
        <w:trPr>
          <w:trHeight w:val="1129"/>
        </w:trPr>
        <w:tc>
          <w:tcPr>
            <w:tcW w:w="5628" w:type="dxa"/>
            <w:gridSpan w:val="2"/>
            <w:tcBorders>
              <w:top w:val="single" w:sz="6" w:space="0" w:color="auto"/>
              <w:right w:val="single" w:sz="6" w:space="0" w:color="auto"/>
            </w:tcBorders>
          </w:tcPr>
          <w:p w:rsidR="00A86977" w:rsidRDefault="008726E3">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A86977" w:rsidRDefault="008726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D31B98">
              <w:rPr>
                <w:rFonts w:ascii="Helvetica" w:hAnsi="Helvetica"/>
                <w:b/>
                <w:sz w:val="18"/>
              </w:rPr>
              <w:fldChar w:fldCharType="begin">
                <w:ffData>
                  <w:name w:val="Text17"/>
                  <w:enabled/>
                  <w:calcOnExit w:val="0"/>
                  <w:textInput>
                    <w:maxLength w:val="1"/>
                  </w:textInput>
                </w:ffData>
              </w:fldChar>
            </w:r>
            <w:bookmarkStart w:id="17" w:name="Text17"/>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bookmarkEnd w:id="17"/>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Farms</w:t>
            </w:r>
          </w:p>
          <w:p w:rsidR="00A86977" w:rsidRDefault="008726E3">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D31B9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X</w:t>
            </w:r>
            <w:r w:rsidR="00D31B98">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Federal Government</w:t>
            </w:r>
          </w:p>
          <w:p w:rsidR="00D31B98" w:rsidRDefault="008726E3">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D31B9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X</w:t>
            </w:r>
            <w:r w:rsidR="00D31B9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31B98" w:rsidRPr="00D31B98">
              <w:rPr>
                <w:rFonts w:ascii="Helvetica" w:hAnsi="Helvetica"/>
                <w:b/>
                <w:sz w:val="18"/>
              </w:rPr>
              <w:t>P</w:t>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A86977" w:rsidRDefault="008726E3">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A86977" w:rsidRDefault="008726E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D31B98">
              <w:rPr>
                <w:rFonts w:ascii="Helvetica" w:hAnsi="Helvetica"/>
                <w:b/>
                <w:sz w:val="18"/>
              </w:rPr>
              <w:fldChar w:fldCharType="begin">
                <w:ffData>
                  <w:name w:val="Text25"/>
                  <w:enabled/>
                  <w:calcOnExit w:val="0"/>
                  <w:textInput>
                    <w:maxLength w:val="1"/>
                  </w:textInput>
                </w:ffData>
              </w:fldChar>
            </w:r>
            <w:bookmarkStart w:id="18" w:name="Text25"/>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bookmarkEnd w:id="18"/>
            <w:r>
              <w:rPr>
                <w:rFonts w:ascii="Helvetica" w:hAnsi="Helvetica"/>
                <w:sz w:val="14"/>
              </w:rPr>
              <w:tab/>
            </w:r>
            <w:r>
              <w:rPr>
                <w:rFonts w:ascii="Helvetica" w:hAnsi="Helvetica"/>
                <w:sz w:val="16"/>
              </w:rPr>
              <w:t>Voluntary</w:t>
            </w:r>
          </w:p>
          <w:p w:rsidR="00A86977" w:rsidRDefault="008726E3">
            <w:pPr>
              <w:tabs>
                <w:tab w:val="left" w:pos="492"/>
                <w:tab w:val="left" w:pos="2520"/>
              </w:tabs>
              <w:ind w:left="120"/>
              <w:rPr>
                <w:rFonts w:ascii="Helvetica" w:hAnsi="Helvetica"/>
                <w:sz w:val="16"/>
              </w:rPr>
            </w:pPr>
            <w:r>
              <w:rPr>
                <w:rFonts w:ascii="Helvetica" w:hAnsi="Helvetica"/>
                <w:sz w:val="16"/>
              </w:rPr>
              <w:t xml:space="preserve">b. </w:t>
            </w:r>
            <w:r w:rsidR="00D31B98">
              <w:rPr>
                <w:rFonts w:ascii="Helvetica" w:hAnsi="Helvetica"/>
                <w:b/>
                <w:sz w:val="18"/>
              </w:rPr>
              <w:fldChar w:fldCharType="begin">
                <w:ffData>
                  <w:name w:val="Text26"/>
                  <w:enabled/>
                  <w:calcOnExit w:val="0"/>
                  <w:textInput>
                    <w:maxLength w:val="1"/>
                  </w:textInput>
                </w:ffData>
              </w:fldChar>
            </w:r>
            <w:bookmarkStart w:id="19" w:name="Text26"/>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bookmarkEnd w:id="19"/>
            <w:r>
              <w:rPr>
                <w:rFonts w:ascii="Helvetica" w:hAnsi="Helvetica"/>
                <w:sz w:val="16"/>
              </w:rPr>
              <w:tab/>
              <w:t>Required to obtain or retain benefi</w:t>
            </w:r>
            <w:r w:rsidR="00CD2B04">
              <w:rPr>
                <w:rFonts w:ascii="Helvetica" w:hAnsi="Helvetica"/>
                <w:sz w:val="16"/>
              </w:rPr>
              <w:t>t</w:t>
            </w:r>
            <w:r>
              <w:rPr>
                <w:rFonts w:ascii="Helvetica" w:hAnsi="Helvetica"/>
                <w:sz w:val="16"/>
              </w:rPr>
              <w:t>s</w:t>
            </w:r>
          </w:p>
          <w:p w:rsidR="00A86977" w:rsidRDefault="008726E3">
            <w:pPr>
              <w:tabs>
                <w:tab w:val="left" w:pos="492"/>
              </w:tabs>
              <w:spacing w:after="60"/>
              <w:ind w:left="120"/>
              <w:rPr>
                <w:rFonts w:ascii="Helvetica" w:hAnsi="Helvetica"/>
                <w:sz w:val="16"/>
              </w:rPr>
            </w:pPr>
            <w:r>
              <w:rPr>
                <w:rFonts w:ascii="Helvetica" w:hAnsi="Helvetica"/>
                <w:sz w:val="16"/>
              </w:rPr>
              <w:t xml:space="preserve">c. </w:t>
            </w:r>
            <w:r w:rsidR="00D31B98">
              <w:rPr>
                <w:rFonts w:ascii="Helvetica" w:hAnsi="Helvetica"/>
                <w:b/>
                <w:sz w:val="18"/>
              </w:rPr>
              <w:fldChar w:fldCharType="begin">
                <w:ffData>
                  <w:name w:val="Text27"/>
                  <w:enabled/>
                  <w:calcOnExit w:val="0"/>
                  <w:textInput>
                    <w:default w:val="X"/>
                    <w:maxLength w:val="1"/>
                  </w:textInput>
                </w:ffData>
              </w:fldChar>
            </w:r>
            <w:bookmarkStart w:id="20" w:name="Text27"/>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X</w:t>
            </w:r>
            <w:r w:rsidR="00D31B98">
              <w:rPr>
                <w:rFonts w:ascii="Helvetica" w:hAnsi="Helvetica"/>
                <w:b/>
                <w:sz w:val="18"/>
              </w:rPr>
              <w:fldChar w:fldCharType="end"/>
            </w:r>
            <w:bookmarkEnd w:id="20"/>
            <w:r>
              <w:rPr>
                <w:rFonts w:ascii="Helvetica" w:hAnsi="Helvetica"/>
                <w:sz w:val="16"/>
              </w:rPr>
              <w:tab/>
              <w:t>Mandatory</w:t>
            </w:r>
          </w:p>
        </w:tc>
      </w:tr>
      <w:tr w:rsidR="00A86977">
        <w:trPr>
          <w:trHeight w:val="2146"/>
        </w:trPr>
        <w:tc>
          <w:tcPr>
            <w:tcW w:w="5628" w:type="dxa"/>
            <w:gridSpan w:val="2"/>
            <w:tcBorders>
              <w:top w:val="single" w:sz="6" w:space="0" w:color="auto"/>
              <w:right w:val="single" w:sz="6" w:space="0" w:color="auto"/>
            </w:tcBorders>
          </w:tcPr>
          <w:p w:rsidR="00A86977" w:rsidRDefault="008726E3">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A86977" w:rsidRDefault="008726E3">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D2B04" w:rsidRPr="00CD2B04">
              <w:rPr>
                <w:rFonts w:ascii="Helvetica" w:hAnsi="Helvetica"/>
                <w:sz w:val="18"/>
              </w:rPr>
              <w:t>300</w:t>
            </w:r>
          </w:p>
          <w:p w:rsidR="00A86977" w:rsidRDefault="008726E3">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D3155">
              <w:rPr>
                <w:rFonts w:ascii="Helvetica" w:hAnsi="Helvetica"/>
                <w:sz w:val="18"/>
              </w:rPr>
              <w:t>1,200</w:t>
            </w:r>
          </w:p>
          <w:p w:rsidR="00A86977" w:rsidRDefault="008726E3">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D31B98">
              <w:rPr>
                <w:rFonts w:ascii="Helvetica" w:hAnsi="Helvetica"/>
                <w:sz w:val="18"/>
              </w:rPr>
              <w:fldChar w:fldCharType="begin">
                <w:ffData>
                  <w:name w:val="Text12"/>
                  <w:enabled/>
                  <w:calcOnExit w:val="0"/>
                  <w:textInput>
                    <w:type w:val="number"/>
                    <w:format w:val="0%"/>
                  </w:textInput>
                </w:ffData>
              </w:fldChar>
            </w:r>
            <w:bookmarkStart w:id="21" w:name="Text12"/>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100%</w:t>
            </w:r>
            <w:r w:rsidR="00D31B98">
              <w:rPr>
                <w:rFonts w:ascii="Helvetica" w:hAnsi="Helvetica"/>
                <w:sz w:val="18"/>
              </w:rPr>
              <w:fldChar w:fldCharType="end"/>
            </w:r>
            <w:bookmarkEnd w:id="21"/>
          </w:p>
          <w:p w:rsidR="00A86977" w:rsidRDefault="008726E3">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CD3155">
              <w:rPr>
                <w:rFonts w:ascii="Helvetica" w:hAnsi="Helvetica"/>
                <w:sz w:val="18"/>
              </w:rPr>
              <w:t>10,800</w:t>
            </w:r>
          </w:p>
          <w:p w:rsidR="00A86977" w:rsidRDefault="008726E3">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D3155">
              <w:rPr>
                <w:rFonts w:ascii="Helvetica" w:hAnsi="Helvetica"/>
                <w:sz w:val="18"/>
              </w:rPr>
              <w:t>8,160</w:t>
            </w:r>
          </w:p>
          <w:p w:rsidR="00A86977" w:rsidRDefault="008726E3">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7E4BA3">
              <w:rPr>
                <w:rFonts w:ascii="Helvetica" w:hAnsi="Helvetica"/>
                <w:sz w:val="18"/>
              </w:rPr>
              <w:t>+2,640</w:t>
            </w:r>
          </w:p>
          <w:p w:rsidR="00A86977" w:rsidRDefault="008726E3">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A86977" w:rsidRDefault="008726E3">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7E4BA3">
              <w:rPr>
                <w:rFonts w:ascii="Helvetica" w:hAnsi="Helvetica"/>
                <w:sz w:val="18"/>
              </w:rPr>
              <w:t>+2,640</w:t>
            </w:r>
          </w:p>
          <w:p w:rsidR="00A86977" w:rsidRDefault="008726E3">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D31B98">
              <w:rPr>
                <w:rFonts w:ascii="Helvetica" w:hAnsi="Helvetica"/>
                <w:sz w:val="18"/>
              </w:rPr>
              <w:fldChar w:fldCharType="begin">
                <w:ffData>
                  <w:name w:val="Text16"/>
                  <w:enabled/>
                  <w:calcOnExit w:val="0"/>
                  <w:textInput/>
                </w:ffData>
              </w:fldChar>
            </w:r>
            <w:bookmarkStart w:id="22" w:name="Text16"/>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bookmarkEnd w:id="22"/>
          </w:p>
        </w:tc>
        <w:tc>
          <w:tcPr>
            <w:tcW w:w="5508" w:type="dxa"/>
            <w:tcBorders>
              <w:top w:val="single" w:sz="6" w:space="0" w:color="auto"/>
              <w:left w:val="nil"/>
            </w:tcBorders>
          </w:tcPr>
          <w:p w:rsidR="00A86977" w:rsidRDefault="008726E3">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A86977" w:rsidRDefault="008726E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D31B9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D31B9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D31B9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D31B9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D31B9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tabs>
                <w:tab w:val="left" w:pos="240"/>
                <w:tab w:val="right" w:pos="4800"/>
              </w:tabs>
              <w:ind w:left="132"/>
              <w:rPr>
                <w:rFonts w:ascii="Helvetica" w:hAnsi="Helvetica"/>
                <w:sz w:val="16"/>
              </w:rPr>
            </w:pPr>
            <w:r>
              <w:rPr>
                <w:rFonts w:ascii="Helvetica" w:hAnsi="Helvetica"/>
                <w:sz w:val="16"/>
              </w:rPr>
              <w:t>f. Explanation of difference:</w:t>
            </w:r>
          </w:p>
          <w:p w:rsidR="00A86977" w:rsidRDefault="008726E3">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sidR="00D31B98">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p w:rsidR="00A86977" w:rsidRDefault="008726E3">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sidR="00D31B98">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D31B98">
              <w:rPr>
                <w:rFonts w:ascii="Helvetica" w:hAnsi="Helvetica"/>
                <w:sz w:val="18"/>
              </w:rPr>
            </w:r>
            <w:r w:rsidR="00D31B98">
              <w:rPr>
                <w:rFonts w:ascii="Helvetica" w:hAnsi="Helvetica"/>
                <w:sz w:val="18"/>
              </w:rPr>
              <w:fldChar w:fldCharType="separate"/>
            </w:r>
            <w:r>
              <w:rPr>
                <w:rFonts w:ascii="Helvetica" w:hAnsi="Helvetica"/>
                <w:noProof/>
                <w:sz w:val="18"/>
              </w:rPr>
              <w:t> </w:t>
            </w:r>
            <w:r>
              <w:rPr>
                <w:rFonts w:ascii="Helvetica" w:hAnsi="Helvetica"/>
                <w:noProof/>
                <w:sz w:val="18"/>
              </w:rPr>
              <w:t>00</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D31B98">
              <w:rPr>
                <w:rFonts w:ascii="Helvetica" w:hAnsi="Helvetica"/>
                <w:sz w:val="18"/>
              </w:rPr>
              <w:fldChar w:fldCharType="end"/>
            </w:r>
          </w:p>
        </w:tc>
      </w:tr>
      <w:tr w:rsidR="00A86977">
        <w:trPr>
          <w:trHeight w:val="1474"/>
        </w:trPr>
        <w:tc>
          <w:tcPr>
            <w:tcW w:w="5628" w:type="dxa"/>
            <w:gridSpan w:val="2"/>
            <w:tcBorders>
              <w:top w:val="single" w:sz="6" w:space="0" w:color="auto"/>
              <w:right w:val="single" w:sz="6" w:space="0" w:color="auto"/>
            </w:tcBorders>
          </w:tcPr>
          <w:p w:rsidR="00A86977" w:rsidRDefault="008726E3">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A86977" w:rsidRDefault="008726E3">
            <w:pPr>
              <w:tabs>
                <w:tab w:val="left" w:pos="480"/>
                <w:tab w:val="left" w:pos="2520"/>
                <w:tab w:val="left" w:pos="2880"/>
              </w:tabs>
              <w:ind w:left="120"/>
              <w:rPr>
                <w:rFonts w:ascii="Helvetica" w:hAnsi="Helvetica"/>
                <w:sz w:val="16"/>
              </w:rPr>
            </w:pPr>
            <w:r>
              <w:rPr>
                <w:rFonts w:ascii="Helvetica" w:hAnsi="Helvetica"/>
                <w:sz w:val="16"/>
              </w:rPr>
              <w:t xml:space="preserve">a.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D31B9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X</w:t>
            </w:r>
            <w:r w:rsidR="00D31B98">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A86977" w:rsidRDefault="008726E3">
            <w:pPr>
              <w:pBdr>
                <w:between w:val="single" w:sz="6" w:space="1" w:color="auto"/>
              </w:pBdr>
              <w:tabs>
                <w:tab w:val="left" w:pos="480"/>
                <w:tab w:val="left" w:pos="2520"/>
                <w:tab w:val="left" w:pos="2880"/>
              </w:tabs>
              <w:ind w:left="120"/>
              <w:rPr>
                <w:rFonts w:ascii="Helvetica" w:hAnsi="Helvetica"/>
                <w:sz w:val="16"/>
              </w:rPr>
            </w:pPr>
            <w:proofErr w:type="gramStart"/>
            <w:r>
              <w:rPr>
                <w:rFonts w:ascii="Helvetica" w:hAnsi="Helvetica"/>
                <w:sz w:val="16"/>
              </w:rPr>
              <w:t xml:space="preserve">b. </w:t>
            </w:r>
            <w:r w:rsidR="00D31B98">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P</w:t>
            </w:r>
            <w:proofErr w:type="gramEnd"/>
            <w:r w:rsidR="00D31B98">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Research</w:t>
            </w:r>
          </w:p>
          <w:p w:rsidR="00A86977" w:rsidRDefault="008726E3">
            <w:pPr>
              <w:tabs>
                <w:tab w:val="left" w:pos="480"/>
                <w:tab w:val="left" w:pos="2520"/>
                <w:tab w:val="left" w:pos="2880"/>
              </w:tabs>
              <w:ind w:left="120"/>
              <w:rPr>
                <w:rFonts w:ascii="Helvetica" w:hAnsi="Helvetica"/>
                <w:sz w:val="16"/>
              </w:rPr>
            </w:pPr>
            <w:r>
              <w:rPr>
                <w:rFonts w:ascii="Helvetica" w:hAnsi="Helvetica"/>
                <w:sz w:val="16"/>
              </w:rPr>
              <w:t xml:space="preserve">c.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D31B98">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X</w:t>
            </w:r>
            <w:r w:rsidR="00D31B98">
              <w:rPr>
                <w:rFonts w:ascii="Helvetica" w:hAnsi="Helvetica"/>
                <w:b/>
                <w:sz w:val="18"/>
              </w:rPr>
              <w:fldChar w:fldCharType="end"/>
            </w:r>
            <w:r>
              <w:rPr>
                <w:rFonts w:ascii="Helvetica" w:hAnsi="Helvetica"/>
                <w:b/>
                <w:sz w:val="18"/>
              </w:rPr>
              <w:tab/>
            </w:r>
            <w:r>
              <w:rPr>
                <w:rFonts w:ascii="Helvetica" w:hAnsi="Helvetica"/>
                <w:sz w:val="16"/>
              </w:rPr>
              <w:t>Re</w:t>
            </w:r>
            <w:r w:rsidR="00416D1A">
              <w:rPr>
                <w:rFonts w:ascii="Helvetica" w:hAnsi="Helvetica"/>
                <w:sz w:val="16"/>
              </w:rPr>
              <w:t>g</w:t>
            </w:r>
            <w:r>
              <w:rPr>
                <w:rFonts w:ascii="Helvetica" w:hAnsi="Helvetica"/>
                <w:sz w:val="16"/>
              </w:rPr>
              <w:t>ulatory or compliance</w:t>
            </w:r>
          </w:p>
          <w:p w:rsidR="00A86977" w:rsidRDefault="008726E3">
            <w:pPr>
              <w:tabs>
                <w:tab w:val="left" w:pos="480"/>
                <w:tab w:val="left" w:pos="2880"/>
              </w:tabs>
              <w:spacing w:after="60"/>
              <w:ind w:left="120"/>
              <w:rPr>
                <w:rFonts w:ascii="Helvetica" w:hAnsi="Helvetica"/>
                <w:sz w:val="16"/>
              </w:rPr>
            </w:pPr>
            <w:r>
              <w:rPr>
                <w:rFonts w:ascii="Helvetica" w:hAnsi="Helvetica"/>
                <w:sz w:val="16"/>
              </w:rPr>
              <w:t xml:space="preserve">d. </w:t>
            </w:r>
            <w:r w:rsidR="00D31B9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D31B98">
              <w:rPr>
                <w:rFonts w:ascii="Helvetica" w:hAnsi="Helvetica"/>
                <w:b/>
                <w:sz w:val="18"/>
              </w:rPr>
            </w:r>
            <w:r w:rsidR="00D31B98">
              <w:rPr>
                <w:rFonts w:ascii="Helvetica" w:hAnsi="Helvetica"/>
                <w:b/>
                <w:sz w:val="18"/>
              </w:rPr>
              <w:fldChar w:fldCharType="separate"/>
            </w:r>
            <w:r>
              <w:rPr>
                <w:rFonts w:ascii="Helvetica" w:hAnsi="Helvetica"/>
                <w:b/>
                <w:noProof/>
                <w:sz w:val="18"/>
              </w:rPr>
              <w:t> </w:t>
            </w:r>
            <w:r w:rsidR="00D31B98">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rsidR="00A86977" w:rsidRDefault="008726E3">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A86977" w:rsidRDefault="008726E3">
            <w:pPr>
              <w:tabs>
                <w:tab w:val="left" w:pos="240"/>
                <w:tab w:val="left" w:pos="1932"/>
              </w:tabs>
              <w:ind w:left="120"/>
              <w:rPr>
                <w:rFonts w:ascii="Helvetica" w:hAnsi="Helvetica"/>
                <w:sz w:val="16"/>
              </w:rPr>
            </w:pPr>
            <w:r>
              <w:rPr>
                <w:rFonts w:ascii="Helvetica" w:hAnsi="Helvetica"/>
                <w:sz w:val="16"/>
              </w:rPr>
              <w:t xml:space="preserve">a. </w:t>
            </w:r>
            <w:r w:rsidR="00D31B98">
              <w:rPr>
                <w:rFonts w:ascii="Helvetica" w:hAnsi="Helvetica"/>
                <w:b/>
                <w:sz w:val="18"/>
              </w:rPr>
              <w:fldChar w:fldCharType="begin">
                <w:ffData>
                  <w:name w:val="Check21"/>
                  <w:enabled/>
                  <w:calcOnExit w:val="0"/>
                  <w:checkBox>
                    <w:sizeAuto/>
                    <w:default w:val="0"/>
                  </w:checkBox>
                </w:ffData>
              </w:fldChar>
            </w:r>
            <w:bookmarkStart w:id="23" w:name="Check21"/>
            <w:r>
              <w:rPr>
                <w:rFonts w:ascii="Helvetica" w:hAnsi="Helvetica"/>
                <w:b/>
                <w:sz w:val="18"/>
              </w:rPr>
              <w:instrText xml:space="preserve"> FORMCHECKBOX </w:instrText>
            </w:r>
            <w:r w:rsidR="00D31B98">
              <w:rPr>
                <w:rFonts w:ascii="Helvetica" w:hAnsi="Helvetica"/>
                <w:b/>
                <w:sz w:val="18"/>
              </w:rPr>
            </w:r>
            <w:r w:rsidR="00D31B98">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D31B98">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D31B98">
              <w:rPr>
                <w:rFonts w:ascii="Helvetica" w:hAnsi="Helvetica"/>
                <w:b/>
                <w:sz w:val="18"/>
              </w:rPr>
            </w:r>
            <w:r w:rsidR="00D31B9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A86977" w:rsidRDefault="008726E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D31B98">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D31B98">
              <w:rPr>
                <w:rFonts w:ascii="Helvetica" w:hAnsi="Helvetica"/>
                <w:b/>
                <w:sz w:val="18"/>
              </w:rPr>
            </w:r>
            <w:r w:rsidR="00D31B98">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A86977" w:rsidRDefault="008726E3">
            <w:pPr>
              <w:tabs>
                <w:tab w:val="left" w:pos="240"/>
                <w:tab w:val="left" w:pos="2052"/>
                <w:tab w:val="left" w:pos="3732"/>
              </w:tabs>
              <w:ind w:left="492"/>
              <w:rPr>
                <w:rFonts w:ascii="Helvetica" w:hAnsi="Helvetica"/>
                <w:sz w:val="16"/>
              </w:rPr>
            </w:pPr>
            <w:r>
              <w:rPr>
                <w:rFonts w:ascii="Helvetica" w:hAnsi="Helvetica"/>
                <w:sz w:val="16"/>
              </w:rPr>
              <w:t xml:space="preserve">1. </w:t>
            </w:r>
            <w:r w:rsidR="00D31B98">
              <w:rPr>
                <w:rFonts w:ascii="Helvetica" w:hAnsi="Helvetica"/>
                <w:sz w:val="16"/>
              </w:rPr>
              <w:fldChar w:fldCharType="begin">
                <w:ffData>
                  <w:name w:val="Check22"/>
                  <w:enabled/>
                  <w:calcOnExit w:val="0"/>
                  <w:checkBox>
                    <w:sizeAuto/>
                    <w:default w:val="0"/>
                  </w:checkBox>
                </w:ffData>
              </w:fldChar>
            </w:r>
            <w:bookmarkStart w:id="24" w:name="Check22"/>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r w:rsidR="00D31B98">
              <w:rPr>
                <w:rFonts w:ascii="Helvetica" w:hAnsi="Helvetica"/>
                <w:sz w:val="16"/>
              </w:rPr>
              <w:fldChar w:fldCharType="begin">
                <w:ffData>
                  <w:name w:val="Check23"/>
                  <w:enabled/>
                  <w:calcOnExit w:val="0"/>
                  <w:checkBox>
                    <w:sizeAuto/>
                    <w:default w:val="0"/>
                  </w:checkBox>
                </w:ffData>
              </w:fldChar>
            </w:r>
            <w:bookmarkStart w:id="25" w:name="Check23"/>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r w:rsidR="00D31B98">
              <w:rPr>
                <w:rFonts w:ascii="Helvetica" w:hAnsi="Helvetica"/>
                <w:sz w:val="16"/>
              </w:rPr>
              <w:fldChar w:fldCharType="begin">
                <w:ffData>
                  <w:name w:val="Check24"/>
                  <w:enabled/>
                  <w:calcOnExit w:val="0"/>
                  <w:checkBox>
                    <w:sizeAuto/>
                    <w:default w:val="0"/>
                  </w:checkBox>
                </w:ffData>
              </w:fldChar>
            </w:r>
            <w:bookmarkStart w:id="26" w:name="Check24"/>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bookmarkEnd w:id="26"/>
            <w:r>
              <w:rPr>
                <w:rFonts w:ascii="Helvetica" w:hAnsi="Helvetica"/>
                <w:sz w:val="16"/>
              </w:rPr>
              <w:t xml:space="preserve"> Monthly</w:t>
            </w:r>
          </w:p>
          <w:p w:rsidR="00A86977" w:rsidRDefault="008726E3">
            <w:pPr>
              <w:tabs>
                <w:tab w:val="left" w:pos="240"/>
                <w:tab w:val="left" w:pos="2052"/>
                <w:tab w:val="left" w:pos="3732"/>
              </w:tabs>
              <w:ind w:left="492"/>
              <w:rPr>
                <w:rFonts w:ascii="Helvetica" w:hAnsi="Helvetica"/>
                <w:sz w:val="16"/>
              </w:rPr>
            </w:pPr>
            <w:r>
              <w:rPr>
                <w:rFonts w:ascii="Helvetica" w:hAnsi="Helvetica"/>
                <w:sz w:val="16"/>
              </w:rPr>
              <w:t xml:space="preserve">4. </w:t>
            </w:r>
            <w:r w:rsidR="00D31B98">
              <w:rPr>
                <w:rFonts w:ascii="Helvetica" w:hAnsi="Helvetica"/>
                <w:sz w:val="16"/>
              </w:rPr>
              <w:fldChar w:fldCharType="begin">
                <w:ffData>
                  <w:name w:val=""/>
                  <w:enabled/>
                  <w:calcOnExit w:val="0"/>
                  <w:checkBox>
                    <w:sizeAuto/>
                    <w:default w:val="1"/>
                  </w:checkBox>
                </w:ffData>
              </w:fldChar>
            </w:r>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D31B9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D31B98">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r>
              <w:rPr>
                <w:rFonts w:ascii="Helvetica" w:hAnsi="Helvetica"/>
                <w:sz w:val="16"/>
              </w:rPr>
              <w:t xml:space="preserve"> Annually</w:t>
            </w:r>
          </w:p>
          <w:p w:rsidR="00A86977" w:rsidRDefault="008726E3">
            <w:pPr>
              <w:tabs>
                <w:tab w:val="left" w:pos="240"/>
                <w:tab w:val="left" w:pos="2052"/>
                <w:tab w:val="left" w:pos="3732"/>
              </w:tabs>
              <w:ind w:left="492"/>
              <w:rPr>
                <w:rFonts w:ascii="Helvetica" w:hAnsi="Helvetica"/>
                <w:sz w:val="16"/>
              </w:rPr>
            </w:pPr>
            <w:r>
              <w:rPr>
                <w:rFonts w:ascii="Helvetica" w:hAnsi="Helvetica"/>
                <w:sz w:val="16"/>
              </w:rPr>
              <w:t xml:space="preserve">7. </w:t>
            </w:r>
            <w:r w:rsidR="00D31B9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r>
              <w:rPr>
                <w:rFonts w:ascii="Helvetica" w:hAnsi="Helvetica"/>
                <w:sz w:val="16"/>
              </w:rPr>
              <w:t xml:space="preserve"> Bienn</w:t>
            </w:r>
            <w:r w:rsidR="00416D1A">
              <w:rPr>
                <w:rFonts w:ascii="Helvetica" w:hAnsi="Helvetica"/>
                <w:sz w:val="16"/>
              </w:rPr>
              <w:t>i</w:t>
            </w:r>
            <w:r>
              <w:rPr>
                <w:rFonts w:ascii="Helvetica" w:hAnsi="Helvetica"/>
                <w:sz w:val="16"/>
              </w:rPr>
              <w:t>ally</w:t>
            </w:r>
            <w:r>
              <w:rPr>
                <w:rFonts w:ascii="Helvetica" w:hAnsi="Helvetica"/>
                <w:sz w:val="16"/>
              </w:rPr>
              <w:tab/>
              <w:t xml:space="preserve">8. </w:t>
            </w:r>
            <w:r w:rsidR="00D31B9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D31B98">
              <w:rPr>
                <w:rFonts w:ascii="Helvetica" w:hAnsi="Helvetica"/>
                <w:sz w:val="16"/>
              </w:rPr>
            </w:r>
            <w:r w:rsidR="00D31B98">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D31B98">
              <w:rPr>
                <w:rFonts w:ascii="Helvetica" w:hAnsi="Helvetica"/>
                <w:sz w:val="16"/>
              </w:rPr>
              <w:fldChar w:fldCharType="begin">
                <w:ffData>
                  <w:name w:val="Text18"/>
                  <w:enabled/>
                  <w:calcOnExit w:val="0"/>
                  <w:textInput/>
                </w:ffData>
              </w:fldChar>
            </w:r>
            <w:bookmarkStart w:id="27" w:name="Text18"/>
            <w:r>
              <w:rPr>
                <w:rFonts w:ascii="Helvetica" w:hAnsi="Helvetica"/>
                <w:sz w:val="16"/>
              </w:rPr>
              <w:instrText xml:space="preserve"> FORMTEXT </w:instrText>
            </w:r>
            <w:r w:rsidR="00D31B98">
              <w:rPr>
                <w:rFonts w:ascii="Helvetica" w:hAnsi="Helvetica"/>
                <w:sz w:val="16"/>
              </w:rPr>
            </w:r>
            <w:r w:rsidR="00D31B98">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D31B98">
              <w:rPr>
                <w:rFonts w:ascii="Helvetica" w:hAnsi="Helvetica"/>
                <w:sz w:val="16"/>
              </w:rPr>
              <w:fldChar w:fldCharType="end"/>
            </w:r>
            <w:bookmarkEnd w:id="27"/>
          </w:p>
          <w:p w:rsidR="00A86977" w:rsidRDefault="00A86977">
            <w:pPr>
              <w:tabs>
                <w:tab w:val="left" w:pos="240"/>
              </w:tabs>
              <w:rPr>
                <w:rFonts w:ascii="Helvetica" w:hAnsi="Helvetica"/>
                <w:sz w:val="16"/>
              </w:rPr>
            </w:pPr>
          </w:p>
        </w:tc>
      </w:tr>
      <w:tr w:rsidR="00A86977">
        <w:tc>
          <w:tcPr>
            <w:tcW w:w="4908" w:type="dxa"/>
            <w:tcBorders>
              <w:top w:val="single" w:sz="6" w:space="0" w:color="auto"/>
              <w:bottom w:val="single" w:sz="6" w:space="0" w:color="auto"/>
            </w:tcBorders>
          </w:tcPr>
          <w:p w:rsidR="00A86977" w:rsidRDefault="008726E3">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A86977" w:rsidRDefault="008726E3">
            <w:pPr>
              <w:ind w:left="240"/>
              <w:rPr>
                <w:rFonts w:ascii="Helvetica" w:hAnsi="Helvetica"/>
                <w:sz w:val="16"/>
              </w:rPr>
            </w:pPr>
            <w:r>
              <w:rPr>
                <w:rFonts w:ascii="Helvetica" w:hAnsi="Helvetica"/>
                <w:sz w:val="16"/>
              </w:rPr>
              <w:t>Does this information collection employ statistical methods?</w:t>
            </w:r>
          </w:p>
          <w:p w:rsidR="00A86977" w:rsidRDefault="00D31B98">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8726E3">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8" w:name="Check26"/>
            <w:r w:rsidR="008726E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8"/>
            <w:r w:rsidR="008726E3">
              <w:rPr>
                <w:rFonts w:ascii="Helvetica" w:hAnsi="Helvetica"/>
                <w:sz w:val="18"/>
              </w:rPr>
              <w:t xml:space="preserve"> No</w:t>
            </w:r>
          </w:p>
          <w:p w:rsidR="00A86977" w:rsidRDefault="00A86977">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A86977" w:rsidRDefault="008726E3">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A86977" w:rsidRDefault="008726E3">
            <w:pPr>
              <w:tabs>
                <w:tab w:val="left" w:pos="492"/>
              </w:tabs>
              <w:ind w:left="252"/>
              <w:rPr>
                <w:rFonts w:ascii="Helvetica" w:hAnsi="Helvetica"/>
                <w:sz w:val="16"/>
              </w:rPr>
            </w:pPr>
            <w:r>
              <w:rPr>
                <w:rFonts w:ascii="Helvetica" w:hAnsi="Helvetica"/>
                <w:sz w:val="16"/>
              </w:rPr>
              <w:t xml:space="preserve">Name: </w:t>
            </w:r>
            <w:r w:rsidR="00CD2B04">
              <w:rPr>
                <w:rFonts w:ascii="Helvetica" w:hAnsi="Helvetica"/>
                <w:sz w:val="18"/>
              </w:rPr>
              <w:t>Michelle Miller</w:t>
            </w:r>
          </w:p>
          <w:p w:rsidR="00A86977" w:rsidRDefault="008726E3">
            <w:pPr>
              <w:tabs>
                <w:tab w:val="left" w:pos="492"/>
              </w:tabs>
              <w:ind w:left="252"/>
              <w:rPr>
                <w:rFonts w:ascii="Helvetica" w:hAnsi="Helvetica"/>
                <w:sz w:val="16"/>
              </w:rPr>
            </w:pPr>
            <w:r>
              <w:rPr>
                <w:rFonts w:ascii="Helvetica" w:hAnsi="Helvetica"/>
                <w:sz w:val="16"/>
              </w:rPr>
              <w:t xml:space="preserve">Phone: </w:t>
            </w:r>
            <w:r w:rsidR="007E4BA3">
              <w:rPr>
                <w:rFonts w:ascii="Helvetica" w:hAnsi="Helvetica"/>
                <w:sz w:val="18"/>
              </w:rPr>
              <w:t>(202) 402-</w:t>
            </w:r>
            <w:r w:rsidR="00CD2B04">
              <w:rPr>
                <w:rFonts w:ascii="Helvetica" w:hAnsi="Helvetica"/>
                <w:sz w:val="18"/>
              </w:rPr>
              <w:t>5769</w:t>
            </w:r>
          </w:p>
          <w:p w:rsidR="00A86977" w:rsidRDefault="00A86977">
            <w:pPr>
              <w:tabs>
                <w:tab w:val="left" w:pos="240"/>
              </w:tabs>
              <w:rPr>
                <w:rFonts w:ascii="Helvetica" w:hAnsi="Helvetica"/>
                <w:sz w:val="16"/>
              </w:rPr>
            </w:pPr>
          </w:p>
        </w:tc>
      </w:tr>
    </w:tbl>
    <w:p w:rsidR="00A86977" w:rsidRDefault="00A86977">
      <w:pPr>
        <w:tabs>
          <w:tab w:val="left" w:pos="240"/>
        </w:tabs>
        <w:rPr>
          <w:rFonts w:ascii="Helvetica" w:hAnsi="Helvetica"/>
          <w:sz w:val="16"/>
        </w:rPr>
      </w:pPr>
    </w:p>
    <w:p w:rsidR="00A86977" w:rsidRDefault="00A86977">
      <w:pPr>
        <w:pBdr>
          <w:top w:val="single" w:sz="6" w:space="1" w:color="auto"/>
        </w:pBdr>
        <w:tabs>
          <w:tab w:val="left" w:pos="240"/>
        </w:tabs>
        <w:jc w:val="center"/>
        <w:rPr>
          <w:rFonts w:ascii="Helvetica" w:hAnsi="Helvetica"/>
          <w:sz w:val="16"/>
        </w:rPr>
        <w:sectPr w:rsidR="00A86977">
          <w:footerReference w:type="default" r:id="rId7"/>
          <w:pgSz w:w="12240" w:h="15840" w:code="1"/>
          <w:pgMar w:top="480" w:right="600" w:bottom="480" w:left="720" w:header="480" w:footer="480" w:gutter="0"/>
          <w:cols w:space="480" w:equalWidth="0">
            <w:col w:w="10920"/>
          </w:cols>
        </w:sectPr>
      </w:pPr>
    </w:p>
    <w:p w:rsidR="00A86977" w:rsidRDefault="008726E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A86977" w:rsidRDefault="008726E3">
      <w:pPr>
        <w:tabs>
          <w:tab w:val="left" w:pos="240"/>
        </w:tabs>
        <w:spacing w:line="280" w:lineRule="exact"/>
        <w:rPr>
          <w:sz w:val="22"/>
        </w:rPr>
      </w:pPr>
      <w:r>
        <w:rPr>
          <w:sz w:val="22"/>
        </w:rPr>
        <w:t>On behalf of this Federal Agency, I certify that the collection of information encompassed by this request complies with 5 CFR 1320.9.</w:t>
      </w:r>
    </w:p>
    <w:p w:rsidR="00A86977" w:rsidRDefault="008726E3">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rsidR="00A86977" w:rsidRDefault="00A86977">
      <w:pPr>
        <w:tabs>
          <w:tab w:val="left" w:pos="240"/>
        </w:tabs>
        <w:spacing w:line="280" w:lineRule="exact"/>
        <w:rPr>
          <w:sz w:val="22"/>
        </w:rPr>
      </w:pPr>
    </w:p>
    <w:p w:rsidR="00A86977" w:rsidRDefault="008726E3">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A86977" w:rsidRDefault="008726E3">
      <w:pPr>
        <w:numPr>
          <w:ilvl w:val="0"/>
          <w:numId w:val="3"/>
        </w:numPr>
        <w:tabs>
          <w:tab w:val="left" w:pos="720"/>
        </w:tabs>
        <w:spacing w:line="280" w:lineRule="exact"/>
        <w:rPr>
          <w:sz w:val="22"/>
        </w:rPr>
      </w:pPr>
      <w:r>
        <w:rPr>
          <w:sz w:val="22"/>
        </w:rPr>
        <w:t>It is necessary for the proper performance of agency functions;</w:t>
      </w:r>
    </w:p>
    <w:p w:rsidR="00A86977" w:rsidRDefault="008726E3">
      <w:pPr>
        <w:numPr>
          <w:ilvl w:val="0"/>
          <w:numId w:val="3"/>
        </w:numPr>
        <w:tabs>
          <w:tab w:val="left" w:pos="720"/>
        </w:tabs>
        <w:spacing w:line="280" w:lineRule="exact"/>
        <w:rPr>
          <w:sz w:val="22"/>
        </w:rPr>
      </w:pPr>
      <w:r>
        <w:rPr>
          <w:sz w:val="22"/>
        </w:rPr>
        <w:t>It avoids unnecessary duplication;</w:t>
      </w:r>
    </w:p>
    <w:p w:rsidR="00A86977" w:rsidRDefault="008726E3">
      <w:pPr>
        <w:numPr>
          <w:ilvl w:val="0"/>
          <w:numId w:val="3"/>
        </w:numPr>
        <w:tabs>
          <w:tab w:val="left" w:pos="720"/>
        </w:tabs>
        <w:spacing w:line="280" w:lineRule="exact"/>
        <w:rPr>
          <w:sz w:val="22"/>
        </w:rPr>
      </w:pPr>
      <w:r>
        <w:rPr>
          <w:sz w:val="22"/>
        </w:rPr>
        <w:t>It reduces burden on small entities;</w:t>
      </w:r>
    </w:p>
    <w:p w:rsidR="00A86977" w:rsidRDefault="008726E3">
      <w:pPr>
        <w:numPr>
          <w:ilvl w:val="0"/>
          <w:numId w:val="3"/>
        </w:numPr>
        <w:tabs>
          <w:tab w:val="left" w:pos="720"/>
        </w:tabs>
        <w:spacing w:line="280" w:lineRule="exact"/>
        <w:rPr>
          <w:sz w:val="22"/>
        </w:rPr>
      </w:pPr>
      <w:r>
        <w:rPr>
          <w:sz w:val="22"/>
        </w:rPr>
        <w:t>It uses plain, coherent, and unambiguous terminology that is understandable to respondents;</w:t>
      </w:r>
    </w:p>
    <w:p w:rsidR="00A86977" w:rsidRDefault="008726E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A86977" w:rsidRDefault="008726E3">
      <w:pPr>
        <w:numPr>
          <w:ilvl w:val="0"/>
          <w:numId w:val="3"/>
        </w:numPr>
        <w:tabs>
          <w:tab w:val="left" w:pos="720"/>
        </w:tabs>
        <w:spacing w:line="280" w:lineRule="exact"/>
        <w:rPr>
          <w:sz w:val="22"/>
        </w:rPr>
      </w:pPr>
      <w:r>
        <w:rPr>
          <w:sz w:val="22"/>
        </w:rPr>
        <w:t>It indicates the retention periods for recordkeeping requirements;</w:t>
      </w:r>
    </w:p>
    <w:p w:rsidR="00A86977" w:rsidRDefault="008726E3">
      <w:pPr>
        <w:numPr>
          <w:ilvl w:val="0"/>
          <w:numId w:val="3"/>
        </w:numPr>
        <w:tabs>
          <w:tab w:val="left" w:pos="720"/>
        </w:tabs>
        <w:spacing w:line="280" w:lineRule="exact"/>
        <w:rPr>
          <w:sz w:val="22"/>
        </w:rPr>
      </w:pPr>
      <w:r>
        <w:rPr>
          <w:sz w:val="22"/>
        </w:rPr>
        <w:t>It informs respondents of the information called for under 5 CFR 1320.8(b)(3):</w:t>
      </w:r>
    </w:p>
    <w:p w:rsidR="00A86977" w:rsidRDefault="008726E3">
      <w:pPr>
        <w:numPr>
          <w:ilvl w:val="0"/>
          <w:numId w:val="4"/>
        </w:numPr>
        <w:tabs>
          <w:tab w:val="left" w:pos="720"/>
        </w:tabs>
        <w:spacing w:line="280" w:lineRule="exact"/>
        <w:rPr>
          <w:sz w:val="22"/>
        </w:rPr>
      </w:pPr>
      <w:r>
        <w:rPr>
          <w:sz w:val="22"/>
        </w:rPr>
        <w:t>Why the information is being collected;</w:t>
      </w:r>
    </w:p>
    <w:p w:rsidR="00A86977" w:rsidRDefault="008726E3">
      <w:pPr>
        <w:numPr>
          <w:ilvl w:val="0"/>
          <w:numId w:val="4"/>
        </w:numPr>
        <w:tabs>
          <w:tab w:val="left" w:pos="720"/>
        </w:tabs>
        <w:spacing w:line="280" w:lineRule="exact"/>
        <w:rPr>
          <w:sz w:val="22"/>
        </w:rPr>
      </w:pPr>
      <w:r>
        <w:rPr>
          <w:sz w:val="22"/>
        </w:rPr>
        <w:t>Use of the information;</w:t>
      </w:r>
    </w:p>
    <w:p w:rsidR="00A86977" w:rsidRDefault="008726E3">
      <w:pPr>
        <w:numPr>
          <w:ilvl w:val="0"/>
          <w:numId w:val="4"/>
        </w:numPr>
        <w:tabs>
          <w:tab w:val="left" w:pos="720"/>
        </w:tabs>
        <w:spacing w:line="280" w:lineRule="exact"/>
        <w:rPr>
          <w:sz w:val="22"/>
        </w:rPr>
      </w:pPr>
      <w:r>
        <w:rPr>
          <w:sz w:val="22"/>
        </w:rPr>
        <w:t>burden estimate;</w:t>
      </w:r>
    </w:p>
    <w:p w:rsidR="00A86977" w:rsidRDefault="008726E3">
      <w:pPr>
        <w:numPr>
          <w:ilvl w:val="0"/>
          <w:numId w:val="4"/>
        </w:numPr>
        <w:tabs>
          <w:tab w:val="left" w:pos="720"/>
        </w:tabs>
        <w:spacing w:line="280" w:lineRule="exact"/>
        <w:rPr>
          <w:sz w:val="22"/>
        </w:rPr>
      </w:pPr>
      <w:r>
        <w:rPr>
          <w:sz w:val="22"/>
        </w:rPr>
        <w:t>Nature of response (voluntary, required for a benefit, or mandatory);</w:t>
      </w:r>
    </w:p>
    <w:p w:rsidR="00A86977" w:rsidRDefault="008726E3">
      <w:pPr>
        <w:numPr>
          <w:ilvl w:val="0"/>
          <w:numId w:val="4"/>
        </w:numPr>
        <w:tabs>
          <w:tab w:val="left" w:pos="720"/>
        </w:tabs>
        <w:spacing w:line="280" w:lineRule="exact"/>
        <w:rPr>
          <w:sz w:val="22"/>
        </w:rPr>
      </w:pPr>
      <w:r>
        <w:rPr>
          <w:sz w:val="22"/>
        </w:rPr>
        <w:t>Nature and extent of confidentiality; and</w:t>
      </w:r>
    </w:p>
    <w:p w:rsidR="00A86977" w:rsidRDefault="008726E3">
      <w:pPr>
        <w:numPr>
          <w:ilvl w:val="0"/>
          <w:numId w:val="4"/>
        </w:numPr>
        <w:tabs>
          <w:tab w:val="left" w:pos="720"/>
        </w:tabs>
        <w:spacing w:line="280" w:lineRule="exact"/>
        <w:rPr>
          <w:sz w:val="22"/>
        </w:rPr>
      </w:pPr>
      <w:r>
        <w:rPr>
          <w:sz w:val="22"/>
        </w:rPr>
        <w:t>Need to display currently valid OMB control number;</w:t>
      </w:r>
    </w:p>
    <w:p w:rsidR="00A86977" w:rsidRDefault="008726E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A86977" w:rsidRDefault="008726E3">
      <w:pPr>
        <w:numPr>
          <w:ilvl w:val="0"/>
          <w:numId w:val="6"/>
        </w:numPr>
        <w:tabs>
          <w:tab w:val="left" w:pos="720"/>
        </w:tabs>
        <w:spacing w:line="280" w:lineRule="exact"/>
        <w:rPr>
          <w:sz w:val="22"/>
        </w:rPr>
      </w:pPr>
      <w:r>
        <w:rPr>
          <w:sz w:val="22"/>
        </w:rPr>
        <w:t>It uses effective and efficient statistical survey methodology; and</w:t>
      </w:r>
    </w:p>
    <w:p w:rsidR="00A86977" w:rsidRDefault="008726E3">
      <w:pPr>
        <w:numPr>
          <w:ilvl w:val="0"/>
          <w:numId w:val="6"/>
        </w:numPr>
        <w:tabs>
          <w:tab w:val="left" w:pos="720"/>
        </w:tabs>
        <w:spacing w:line="280" w:lineRule="exact"/>
        <w:rPr>
          <w:sz w:val="22"/>
        </w:rPr>
      </w:pPr>
      <w:r>
        <w:rPr>
          <w:sz w:val="22"/>
        </w:rPr>
        <w:t>It makes appropriate use of information technology.</w:t>
      </w:r>
    </w:p>
    <w:p w:rsidR="00A86977" w:rsidRDefault="00A86977">
      <w:pPr>
        <w:tabs>
          <w:tab w:val="left" w:pos="600"/>
        </w:tabs>
        <w:spacing w:line="280" w:lineRule="exact"/>
        <w:rPr>
          <w:sz w:val="22"/>
        </w:rPr>
      </w:pPr>
    </w:p>
    <w:p w:rsidR="00A86977" w:rsidRDefault="008726E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A86977" w:rsidRDefault="00D31B98">
      <w:pPr>
        <w:tabs>
          <w:tab w:val="left" w:pos="240"/>
        </w:tabs>
        <w:ind w:left="240"/>
      </w:pPr>
      <w:r>
        <w:fldChar w:fldCharType="begin">
          <w:ffData>
            <w:name w:val="Text20"/>
            <w:enabled/>
            <w:calcOnExit w:val="0"/>
            <w:textInput/>
          </w:ffData>
        </w:fldChar>
      </w:r>
      <w:bookmarkStart w:id="29" w:name="Text20"/>
      <w:r w:rsidR="008726E3">
        <w:instrText xml:space="preserve"> FORMTEXT </w:instrText>
      </w:r>
      <w:r>
        <w:fldChar w:fldCharType="separate"/>
      </w:r>
      <w:r w:rsidR="008726E3">
        <w:rPr>
          <w:noProof/>
        </w:rPr>
        <w:t> </w:t>
      </w:r>
      <w:r w:rsidR="008726E3">
        <w:rPr>
          <w:noProof/>
        </w:rPr>
        <w:t> </w:t>
      </w:r>
      <w:r w:rsidR="008726E3">
        <w:rPr>
          <w:noProof/>
        </w:rPr>
        <w:t> </w:t>
      </w:r>
      <w:r w:rsidR="008726E3">
        <w:rPr>
          <w:noProof/>
        </w:rPr>
        <w:t> </w:t>
      </w:r>
      <w:r w:rsidR="008726E3">
        <w:rPr>
          <w:noProof/>
        </w:rPr>
        <w:t> </w:t>
      </w:r>
      <w:r>
        <w:fldChar w:fldCharType="end"/>
      </w:r>
      <w:bookmarkEnd w:id="29"/>
    </w:p>
    <w:p w:rsidR="00A86977" w:rsidRDefault="00A86977">
      <w:pPr>
        <w:tabs>
          <w:tab w:val="left" w:pos="240"/>
        </w:tabs>
      </w:pPr>
    </w:p>
    <w:tbl>
      <w:tblPr>
        <w:tblW w:w="0" w:type="auto"/>
        <w:tblLayout w:type="fixed"/>
        <w:tblLook w:val="0000"/>
      </w:tblPr>
      <w:tblGrid>
        <w:gridCol w:w="8388"/>
        <w:gridCol w:w="2628"/>
      </w:tblGrid>
      <w:tr w:rsidR="00A86977">
        <w:tc>
          <w:tcPr>
            <w:tcW w:w="8388" w:type="dxa"/>
            <w:tcBorders>
              <w:top w:val="single" w:sz="6" w:space="0" w:color="auto"/>
            </w:tcBorders>
          </w:tcPr>
          <w:p w:rsidR="00A86977" w:rsidRDefault="008726E3">
            <w:pPr>
              <w:tabs>
                <w:tab w:val="left" w:pos="240"/>
              </w:tabs>
              <w:rPr>
                <w:rFonts w:ascii="Helvetica" w:hAnsi="Helvetica"/>
                <w:sz w:val="16"/>
              </w:rPr>
            </w:pPr>
            <w:r>
              <w:rPr>
                <w:rFonts w:ascii="Helvetica" w:hAnsi="Helvetica"/>
                <w:sz w:val="16"/>
              </w:rPr>
              <w:t>Signature of Program Official:</w:t>
            </w:r>
          </w:p>
          <w:p w:rsidR="00A86977" w:rsidRDefault="00A86977">
            <w:pPr>
              <w:tabs>
                <w:tab w:val="left" w:pos="240"/>
              </w:tabs>
              <w:rPr>
                <w:rFonts w:ascii="Helvetica" w:hAnsi="Helvetica"/>
                <w:sz w:val="16"/>
              </w:rPr>
            </w:pPr>
          </w:p>
          <w:p w:rsidR="00A86977" w:rsidRDefault="00A86977">
            <w:pPr>
              <w:tabs>
                <w:tab w:val="left" w:pos="240"/>
              </w:tabs>
              <w:rPr>
                <w:rFonts w:ascii="Helvetica" w:hAnsi="Helvetica"/>
                <w:sz w:val="16"/>
              </w:rPr>
            </w:pPr>
          </w:p>
          <w:p w:rsidR="00A86977" w:rsidRDefault="00A86977">
            <w:pPr>
              <w:tabs>
                <w:tab w:val="left" w:pos="240"/>
              </w:tabs>
              <w:rPr>
                <w:rFonts w:ascii="Helvetica" w:hAnsi="Helvetica"/>
                <w:sz w:val="16"/>
              </w:rPr>
            </w:pPr>
          </w:p>
          <w:p w:rsidR="00A86977" w:rsidRDefault="008726E3">
            <w:pPr>
              <w:tabs>
                <w:tab w:val="left" w:pos="240"/>
              </w:tabs>
              <w:rPr>
                <w:rFonts w:ascii="Helvetica" w:hAnsi="Helvetica"/>
                <w:sz w:val="16"/>
              </w:rPr>
            </w:pPr>
            <w:r>
              <w:rPr>
                <w:rFonts w:ascii="Helvetica" w:hAnsi="Helvetica"/>
                <w:sz w:val="16"/>
              </w:rPr>
              <w:t>X</w:t>
            </w:r>
          </w:p>
          <w:p w:rsidR="00A86977" w:rsidRDefault="00D31B98">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30" w:name="Text21"/>
            <w:r w:rsidR="008726E3">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8726E3">
              <w:rPr>
                <w:rFonts w:ascii="Helvetica" w:hAnsi="Helvetica"/>
                <w:noProof/>
                <w:sz w:val="16"/>
              </w:rPr>
              <w:t> </w:t>
            </w:r>
            <w:r w:rsidR="008726E3">
              <w:rPr>
                <w:rFonts w:ascii="Helvetica" w:hAnsi="Helvetica"/>
                <w:noProof/>
                <w:sz w:val="16"/>
              </w:rPr>
              <w:t> </w:t>
            </w:r>
            <w:r w:rsidR="008726E3">
              <w:rPr>
                <w:rFonts w:ascii="Helvetica" w:hAnsi="Helvetica"/>
                <w:noProof/>
                <w:sz w:val="16"/>
              </w:rPr>
              <w:t> </w:t>
            </w:r>
            <w:r w:rsidR="008726E3">
              <w:rPr>
                <w:rFonts w:ascii="Helvetica" w:hAnsi="Helvetica"/>
                <w:noProof/>
                <w:sz w:val="16"/>
              </w:rPr>
              <w:t> </w:t>
            </w:r>
            <w:r w:rsidR="008726E3">
              <w:rPr>
                <w:rFonts w:ascii="Helvetica" w:hAnsi="Helvetica"/>
                <w:noProof/>
                <w:sz w:val="16"/>
              </w:rPr>
              <w:t> </w:t>
            </w:r>
            <w:r>
              <w:rPr>
                <w:rFonts w:ascii="Helvetica" w:hAnsi="Helvetica"/>
                <w:sz w:val="16"/>
              </w:rPr>
              <w:fldChar w:fldCharType="end"/>
            </w:r>
            <w:bookmarkEnd w:id="30"/>
          </w:p>
        </w:tc>
        <w:tc>
          <w:tcPr>
            <w:tcW w:w="2628" w:type="dxa"/>
            <w:tcBorders>
              <w:top w:val="single" w:sz="6" w:space="0" w:color="auto"/>
              <w:left w:val="single" w:sz="6" w:space="0" w:color="auto"/>
            </w:tcBorders>
          </w:tcPr>
          <w:p w:rsidR="00A86977" w:rsidRDefault="008726E3">
            <w:pPr>
              <w:tabs>
                <w:tab w:val="left" w:pos="240"/>
              </w:tabs>
              <w:rPr>
                <w:rFonts w:ascii="Helvetica" w:hAnsi="Helvetica"/>
                <w:sz w:val="16"/>
              </w:rPr>
            </w:pPr>
            <w:r>
              <w:rPr>
                <w:rFonts w:ascii="Helvetica" w:hAnsi="Helvetica"/>
                <w:sz w:val="16"/>
              </w:rPr>
              <w:t>Date:</w:t>
            </w:r>
          </w:p>
        </w:tc>
      </w:tr>
    </w:tbl>
    <w:p w:rsidR="00A86977" w:rsidRDefault="00A86977">
      <w:pPr>
        <w:pBdr>
          <w:top w:val="single" w:sz="4" w:space="1" w:color="auto"/>
        </w:pBdr>
        <w:tabs>
          <w:tab w:val="left" w:pos="240"/>
        </w:tabs>
        <w:rPr>
          <w:rFonts w:ascii="Helvetica" w:hAnsi="Helvetica"/>
          <w:sz w:val="16"/>
        </w:rPr>
      </w:pPr>
    </w:p>
    <w:p w:rsidR="00A86977" w:rsidRDefault="00A86977">
      <w:pPr>
        <w:pBdr>
          <w:top w:val="single" w:sz="4" w:space="1" w:color="auto"/>
        </w:pBdr>
        <w:tabs>
          <w:tab w:val="left" w:pos="240"/>
        </w:tabs>
        <w:rPr>
          <w:rFonts w:ascii="Helvetica" w:hAnsi="Helvetica"/>
          <w:sz w:val="16"/>
        </w:rPr>
      </w:pPr>
    </w:p>
    <w:p w:rsidR="00A86977" w:rsidRDefault="00A86977">
      <w:pPr>
        <w:pBdr>
          <w:top w:val="single" w:sz="4" w:space="1" w:color="auto"/>
        </w:pBdr>
        <w:tabs>
          <w:tab w:val="left" w:pos="240"/>
        </w:tabs>
        <w:rPr>
          <w:rFonts w:ascii="Helvetica" w:hAnsi="Helvetica"/>
          <w:sz w:val="16"/>
        </w:rPr>
      </w:pPr>
    </w:p>
    <w:p w:rsidR="00A86977" w:rsidRDefault="00A86977">
      <w:pPr>
        <w:pBdr>
          <w:top w:val="single" w:sz="4" w:space="1" w:color="auto"/>
        </w:pBdr>
        <w:tabs>
          <w:tab w:val="left" w:pos="240"/>
        </w:tabs>
        <w:rPr>
          <w:rFonts w:ascii="Helvetica" w:hAnsi="Helvetica"/>
          <w:sz w:val="16"/>
        </w:rPr>
      </w:pPr>
    </w:p>
    <w:p w:rsidR="00A86977" w:rsidRDefault="00A86977">
      <w:pPr>
        <w:pBdr>
          <w:top w:val="single" w:sz="4" w:space="1" w:color="auto"/>
        </w:pBdr>
        <w:tabs>
          <w:tab w:val="left" w:pos="240"/>
        </w:tabs>
        <w:rPr>
          <w:rFonts w:ascii="Helvetica" w:hAnsi="Helvetica"/>
          <w:sz w:val="16"/>
        </w:rPr>
        <w:sectPr w:rsidR="00A86977">
          <w:footerReference w:type="default" r:id="rId8"/>
          <w:pgSz w:w="12240" w:h="15840"/>
          <w:pgMar w:top="480" w:right="720" w:bottom="480" w:left="600" w:header="480" w:footer="480" w:gutter="0"/>
          <w:cols w:space="480" w:equalWidth="0">
            <w:col w:w="10800"/>
          </w:cols>
        </w:sectPr>
      </w:pPr>
    </w:p>
    <w:p w:rsidR="00A86977" w:rsidRDefault="008726E3">
      <w:pPr>
        <w:pStyle w:val="PlainText"/>
        <w:widowControl/>
        <w:jc w:val="center"/>
        <w:rPr>
          <w:sz w:val="24"/>
        </w:rPr>
      </w:pPr>
      <w:r>
        <w:rPr>
          <w:sz w:val="24"/>
        </w:rPr>
        <w:lastRenderedPageBreak/>
        <w:t xml:space="preserve">SUPPORTING STATEMENT FOR </w:t>
      </w:r>
    </w:p>
    <w:p w:rsidR="00A86977" w:rsidRDefault="008726E3">
      <w:pPr>
        <w:pStyle w:val="PlainText"/>
        <w:widowControl/>
        <w:jc w:val="center"/>
        <w:rPr>
          <w:sz w:val="24"/>
        </w:rPr>
      </w:pPr>
      <w:r>
        <w:rPr>
          <w:sz w:val="24"/>
        </w:rPr>
        <w:t>HUD OFFICE OF HEALTHY HOMES AND LEAD HAZARD CONTROL GRANT PROGRAMS DATA COLLECTION - PROGRESS REPORTING</w:t>
      </w:r>
    </w:p>
    <w:p w:rsidR="00A86977" w:rsidRDefault="00A86977">
      <w:pPr>
        <w:pStyle w:val="PlainText"/>
        <w:widowControl/>
        <w:jc w:val="center"/>
        <w:rPr>
          <w:sz w:val="24"/>
        </w:rPr>
      </w:pPr>
    </w:p>
    <w:p w:rsidR="00A86977" w:rsidRDefault="00FA56B0">
      <w:pPr>
        <w:pStyle w:val="PlainText"/>
        <w:widowControl/>
        <w:rPr>
          <w:sz w:val="24"/>
        </w:rPr>
      </w:pPr>
      <w:r>
        <w:rPr>
          <w:sz w:val="24"/>
        </w:rPr>
        <w:t>September 2009</w:t>
      </w:r>
    </w:p>
    <w:p w:rsidR="00A86977" w:rsidRDefault="00A86977">
      <w:pPr>
        <w:pStyle w:val="PlainText"/>
        <w:widowControl/>
        <w:rPr>
          <w:sz w:val="24"/>
        </w:rPr>
      </w:pPr>
    </w:p>
    <w:p w:rsidR="00A86977" w:rsidRDefault="008726E3">
      <w:pPr>
        <w:pStyle w:val="PlainText"/>
        <w:widowControl/>
        <w:rPr>
          <w:sz w:val="24"/>
        </w:rPr>
      </w:pPr>
      <w:r>
        <w:rPr>
          <w:sz w:val="24"/>
        </w:rPr>
        <w:t xml:space="preserve">A. JUSTIFICATION </w:t>
      </w:r>
    </w:p>
    <w:p w:rsidR="00A86977" w:rsidRDefault="00A86977">
      <w:pPr>
        <w:pStyle w:val="PlainText"/>
        <w:widowControl/>
        <w:rPr>
          <w:sz w:val="24"/>
        </w:rPr>
      </w:pPr>
    </w:p>
    <w:p w:rsidR="00A86977" w:rsidRDefault="008726E3">
      <w:pPr>
        <w:pStyle w:val="PlainText"/>
        <w:widowControl/>
        <w:rPr>
          <w:sz w:val="24"/>
        </w:rPr>
      </w:pPr>
      <w:r>
        <w:rPr>
          <w:sz w:val="24"/>
        </w:rPr>
        <w:t>1.</w:t>
      </w:r>
      <w:r>
        <w:rPr>
          <w:sz w:val="24"/>
        </w:rPr>
        <w:tab/>
      </w:r>
      <w:r>
        <w:rPr>
          <w:sz w:val="24"/>
          <w:u w:val="single"/>
        </w:rPr>
        <w:t>Circumstances making information collection necessary.</w:t>
      </w:r>
    </w:p>
    <w:p w:rsidR="00A86977" w:rsidRDefault="00A86977">
      <w:pPr>
        <w:pStyle w:val="PlainText"/>
        <w:widowControl/>
        <w:rPr>
          <w:sz w:val="24"/>
        </w:rPr>
      </w:pPr>
    </w:p>
    <w:p w:rsidR="00A86977" w:rsidRDefault="008726E3">
      <w:pPr>
        <w:pStyle w:val="PlainText"/>
        <w:widowControl/>
        <w:rPr>
          <w:iCs/>
          <w:sz w:val="24"/>
        </w:rPr>
      </w:pPr>
      <w:r>
        <w:rPr>
          <w:sz w:val="24"/>
        </w:rPr>
        <w:tab/>
        <w:t xml:space="preserve">This is a request by the Department of Housing and Urban Development (HUD) for a revision of OMB approved data collection instruments (OMB Approval No. 2539-0008) for existing grant programs of the Office of Healthy Homes and Lead Hazard Control (OHHLHC).  The purpose of this revision is to include </w:t>
      </w:r>
      <w:r w:rsidR="007E4BA3">
        <w:rPr>
          <w:sz w:val="24"/>
        </w:rPr>
        <w:t xml:space="preserve">Federal </w:t>
      </w:r>
      <w:r w:rsidR="009841E6">
        <w:rPr>
          <w:sz w:val="24"/>
        </w:rPr>
        <w:t>Financial</w:t>
      </w:r>
      <w:r w:rsidR="007E4BA3">
        <w:rPr>
          <w:sz w:val="24"/>
        </w:rPr>
        <w:t xml:space="preserve"> Accountability and Transparency Act </w:t>
      </w:r>
      <w:r w:rsidR="00916E53">
        <w:rPr>
          <w:sz w:val="24"/>
        </w:rPr>
        <w:t xml:space="preserve">(FFATA, </w:t>
      </w:r>
      <w:r w:rsidR="00D31B98" w:rsidRPr="00D31B98">
        <w:rPr>
          <w:sz w:val="24"/>
          <w:szCs w:val="24"/>
        </w:rPr>
        <w:t xml:space="preserve">Public Law </w:t>
      </w:r>
      <w:r w:rsidR="00D31B98" w:rsidRPr="00D31B98">
        <w:rPr>
          <w:rFonts w:cs="Courier New"/>
          <w:color w:val="333333"/>
          <w:sz w:val="24"/>
          <w:szCs w:val="24"/>
        </w:rPr>
        <w:t>109-282</w:t>
      </w:r>
      <w:r w:rsidR="00916E53">
        <w:rPr>
          <w:rFonts w:cs="Courier New"/>
          <w:color w:val="333333"/>
          <w:sz w:val="24"/>
          <w:szCs w:val="24"/>
        </w:rPr>
        <w:t xml:space="preserve">), </w:t>
      </w:r>
      <w:r w:rsidR="007E4BA3">
        <w:rPr>
          <w:sz w:val="24"/>
        </w:rPr>
        <w:t>reporting requirements (currently imposed by the American Recovery and R</w:t>
      </w:r>
      <w:r w:rsidR="002E12AC">
        <w:rPr>
          <w:sz w:val="24"/>
        </w:rPr>
        <w:t>einvestment</w:t>
      </w:r>
      <w:r w:rsidR="007E4BA3">
        <w:rPr>
          <w:sz w:val="24"/>
        </w:rPr>
        <w:t xml:space="preserve"> Act </w:t>
      </w:r>
      <w:r w:rsidR="002E12AC">
        <w:rPr>
          <w:sz w:val="24"/>
        </w:rPr>
        <w:t>of 2009 (</w:t>
      </w:r>
      <w:r w:rsidR="009F5819">
        <w:rPr>
          <w:sz w:val="24"/>
        </w:rPr>
        <w:t xml:space="preserve">ARRA, </w:t>
      </w:r>
      <w:r w:rsidR="002E12AC">
        <w:rPr>
          <w:sz w:val="24"/>
        </w:rPr>
        <w:t>Public Law 111-5)</w:t>
      </w:r>
      <w:r w:rsidR="007E4BA3">
        <w:rPr>
          <w:sz w:val="24"/>
        </w:rPr>
        <w:t xml:space="preserve">in </w:t>
      </w:r>
      <w:r>
        <w:rPr>
          <w:sz w:val="24"/>
        </w:rPr>
        <w:t xml:space="preserve">quarterly performance reports for the Healthy Homes Demonstration, Healthy Homes Technical Studies, Lead </w:t>
      </w:r>
      <w:r w:rsidR="007E4BA3">
        <w:rPr>
          <w:sz w:val="24"/>
        </w:rPr>
        <w:t>Hazard Control</w:t>
      </w:r>
      <w:r>
        <w:rPr>
          <w:sz w:val="24"/>
        </w:rPr>
        <w:t xml:space="preserve">, Lead </w:t>
      </w:r>
      <w:r w:rsidR="007E4BA3">
        <w:rPr>
          <w:sz w:val="24"/>
        </w:rPr>
        <w:t>Hazard Reducti</w:t>
      </w:r>
      <w:r w:rsidR="00416D1A">
        <w:rPr>
          <w:sz w:val="24"/>
        </w:rPr>
        <w:t>o</w:t>
      </w:r>
      <w:r w:rsidR="007E4BA3">
        <w:rPr>
          <w:sz w:val="24"/>
        </w:rPr>
        <w:t>n Demonstration, Lead Hazard Control Capacity Building, and Green Healthy Housing Technical Studies</w:t>
      </w:r>
      <w:r>
        <w:rPr>
          <w:sz w:val="24"/>
        </w:rPr>
        <w:t xml:space="preserve"> grant programs, and updated quarterly performance reports for the Lead</w:t>
      </w:r>
      <w:r w:rsidR="002E12AC">
        <w:rPr>
          <w:sz w:val="24"/>
        </w:rPr>
        <w:t xml:space="preserve"> Technical Studies, Lead Outreach,</w:t>
      </w:r>
      <w:r>
        <w:rPr>
          <w:sz w:val="24"/>
        </w:rPr>
        <w:t xml:space="preserve"> and Lead </w:t>
      </w:r>
      <w:r w:rsidR="002E12AC">
        <w:rPr>
          <w:sz w:val="24"/>
        </w:rPr>
        <w:t>Elimination Action Program</w:t>
      </w:r>
      <w:r>
        <w:rPr>
          <w:sz w:val="24"/>
        </w:rPr>
        <w:t xml:space="preserve"> grant programs.  This revision will allow 100% of OHHLHC grantees to report their performance electronically using our web-based Quarterly Performance Reporting System.</w:t>
      </w:r>
    </w:p>
    <w:p w:rsidR="00A86977" w:rsidRDefault="00A86977">
      <w:pPr>
        <w:pStyle w:val="PlainText"/>
        <w:widowControl/>
        <w:rPr>
          <w:sz w:val="24"/>
        </w:rPr>
      </w:pPr>
    </w:p>
    <w:p w:rsidR="00A86977" w:rsidRPr="00416D1A" w:rsidRDefault="00D31B98">
      <w:pPr>
        <w:tabs>
          <w:tab w:val="left" w:pos="-720"/>
        </w:tabs>
        <w:suppressAutoHyphens/>
        <w:rPr>
          <w:rFonts w:ascii="Courier New" w:hAnsi="Courier New"/>
          <w:sz w:val="24"/>
        </w:rPr>
      </w:pPr>
      <w:r w:rsidRPr="00D31B98">
        <w:rPr>
          <w:rFonts w:ascii="Courier New" w:hAnsi="Courier New"/>
          <w:sz w:val="24"/>
        </w:rPr>
        <w:tab/>
        <w:t xml:space="preserve">Section 1011 of the Housing and Community Development Act of 1992 (Public Law 102-550) authorizes grant programs for State and local governments for the evaluation and reduction of lead-based paint hazards in privately owned housing built before 1978 and occupied by low-income families.  This program is a continuation of a similar program that was mandated by the HUD Appropriations Act of FY 1992.  Sections 1051 and 1052 of P.L. 102-550 require HUD to conduct research on developing improved methods for evaluating lead in paint and </w:t>
      </w:r>
      <w:proofErr w:type="spellStart"/>
      <w:r w:rsidRPr="00D31B98">
        <w:rPr>
          <w:rFonts w:ascii="Courier New" w:hAnsi="Courier New"/>
          <w:sz w:val="24"/>
        </w:rPr>
        <w:t>lead</w:t>
      </w:r>
      <w:r w:rsidRPr="00D31B98">
        <w:rPr>
          <w:rFonts w:ascii="Courier New" w:hAnsi="Courier New"/>
          <w:sz w:val="24"/>
        </w:rPr>
        <w:noBreakHyphen/>
        <w:t>based</w:t>
      </w:r>
      <w:proofErr w:type="spellEnd"/>
      <w:r w:rsidRPr="00D31B98">
        <w:rPr>
          <w:rFonts w:ascii="Courier New" w:hAnsi="Courier New"/>
          <w:sz w:val="24"/>
        </w:rPr>
        <w:t xml:space="preserve"> paint hazards in housing, and on controlling lead-based paint hazards and lead exposure from other sources.</w:t>
      </w:r>
    </w:p>
    <w:p w:rsidR="00A86977" w:rsidRDefault="00A86977">
      <w:pPr>
        <w:pStyle w:val="PlainText"/>
        <w:widowControl/>
        <w:rPr>
          <w:sz w:val="24"/>
        </w:rPr>
      </w:pPr>
    </w:p>
    <w:p w:rsidR="00A86977" w:rsidRDefault="008726E3">
      <w:pPr>
        <w:pStyle w:val="PlainText"/>
        <w:widowControl/>
        <w:rPr>
          <w:sz w:val="24"/>
        </w:rPr>
      </w:pPr>
      <w:r>
        <w:rPr>
          <w:sz w:val="24"/>
        </w:rPr>
        <w:t xml:space="preserve">     The authority for the Healthy Homes Initiative is sections 501 and 502 of the Housing and Urban Development Act of 1970</w:t>
      </w:r>
      <w:r>
        <w:rPr>
          <w:bCs/>
          <w:sz w:val="24"/>
        </w:rPr>
        <w:t>,</w:t>
      </w:r>
      <w:r>
        <w:rPr>
          <w:sz w:val="24"/>
        </w:rPr>
        <w:t xml:space="preserve"> and </w:t>
      </w:r>
      <w:r w:rsidR="00D31B98" w:rsidRPr="00D31B98">
        <w:rPr>
          <w:sz w:val="24"/>
        </w:rPr>
        <w:t>annual appropriations, most recently, the Omnibus Appropriations Act, 2009 (Pub. L. 111-8)</w:t>
      </w:r>
      <w:r>
        <w:rPr>
          <w:sz w:val="24"/>
        </w:rPr>
        <w:t xml:space="preserve">, 119 Stat. 2396, approved </w:t>
      </w:r>
      <w:smartTag w:uri="urn:schemas-microsoft-com:office:smarttags" w:element="date">
        <w:smartTagPr>
          <w:attr w:name="Year" w:val="2005"/>
          <w:attr w:name="Day" w:val="30"/>
          <w:attr w:name="Month" w:val="11"/>
          <w:attr w:name="ls" w:val="trans"/>
        </w:smartTagPr>
        <w:r>
          <w:rPr>
            <w:sz w:val="24"/>
          </w:rPr>
          <w:t>November 30, 2005</w:t>
        </w:r>
      </w:smartTag>
      <w:r>
        <w:rPr>
          <w:sz w:val="24"/>
        </w:rPr>
        <w:t>.)</w:t>
      </w:r>
    </w:p>
    <w:p w:rsidR="00954926" w:rsidRDefault="00954926">
      <w:pPr>
        <w:pStyle w:val="PlainText"/>
        <w:widowControl/>
        <w:rPr>
          <w:sz w:val="24"/>
        </w:rPr>
      </w:pPr>
    </w:p>
    <w:p w:rsidR="00954926" w:rsidRPr="00A532D7" w:rsidRDefault="00954926">
      <w:pPr>
        <w:pStyle w:val="PlainText"/>
        <w:widowControl/>
        <w:rPr>
          <w:rFonts w:cs="Courier New"/>
          <w:sz w:val="24"/>
          <w:szCs w:val="24"/>
        </w:rPr>
      </w:pPr>
    </w:p>
    <w:p w:rsidR="00A86977" w:rsidRDefault="00A86977">
      <w:pPr>
        <w:pStyle w:val="PlainText"/>
        <w:widowControl/>
        <w:rPr>
          <w:sz w:val="24"/>
        </w:rPr>
      </w:pPr>
    </w:p>
    <w:p w:rsidR="00A86977" w:rsidRDefault="008726E3">
      <w:pPr>
        <w:pStyle w:val="PlainText"/>
        <w:widowControl/>
        <w:rPr>
          <w:sz w:val="24"/>
        </w:rPr>
      </w:pPr>
      <w:r>
        <w:rPr>
          <w:sz w:val="24"/>
        </w:rPr>
        <w:tab/>
        <w:t xml:space="preserve">This data collection is designed to provide timely information to HUD on progress of the grantees on carrying out the Healthy Homes Demonstration, Healthy Homes Technical Studies Program, </w:t>
      </w:r>
      <w:r w:rsidR="00916E53">
        <w:rPr>
          <w:sz w:val="24"/>
        </w:rPr>
        <w:t xml:space="preserve">Green Healthy Housing Technical Studies Program, Lead Hazard Control Capacity Building, </w:t>
      </w:r>
      <w:r>
        <w:rPr>
          <w:sz w:val="24"/>
        </w:rPr>
        <w:t xml:space="preserve">Lead Hazard Control Program, Lead Hazard Reduction Demonstration, Lead Outreach Program, Lead Technical Studies, and Operation Lead Elimination Action Program (LEAP) and to provide the Congress with status reports as required by statute - Title X of the Housing and Community Development Act of 1992 (P.L. 102-550). </w:t>
      </w:r>
    </w:p>
    <w:p w:rsidR="00916E53" w:rsidRDefault="00916E53">
      <w:pPr>
        <w:pStyle w:val="PlainText"/>
        <w:widowControl/>
        <w:rPr>
          <w:sz w:val="24"/>
        </w:rPr>
      </w:pPr>
    </w:p>
    <w:p w:rsidR="00916E53" w:rsidRDefault="00916E53">
      <w:pPr>
        <w:pStyle w:val="PlainText"/>
        <w:widowControl/>
        <w:rPr>
          <w:sz w:val="24"/>
        </w:rPr>
      </w:pPr>
      <w:r>
        <w:rPr>
          <w:sz w:val="24"/>
        </w:rPr>
        <w:tab/>
        <w:t>Most of the FFATA reporting requirements are static information that is provided in forms required for the grant application phase (SF-424, SF-424-CBW, and HUD Form-96010 Logic Model). The information will simply be consolidated by HUD staff</w:t>
      </w:r>
      <w:r w:rsidR="001224DF">
        <w:rPr>
          <w:sz w:val="24"/>
        </w:rPr>
        <w:t xml:space="preserve"> </w:t>
      </w:r>
      <w:r>
        <w:rPr>
          <w:sz w:val="24"/>
        </w:rPr>
        <w:t>in the Grantee Information section of QPRS.</w:t>
      </w:r>
    </w:p>
    <w:p w:rsidR="00A86977" w:rsidRDefault="00A86977">
      <w:pPr>
        <w:pStyle w:val="PlainText"/>
        <w:widowControl/>
        <w:rPr>
          <w:sz w:val="24"/>
        </w:rPr>
      </w:pPr>
    </w:p>
    <w:p w:rsidR="00A86977" w:rsidRDefault="008726E3">
      <w:pPr>
        <w:pStyle w:val="PlainText"/>
        <w:widowControl/>
        <w:rPr>
          <w:sz w:val="24"/>
        </w:rPr>
      </w:pPr>
      <w:r>
        <w:rPr>
          <w:sz w:val="24"/>
        </w:rPr>
        <w:t xml:space="preserve">2.  </w:t>
      </w:r>
      <w:r>
        <w:rPr>
          <w:sz w:val="24"/>
        </w:rPr>
        <w:tab/>
      </w:r>
      <w:r>
        <w:rPr>
          <w:sz w:val="24"/>
          <w:u w:val="single"/>
        </w:rPr>
        <w:t>Uses of the data.</w:t>
      </w:r>
    </w:p>
    <w:p w:rsidR="00A86977" w:rsidRDefault="00A86977">
      <w:pPr>
        <w:pStyle w:val="PlainText"/>
        <w:widowControl/>
        <w:rPr>
          <w:sz w:val="24"/>
        </w:rPr>
      </w:pPr>
    </w:p>
    <w:p w:rsidR="00A86977" w:rsidRDefault="008726E3">
      <w:pPr>
        <w:pStyle w:val="PlainText"/>
        <w:widowControl/>
        <w:rPr>
          <w:iCs/>
          <w:sz w:val="24"/>
        </w:rPr>
      </w:pPr>
      <w:r>
        <w:rPr>
          <w:sz w:val="24"/>
        </w:rPr>
        <w:tab/>
        <w:t xml:space="preserve">The Department will use this information to report to Congress on the progress of lead hazard reduction work and to determine the relative cost and effectiveness of various kinds of treatments.  Data collected from the grantees are used to support HUD’s Strategic Goal objective of addressing housing conditions that threaten health.  </w:t>
      </w:r>
      <w:r>
        <w:rPr>
          <w:color w:val="000000"/>
          <w:sz w:val="24"/>
        </w:rPr>
        <w:t>In particular, data from lead grantees are used to identify t</w:t>
      </w:r>
      <w:r>
        <w:rPr>
          <w:sz w:val="24"/>
        </w:rPr>
        <w:t>he number of housing units made lead safe as a result of lead hazard control grant activities.  (For Fiscal Year 200</w:t>
      </w:r>
      <w:r w:rsidR="00416D1A">
        <w:rPr>
          <w:sz w:val="24"/>
        </w:rPr>
        <w:t>9</w:t>
      </w:r>
      <w:r>
        <w:rPr>
          <w:sz w:val="24"/>
        </w:rPr>
        <w:t xml:space="preserve">, the target is </w:t>
      </w:r>
      <w:r w:rsidR="00416D1A">
        <w:rPr>
          <w:sz w:val="24"/>
        </w:rPr>
        <w:t>11,800</w:t>
      </w:r>
      <w:r>
        <w:rPr>
          <w:sz w:val="24"/>
        </w:rPr>
        <w:t xml:space="preserve"> housing units.)  D</w:t>
      </w:r>
      <w:r>
        <w:rPr>
          <w:color w:val="000000"/>
          <w:sz w:val="24"/>
        </w:rPr>
        <w:t xml:space="preserve">ata from </w:t>
      </w:r>
      <w:r>
        <w:rPr>
          <w:sz w:val="24"/>
        </w:rPr>
        <w:t>healthy homes grantees are used to identify the number of housing units with reduced allergen (allergy-inducing substances) levels as a result of healthy homes interventions, a measure</w:t>
      </w:r>
      <w:r>
        <w:rPr>
          <w:color w:val="000000"/>
          <w:sz w:val="24"/>
        </w:rPr>
        <w:t xml:space="preserve"> associated with the reduction in asthmatic episodes of children in these units.  </w:t>
      </w:r>
      <w:r>
        <w:rPr>
          <w:sz w:val="24"/>
        </w:rPr>
        <w:t>(For Fiscal Year 200</w:t>
      </w:r>
      <w:r w:rsidR="00416D1A">
        <w:rPr>
          <w:sz w:val="24"/>
        </w:rPr>
        <w:t>9qq</w:t>
      </w:r>
      <w:r>
        <w:rPr>
          <w:sz w:val="24"/>
        </w:rPr>
        <w:t xml:space="preserve">, the target is </w:t>
      </w:r>
      <w:r w:rsidR="00FA56B0" w:rsidRPr="00FA56B0">
        <w:rPr>
          <w:sz w:val="24"/>
        </w:rPr>
        <w:t>880</w:t>
      </w:r>
      <w:r>
        <w:rPr>
          <w:sz w:val="24"/>
        </w:rPr>
        <w:t xml:space="preserve"> housing units.) </w:t>
      </w:r>
      <w:r>
        <w:rPr>
          <w:iCs/>
          <w:sz w:val="24"/>
        </w:rPr>
        <w:t>Additional data on the types, locations and costs of hazard evaluation and control activities are required in order to measure the cost-effectiveness of the grants.</w:t>
      </w:r>
    </w:p>
    <w:p w:rsidR="00A86977" w:rsidRDefault="00A86977">
      <w:pPr>
        <w:pStyle w:val="PlainText"/>
        <w:widowControl/>
        <w:rPr>
          <w:iCs/>
          <w:sz w:val="24"/>
        </w:rPr>
      </w:pPr>
    </w:p>
    <w:p w:rsidR="00A86977" w:rsidRDefault="008726E3">
      <w:pPr>
        <w:pStyle w:val="PlainText"/>
        <w:widowControl/>
        <w:rPr>
          <w:iCs/>
          <w:sz w:val="24"/>
        </w:rPr>
      </w:pPr>
      <w:r>
        <w:rPr>
          <w:iCs/>
          <w:sz w:val="24"/>
        </w:rPr>
        <w:tab/>
        <w:t>The data collection instruments for the several grant programs used a standardized approach for data collection across the programs, with the specific data collected tailored to program goals.</w:t>
      </w:r>
    </w:p>
    <w:p w:rsidR="00A86977" w:rsidRDefault="00A86977">
      <w:pPr>
        <w:pStyle w:val="PlainText"/>
        <w:widowControl/>
        <w:rPr>
          <w:sz w:val="24"/>
        </w:rPr>
      </w:pPr>
    </w:p>
    <w:p w:rsidR="00A86977" w:rsidRDefault="008726E3">
      <w:pPr>
        <w:pStyle w:val="PlainText"/>
        <w:widowControl/>
        <w:rPr>
          <w:sz w:val="24"/>
        </w:rPr>
      </w:pPr>
      <w:r>
        <w:rPr>
          <w:sz w:val="24"/>
        </w:rPr>
        <w:t xml:space="preserve">3. </w:t>
      </w:r>
      <w:r>
        <w:rPr>
          <w:sz w:val="24"/>
        </w:rPr>
        <w:tab/>
      </w:r>
      <w:r>
        <w:rPr>
          <w:sz w:val="24"/>
          <w:u w:val="single"/>
        </w:rPr>
        <w:t>Data automation.</w:t>
      </w:r>
    </w:p>
    <w:p w:rsidR="00A86977" w:rsidRDefault="00A86977">
      <w:pPr>
        <w:pStyle w:val="PlainText"/>
        <w:widowControl/>
        <w:rPr>
          <w:sz w:val="24"/>
        </w:rPr>
      </w:pPr>
    </w:p>
    <w:p w:rsidR="00A86977" w:rsidRDefault="008726E3">
      <w:pPr>
        <w:pStyle w:val="PlainText"/>
        <w:widowControl/>
        <w:rPr>
          <w:sz w:val="24"/>
        </w:rPr>
      </w:pPr>
      <w:r>
        <w:rPr>
          <w:sz w:val="24"/>
        </w:rPr>
        <w:t xml:space="preserve">     The data from all of the OHHLHC grantees </w:t>
      </w:r>
      <w:r w:rsidR="00FA56B0">
        <w:rPr>
          <w:sz w:val="24"/>
        </w:rPr>
        <w:t xml:space="preserve">is </w:t>
      </w:r>
      <w:r>
        <w:rPr>
          <w:sz w:val="24"/>
        </w:rPr>
        <w:t>collected through an on-line Quarterly Performance Reporting System (QPRS, pronounced "</w:t>
      </w:r>
      <w:proofErr w:type="spellStart"/>
      <w:r>
        <w:rPr>
          <w:sz w:val="24"/>
        </w:rPr>
        <w:t>Kyoo-purz</w:t>
      </w:r>
      <w:proofErr w:type="spellEnd"/>
      <w:r>
        <w:rPr>
          <w:sz w:val="24"/>
        </w:rPr>
        <w:t xml:space="preserve">"). QPRS allows the Office to report all grant performance for the annual performance plan targets more accurately than would manual or partially automated reporting.  The vast majority of the data will be collected in the field at grantee sites (or at the </w:t>
      </w:r>
      <w:proofErr w:type="gramStart"/>
      <w:r>
        <w:rPr>
          <w:sz w:val="24"/>
        </w:rPr>
        <w:t>grantee's</w:t>
      </w:r>
      <w:proofErr w:type="gramEnd"/>
      <w:r>
        <w:rPr>
          <w:sz w:val="24"/>
        </w:rPr>
        <w:t xml:space="preserve"> finance offices) and will be entered into electronic versions of the data collection forms.</w:t>
      </w:r>
    </w:p>
    <w:p w:rsidR="00A86977" w:rsidRDefault="00A86977">
      <w:pPr>
        <w:pStyle w:val="PlainText"/>
        <w:widowControl/>
        <w:rPr>
          <w:sz w:val="24"/>
        </w:rPr>
      </w:pPr>
    </w:p>
    <w:p w:rsidR="00A86977" w:rsidRDefault="008726E3">
      <w:pPr>
        <w:pStyle w:val="PlainText"/>
        <w:widowControl/>
        <w:rPr>
          <w:sz w:val="24"/>
        </w:rPr>
      </w:pPr>
      <w:r>
        <w:rPr>
          <w:sz w:val="24"/>
        </w:rPr>
        <w:tab/>
        <w:t>Grantees are provided a username, password, and instruction guide on how to access QPRS, and troubleshooting tips.  OHHLHC provides a Help Desk to assist grantees with accessing the system and entering data.</w:t>
      </w:r>
    </w:p>
    <w:p w:rsidR="00A86977" w:rsidRDefault="00A86977">
      <w:pPr>
        <w:pStyle w:val="PlainText"/>
        <w:widowControl/>
        <w:rPr>
          <w:sz w:val="24"/>
        </w:rPr>
      </w:pPr>
    </w:p>
    <w:p w:rsidR="00A86977" w:rsidRDefault="00BB7D89">
      <w:pPr>
        <w:pStyle w:val="PlainText"/>
        <w:widowControl/>
        <w:rPr>
          <w:sz w:val="24"/>
        </w:rPr>
      </w:pPr>
      <w:r>
        <w:rPr>
          <w:sz w:val="24"/>
        </w:rPr>
        <w:tab/>
      </w:r>
      <w:r w:rsidR="008726E3">
        <w:rPr>
          <w:sz w:val="24"/>
        </w:rPr>
        <w:t>See sample QPRS screen shots for the Lead-Based Paint Control Program, below.  These screen shots demonstrate the automated collection of housing units completed and cleared in a quarter by one grantee (Figure 1), and the automated calculation of quarterly and cumulative housing unit totals (Figure 2).  As noted in answer 2, above, these data are used as the performance indicator of housing made lead safe through HUD's lead hazard control grants, in HUD’s Strategic Goal objective of addressing housing conditions that threaten health.</w:t>
      </w:r>
    </w:p>
    <w:p w:rsidR="00A86977" w:rsidRDefault="00A86977">
      <w:pPr>
        <w:pStyle w:val="PlainText"/>
        <w:widowControl/>
        <w:rPr>
          <w:sz w:val="24"/>
        </w:rPr>
      </w:pPr>
    </w:p>
    <w:p w:rsidR="00A86977" w:rsidRDefault="008726E3">
      <w:pPr>
        <w:pStyle w:val="PlainText"/>
        <w:widowControl/>
        <w:rPr>
          <w:sz w:val="24"/>
        </w:rPr>
      </w:pPr>
      <w:r>
        <w:rPr>
          <w:sz w:val="24"/>
        </w:rPr>
        <w:t xml:space="preserve">4.  </w:t>
      </w:r>
      <w:r>
        <w:rPr>
          <w:sz w:val="24"/>
        </w:rPr>
        <w:tab/>
      </w:r>
      <w:r>
        <w:rPr>
          <w:sz w:val="24"/>
          <w:u w:val="single"/>
        </w:rPr>
        <w:t>Duplication.</w:t>
      </w:r>
    </w:p>
    <w:p w:rsidR="00A86977" w:rsidRDefault="00A86977">
      <w:pPr>
        <w:pStyle w:val="PlainText"/>
        <w:widowControl/>
        <w:rPr>
          <w:sz w:val="24"/>
        </w:rPr>
      </w:pPr>
    </w:p>
    <w:p w:rsidR="00A86977" w:rsidRDefault="008726E3">
      <w:pPr>
        <w:pStyle w:val="PlainText"/>
        <w:widowControl/>
        <w:ind w:firstLine="720"/>
        <w:rPr>
          <w:sz w:val="24"/>
        </w:rPr>
      </w:pPr>
      <w:r>
        <w:rPr>
          <w:sz w:val="24"/>
        </w:rPr>
        <w:t xml:space="preserve">OHHLHC grantees are providing performance data on progress toward meeting their established grant benchmarks and/or milestones.  This information collection effort does not duplicate any other effort and will not cause any information duplication. </w:t>
      </w:r>
    </w:p>
    <w:p w:rsidR="00A86977" w:rsidRDefault="00A86977">
      <w:pPr>
        <w:pStyle w:val="PlainText"/>
        <w:widowControl/>
        <w:rPr>
          <w:sz w:val="24"/>
        </w:rPr>
      </w:pPr>
    </w:p>
    <w:p w:rsidR="00A86977" w:rsidRDefault="008726E3">
      <w:pPr>
        <w:pStyle w:val="PlainText"/>
        <w:widowControl/>
        <w:rPr>
          <w:sz w:val="24"/>
        </w:rPr>
      </w:pPr>
      <w:r>
        <w:rPr>
          <w:sz w:val="24"/>
        </w:rPr>
        <w:t xml:space="preserve">5.  </w:t>
      </w:r>
      <w:r>
        <w:rPr>
          <w:sz w:val="24"/>
        </w:rPr>
        <w:tab/>
      </w:r>
      <w:r>
        <w:rPr>
          <w:sz w:val="24"/>
          <w:u w:val="single"/>
        </w:rPr>
        <w:t>Small businesses.</w:t>
      </w:r>
    </w:p>
    <w:p w:rsidR="00A86977" w:rsidRDefault="00A86977">
      <w:pPr>
        <w:pStyle w:val="PlainText"/>
        <w:widowControl/>
        <w:rPr>
          <w:sz w:val="24"/>
        </w:rPr>
      </w:pPr>
    </w:p>
    <w:p w:rsidR="00A86977" w:rsidRDefault="008726E3">
      <w:pPr>
        <w:pStyle w:val="BodyText2"/>
      </w:pPr>
      <w:r>
        <w:t xml:space="preserve">Small businesses (not-for-profit </w:t>
      </w:r>
      <w:proofErr w:type="gramStart"/>
      <w:r>
        <w:t>institutions,</w:t>
      </w:r>
      <w:proofErr w:type="gramEnd"/>
      <w:r>
        <w:t xml:space="preserve"> and for-profit firms who are not earning a profit or fee from the grant) may receive funding from five OHHLHC grant programs:  Lead Technical Studies, Operation LEAP, Lead Outreach, Healthy Homes Technical Studies, and Healthy Homes Demonstration grant programs.  These small businesses would be required to report to HUD on a quarterly basis, just as other OHHLHC grantees would.  As of </w:t>
      </w:r>
      <w:r w:rsidR="00AC66D7" w:rsidRPr="00AC66D7">
        <w:t>September 2009</w:t>
      </w:r>
      <w:r>
        <w:t xml:space="preserve">, </w:t>
      </w:r>
      <w:r w:rsidR="00AC66D7">
        <w:t>50</w:t>
      </w:r>
      <w:r>
        <w:t xml:space="preserve"> of the </w:t>
      </w:r>
      <w:r w:rsidR="00AC66D7">
        <w:t>384</w:t>
      </w:r>
      <w:r>
        <w:t xml:space="preserve"> active grants are to a total of </w:t>
      </w:r>
      <w:r w:rsidR="00AC66D7">
        <w:t>45</w:t>
      </w:r>
      <w:r>
        <w:t xml:space="preserve"> small businesses (three of these small business have two grants apiece</w:t>
      </w:r>
      <w:r w:rsidR="000D761A">
        <w:t>, and one has three grants</w:t>
      </w:r>
      <w:r>
        <w:t>).</w:t>
      </w:r>
    </w:p>
    <w:p w:rsidR="00A86977" w:rsidRDefault="00A86977">
      <w:pPr>
        <w:pStyle w:val="BodyText2"/>
      </w:pPr>
    </w:p>
    <w:p w:rsidR="00A86977" w:rsidRDefault="008726E3">
      <w:pPr>
        <w:pStyle w:val="BodyText2"/>
      </w:pPr>
      <w:r>
        <w:t>In order to reduce the burden on small businesses, the quarterly reporting is being conducted electronically using standardized forms, and, during the application phase, the NOFAs include comprehensive guidance, electronic forms, and ready-to-fill tables to facilitate submitting applications.  Grants.gov, used by HUD for grant submissions, provides a toll-free telephone help line at 800</w:t>
      </w:r>
      <w:r>
        <w:noBreakHyphen/>
        <w:t>518</w:t>
      </w:r>
      <w:r>
        <w:noBreakHyphen/>
        <w:t xml:space="preserve">GRANTS and support@grants.gov.  </w:t>
      </w:r>
      <w:r>
        <w:rPr>
          <w:szCs w:val="18"/>
        </w:rPr>
        <w:t xml:space="preserve">HUD operates its toll-free NOFA Information Center at 800-HUD–8929 and via teletype, at 800-HUD–2209.  The toll-free </w:t>
      </w:r>
      <w:r>
        <w:t xml:space="preserve">Federal Relay Service at </w:t>
      </w:r>
      <w:smartTag w:uri="urn:schemas-microsoft-com:office:smarttags" w:element="phone">
        <w:smartTagPr>
          <w:attr w:name="phonenumber" w:val="18008778339"/>
          <w:attr w:uri="urn:schemas-microsoft-com:office:office" w:name="ls" w:val="trans"/>
        </w:smartTagPr>
        <w:r>
          <w:t>1-800-877-8339</w:t>
        </w:r>
      </w:smartTag>
      <w:r>
        <w:t xml:space="preserve"> may also be used for teletype access</w:t>
      </w:r>
      <w:r w:rsidR="000D761A">
        <w:t xml:space="preserve"> by hearing- or speech-challenged individuals</w:t>
      </w:r>
      <w:r>
        <w:t>.  These contact points for assistance are included in the Department's SuperNOFA and individual program NOFAs.</w:t>
      </w:r>
    </w:p>
    <w:p w:rsidR="00A86977" w:rsidRDefault="00A86977">
      <w:pPr>
        <w:pStyle w:val="PlainText"/>
        <w:widowControl/>
        <w:ind w:firstLine="720"/>
        <w:rPr>
          <w:sz w:val="24"/>
        </w:rPr>
      </w:pPr>
    </w:p>
    <w:p w:rsidR="00A86977" w:rsidRDefault="008726E3">
      <w:pPr>
        <w:pStyle w:val="PlainText"/>
        <w:widowControl/>
        <w:rPr>
          <w:sz w:val="24"/>
        </w:rPr>
      </w:pPr>
      <w:r>
        <w:rPr>
          <w:sz w:val="24"/>
        </w:rPr>
        <w:t xml:space="preserve">6. </w:t>
      </w:r>
      <w:r>
        <w:rPr>
          <w:sz w:val="24"/>
        </w:rPr>
        <w:tab/>
      </w:r>
      <w:r>
        <w:rPr>
          <w:sz w:val="24"/>
          <w:u w:val="single"/>
        </w:rPr>
        <w:t>Federal Policy Notice.</w:t>
      </w:r>
    </w:p>
    <w:p w:rsidR="00A86977" w:rsidRDefault="00A86977">
      <w:pPr>
        <w:pStyle w:val="PlainText"/>
        <w:widowControl/>
        <w:rPr>
          <w:sz w:val="24"/>
        </w:rPr>
      </w:pPr>
    </w:p>
    <w:p w:rsidR="00A86977" w:rsidRDefault="008726E3">
      <w:pPr>
        <w:pStyle w:val="PlainText"/>
        <w:widowControl/>
        <w:ind w:firstLine="720"/>
        <w:rPr>
          <w:sz w:val="24"/>
        </w:rPr>
      </w:pPr>
      <w:r>
        <w:rPr>
          <w:sz w:val="24"/>
        </w:rPr>
        <w:t>If the requested information is not collected for the OHHLHC grant programs, HUD will not be able to evaluate the performance of OHHLHC grantees in achieving the Department's goal of addressing housing conditions that threaten health</w:t>
      </w:r>
      <w:r w:rsidR="009F5819">
        <w:rPr>
          <w:sz w:val="24"/>
        </w:rPr>
        <w:t xml:space="preserve"> and the enhanced monitoring requirements of </w:t>
      </w:r>
      <w:proofErr w:type="gramStart"/>
      <w:r w:rsidR="009F5819">
        <w:rPr>
          <w:sz w:val="24"/>
        </w:rPr>
        <w:t xml:space="preserve">ARRA </w:t>
      </w:r>
      <w:r>
        <w:rPr>
          <w:sz w:val="24"/>
        </w:rPr>
        <w:t>.</w:t>
      </w:r>
      <w:proofErr w:type="gramEnd"/>
      <w:r>
        <w:rPr>
          <w:sz w:val="24"/>
        </w:rPr>
        <w:t xml:space="preserve">  </w:t>
      </w:r>
    </w:p>
    <w:p w:rsidR="00A86977" w:rsidRDefault="00CD2B04">
      <w:pPr>
        <w:pStyle w:val="PlainText"/>
        <w:widowControl/>
        <w:ind w:firstLine="720"/>
        <w:rPr>
          <w:sz w:val="24"/>
        </w:rPr>
      </w:pPr>
      <w:r>
        <w:rPr>
          <w:sz w:val="24"/>
        </w:rPr>
        <w:t xml:space="preserve">             </w:t>
      </w:r>
    </w:p>
    <w:p w:rsidR="00A86977" w:rsidRDefault="008726E3">
      <w:pPr>
        <w:pStyle w:val="PlainText"/>
        <w:widowControl/>
        <w:ind w:firstLine="720"/>
        <w:rPr>
          <w:sz w:val="24"/>
        </w:rPr>
      </w:pPr>
      <w:r>
        <w:rPr>
          <w:sz w:val="24"/>
        </w:rPr>
        <w:t>In particular, if the proposed information is not collected for the lead programs, HUD will not be able to determine and make known the progress of the grantees in carrying out their responsibilities of reducing the exposure of young children to lead-based paint and other residential hazards.  In particular, not collecting data on lead evaluation and control activities will reduce the precision and accuracy of estimates of the effectiveness and relative cost of different strategies for reducing lead in house dust and blood of young children.</w:t>
      </w:r>
    </w:p>
    <w:p w:rsidR="00A86977" w:rsidRDefault="00A86977">
      <w:pPr>
        <w:spacing w:line="240" w:lineRule="atLeast"/>
        <w:rPr>
          <w:rFonts w:ascii="Courier New" w:hAnsi="Courier New"/>
        </w:rPr>
      </w:pPr>
    </w:p>
    <w:p w:rsidR="00A86977" w:rsidRPr="009F5819" w:rsidRDefault="008726E3">
      <w:pPr>
        <w:spacing w:line="240" w:lineRule="atLeast"/>
        <w:rPr>
          <w:rFonts w:ascii="Courier New" w:hAnsi="Courier New"/>
          <w:sz w:val="24"/>
          <w:szCs w:val="24"/>
        </w:rPr>
      </w:pPr>
      <w:r>
        <w:rPr>
          <w:rFonts w:ascii="Courier New" w:hAnsi="Courier New"/>
        </w:rPr>
        <w:tab/>
      </w:r>
      <w:r w:rsidR="00D31B98" w:rsidRPr="00D31B98">
        <w:rPr>
          <w:rFonts w:ascii="Courier New" w:hAnsi="Courier New"/>
          <w:sz w:val="24"/>
          <w:szCs w:val="24"/>
        </w:rPr>
        <w:t xml:space="preserve">In particular, if the proposed information is not collected for the Healthy Homes programs, HUD will not be able to determine and make known the progress of the grantees in reducing levels of allergens (mold and allergens from pests and/or pets) in residences and the corresponding reduction in asthma episodes of children living in these units that are constructed or rehabilitated using healthy homes principles.  The OHHLHC requires both pre-intervention and post-intervention data to quantity the change in allergen levels and reported asthma episodes. </w:t>
      </w:r>
    </w:p>
    <w:p w:rsidR="009F5819" w:rsidRPr="009F5819" w:rsidRDefault="009F5819">
      <w:pPr>
        <w:spacing w:line="240" w:lineRule="atLeast"/>
        <w:rPr>
          <w:rFonts w:ascii="Courier New" w:hAnsi="Courier New"/>
          <w:sz w:val="24"/>
          <w:szCs w:val="24"/>
        </w:rPr>
      </w:pPr>
    </w:p>
    <w:p w:rsidR="009F5819" w:rsidRPr="009F5819" w:rsidRDefault="00D31B98">
      <w:pPr>
        <w:spacing w:line="240" w:lineRule="atLeast"/>
        <w:rPr>
          <w:rFonts w:ascii="Courier New" w:hAnsi="Courier New"/>
          <w:sz w:val="24"/>
          <w:szCs w:val="24"/>
        </w:rPr>
      </w:pPr>
      <w:r w:rsidRPr="00D31B98">
        <w:rPr>
          <w:rFonts w:ascii="Courier New" w:hAnsi="Courier New"/>
          <w:sz w:val="24"/>
          <w:szCs w:val="24"/>
        </w:rPr>
        <w:tab/>
        <w:t xml:space="preserve">In particular, if the proposed information is not collected for the ARRA grants, HUD will not be able to report </w:t>
      </w:r>
      <w:r w:rsidR="009F5819">
        <w:rPr>
          <w:rFonts w:ascii="Courier New" w:hAnsi="Courier New"/>
          <w:sz w:val="24"/>
          <w:szCs w:val="24"/>
        </w:rPr>
        <w:t>on the information required by ARRA in a timely manner.</w:t>
      </w:r>
    </w:p>
    <w:p w:rsidR="00A86977" w:rsidRDefault="00A86977">
      <w:pPr>
        <w:spacing w:line="240" w:lineRule="atLeast"/>
        <w:rPr>
          <w:rFonts w:ascii="Courier New" w:hAnsi="Courier New"/>
        </w:rPr>
      </w:pPr>
    </w:p>
    <w:p w:rsidR="00A86977" w:rsidRDefault="008726E3">
      <w:pPr>
        <w:pStyle w:val="PlainText"/>
        <w:widowControl/>
        <w:rPr>
          <w:sz w:val="24"/>
        </w:rPr>
      </w:pPr>
      <w:r>
        <w:rPr>
          <w:sz w:val="24"/>
        </w:rPr>
        <w:t xml:space="preserve">7. </w:t>
      </w:r>
      <w:r>
        <w:rPr>
          <w:sz w:val="24"/>
        </w:rPr>
        <w:tab/>
      </w:r>
      <w:r>
        <w:rPr>
          <w:sz w:val="24"/>
          <w:u w:val="single"/>
        </w:rPr>
        <w:t>Special Circumstances.</w:t>
      </w:r>
    </w:p>
    <w:p w:rsidR="00A86977" w:rsidRDefault="00A86977">
      <w:pPr>
        <w:pStyle w:val="PlainText"/>
        <w:widowControl/>
        <w:rPr>
          <w:sz w:val="24"/>
        </w:rPr>
      </w:pPr>
    </w:p>
    <w:p w:rsidR="00A86977" w:rsidRDefault="008726E3">
      <w:pPr>
        <w:pStyle w:val="PlainText"/>
        <w:widowControl/>
        <w:rPr>
          <w:sz w:val="24"/>
        </w:rPr>
      </w:pPr>
      <w:r>
        <w:rPr>
          <w:sz w:val="24"/>
        </w:rPr>
        <w:tab/>
        <w:t xml:space="preserve">There are no special circumstances that would require the collection to be conducted in a manner inconsistent with the general information collection guidelines in 5 CFR 1320.6. </w:t>
      </w:r>
    </w:p>
    <w:p w:rsidR="00A86977" w:rsidRDefault="00A86977">
      <w:pPr>
        <w:pStyle w:val="PlainText"/>
        <w:widowControl/>
        <w:rPr>
          <w:sz w:val="24"/>
        </w:rPr>
      </w:pPr>
    </w:p>
    <w:p w:rsidR="00A86977" w:rsidRDefault="008726E3">
      <w:pPr>
        <w:pStyle w:val="PlainText"/>
        <w:widowControl/>
        <w:rPr>
          <w:sz w:val="24"/>
        </w:rPr>
      </w:pPr>
      <w:r>
        <w:rPr>
          <w:sz w:val="24"/>
        </w:rPr>
        <w:t xml:space="preserve">8. </w:t>
      </w:r>
      <w:r>
        <w:rPr>
          <w:sz w:val="24"/>
        </w:rPr>
        <w:tab/>
      </w:r>
      <w:r>
        <w:rPr>
          <w:sz w:val="24"/>
          <w:u w:val="single"/>
        </w:rPr>
        <w:t>Federal Register Notice.</w:t>
      </w:r>
    </w:p>
    <w:p w:rsidR="00A86977" w:rsidRDefault="00A86977">
      <w:pPr>
        <w:pStyle w:val="PlainText"/>
        <w:widowControl/>
        <w:rPr>
          <w:sz w:val="24"/>
        </w:rPr>
      </w:pPr>
    </w:p>
    <w:p w:rsidR="00A86977" w:rsidRDefault="008726E3">
      <w:pPr>
        <w:pStyle w:val="PlainText"/>
        <w:widowControl/>
        <w:rPr>
          <w:sz w:val="24"/>
        </w:rPr>
      </w:pPr>
      <w:r>
        <w:rPr>
          <w:sz w:val="24"/>
        </w:rPr>
        <w:tab/>
        <w:t>HUD published a notice (</w:t>
      </w:r>
      <w:r w:rsidR="009F5819">
        <w:rPr>
          <w:sz w:val="24"/>
        </w:rPr>
        <w:t xml:space="preserve">74 </w:t>
      </w:r>
      <w:r>
        <w:rPr>
          <w:i/>
          <w:iCs/>
          <w:sz w:val="24"/>
        </w:rPr>
        <w:t>Federal Register</w:t>
      </w:r>
      <w:r>
        <w:rPr>
          <w:sz w:val="24"/>
        </w:rPr>
        <w:t xml:space="preserve"> </w:t>
      </w:r>
      <w:r w:rsidR="009F5819">
        <w:rPr>
          <w:sz w:val="24"/>
        </w:rPr>
        <w:t>page</w:t>
      </w:r>
      <w:r w:rsidR="00C9565C">
        <w:rPr>
          <w:sz w:val="24"/>
        </w:rPr>
        <w:t xml:space="preserve"> </w:t>
      </w:r>
      <w:r w:rsidR="00C9565C" w:rsidRPr="00C9565C">
        <w:rPr>
          <w:sz w:val="24"/>
        </w:rPr>
        <w:t>36243</w:t>
      </w:r>
      <w:r>
        <w:rPr>
          <w:sz w:val="24"/>
        </w:rPr>
        <w:t xml:space="preserve">; </w:t>
      </w:r>
      <w:r w:rsidR="00C9565C">
        <w:rPr>
          <w:sz w:val="24"/>
        </w:rPr>
        <w:t>July 22</w:t>
      </w:r>
      <w:r>
        <w:rPr>
          <w:sz w:val="24"/>
        </w:rPr>
        <w:t xml:space="preserve">, </w:t>
      </w:r>
      <w:r w:rsidR="009F5819">
        <w:rPr>
          <w:sz w:val="24"/>
        </w:rPr>
        <w:t>2009</w:t>
      </w:r>
      <w:r>
        <w:rPr>
          <w:sz w:val="24"/>
        </w:rPr>
        <w:t xml:space="preserve">) soliciting public comment regarding this request to OMB to renew its approval of the revised data collection forms for the Office of Healthy Homes and Lead Hazard Control.  Comments </w:t>
      </w:r>
      <w:r w:rsidR="00C9565C">
        <w:rPr>
          <w:sz w:val="24"/>
        </w:rPr>
        <w:t>a</w:t>
      </w:r>
      <w:r>
        <w:rPr>
          <w:sz w:val="24"/>
        </w:rPr>
        <w:t xml:space="preserve">re due by </w:t>
      </w:r>
      <w:r w:rsidR="00C9565C">
        <w:rPr>
          <w:sz w:val="24"/>
        </w:rPr>
        <w:t>September 21</w:t>
      </w:r>
      <w:r>
        <w:rPr>
          <w:sz w:val="24"/>
        </w:rPr>
        <w:t xml:space="preserve">, </w:t>
      </w:r>
      <w:r w:rsidR="009F5819">
        <w:rPr>
          <w:sz w:val="24"/>
        </w:rPr>
        <w:t>2009</w:t>
      </w:r>
      <w:r>
        <w:rPr>
          <w:sz w:val="24"/>
        </w:rPr>
        <w:t xml:space="preserve">.  No comments </w:t>
      </w:r>
      <w:r w:rsidR="00C9565C">
        <w:rPr>
          <w:sz w:val="24"/>
        </w:rPr>
        <w:t xml:space="preserve">have been </w:t>
      </w:r>
      <w:r>
        <w:rPr>
          <w:sz w:val="24"/>
        </w:rPr>
        <w:t>received.</w:t>
      </w:r>
    </w:p>
    <w:p w:rsidR="00A86977" w:rsidRDefault="00A86977">
      <w:pPr>
        <w:pStyle w:val="PlainText"/>
        <w:widowControl/>
        <w:rPr>
          <w:sz w:val="24"/>
        </w:rPr>
      </w:pPr>
    </w:p>
    <w:p w:rsidR="00A86977" w:rsidRDefault="008726E3">
      <w:pPr>
        <w:pStyle w:val="PlainText"/>
        <w:widowControl/>
        <w:rPr>
          <w:sz w:val="24"/>
        </w:rPr>
      </w:pPr>
      <w:r>
        <w:rPr>
          <w:sz w:val="24"/>
        </w:rPr>
        <w:t>9.</w:t>
      </w:r>
      <w:r>
        <w:rPr>
          <w:sz w:val="24"/>
        </w:rPr>
        <w:tab/>
      </w:r>
      <w:r>
        <w:rPr>
          <w:sz w:val="24"/>
          <w:u w:val="single"/>
        </w:rPr>
        <w:t>Respondent remuneration.</w:t>
      </w:r>
    </w:p>
    <w:p w:rsidR="00A86977" w:rsidRDefault="00A86977">
      <w:pPr>
        <w:pStyle w:val="PlainText"/>
        <w:widowControl/>
        <w:rPr>
          <w:sz w:val="24"/>
        </w:rPr>
      </w:pPr>
    </w:p>
    <w:p w:rsidR="00A86977" w:rsidRDefault="008726E3">
      <w:pPr>
        <w:pStyle w:val="PlainText"/>
        <w:widowControl/>
        <w:rPr>
          <w:sz w:val="24"/>
        </w:rPr>
      </w:pPr>
      <w:r>
        <w:rPr>
          <w:sz w:val="24"/>
        </w:rPr>
        <w:tab/>
        <w:t>No payments or gifts are provided to respondents.</w:t>
      </w:r>
    </w:p>
    <w:p w:rsidR="00A86977" w:rsidRDefault="00A86977">
      <w:pPr>
        <w:pStyle w:val="PlainText"/>
        <w:widowControl/>
        <w:rPr>
          <w:sz w:val="24"/>
        </w:rPr>
      </w:pPr>
    </w:p>
    <w:p w:rsidR="00A86977" w:rsidRDefault="008726E3">
      <w:pPr>
        <w:pStyle w:val="PlainText"/>
        <w:widowControl/>
        <w:rPr>
          <w:sz w:val="24"/>
        </w:rPr>
      </w:pPr>
      <w:r>
        <w:rPr>
          <w:sz w:val="24"/>
        </w:rPr>
        <w:t xml:space="preserve">10.  </w:t>
      </w:r>
      <w:r>
        <w:rPr>
          <w:sz w:val="24"/>
          <w:u w:val="single"/>
        </w:rPr>
        <w:t>Confidentially.</w:t>
      </w:r>
    </w:p>
    <w:p w:rsidR="00A86977" w:rsidRDefault="00A86977">
      <w:pPr>
        <w:pStyle w:val="PlainText"/>
        <w:widowControl/>
        <w:rPr>
          <w:sz w:val="24"/>
        </w:rPr>
      </w:pPr>
    </w:p>
    <w:p w:rsidR="00A86977" w:rsidRDefault="008726E3">
      <w:pPr>
        <w:pStyle w:val="PlainText"/>
        <w:widowControl/>
        <w:rPr>
          <w:sz w:val="24"/>
        </w:rPr>
      </w:pPr>
      <w:r>
        <w:rPr>
          <w:sz w:val="24"/>
        </w:rPr>
        <w:tab/>
        <w:t>This collection does not require the collection or retention of confidential material.</w:t>
      </w:r>
    </w:p>
    <w:p w:rsidR="00A86977" w:rsidRDefault="00A86977">
      <w:pPr>
        <w:pStyle w:val="PlainText"/>
        <w:widowControl/>
        <w:rPr>
          <w:sz w:val="24"/>
        </w:rPr>
      </w:pPr>
    </w:p>
    <w:p w:rsidR="00A86977" w:rsidRDefault="008726E3">
      <w:pPr>
        <w:pStyle w:val="PlainText"/>
        <w:widowControl/>
        <w:rPr>
          <w:sz w:val="24"/>
        </w:rPr>
      </w:pPr>
      <w:r>
        <w:rPr>
          <w:sz w:val="24"/>
        </w:rPr>
        <w:t xml:space="preserve">11. </w:t>
      </w:r>
      <w:r>
        <w:rPr>
          <w:sz w:val="24"/>
        </w:rPr>
        <w:tab/>
      </w:r>
      <w:r>
        <w:rPr>
          <w:sz w:val="24"/>
          <w:u w:val="single"/>
        </w:rPr>
        <w:t>Sensitive questions.</w:t>
      </w:r>
    </w:p>
    <w:p w:rsidR="00A86977" w:rsidRDefault="00A86977">
      <w:pPr>
        <w:pStyle w:val="PlainText"/>
        <w:widowControl/>
        <w:rPr>
          <w:sz w:val="24"/>
        </w:rPr>
      </w:pPr>
    </w:p>
    <w:p w:rsidR="00A86977" w:rsidRDefault="008726E3">
      <w:pPr>
        <w:pStyle w:val="PlainText"/>
        <w:widowControl/>
        <w:rPr>
          <w:sz w:val="24"/>
        </w:rPr>
      </w:pPr>
      <w:r>
        <w:rPr>
          <w:sz w:val="24"/>
        </w:rPr>
        <w:tab/>
        <w:t xml:space="preserve">There are no sensitive questions being asked. </w:t>
      </w:r>
    </w:p>
    <w:p w:rsidR="00A86977" w:rsidRDefault="00A86977">
      <w:pPr>
        <w:pStyle w:val="PlainText"/>
        <w:widowControl/>
        <w:rPr>
          <w:sz w:val="24"/>
        </w:rPr>
      </w:pPr>
    </w:p>
    <w:p w:rsidR="00A86977" w:rsidRDefault="008726E3">
      <w:pPr>
        <w:pStyle w:val="PlainText"/>
        <w:widowControl/>
        <w:rPr>
          <w:sz w:val="24"/>
        </w:rPr>
      </w:pPr>
      <w:r>
        <w:rPr>
          <w:sz w:val="24"/>
        </w:rPr>
        <w:t>12.</w:t>
      </w:r>
      <w:r>
        <w:rPr>
          <w:sz w:val="24"/>
        </w:rPr>
        <w:tab/>
      </w:r>
      <w:r>
        <w:rPr>
          <w:sz w:val="24"/>
          <w:u w:val="single"/>
        </w:rPr>
        <w:t>Respondent burden.</w:t>
      </w:r>
    </w:p>
    <w:p w:rsidR="00A86977" w:rsidRDefault="00A86977">
      <w:pPr>
        <w:pStyle w:val="PlainText"/>
        <w:widowControl/>
        <w:rPr>
          <w:sz w:val="24"/>
        </w:rPr>
      </w:pPr>
    </w:p>
    <w:p w:rsidR="00A86977" w:rsidRDefault="008726E3">
      <w:pPr>
        <w:pStyle w:val="PlainText"/>
        <w:widowControl/>
        <w:rPr>
          <w:sz w:val="24"/>
        </w:rPr>
      </w:pPr>
      <w:r>
        <w:rPr>
          <w:sz w:val="24"/>
        </w:rPr>
        <w:t xml:space="preserve">Reporting Burden: </w:t>
      </w:r>
    </w:p>
    <w:p w:rsidR="00A86977" w:rsidRDefault="008726E3">
      <w:pPr>
        <w:pStyle w:val="PlainText"/>
        <w:widowControl/>
        <w:rPr>
          <w:sz w:val="24"/>
        </w:rPr>
      </w:pPr>
      <w:r>
        <w:rPr>
          <w:sz w:val="24"/>
        </w:rPr>
        <w:t>HUD 96006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54"/>
        <w:gridCol w:w="2454"/>
        <w:gridCol w:w="2455"/>
        <w:gridCol w:w="2455"/>
      </w:tblGrid>
      <w:tr w:rsidR="00A86977">
        <w:trPr>
          <w:cantSplit/>
        </w:trPr>
        <w:tc>
          <w:tcPr>
            <w:tcW w:w="2454" w:type="dxa"/>
            <w:tcBorders>
              <w:top w:val="single" w:sz="6" w:space="0" w:color="auto"/>
              <w:left w:val="single" w:sz="6" w:space="0" w:color="auto"/>
              <w:bottom w:val="single" w:sz="6" w:space="0" w:color="auto"/>
              <w:right w:val="single" w:sz="6" w:space="0" w:color="auto"/>
            </w:tcBorders>
          </w:tcPr>
          <w:p w:rsidR="00A86977" w:rsidRDefault="008726E3">
            <w:pPr>
              <w:pStyle w:val="PlainText"/>
              <w:keepNext/>
              <w:keepLines/>
              <w:widowControl/>
              <w:jc w:val="center"/>
              <w:rPr>
                <w:sz w:val="24"/>
              </w:rPr>
            </w:pPr>
            <w:r>
              <w:rPr>
                <w:sz w:val="24"/>
              </w:rPr>
              <w:t>Number of Responses</w:t>
            </w:r>
          </w:p>
        </w:tc>
        <w:tc>
          <w:tcPr>
            <w:tcW w:w="2454" w:type="dxa"/>
            <w:tcBorders>
              <w:top w:val="single" w:sz="6" w:space="0" w:color="auto"/>
              <w:left w:val="single" w:sz="6" w:space="0" w:color="auto"/>
              <w:bottom w:val="single" w:sz="6" w:space="0" w:color="auto"/>
              <w:right w:val="single" w:sz="6" w:space="0" w:color="auto"/>
            </w:tcBorders>
          </w:tcPr>
          <w:p w:rsidR="00A86977" w:rsidRDefault="008726E3">
            <w:pPr>
              <w:pStyle w:val="PlainText"/>
              <w:keepNext/>
              <w:keepLines/>
              <w:widowControl/>
              <w:jc w:val="center"/>
              <w:rPr>
                <w:sz w:val="24"/>
              </w:rPr>
            </w:pPr>
            <w:r>
              <w:rPr>
                <w:sz w:val="24"/>
              </w:rPr>
              <w:t>Frequency of Responses</w:t>
            </w:r>
          </w:p>
        </w:tc>
        <w:tc>
          <w:tcPr>
            <w:tcW w:w="2455" w:type="dxa"/>
            <w:tcBorders>
              <w:top w:val="single" w:sz="6" w:space="0" w:color="auto"/>
              <w:left w:val="single" w:sz="6" w:space="0" w:color="auto"/>
              <w:bottom w:val="single" w:sz="6" w:space="0" w:color="auto"/>
              <w:right w:val="single" w:sz="6" w:space="0" w:color="auto"/>
            </w:tcBorders>
          </w:tcPr>
          <w:p w:rsidR="00A86977" w:rsidRDefault="008726E3">
            <w:pPr>
              <w:pStyle w:val="PlainText"/>
              <w:keepNext/>
              <w:keepLines/>
              <w:widowControl/>
              <w:jc w:val="center"/>
              <w:rPr>
                <w:sz w:val="24"/>
              </w:rPr>
            </w:pPr>
            <w:r>
              <w:rPr>
                <w:sz w:val="24"/>
              </w:rPr>
              <w:t>Hours per Response</w:t>
            </w:r>
          </w:p>
        </w:tc>
        <w:tc>
          <w:tcPr>
            <w:tcW w:w="2455" w:type="dxa"/>
            <w:tcBorders>
              <w:top w:val="single" w:sz="6" w:space="0" w:color="auto"/>
              <w:left w:val="single" w:sz="6" w:space="0" w:color="auto"/>
              <w:bottom w:val="single" w:sz="6" w:space="0" w:color="auto"/>
              <w:right w:val="single" w:sz="6" w:space="0" w:color="auto"/>
            </w:tcBorders>
          </w:tcPr>
          <w:p w:rsidR="00A86977" w:rsidRDefault="008726E3">
            <w:pPr>
              <w:pStyle w:val="PlainText"/>
              <w:keepNext/>
              <w:keepLines/>
              <w:widowControl/>
              <w:jc w:val="center"/>
              <w:rPr>
                <w:sz w:val="24"/>
              </w:rPr>
            </w:pPr>
            <w:r>
              <w:rPr>
                <w:sz w:val="24"/>
              </w:rPr>
              <w:t>Burden Hours</w:t>
            </w:r>
          </w:p>
        </w:tc>
      </w:tr>
      <w:tr w:rsidR="00A86977">
        <w:trPr>
          <w:cantSplit/>
        </w:trPr>
        <w:tc>
          <w:tcPr>
            <w:tcW w:w="2454" w:type="dxa"/>
            <w:tcBorders>
              <w:top w:val="single" w:sz="6" w:space="0" w:color="auto"/>
              <w:left w:val="single" w:sz="6" w:space="0" w:color="auto"/>
              <w:bottom w:val="single" w:sz="6" w:space="0" w:color="auto"/>
              <w:right w:val="single" w:sz="6" w:space="0" w:color="auto"/>
            </w:tcBorders>
          </w:tcPr>
          <w:p w:rsidR="00A86977" w:rsidRDefault="009F5819">
            <w:pPr>
              <w:pStyle w:val="PlainText"/>
              <w:keepNext/>
              <w:keepLines/>
              <w:widowControl/>
              <w:jc w:val="center"/>
              <w:rPr>
                <w:sz w:val="24"/>
              </w:rPr>
            </w:pPr>
            <w:r>
              <w:rPr>
                <w:sz w:val="24"/>
              </w:rPr>
              <w:t>300</w:t>
            </w:r>
          </w:p>
        </w:tc>
        <w:tc>
          <w:tcPr>
            <w:tcW w:w="2454" w:type="dxa"/>
            <w:tcBorders>
              <w:top w:val="single" w:sz="6" w:space="0" w:color="auto"/>
              <w:left w:val="single" w:sz="6" w:space="0" w:color="auto"/>
              <w:bottom w:val="single" w:sz="6" w:space="0" w:color="auto"/>
              <w:right w:val="single" w:sz="6" w:space="0" w:color="auto"/>
            </w:tcBorders>
          </w:tcPr>
          <w:p w:rsidR="00A86977" w:rsidRDefault="008726E3">
            <w:pPr>
              <w:pStyle w:val="PlainText"/>
              <w:keepNext/>
              <w:keepLines/>
              <w:widowControl/>
              <w:jc w:val="center"/>
              <w:rPr>
                <w:sz w:val="24"/>
              </w:rPr>
            </w:pPr>
            <w:r>
              <w:rPr>
                <w:sz w:val="24"/>
              </w:rPr>
              <w:t>4</w:t>
            </w:r>
          </w:p>
        </w:tc>
        <w:tc>
          <w:tcPr>
            <w:tcW w:w="2455" w:type="dxa"/>
            <w:tcBorders>
              <w:top w:val="single" w:sz="6" w:space="0" w:color="auto"/>
              <w:left w:val="single" w:sz="6" w:space="0" w:color="auto"/>
              <w:bottom w:val="single" w:sz="6" w:space="0" w:color="auto"/>
              <w:right w:val="single" w:sz="6" w:space="0" w:color="auto"/>
            </w:tcBorders>
          </w:tcPr>
          <w:p w:rsidR="00A86977" w:rsidRDefault="009F5819">
            <w:pPr>
              <w:pStyle w:val="PlainText"/>
              <w:keepNext/>
              <w:keepLines/>
              <w:widowControl/>
              <w:jc w:val="center"/>
              <w:rPr>
                <w:sz w:val="24"/>
              </w:rPr>
            </w:pPr>
            <w:r>
              <w:rPr>
                <w:sz w:val="24"/>
              </w:rPr>
              <w:t>9</w:t>
            </w:r>
          </w:p>
        </w:tc>
        <w:tc>
          <w:tcPr>
            <w:tcW w:w="2455" w:type="dxa"/>
            <w:tcBorders>
              <w:top w:val="single" w:sz="6" w:space="0" w:color="auto"/>
              <w:left w:val="single" w:sz="6" w:space="0" w:color="auto"/>
              <w:bottom w:val="single" w:sz="6" w:space="0" w:color="auto"/>
              <w:right w:val="single" w:sz="6" w:space="0" w:color="auto"/>
            </w:tcBorders>
          </w:tcPr>
          <w:p w:rsidR="00A86977" w:rsidRDefault="009F5819">
            <w:pPr>
              <w:pStyle w:val="PlainText"/>
              <w:keepNext/>
              <w:keepLines/>
              <w:widowControl/>
              <w:jc w:val="center"/>
              <w:rPr>
                <w:sz w:val="24"/>
              </w:rPr>
            </w:pPr>
            <w:r>
              <w:rPr>
                <w:sz w:val="24"/>
              </w:rPr>
              <w:t>10,800</w:t>
            </w:r>
          </w:p>
        </w:tc>
      </w:tr>
    </w:tbl>
    <w:p w:rsidR="00A86977" w:rsidRDefault="00A86977">
      <w:pPr>
        <w:pStyle w:val="PlainText"/>
        <w:widowControl/>
        <w:rPr>
          <w:sz w:val="24"/>
        </w:rPr>
      </w:pPr>
      <w:bookmarkStart w:id="31" w:name="OLE_LINK1"/>
    </w:p>
    <w:p w:rsidR="00A86977" w:rsidRDefault="008726E3">
      <w:pPr>
        <w:pStyle w:val="PlainText"/>
        <w:widowControl/>
        <w:rPr>
          <w:sz w:val="24"/>
        </w:rPr>
      </w:pPr>
      <w:r>
        <w:rPr>
          <w:sz w:val="24"/>
        </w:rPr>
        <w:tab/>
        <w:t>The respondents' expenses will be covered by grant funds.</w:t>
      </w:r>
      <w:bookmarkEnd w:id="31"/>
      <w:r>
        <w:rPr>
          <w:sz w:val="24"/>
        </w:rPr>
        <w:t xml:space="preserve"> </w:t>
      </w:r>
    </w:p>
    <w:p w:rsidR="00A86977" w:rsidRDefault="00A86977">
      <w:pPr>
        <w:pStyle w:val="PlainText"/>
        <w:widowControl/>
        <w:rPr>
          <w:sz w:val="24"/>
        </w:rPr>
      </w:pPr>
    </w:p>
    <w:p w:rsidR="00A86977" w:rsidRDefault="008726E3">
      <w:pPr>
        <w:pStyle w:val="PlainText"/>
        <w:widowControl/>
        <w:rPr>
          <w:sz w:val="24"/>
        </w:rPr>
      </w:pPr>
      <w:r>
        <w:rPr>
          <w:sz w:val="24"/>
        </w:rPr>
        <w:t>13.</w:t>
      </w:r>
      <w:r>
        <w:rPr>
          <w:sz w:val="24"/>
        </w:rPr>
        <w:tab/>
      </w:r>
      <w:r>
        <w:rPr>
          <w:sz w:val="24"/>
          <w:u w:val="single"/>
        </w:rPr>
        <w:t>Cost burden to respondents.</w:t>
      </w:r>
    </w:p>
    <w:p w:rsidR="00A86977" w:rsidRDefault="00A86977">
      <w:pPr>
        <w:pStyle w:val="PlainText"/>
        <w:widowControl/>
        <w:rPr>
          <w:sz w:val="24"/>
        </w:rPr>
      </w:pPr>
    </w:p>
    <w:p w:rsidR="00A86977" w:rsidRDefault="008726E3">
      <w:pPr>
        <w:pStyle w:val="PlainText"/>
        <w:widowControl/>
        <w:rPr>
          <w:sz w:val="24"/>
        </w:rPr>
      </w:pPr>
      <w:r>
        <w:rPr>
          <w:sz w:val="24"/>
        </w:rPr>
        <w:tab/>
        <w:t xml:space="preserve">There are no other costs to the respondents (other than those shown in item 12 above).  </w:t>
      </w:r>
      <w:r>
        <w:rPr>
          <w:sz w:val="24"/>
        </w:rPr>
        <w:tab/>
      </w:r>
    </w:p>
    <w:p w:rsidR="00A86977" w:rsidRDefault="00A86977">
      <w:pPr>
        <w:pStyle w:val="PlainText"/>
        <w:widowControl/>
        <w:rPr>
          <w:sz w:val="24"/>
        </w:rPr>
      </w:pPr>
    </w:p>
    <w:p w:rsidR="00A86977" w:rsidRDefault="008726E3">
      <w:pPr>
        <w:pStyle w:val="PlainText"/>
        <w:widowControl/>
        <w:rPr>
          <w:sz w:val="24"/>
        </w:rPr>
      </w:pPr>
      <w:r>
        <w:rPr>
          <w:sz w:val="24"/>
        </w:rPr>
        <w:t xml:space="preserve">14.  </w:t>
      </w:r>
      <w:r>
        <w:rPr>
          <w:sz w:val="24"/>
          <w:u w:val="single"/>
        </w:rPr>
        <w:t xml:space="preserve">Annualized cost to the Federal government. </w:t>
      </w:r>
    </w:p>
    <w:p w:rsidR="00A86977" w:rsidRDefault="00A86977">
      <w:pPr>
        <w:pStyle w:val="PlainText"/>
        <w:widowControl/>
        <w:rPr>
          <w:sz w:val="24"/>
        </w:rPr>
      </w:pPr>
    </w:p>
    <w:p w:rsidR="00A86977" w:rsidRDefault="008726E3">
      <w:pPr>
        <w:pStyle w:val="Paperwork"/>
        <w:ind w:left="0" w:firstLine="0"/>
        <w:rPr>
          <w:rFonts w:ascii="Courier New" w:hAnsi="Courier New"/>
        </w:rPr>
      </w:pPr>
      <w:r>
        <w:rPr>
          <w:rFonts w:ascii="Courier New" w:hAnsi="Courier New"/>
        </w:rPr>
        <w:tab/>
        <w:t xml:space="preserve">Approximately </w:t>
      </w:r>
      <w:r w:rsidR="009F5819">
        <w:rPr>
          <w:rFonts w:ascii="Courier New" w:hAnsi="Courier New"/>
        </w:rPr>
        <w:t xml:space="preserve">300 </w:t>
      </w:r>
      <w:r>
        <w:rPr>
          <w:rFonts w:ascii="Courier New" w:hAnsi="Courier New"/>
        </w:rPr>
        <w:t>grantees respond via the electronic Quarterly Performance Reporting Systems four times a year. Each grantee quarterly report is reviewed by one Government Technical Representative (GTR; GS-13 equivalent, $</w:t>
      </w:r>
      <w:r w:rsidR="00050407" w:rsidRPr="00050407">
        <w:rPr>
          <w:rFonts w:ascii="Courier New" w:hAnsi="Courier New"/>
        </w:rPr>
        <w:t>41</w:t>
      </w:r>
      <w:r w:rsidR="00050407">
        <w:rPr>
          <w:rFonts w:ascii="Courier New" w:hAnsi="Courier New"/>
        </w:rPr>
        <w:t>.65</w:t>
      </w:r>
      <w:r>
        <w:rPr>
          <w:rFonts w:ascii="Courier New" w:hAnsi="Courier New"/>
        </w:rPr>
        <w:t xml:space="preserve"> per hour). Each quarterly report review requires approximately three labor hours. The annual cost to the Federal government for reviewing the reports is:</w:t>
      </w:r>
    </w:p>
    <w:p w:rsidR="00A86977" w:rsidRDefault="00A86977">
      <w:pPr>
        <w:pStyle w:val="PlainText"/>
        <w:widowControl/>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36"/>
        <w:gridCol w:w="1893"/>
        <w:gridCol w:w="1793"/>
        <w:gridCol w:w="2098"/>
        <w:gridCol w:w="2098"/>
      </w:tblGrid>
      <w:tr w:rsidR="00A86977">
        <w:tc>
          <w:tcPr>
            <w:tcW w:w="1936"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Number of Respondents</w:t>
            </w:r>
          </w:p>
        </w:tc>
        <w:tc>
          <w:tcPr>
            <w:tcW w:w="1893"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Review hours per quarterly report</w:t>
            </w:r>
          </w:p>
        </w:tc>
        <w:tc>
          <w:tcPr>
            <w:tcW w:w="1793"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GS–13 labor rate per hour</w:t>
            </w:r>
          </w:p>
        </w:tc>
        <w:tc>
          <w:tcPr>
            <w:tcW w:w="2098"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Number of quarters per year</w:t>
            </w:r>
          </w:p>
        </w:tc>
        <w:tc>
          <w:tcPr>
            <w:tcW w:w="2098"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Annual Cost to the Government</w:t>
            </w:r>
          </w:p>
        </w:tc>
      </w:tr>
      <w:tr w:rsidR="00A86977">
        <w:tc>
          <w:tcPr>
            <w:tcW w:w="1936" w:type="dxa"/>
            <w:tcBorders>
              <w:top w:val="single" w:sz="6" w:space="0" w:color="auto"/>
              <w:left w:val="single" w:sz="6" w:space="0" w:color="auto"/>
              <w:bottom w:val="single" w:sz="6" w:space="0" w:color="auto"/>
              <w:right w:val="single" w:sz="6" w:space="0" w:color="auto"/>
            </w:tcBorders>
          </w:tcPr>
          <w:p w:rsidR="00A86977" w:rsidRDefault="009F5819">
            <w:pPr>
              <w:pStyle w:val="PlainText"/>
              <w:widowControl/>
              <w:jc w:val="center"/>
              <w:rPr>
                <w:sz w:val="24"/>
              </w:rPr>
            </w:pPr>
            <w:r>
              <w:rPr>
                <w:sz w:val="24"/>
              </w:rPr>
              <w:t>300</w:t>
            </w:r>
          </w:p>
        </w:tc>
        <w:tc>
          <w:tcPr>
            <w:tcW w:w="1893"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3</w:t>
            </w:r>
          </w:p>
        </w:tc>
        <w:tc>
          <w:tcPr>
            <w:tcW w:w="1793"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$38.40</w:t>
            </w:r>
          </w:p>
        </w:tc>
        <w:tc>
          <w:tcPr>
            <w:tcW w:w="2098"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4</w:t>
            </w:r>
          </w:p>
        </w:tc>
        <w:tc>
          <w:tcPr>
            <w:tcW w:w="2098" w:type="dxa"/>
            <w:tcBorders>
              <w:top w:val="single" w:sz="6" w:space="0" w:color="auto"/>
              <w:left w:val="single" w:sz="6" w:space="0" w:color="auto"/>
              <w:bottom w:val="single" w:sz="6" w:space="0" w:color="auto"/>
              <w:right w:val="single" w:sz="6" w:space="0" w:color="auto"/>
            </w:tcBorders>
          </w:tcPr>
          <w:p w:rsidR="00A86977" w:rsidRDefault="008726E3">
            <w:pPr>
              <w:pStyle w:val="PlainText"/>
              <w:widowControl/>
              <w:jc w:val="center"/>
              <w:rPr>
                <w:sz w:val="24"/>
              </w:rPr>
            </w:pPr>
            <w:r>
              <w:rPr>
                <w:sz w:val="24"/>
              </w:rPr>
              <w:t>$117,504</w:t>
            </w:r>
          </w:p>
        </w:tc>
      </w:tr>
    </w:tbl>
    <w:p w:rsidR="00A86977" w:rsidRDefault="00A86977">
      <w:pPr>
        <w:pStyle w:val="PlainText"/>
        <w:widowControl/>
        <w:rPr>
          <w:sz w:val="24"/>
        </w:rPr>
      </w:pPr>
    </w:p>
    <w:p w:rsidR="00A86977" w:rsidRDefault="008726E3">
      <w:pPr>
        <w:pStyle w:val="PlainText"/>
        <w:widowControl/>
        <w:rPr>
          <w:sz w:val="24"/>
        </w:rPr>
      </w:pPr>
      <w:r>
        <w:rPr>
          <w:sz w:val="24"/>
        </w:rPr>
        <w:tab/>
        <w:t>The Federal cost has increased from previous years because of the increased number of grant programs covered, and the increased labor rate for the GS-13 grade level.</w:t>
      </w:r>
    </w:p>
    <w:p w:rsidR="00A86977" w:rsidRDefault="00A86977">
      <w:pPr>
        <w:pStyle w:val="PlainText"/>
        <w:widowControl/>
        <w:rPr>
          <w:sz w:val="24"/>
        </w:rPr>
      </w:pPr>
    </w:p>
    <w:p w:rsidR="00A86977" w:rsidRDefault="008726E3">
      <w:pPr>
        <w:pStyle w:val="PlainText"/>
        <w:widowControl/>
        <w:rPr>
          <w:sz w:val="24"/>
        </w:rPr>
      </w:pPr>
      <w:r>
        <w:rPr>
          <w:sz w:val="24"/>
        </w:rPr>
        <w:t>15.</w:t>
      </w:r>
      <w:r>
        <w:rPr>
          <w:sz w:val="24"/>
        </w:rPr>
        <w:tab/>
      </w:r>
      <w:r>
        <w:rPr>
          <w:sz w:val="24"/>
          <w:u w:val="single"/>
        </w:rPr>
        <w:t>Program Changes.</w:t>
      </w:r>
    </w:p>
    <w:p w:rsidR="00A86977" w:rsidRDefault="00A86977">
      <w:pPr>
        <w:pStyle w:val="PlainText"/>
        <w:widowControl/>
        <w:rPr>
          <w:sz w:val="24"/>
        </w:rPr>
      </w:pPr>
    </w:p>
    <w:p w:rsidR="00A86977" w:rsidRDefault="008726E3">
      <w:pPr>
        <w:pStyle w:val="Paperwork"/>
        <w:ind w:left="0" w:firstLine="0"/>
        <w:rPr>
          <w:rFonts w:ascii="Courier New" w:hAnsi="Courier New"/>
        </w:rPr>
      </w:pPr>
      <w:r>
        <w:rPr>
          <w:rFonts w:ascii="Courier New" w:hAnsi="Courier New"/>
        </w:rPr>
        <w:tab/>
        <w:t xml:space="preserve">The form has been changed to include quarterly performance reports for the </w:t>
      </w:r>
      <w:r w:rsidR="00EB4883">
        <w:rPr>
          <w:rFonts w:ascii="Courier New" w:hAnsi="Courier New"/>
        </w:rPr>
        <w:t>Green Healthy Housing Technical Studies and Lead Hazard Control Capacity Building grant programs</w:t>
      </w:r>
      <w:r w:rsidR="00C94B64">
        <w:rPr>
          <w:rFonts w:ascii="Courier New" w:hAnsi="Courier New"/>
        </w:rPr>
        <w:t>, in</w:t>
      </w:r>
      <w:r>
        <w:rPr>
          <w:rFonts w:ascii="Courier New" w:hAnsi="Courier New"/>
        </w:rPr>
        <w:t xml:space="preserve"> addition to updating the quarterly performance reports for the Lead-Based Paint Hazard Control, and Lead Hazard Reduction Demonstration</w:t>
      </w:r>
      <w:r w:rsidR="00EB4883">
        <w:rPr>
          <w:rFonts w:ascii="Courier New" w:hAnsi="Courier New"/>
        </w:rPr>
        <w:t>, Healthy Homes Initiative, Lead Technical Studies and Lead Outreach grant programs</w:t>
      </w:r>
      <w:r>
        <w:rPr>
          <w:rFonts w:ascii="Courier New" w:hAnsi="Courier New"/>
        </w:rPr>
        <w:t>.  This change increases the number of respondents.</w:t>
      </w:r>
    </w:p>
    <w:p w:rsidR="00A86977" w:rsidRDefault="00A86977">
      <w:pPr>
        <w:pStyle w:val="Paperwork"/>
        <w:ind w:left="0" w:firstLine="0"/>
        <w:rPr>
          <w:rFonts w:ascii="Courier New" w:hAnsi="Courier New"/>
        </w:rPr>
      </w:pPr>
    </w:p>
    <w:p w:rsidR="00A86977" w:rsidRDefault="008726E3">
      <w:pPr>
        <w:pStyle w:val="Paperwork"/>
        <w:ind w:left="0" w:firstLine="0"/>
        <w:rPr>
          <w:rFonts w:ascii="Courier New" w:hAnsi="Courier New"/>
        </w:rPr>
      </w:pPr>
      <w:r>
        <w:rPr>
          <w:rFonts w:ascii="Courier New" w:hAnsi="Courier New"/>
        </w:rPr>
        <w:tab/>
        <w:t>The total number of hours has increased, as indicated in Items 12 and 14, as a result of:</w:t>
      </w:r>
    </w:p>
    <w:p w:rsidR="00A86977" w:rsidRDefault="008726E3">
      <w:pPr>
        <w:pStyle w:val="Paperwork"/>
        <w:numPr>
          <w:ilvl w:val="0"/>
          <w:numId w:val="15"/>
        </w:numPr>
        <w:rPr>
          <w:rFonts w:ascii="Courier New" w:hAnsi="Courier New"/>
        </w:rPr>
      </w:pPr>
      <w:r>
        <w:rPr>
          <w:rFonts w:ascii="Courier New" w:hAnsi="Courier New"/>
        </w:rPr>
        <w:t xml:space="preserve">Increased number (from </w:t>
      </w:r>
      <w:r w:rsidR="00EB4883">
        <w:rPr>
          <w:rFonts w:ascii="Courier New" w:hAnsi="Courier New"/>
        </w:rPr>
        <w:t xml:space="preserve">255 </w:t>
      </w:r>
      <w:r>
        <w:rPr>
          <w:rFonts w:ascii="Courier New" w:hAnsi="Courier New"/>
        </w:rPr>
        <w:t xml:space="preserve">to </w:t>
      </w:r>
      <w:r w:rsidR="00EB4883">
        <w:rPr>
          <w:rFonts w:ascii="Courier New" w:hAnsi="Courier New"/>
        </w:rPr>
        <w:t>300</w:t>
      </w:r>
      <w:r>
        <w:rPr>
          <w:rFonts w:ascii="Courier New" w:hAnsi="Courier New"/>
        </w:rPr>
        <w:t>) of grantees reporting on-line;</w:t>
      </w:r>
    </w:p>
    <w:p w:rsidR="00A86977" w:rsidRDefault="008726E3">
      <w:pPr>
        <w:pStyle w:val="Paperwork"/>
        <w:numPr>
          <w:ilvl w:val="0"/>
          <w:numId w:val="15"/>
        </w:numPr>
        <w:rPr>
          <w:rFonts w:ascii="Courier New" w:hAnsi="Courier New"/>
        </w:rPr>
      </w:pPr>
      <w:r>
        <w:rPr>
          <w:rFonts w:ascii="Courier New" w:hAnsi="Courier New"/>
        </w:rPr>
        <w:t xml:space="preserve">Increased number (from </w:t>
      </w:r>
      <w:r w:rsidR="00EB4883">
        <w:rPr>
          <w:rFonts w:ascii="Courier New" w:hAnsi="Courier New"/>
        </w:rPr>
        <w:t xml:space="preserve">70 </w:t>
      </w:r>
      <w:r>
        <w:rPr>
          <w:rFonts w:ascii="Courier New" w:hAnsi="Courier New"/>
        </w:rPr>
        <w:t xml:space="preserve">to </w:t>
      </w:r>
      <w:r w:rsidR="00EB4883">
        <w:rPr>
          <w:rFonts w:ascii="Courier New" w:hAnsi="Courier New"/>
        </w:rPr>
        <w:t>100</w:t>
      </w:r>
      <w:r>
        <w:rPr>
          <w:rFonts w:ascii="Courier New" w:hAnsi="Courier New"/>
        </w:rPr>
        <w:t>) of grant awards;</w:t>
      </w:r>
    </w:p>
    <w:p w:rsidR="00EB4883" w:rsidRDefault="008726E3">
      <w:pPr>
        <w:pStyle w:val="Paperwork"/>
        <w:numPr>
          <w:ilvl w:val="0"/>
          <w:numId w:val="15"/>
        </w:numPr>
        <w:rPr>
          <w:rFonts w:ascii="Courier New" w:hAnsi="Courier New"/>
        </w:rPr>
      </w:pPr>
      <w:r>
        <w:rPr>
          <w:rFonts w:ascii="Courier New" w:hAnsi="Courier New"/>
        </w:rPr>
        <w:t xml:space="preserve">More precise description of grantee activities; </w:t>
      </w:r>
    </w:p>
    <w:p w:rsidR="00EB4883" w:rsidRDefault="00EB4883">
      <w:pPr>
        <w:pStyle w:val="Paperwork"/>
        <w:numPr>
          <w:ilvl w:val="0"/>
          <w:numId w:val="15"/>
        </w:numPr>
        <w:rPr>
          <w:rFonts w:ascii="Courier New" w:hAnsi="Courier New"/>
        </w:rPr>
      </w:pPr>
      <w:r>
        <w:rPr>
          <w:rFonts w:ascii="Courier New" w:hAnsi="Courier New"/>
        </w:rPr>
        <w:t>Consolidation of static information provided in the grant application process to improve transparency and accountability reporting;</w:t>
      </w:r>
    </w:p>
    <w:p w:rsidR="00A86977" w:rsidRDefault="00EB4883">
      <w:pPr>
        <w:pStyle w:val="Paperwork"/>
        <w:numPr>
          <w:ilvl w:val="0"/>
          <w:numId w:val="15"/>
        </w:numPr>
        <w:rPr>
          <w:rFonts w:ascii="Courier New" w:hAnsi="Courier New"/>
        </w:rPr>
      </w:pPr>
      <w:r>
        <w:rPr>
          <w:rFonts w:ascii="Courier New" w:hAnsi="Courier New"/>
        </w:rPr>
        <w:t xml:space="preserve">Additional information on job creation and income of people receiving government support; </w:t>
      </w:r>
      <w:r w:rsidR="008726E3">
        <w:rPr>
          <w:rFonts w:ascii="Courier New" w:hAnsi="Courier New"/>
        </w:rPr>
        <w:t>and</w:t>
      </w:r>
    </w:p>
    <w:p w:rsidR="00A86977" w:rsidRDefault="008726E3">
      <w:pPr>
        <w:pStyle w:val="Paperwork"/>
        <w:numPr>
          <w:ilvl w:val="0"/>
          <w:numId w:val="15"/>
        </w:numPr>
        <w:rPr>
          <w:rFonts w:ascii="Courier New" w:hAnsi="Courier New"/>
        </w:rPr>
      </w:pPr>
      <w:r>
        <w:rPr>
          <w:rFonts w:ascii="Courier New" w:hAnsi="Courier New"/>
        </w:rPr>
        <w:t>Improved estimates of time required to satisfy requirements.</w:t>
      </w:r>
    </w:p>
    <w:p w:rsidR="00A86977" w:rsidRDefault="00A86977">
      <w:pPr>
        <w:pStyle w:val="Paperwork"/>
        <w:rPr>
          <w:rFonts w:ascii="Courier New" w:hAnsi="Courier New"/>
        </w:rPr>
      </w:pPr>
    </w:p>
    <w:p w:rsidR="00A86977" w:rsidRDefault="00A86977">
      <w:pPr>
        <w:pStyle w:val="PlainText"/>
        <w:widowControl/>
        <w:rPr>
          <w:sz w:val="24"/>
        </w:rPr>
      </w:pPr>
    </w:p>
    <w:p w:rsidR="00A86977" w:rsidRDefault="008726E3">
      <w:pPr>
        <w:pStyle w:val="PlainText"/>
        <w:keepNext/>
        <w:keepLines/>
        <w:widowControl/>
        <w:rPr>
          <w:sz w:val="24"/>
        </w:rPr>
      </w:pPr>
      <w:r>
        <w:rPr>
          <w:sz w:val="24"/>
        </w:rPr>
        <w:t xml:space="preserve">16.  </w:t>
      </w:r>
      <w:r>
        <w:rPr>
          <w:sz w:val="24"/>
          <w:u w:val="single"/>
        </w:rPr>
        <w:t>Publication of information.</w:t>
      </w:r>
    </w:p>
    <w:p w:rsidR="00A86977" w:rsidRDefault="00A86977">
      <w:pPr>
        <w:pStyle w:val="PlainText"/>
        <w:keepNext/>
        <w:keepLines/>
        <w:widowControl/>
        <w:rPr>
          <w:sz w:val="24"/>
        </w:rPr>
      </w:pPr>
    </w:p>
    <w:p w:rsidR="00A86977" w:rsidRDefault="008726E3">
      <w:pPr>
        <w:pStyle w:val="PlainText"/>
        <w:widowControl/>
        <w:rPr>
          <w:sz w:val="24"/>
        </w:rPr>
      </w:pPr>
      <w:r>
        <w:rPr>
          <w:sz w:val="24"/>
        </w:rPr>
        <w:tab/>
        <w:t xml:space="preserve">The Office will use the data collected to evaluate grantee performance.  The Office will post a summary rating of grantee performance on a quarterly basis to its website, www.hud.gov/offices/lead.  Annually, the Office will use these data to perform an overall grant risk assessment </w:t>
      </w:r>
      <w:r>
        <w:rPr>
          <w:rFonts w:eastAsia="MS Mincho"/>
          <w:sz w:val="24"/>
        </w:rPr>
        <w:t xml:space="preserve">in accordance with </w:t>
      </w:r>
      <w:r>
        <w:rPr>
          <w:sz w:val="24"/>
        </w:rPr>
        <w:t>HUD grant monitoring requirements; this report will be available from the Office.</w:t>
      </w:r>
    </w:p>
    <w:p w:rsidR="00A86977" w:rsidRDefault="00A86977">
      <w:pPr>
        <w:pStyle w:val="PlainText"/>
        <w:widowControl/>
        <w:rPr>
          <w:sz w:val="24"/>
        </w:rPr>
      </w:pPr>
    </w:p>
    <w:p w:rsidR="00A86977" w:rsidRDefault="008726E3">
      <w:pPr>
        <w:pStyle w:val="PlainText"/>
        <w:widowControl/>
        <w:rPr>
          <w:sz w:val="24"/>
        </w:rPr>
      </w:pPr>
      <w:r>
        <w:rPr>
          <w:sz w:val="24"/>
        </w:rPr>
        <w:tab/>
        <w:t>The Office includes specific summary performance results in reporting results for its Management Plan, and as part of the Department's Annual Performance Plan.  These performance results include:</w:t>
      </w:r>
    </w:p>
    <w:p w:rsidR="00A86977" w:rsidRDefault="00A86977">
      <w:pPr>
        <w:pStyle w:val="PlainText"/>
        <w:widowControl/>
        <w:rPr>
          <w:sz w:val="24"/>
        </w:rPr>
      </w:pPr>
    </w:p>
    <w:p w:rsidR="00A86977" w:rsidRDefault="008726E3">
      <w:pPr>
        <w:pStyle w:val="PlainText"/>
        <w:widowControl/>
        <w:rPr>
          <w:sz w:val="24"/>
        </w:rPr>
      </w:pPr>
      <w:r>
        <w:rPr>
          <w:sz w:val="24"/>
        </w:rPr>
        <w:tab/>
        <w:t>-</w:t>
      </w:r>
      <w:r>
        <w:rPr>
          <w:sz w:val="24"/>
        </w:rPr>
        <w:tab/>
        <w:t xml:space="preserve">The number of housing units made lead safe as a result of lead hazard control grant activities; and </w:t>
      </w:r>
    </w:p>
    <w:p w:rsidR="00A86977" w:rsidRDefault="00A86977">
      <w:pPr>
        <w:pStyle w:val="PlainText"/>
        <w:widowControl/>
        <w:rPr>
          <w:sz w:val="24"/>
        </w:rPr>
      </w:pPr>
    </w:p>
    <w:p w:rsidR="00A86977" w:rsidRDefault="008726E3">
      <w:pPr>
        <w:pStyle w:val="PlainText"/>
        <w:widowControl/>
        <w:rPr>
          <w:sz w:val="24"/>
        </w:rPr>
      </w:pPr>
      <w:r>
        <w:rPr>
          <w:sz w:val="24"/>
        </w:rPr>
        <w:tab/>
        <w:t>-</w:t>
      </w:r>
      <w:r>
        <w:rPr>
          <w:sz w:val="24"/>
        </w:rPr>
        <w:tab/>
        <w:t>The number of housing units with reduced allergen (allergy-inducing substances) levels as a result of healthy homes interventions.</w:t>
      </w:r>
    </w:p>
    <w:p w:rsidR="00A86977" w:rsidRDefault="00A86977">
      <w:pPr>
        <w:pStyle w:val="PlainText"/>
        <w:widowControl/>
        <w:rPr>
          <w:sz w:val="24"/>
        </w:rPr>
      </w:pPr>
    </w:p>
    <w:p w:rsidR="00A86977" w:rsidRDefault="008726E3">
      <w:pPr>
        <w:pStyle w:val="PlainText"/>
        <w:widowControl/>
        <w:rPr>
          <w:sz w:val="24"/>
        </w:rPr>
      </w:pPr>
      <w:r>
        <w:rPr>
          <w:sz w:val="24"/>
        </w:rPr>
        <w:t xml:space="preserve">The results for each </w:t>
      </w:r>
      <w:r w:rsidR="00A231DB">
        <w:rPr>
          <w:sz w:val="24"/>
        </w:rPr>
        <w:t>grantee</w:t>
      </w:r>
      <w:r>
        <w:rPr>
          <w:sz w:val="24"/>
        </w:rPr>
        <w:t xml:space="preserve"> and the overall results for the grant portfolio will be made available to grantees, including state and local officials and other interested parties.  There are no plans at this time to publish these results in peer-reviewed technical journals.</w:t>
      </w:r>
    </w:p>
    <w:p w:rsidR="00A86977" w:rsidRDefault="00A86977">
      <w:pPr>
        <w:pStyle w:val="PlainText"/>
        <w:widowControl/>
        <w:rPr>
          <w:sz w:val="24"/>
        </w:rPr>
      </w:pPr>
    </w:p>
    <w:p w:rsidR="00A86977" w:rsidRDefault="008726E3">
      <w:pPr>
        <w:pStyle w:val="PlainText"/>
        <w:widowControl/>
        <w:rPr>
          <w:sz w:val="24"/>
        </w:rPr>
      </w:pPr>
      <w:r>
        <w:rPr>
          <w:sz w:val="24"/>
        </w:rPr>
        <w:t xml:space="preserve">     Healthy Homes Technical Studies grantees, Lead Technical Studies grantees, and sometimes other grantees, may publish results in peer-reviewed technical journals.  In addition, </w:t>
      </w:r>
      <w:proofErr w:type="gramStart"/>
      <w:r>
        <w:rPr>
          <w:sz w:val="24"/>
        </w:rPr>
        <w:t>Healthy Homes</w:t>
      </w:r>
      <w:proofErr w:type="gramEnd"/>
      <w:r>
        <w:rPr>
          <w:sz w:val="24"/>
        </w:rPr>
        <w:t xml:space="preserve"> grantees are providing programmatic results to HUD as a part of the evaluation of the Healthy Homes Program.</w:t>
      </w:r>
    </w:p>
    <w:p w:rsidR="00A86977" w:rsidRDefault="00A86977">
      <w:pPr>
        <w:pStyle w:val="PlainText"/>
        <w:widowControl/>
        <w:rPr>
          <w:sz w:val="24"/>
        </w:rPr>
      </w:pPr>
    </w:p>
    <w:p w:rsidR="00A86977" w:rsidRDefault="008726E3">
      <w:pPr>
        <w:pStyle w:val="PlainText"/>
        <w:widowControl/>
        <w:rPr>
          <w:sz w:val="24"/>
        </w:rPr>
      </w:pPr>
      <w:r>
        <w:rPr>
          <w:sz w:val="24"/>
        </w:rPr>
        <w:t>17.</w:t>
      </w:r>
      <w:r>
        <w:rPr>
          <w:sz w:val="24"/>
        </w:rPr>
        <w:tab/>
      </w:r>
      <w:r>
        <w:rPr>
          <w:sz w:val="24"/>
          <w:u w:val="single"/>
        </w:rPr>
        <w:t>Display of expiration date.</w:t>
      </w:r>
    </w:p>
    <w:p w:rsidR="00A86977" w:rsidRDefault="00A86977">
      <w:pPr>
        <w:pStyle w:val="PlainText"/>
        <w:widowControl/>
        <w:rPr>
          <w:sz w:val="24"/>
        </w:rPr>
      </w:pPr>
    </w:p>
    <w:p w:rsidR="00A86977" w:rsidRDefault="008726E3">
      <w:pPr>
        <w:pStyle w:val="PlainText"/>
        <w:widowControl/>
        <w:rPr>
          <w:sz w:val="24"/>
        </w:rPr>
      </w:pPr>
      <w:r>
        <w:rPr>
          <w:sz w:val="24"/>
        </w:rPr>
        <w:tab/>
        <w:t>The expiration date of the form will be displayed in the right footer.</w:t>
      </w:r>
    </w:p>
    <w:p w:rsidR="00A86977" w:rsidRDefault="00A86977">
      <w:pPr>
        <w:pStyle w:val="PlainText"/>
        <w:widowControl/>
        <w:rPr>
          <w:sz w:val="24"/>
        </w:rPr>
      </w:pPr>
    </w:p>
    <w:p w:rsidR="00A86977" w:rsidRDefault="008726E3">
      <w:pPr>
        <w:pStyle w:val="PlainText"/>
        <w:widowControl/>
        <w:rPr>
          <w:sz w:val="24"/>
          <w:u w:val="single"/>
        </w:rPr>
      </w:pPr>
      <w:r>
        <w:rPr>
          <w:sz w:val="24"/>
        </w:rPr>
        <w:t>18.</w:t>
      </w:r>
      <w:r>
        <w:rPr>
          <w:sz w:val="24"/>
        </w:rPr>
        <w:tab/>
      </w:r>
      <w:r>
        <w:rPr>
          <w:sz w:val="24"/>
          <w:u w:val="single"/>
        </w:rPr>
        <w:t>Exceptions to certification statement.</w:t>
      </w:r>
    </w:p>
    <w:p w:rsidR="00A86977" w:rsidRDefault="00A86977">
      <w:pPr>
        <w:pStyle w:val="PlainText"/>
        <w:widowControl/>
        <w:rPr>
          <w:sz w:val="24"/>
        </w:rPr>
      </w:pPr>
    </w:p>
    <w:p w:rsidR="00A86977" w:rsidRDefault="008726E3">
      <w:pPr>
        <w:pStyle w:val="PlainText"/>
        <w:widowControl/>
        <w:rPr>
          <w:sz w:val="24"/>
        </w:rPr>
      </w:pPr>
      <w:r>
        <w:rPr>
          <w:sz w:val="24"/>
        </w:rPr>
        <w:tab/>
        <w:t>There are no exceptions to the certification statement.</w:t>
      </w:r>
    </w:p>
    <w:p w:rsidR="00A86977" w:rsidRDefault="00A86977">
      <w:pPr>
        <w:pStyle w:val="PlainText"/>
        <w:widowControl/>
        <w:rPr>
          <w:sz w:val="24"/>
        </w:rPr>
      </w:pPr>
    </w:p>
    <w:p w:rsidR="00A86977" w:rsidRDefault="00A86977">
      <w:pPr>
        <w:pStyle w:val="PlainText"/>
        <w:widowControl/>
        <w:rPr>
          <w:sz w:val="24"/>
        </w:rPr>
        <w:sectPr w:rsidR="00A86977">
          <w:headerReference w:type="default" r:id="rId9"/>
          <w:footerReference w:type="default" r:id="rId10"/>
          <w:pgSz w:w="12240" w:h="15840"/>
          <w:pgMar w:top="1440" w:right="1325" w:bottom="1440" w:left="1325" w:header="720" w:footer="720" w:gutter="0"/>
          <w:cols w:space="720"/>
          <w:titlePg/>
        </w:sectPr>
      </w:pPr>
    </w:p>
    <w:p w:rsidR="00A86977" w:rsidRDefault="008726E3">
      <w:pPr>
        <w:pStyle w:val="PlainText"/>
        <w:widowControl/>
      </w:pPr>
      <w:proofErr w:type="gramStart"/>
      <w:r>
        <w:rPr>
          <w:sz w:val="24"/>
        </w:rPr>
        <w:t>Figure 1.</w:t>
      </w:r>
      <w:proofErr w:type="gramEnd"/>
      <w:r>
        <w:rPr>
          <w:sz w:val="24"/>
        </w:rPr>
        <w:t xml:space="preserve">  Quarterly Performance Reporting System (QPRS) screen shot for the automated collection of housing units completed and cleared in a quarter by one grantee under the Lead-Based Paint Control Program.</w:t>
      </w:r>
    </w:p>
    <w:p w:rsidR="00A86977" w:rsidRDefault="00A86977">
      <w:pPr>
        <w:pStyle w:val="PlainText"/>
        <w:widowControl/>
      </w:pPr>
    </w:p>
    <w:p w:rsidR="00A86977" w:rsidRDefault="00A86977">
      <w:pPr>
        <w:pStyle w:val="PlainText"/>
        <w:widowControl/>
      </w:pPr>
    </w:p>
    <w:p w:rsidR="00A86977" w:rsidRDefault="008726E3">
      <w:pPr>
        <w:pStyle w:val="PlainText"/>
        <w:widowControl/>
      </w:pPr>
      <w:r>
        <w:rPr>
          <w:noProof/>
        </w:rPr>
        <w:drawing>
          <wp:inline distT="0" distB="0" distL="0" distR="0">
            <wp:extent cx="8239125" cy="5219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239125" cy="5219700"/>
                    </a:xfrm>
                    <a:prstGeom prst="rect">
                      <a:avLst/>
                    </a:prstGeom>
                    <a:noFill/>
                    <a:ln w="9525">
                      <a:noFill/>
                      <a:miter lim="800000"/>
                      <a:headEnd/>
                      <a:tailEnd/>
                    </a:ln>
                  </pic:spPr>
                </pic:pic>
              </a:graphicData>
            </a:graphic>
          </wp:inline>
        </w:drawing>
      </w:r>
    </w:p>
    <w:p w:rsidR="00A86977" w:rsidRDefault="008726E3">
      <w:pPr>
        <w:pStyle w:val="PlainText"/>
        <w:widowControl/>
        <w:rPr>
          <w:sz w:val="24"/>
        </w:rPr>
      </w:pPr>
      <w:r>
        <w:br w:type="page"/>
      </w:r>
      <w:proofErr w:type="gramStart"/>
      <w:r>
        <w:rPr>
          <w:sz w:val="24"/>
        </w:rPr>
        <w:t>Figure 2.</w:t>
      </w:r>
      <w:proofErr w:type="gramEnd"/>
      <w:r>
        <w:rPr>
          <w:sz w:val="24"/>
        </w:rPr>
        <w:t xml:space="preserve">  Quarterly Performance Reporting System (QPRS) screen shot for the automated calculation of the quarterly and cumulative housing unit totals of housing units completed and cleared in a quarter by one grantee under the Lead-Based Paint Control Program.</w:t>
      </w:r>
    </w:p>
    <w:p w:rsidR="00A86977" w:rsidRDefault="00A86977">
      <w:pPr>
        <w:pStyle w:val="PlainText"/>
        <w:widowControl/>
        <w:rPr>
          <w:sz w:val="24"/>
        </w:rPr>
      </w:pPr>
    </w:p>
    <w:p w:rsidR="00A86977" w:rsidRDefault="00A86977">
      <w:pPr>
        <w:pStyle w:val="PlainText"/>
        <w:widowControl/>
      </w:pPr>
    </w:p>
    <w:p w:rsidR="00A86977" w:rsidRDefault="008726E3">
      <w:pPr>
        <w:pStyle w:val="PlainText"/>
        <w:widowControl/>
        <w:rPr>
          <w:sz w:val="24"/>
        </w:rPr>
      </w:pPr>
      <w:r>
        <w:rPr>
          <w:noProof/>
        </w:rPr>
        <w:drawing>
          <wp:inline distT="0" distB="0" distL="0" distR="0">
            <wp:extent cx="8239125" cy="47434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8239125" cy="4743450"/>
                    </a:xfrm>
                    <a:prstGeom prst="rect">
                      <a:avLst/>
                    </a:prstGeom>
                    <a:noFill/>
                    <a:ln w="9525">
                      <a:noFill/>
                      <a:miter lim="800000"/>
                      <a:headEnd/>
                      <a:tailEnd/>
                    </a:ln>
                  </pic:spPr>
                </pic:pic>
              </a:graphicData>
            </a:graphic>
          </wp:inline>
        </w:drawing>
      </w:r>
      <w:proofErr w:type="gramStart"/>
      <w:r>
        <w:t>p</w:t>
      </w:r>
      <w:proofErr w:type="gramEnd"/>
    </w:p>
    <w:p w:rsidR="00A86977" w:rsidRDefault="00A86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sectPr w:rsidR="00A86977" w:rsidSect="00A86977">
      <w:headerReference w:type="default" r:id="rId13"/>
      <w:footerReference w:type="default" r:id="rId14"/>
      <w:pgSz w:w="15840" w:h="12240" w:orient="landscape" w:code="1"/>
      <w:pgMar w:top="1325" w:right="1440" w:bottom="132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D7" w:rsidRDefault="00AC66D7">
      <w:r>
        <w:separator/>
      </w:r>
    </w:p>
  </w:endnote>
  <w:endnote w:type="continuationSeparator" w:id="0">
    <w:p w:rsidR="00AC66D7" w:rsidRDefault="00AC6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Footer"/>
      <w:tabs>
        <w:tab w:val="clear" w:pos="4320"/>
        <w:tab w:val="clear" w:pos="8640"/>
        <w:tab w:val="right" w:pos="10920"/>
      </w:tabs>
      <w:spacing w:line="120" w:lineRule="exact"/>
      <w:ind w:left="-120" w:right="-120"/>
      <w:rPr>
        <w:rFonts w:ascii="Helvetica" w:hAnsi="Helvetica"/>
        <w:b/>
        <w:sz w:val="18"/>
      </w:rPr>
    </w:pPr>
  </w:p>
  <w:p w:rsidR="00AC66D7" w:rsidRDefault="00AC66D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Footer"/>
      <w:tabs>
        <w:tab w:val="clear" w:pos="4320"/>
        <w:tab w:val="clear" w:pos="8640"/>
        <w:tab w:val="right" w:pos="10920"/>
      </w:tabs>
      <w:spacing w:line="120" w:lineRule="exact"/>
      <w:ind w:left="-120" w:right="-120"/>
      <w:rPr>
        <w:rFonts w:ascii="Helvetica" w:hAnsi="Helvetica"/>
        <w:b/>
        <w:sz w:val="18"/>
      </w:rPr>
    </w:pPr>
  </w:p>
  <w:tbl>
    <w:tblPr>
      <w:tblW w:w="0" w:type="auto"/>
      <w:tblLayout w:type="fixed"/>
      <w:tblLook w:val="0000"/>
    </w:tblPr>
    <w:tblGrid>
      <w:gridCol w:w="8388"/>
      <w:gridCol w:w="2628"/>
    </w:tblGrid>
    <w:tr w:rsidR="00AC66D7">
      <w:tc>
        <w:tcPr>
          <w:tcW w:w="8388" w:type="dxa"/>
          <w:tcBorders>
            <w:top w:val="single" w:sz="6" w:space="0" w:color="auto"/>
            <w:bottom w:val="single" w:sz="6" w:space="0" w:color="auto"/>
          </w:tcBorders>
        </w:tcPr>
        <w:p w:rsidR="00AC66D7" w:rsidRDefault="00AC66D7">
          <w:pPr>
            <w:tabs>
              <w:tab w:val="left" w:pos="240"/>
            </w:tabs>
            <w:rPr>
              <w:rFonts w:ascii="Helvetica" w:hAnsi="Helvetica"/>
              <w:sz w:val="16"/>
            </w:rPr>
          </w:pPr>
          <w:r>
            <w:rPr>
              <w:rFonts w:ascii="Helvetica" w:hAnsi="Helvetica"/>
              <w:sz w:val="16"/>
            </w:rPr>
            <w:t>Signature of Senior Officer or Designee:</w:t>
          </w:r>
        </w:p>
        <w:p w:rsidR="00AC66D7" w:rsidRDefault="00AC66D7">
          <w:pPr>
            <w:tabs>
              <w:tab w:val="left" w:pos="240"/>
            </w:tabs>
            <w:rPr>
              <w:rFonts w:ascii="Helvetica" w:hAnsi="Helvetica"/>
              <w:sz w:val="16"/>
            </w:rPr>
          </w:pPr>
        </w:p>
        <w:p w:rsidR="00AC66D7" w:rsidRDefault="00AC66D7">
          <w:pPr>
            <w:tabs>
              <w:tab w:val="left" w:pos="240"/>
            </w:tabs>
            <w:rPr>
              <w:rFonts w:ascii="Helvetica" w:hAnsi="Helvetica"/>
              <w:sz w:val="16"/>
            </w:rPr>
          </w:pPr>
        </w:p>
        <w:p w:rsidR="00AC66D7" w:rsidRDefault="00AC66D7">
          <w:pPr>
            <w:tabs>
              <w:tab w:val="left" w:pos="240"/>
            </w:tabs>
            <w:rPr>
              <w:rFonts w:ascii="Helvetica" w:hAnsi="Helvetica"/>
              <w:sz w:val="16"/>
            </w:rPr>
          </w:pPr>
        </w:p>
        <w:p w:rsidR="00AC66D7" w:rsidRDefault="00AC66D7">
          <w:pPr>
            <w:tabs>
              <w:tab w:val="left" w:pos="240"/>
            </w:tabs>
            <w:rPr>
              <w:rFonts w:ascii="Helvetica" w:hAnsi="Helvetica"/>
              <w:sz w:val="16"/>
            </w:rPr>
          </w:pPr>
          <w:r>
            <w:rPr>
              <w:rFonts w:ascii="Helvetica" w:hAnsi="Helvetica"/>
              <w:sz w:val="16"/>
            </w:rPr>
            <w:t>X</w:t>
          </w:r>
        </w:p>
        <w:p w:rsidR="00AC66D7" w:rsidRDefault="00AC66D7">
          <w:pPr>
            <w:tabs>
              <w:tab w:val="left" w:pos="240"/>
            </w:tabs>
            <w:rPr>
              <w:rFonts w:ascii="Helvetica" w:hAnsi="Helvetica"/>
              <w:sz w:val="16"/>
            </w:rPr>
          </w:pPr>
          <w:r>
            <w:rPr>
              <w:rFonts w:ascii="Helvetica" w:hAnsi="Helvetica"/>
              <w:sz w:val="16"/>
            </w:rPr>
            <w:t>Lillian L. Deitzer, Departmental Reports Management Officer</w:t>
          </w:r>
        </w:p>
        <w:p w:rsidR="00AC66D7" w:rsidRDefault="00AC66D7">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AC66D7" w:rsidRDefault="00AC66D7">
          <w:pPr>
            <w:tabs>
              <w:tab w:val="left" w:pos="240"/>
            </w:tabs>
            <w:rPr>
              <w:rFonts w:ascii="Helvetica" w:hAnsi="Helvetica"/>
              <w:sz w:val="16"/>
            </w:rPr>
          </w:pPr>
          <w:r>
            <w:rPr>
              <w:rFonts w:ascii="Helvetica" w:hAnsi="Helvetica"/>
              <w:sz w:val="16"/>
            </w:rPr>
            <w:t>Date:</w:t>
          </w:r>
        </w:p>
      </w:tc>
    </w:tr>
  </w:tbl>
  <w:p w:rsidR="00AC66D7" w:rsidRDefault="00AC66D7">
    <w:pPr>
      <w:pStyle w:val="Footer"/>
      <w:tabs>
        <w:tab w:val="clear" w:pos="4320"/>
        <w:tab w:val="clear" w:pos="8640"/>
        <w:tab w:val="right" w:pos="10920"/>
      </w:tabs>
      <w:ind w:left="-120" w:right="-120"/>
      <w:rPr>
        <w:rFonts w:ascii="Helvetica" w:hAnsi="Helvetica"/>
        <w:b/>
        <w:sz w:val="18"/>
      </w:rPr>
    </w:pPr>
  </w:p>
  <w:p w:rsidR="00AC66D7" w:rsidRDefault="00AC66D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D7" w:rsidRDefault="00AC66D7">
      <w:r>
        <w:separator/>
      </w:r>
    </w:p>
  </w:footnote>
  <w:footnote w:type="continuationSeparator" w:id="0">
    <w:p w:rsidR="00AC66D7" w:rsidRDefault="00AC6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Header"/>
      <w:rPr>
        <w:rFonts w:ascii="Times" w:hAnsi="Times"/>
        <w:sz w:val="24"/>
      </w:rPr>
    </w:pPr>
    <w:r>
      <w:rPr>
        <w:rFonts w:ascii="Times" w:hAnsi="Times"/>
        <w:sz w:val="24"/>
      </w:rPr>
      <w:t>Supporting statement for 2539-0008, HUD OHHLHC QPRS</w:t>
    </w:r>
    <w:r>
      <w:rPr>
        <w:rFonts w:ascii="Times" w:hAnsi="Times"/>
        <w:sz w:val="24"/>
      </w:rPr>
      <w:tab/>
      <w:t xml:space="preserve">- </w:t>
    </w:r>
    <w:r w:rsidR="00D31B98">
      <w:rPr>
        <w:rFonts w:ascii="Times" w:hAnsi="Times"/>
        <w:sz w:val="24"/>
      </w:rPr>
      <w:fldChar w:fldCharType="begin"/>
    </w:r>
    <w:r>
      <w:rPr>
        <w:rFonts w:ascii="Times" w:hAnsi="Times"/>
        <w:sz w:val="24"/>
      </w:rPr>
      <w:instrText xml:space="preserve"> PAGE </w:instrText>
    </w:r>
    <w:r w:rsidR="00D31B98">
      <w:rPr>
        <w:rFonts w:ascii="Times" w:hAnsi="Times"/>
        <w:sz w:val="24"/>
      </w:rPr>
      <w:fldChar w:fldCharType="separate"/>
    </w:r>
    <w:r w:rsidR="00C54A24">
      <w:rPr>
        <w:rFonts w:ascii="Times" w:hAnsi="Times"/>
        <w:noProof/>
        <w:sz w:val="24"/>
      </w:rPr>
      <w:t>9</w:t>
    </w:r>
    <w:r w:rsidR="00D31B98">
      <w:rPr>
        <w:rFonts w:ascii="Times" w:hAnsi="Times"/>
        <w:sz w:val="24"/>
      </w:rPr>
      <w:fldChar w:fldCharType="end"/>
    </w:r>
    <w:r>
      <w:rPr>
        <w:rFonts w:ascii="Times" w:hAnsi="Times"/>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D7" w:rsidRDefault="00AC66D7">
    <w:pPr>
      <w:pStyle w:val="Header"/>
      <w:rPr>
        <w:rFonts w:ascii="Times" w:hAnsi="Times"/>
        <w:sz w:val="24"/>
      </w:rPr>
    </w:pPr>
    <w:r>
      <w:rPr>
        <w:rFonts w:ascii="Times" w:hAnsi="Times"/>
        <w:sz w:val="24"/>
      </w:rPr>
      <w:t>Supporting statement for 2539-0008, HUD OHHLHC QPRS</w:t>
    </w:r>
    <w:r>
      <w:rPr>
        <w:rFonts w:ascii="Times" w:hAnsi="Times"/>
        <w:sz w:val="24"/>
      </w:rPr>
      <w:tab/>
    </w:r>
    <w:r>
      <w:rPr>
        <w:rFonts w:ascii="Times" w:hAnsi="Times"/>
        <w:sz w:val="24"/>
      </w:rPr>
      <w:tab/>
    </w:r>
    <w:r>
      <w:rPr>
        <w:rFonts w:ascii="Times" w:hAnsi="Times"/>
        <w:sz w:val="24"/>
      </w:rPr>
      <w:tab/>
    </w:r>
    <w:r>
      <w:rPr>
        <w:rFonts w:ascii="Times" w:hAnsi="Times"/>
        <w:sz w:val="24"/>
      </w:rPr>
      <w:tab/>
    </w:r>
    <w:r>
      <w:rPr>
        <w:rFonts w:ascii="Times" w:hAnsi="Times"/>
        <w:sz w:val="24"/>
      </w:rPr>
      <w:tab/>
    </w:r>
    <w:r>
      <w:rPr>
        <w:rFonts w:ascii="Times" w:hAnsi="Times"/>
        <w:sz w:val="24"/>
      </w:rPr>
      <w:tab/>
      <w:t xml:space="preserve">- </w:t>
    </w:r>
    <w:r w:rsidR="00D31B98">
      <w:rPr>
        <w:rFonts w:ascii="Times" w:hAnsi="Times"/>
        <w:sz w:val="24"/>
      </w:rPr>
      <w:fldChar w:fldCharType="begin"/>
    </w:r>
    <w:r>
      <w:rPr>
        <w:rFonts w:ascii="Times" w:hAnsi="Times"/>
        <w:sz w:val="24"/>
      </w:rPr>
      <w:instrText xml:space="preserve"> PAGE </w:instrText>
    </w:r>
    <w:r w:rsidR="00D31B98">
      <w:rPr>
        <w:rFonts w:ascii="Times" w:hAnsi="Times"/>
        <w:sz w:val="24"/>
      </w:rPr>
      <w:fldChar w:fldCharType="separate"/>
    </w:r>
    <w:r w:rsidR="00C54A24">
      <w:rPr>
        <w:rFonts w:ascii="Times" w:hAnsi="Times"/>
        <w:noProof/>
        <w:sz w:val="24"/>
      </w:rPr>
      <w:t>11</w:t>
    </w:r>
    <w:r w:rsidR="00D31B98">
      <w:rPr>
        <w:rFonts w:ascii="Times" w:hAnsi="Times"/>
        <w:sz w:val="24"/>
      </w:rPr>
      <w:fldChar w:fldCharType="end"/>
    </w:r>
    <w:r>
      <w:rPr>
        <w:rFonts w:ascii="Times" w:hAnsi="Times"/>
        <w:sz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revisionView w:markup="0" w:comments="0" w:insDel="0" w:formatting="0" w:inkAnnotation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54926"/>
    <w:rsid w:val="000028BB"/>
    <w:rsid w:val="00050407"/>
    <w:rsid w:val="000D761A"/>
    <w:rsid w:val="001224DF"/>
    <w:rsid w:val="001A18C4"/>
    <w:rsid w:val="001D58FD"/>
    <w:rsid w:val="002E12AC"/>
    <w:rsid w:val="003B61D1"/>
    <w:rsid w:val="00416D1A"/>
    <w:rsid w:val="005D2349"/>
    <w:rsid w:val="006441C6"/>
    <w:rsid w:val="007E4BA3"/>
    <w:rsid w:val="00811A40"/>
    <w:rsid w:val="008726E3"/>
    <w:rsid w:val="00916E53"/>
    <w:rsid w:val="0093510E"/>
    <w:rsid w:val="00954926"/>
    <w:rsid w:val="009841E6"/>
    <w:rsid w:val="009F5819"/>
    <w:rsid w:val="00A231DB"/>
    <w:rsid w:val="00A2378D"/>
    <w:rsid w:val="00A532D7"/>
    <w:rsid w:val="00A86977"/>
    <w:rsid w:val="00AC66D7"/>
    <w:rsid w:val="00BB7D89"/>
    <w:rsid w:val="00C54A24"/>
    <w:rsid w:val="00C94B64"/>
    <w:rsid w:val="00C9565C"/>
    <w:rsid w:val="00CD2B04"/>
    <w:rsid w:val="00CD3155"/>
    <w:rsid w:val="00D31B98"/>
    <w:rsid w:val="00EB4883"/>
    <w:rsid w:val="00F018CE"/>
    <w:rsid w:val="00F27D19"/>
    <w:rsid w:val="00FA5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7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86977"/>
    <w:pPr>
      <w:tabs>
        <w:tab w:val="center" w:pos="4320"/>
        <w:tab w:val="right" w:pos="8640"/>
      </w:tabs>
    </w:pPr>
  </w:style>
  <w:style w:type="paragraph" w:styleId="Footer">
    <w:name w:val="footer"/>
    <w:basedOn w:val="Normal"/>
    <w:semiHidden/>
    <w:rsid w:val="00A86977"/>
    <w:pPr>
      <w:tabs>
        <w:tab w:val="center" w:pos="4320"/>
        <w:tab w:val="right" w:pos="8640"/>
      </w:tabs>
    </w:pPr>
  </w:style>
  <w:style w:type="paragraph" w:styleId="PlainText">
    <w:name w:val="Plain Text"/>
    <w:basedOn w:val="Normal"/>
    <w:semiHidden/>
    <w:rsid w:val="00A86977"/>
    <w:pPr>
      <w:widowControl w:val="0"/>
    </w:pPr>
    <w:rPr>
      <w:rFonts w:ascii="Courier New" w:hAnsi="Courier New"/>
    </w:rPr>
  </w:style>
  <w:style w:type="paragraph" w:styleId="BodyText2">
    <w:name w:val="Body Text 2"/>
    <w:basedOn w:val="Normal"/>
    <w:semiHidden/>
    <w:rsid w:val="00A86977"/>
    <w:pPr>
      <w:spacing w:line="240" w:lineRule="atLeast"/>
      <w:ind w:firstLine="720"/>
    </w:pPr>
    <w:rPr>
      <w:rFonts w:ascii="Courier New" w:hAnsi="Courier New"/>
      <w:sz w:val="24"/>
    </w:rPr>
  </w:style>
  <w:style w:type="paragraph" w:customStyle="1" w:styleId="Paperwork">
    <w:name w:val="Paperwork"/>
    <w:basedOn w:val="Normal"/>
    <w:rsid w:val="00A86977"/>
    <w:pPr>
      <w:ind w:left="720" w:hanging="720"/>
    </w:pPr>
    <w:rPr>
      <w:sz w:val="24"/>
    </w:rPr>
  </w:style>
  <w:style w:type="paragraph" w:styleId="Title">
    <w:name w:val="Title"/>
    <w:basedOn w:val="Normal"/>
    <w:qFormat/>
    <w:rsid w:val="00A86977"/>
    <w:pPr>
      <w:jc w:val="center"/>
    </w:pPr>
    <w:rPr>
      <w:rFonts w:ascii="Helvetica" w:hAnsi="Helvetica"/>
      <w:b/>
      <w:sz w:val="28"/>
    </w:rPr>
  </w:style>
  <w:style w:type="paragraph" w:styleId="BalloonText">
    <w:name w:val="Balloon Text"/>
    <w:basedOn w:val="Normal"/>
    <w:link w:val="BalloonTextChar"/>
    <w:uiPriority w:val="99"/>
    <w:semiHidden/>
    <w:unhideWhenUsed/>
    <w:rsid w:val="002E12AC"/>
    <w:rPr>
      <w:rFonts w:ascii="Tahoma" w:hAnsi="Tahoma" w:cs="Tahoma"/>
      <w:sz w:val="16"/>
      <w:szCs w:val="16"/>
    </w:rPr>
  </w:style>
  <w:style w:type="character" w:customStyle="1" w:styleId="BalloonTextChar">
    <w:name w:val="Balloon Text Char"/>
    <w:basedOn w:val="DefaultParagraphFont"/>
    <w:link w:val="BalloonText"/>
    <w:uiPriority w:val="99"/>
    <w:semiHidden/>
    <w:rsid w:val="002E1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178619">
      <w:bodyDiv w:val="1"/>
      <w:marLeft w:val="0"/>
      <w:marRight w:val="0"/>
      <w:marTop w:val="0"/>
      <w:marBottom w:val="0"/>
      <w:divBdr>
        <w:top w:val="none" w:sz="0" w:space="0" w:color="auto"/>
        <w:left w:val="none" w:sz="0" w:space="0" w:color="auto"/>
        <w:bottom w:val="none" w:sz="0" w:space="0" w:color="auto"/>
        <w:right w:val="none" w:sz="0" w:space="0" w:color="auto"/>
      </w:divBdr>
    </w:div>
    <w:div w:id="10622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3117</Words>
  <Characters>17772</Characters>
  <Application>Microsoft Office Word</Application>
  <DocSecurity>2</DocSecurity>
  <Lines>148</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h15356</cp:lastModifiedBy>
  <cp:revision>8</cp:revision>
  <cp:lastPrinted>2006-07-13T16:08:00Z</cp:lastPrinted>
  <dcterms:created xsi:type="dcterms:W3CDTF">2009-09-16T22:06:00Z</dcterms:created>
  <dcterms:modified xsi:type="dcterms:W3CDTF">2009-09-17T13:45:00Z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-1859696740</vt:i4>
  </property>
  <property fmtid="{D5CDD505-2E9C-101B-9397-08002B2CF9AE}" pid="3" name="_NewReviewCycle">
    <vt:lpwstr/>
  </property>
  <property fmtid="{D5CDD505-2E9C-101B-9397-08002B2CF9AE}" pid="4" name="_EmailSubject">
    <vt:lpwstr>Public reporting statement: QPRS Information Collection 2539-0008</vt:lpwstr>
  </property>
  <property fmtid="{D5CDD505-2E9C-101B-9397-08002B2CF9AE}" pid="5" name="_AuthorEmail">
    <vt:lpwstr>Robert.F.Weisberg@hud.gov</vt:lpwstr>
  </property>
  <property fmtid="{D5CDD505-2E9C-101B-9397-08002B2CF9AE}" pid="6" name="_AuthorEmailDisplayName">
    <vt:lpwstr>Weisberg, Robert F</vt:lpwstr>
  </property>
  <property fmtid="{D5CDD505-2E9C-101B-9397-08002B2CF9AE}" pid="7" name="_ReviewingToolsShownOnce">
    <vt:lpwstr/>
  </property>
</Properties>
</file>