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E30374" w:rsidRDefault="000E7D57" w:rsidP="00F54ECB">
      <w:pPr>
        <w:widowControl/>
        <w:jc w:val="center"/>
        <w:rPr>
          <w:rFonts w:ascii="Times New Roman" w:hAnsi="Times New Roman"/>
          <w:b/>
        </w:rPr>
      </w:pPr>
      <w:r w:rsidRPr="00E30374">
        <w:rPr>
          <w:rFonts w:ascii="Times New Roman" w:hAnsi="Times New Roman"/>
          <w:b/>
        </w:rPr>
        <w:t>Supporting Statement for</w:t>
      </w:r>
    </w:p>
    <w:p w:rsidR="000E7D57" w:rsidRPr="00E30374" w:rsidRDefault="000E7D57" w:rsidP="00F54ECB">
      <w:pPr>
        <w:widowControl/>
        <w:jc w:val="center"/>
        <w:rPr>
          <w:rFonts w:ascii="Times New Roman" w:hAnsi="Times New Roman"/>
          <w:b/>
        </w:rPr>
      </w:pPr>
      <w:r w:rsidRPr="00E30374">
        <w:rPr>
          <w:rFonts w:ascii="Times New Roman" w:hAnsi="Times New Roman"/>
          <w:b/>
        </w:rPr>
        <w:t xml:space="preserve">the </w:t>
      </w:r>
      <w:r w:rsidR="006956DF">
        <w:rPr>
          <w:rFonts w:ascii="Times New Roman" w:hAnsi="Times New Roman"/>
          <w:b/>
        </w:rPr>
        <w:t xml:space="preserve">Consolidated </w:t>
      </w:r>
      <w:r w:rsidRPr="00E30374">
        <w:rPr>
          <w:rFonts w:ascii="Times New Roman" w:hAnsi="Times New Roman"/>
          <w:b/>
        </w:rPr>
        <w:t>Reports of Condition and Income</w:t>
      </w:r>
    </w:p>
    <w:p w:rsidR="000E7D57" w:rsidRPr="00E30374" w:rsidRDefault="000E7D57" w:rsidP="00F54ECB">
      <w:pPr>
        <w:widowControl/>
        <w:jc w:val="center"/>
        <w:rPr>
          <w:rFonts w:ascii="Times New Roman" w:hAnsi="Times New Roman"/>
        </w:rPr>
      </w:pPr>
      <w:r w:rsidRPr="00E30374">
        <w:rPr>
          <w:rFonts w:ascii="Times New Roman" w:hAnsi="Times New Roman"/>
          <w:b/>
        </w:rPr>
        <w:t>(FFIEC 031 and 041; OMB No. 7100-0036)</w:t>
      </w:r>
    </w:p>
    <w:p w:rsidR="000E7D57" w:rsidRPr="00E30374" w:rsidRDefault="000E7D57" w:rsidP="00F54ECB">
      <w:pPr>
        <w:widowControl/>
        <w:rPr>
          <w:rFonts w:ascii="Times New Roman" w:hAnsi="Times New Roman"/>
        </w:rPr>
      </w:pPr>
    </w:p>
    <w:p w:rsidR="000E7D57" w:rsidRPr="00E30374" w:rsidRDefault="00E30374" w:rsidP="00F54ECB">
      <w:pPr>
        <w:widowControl/>
        <w:rPr>
          <w:rFonts w:ascii="Times New Roman" w:hAnsi="Times New Roman"/>
        </w:rPr>
      </w:pPr>
      <w:r w:rsidRPr="00E30374">
        <w:rPr>
          <w:rFonts w:ascii="Times New Roman" w:hAnsi="Times New Roman"/>
          <w:b/>
        </w:rPr>
        <w:t>Summary</w:t>
      </w:r>
    </w:p>
    <w:p w:rsidR="000E7D57" w:rsidRPr="00E30374" w:rsidRDefault="000E7D57" w:rsidP="00F54ECB">
      <w:pPr>
        <w:widowControl/>
        <w:rPr>
          <w:rFonts w:ascii="Times New Roman" w:hAnsi="Times New Roman"/>
        </w:rPr>
      </w:pPr>
    </w:p>
    <w:p w:rsidR="000E7D57" w:rsidRPr="00E30374" w:rsidRDefault="000E7D57" w:rsidP="00F54ECB">
      <w:pPr>
        <w:pStyle w:val="BodyTextIndent3"/>
        <w:widowControl/>
        <w:jc w:val="both"/>
        <w:rPr>
          <w:rFonts w:ascii="Times New Roman" w:hAnsi="Times New Roman"/>
        </w:rPr>
      </w:pPr>
      <w:r w:rsidRPr="00E30374">
        <w:rPr>
          <w:rFonts w:ascii="Times New Roman" w:hAnsi="Times New Roman"/>
        </w:rPr>
        <w:t xml:space="preserve">The Board of Governors of the Federal Reserve System (Board) requests approval from the Office of Management and Budget (OMB) to </w:t>
      </w:r>
      <w:r w:rsidR="00972C3E">
        <w:rPr>
          <w:rFonts w:ascii="Times New Roman" w:hAnsi="Times New Roman"/>
        </w:rPr>
        <w:t>revise</w:t>
      </w:r>
      <w:r w:rsidRPr="00E30374">
        <w:rPr>
          <w:rFonts w:ascii="Times New Roman" w:hAnsi="Times New Roman"/>
        </w:rPr>
        <w:t xml:space="preserve"> the Federal Financial Institutions Examination Council (FFIEC) Consolidated Reports of Condition and Income (Call Reports) (FFIEC 031</w:t>
      </w:r>
      <w:r w:rsidR="002F769E">
        <w:rPr>
          <w:rFonts w:ascii="Times New Roman" w:hAnsi="Times New Roman"/>
        </w:rPr>
        <w:t xml:space="preserve"> </w:t>
      </w:r>
      <w:r w:rsidR="00992C88">
        <w:rPr>
          <w:rFonts w:ascii="Times New Roman" w:hAnsi="Times New Roman"/>
        </w:rPr>
        <w:t>and 0</w:t>
      </w:r>
      <w:r w:rsidRPr="00E30374">
        <w:rPr>
          <w:rFonts w:ascii="Times New Roman" w:hAnsi="Times New Roman"/>
        </w:rPr>
        <w:t>4</w:t>
      </w:r>
      <w:r w:rsidR="00992C88">
        <w:rPr>
          <w:rFonts w:ascii="Times New Roman" w:hAnsi="Times New Roman"/>
        </w:rPr>
        <w:t>1</w:t>
      </w:r>
      <w:r w:rsidRPr="00E30374">
        <w:rPr>
          <w:rFonts w:ascii="Times New Roman" w:hAnsi="Times New Roman"/>
        </w:rPr>
        <w:t xml:space="preserve">; OMB No. 7100-0036).  These </w:t>
      </w:r>
      <w:r w:rsidR="006504B4">
        <w:rPr>
          <w:rFonts w:ascii="Times New Roman" w:hAnsi="Times New Roman"/>
        </w:rPr>
        <w:t>data</w:t>
      </w:r>
      <w:r w:rsidR="006504B4" w:rsidRPr="00E30374">
        <w:rPr>
          <w:rFonts w:ascii="Times New Roman" w:hAnsi="Times New Roman"/>
        </w:rPr>
        <w:t xml:space="preserve"> </w:t>
      </w:r>
      <w:r w:rsidRPr="00E30374">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 and the Office of the Comptroller of the Currency (OCC) have also submitted a similar request for OMB review in order to request this information from banks under their supervision.</w:t>
      </w:r>
    </w:p>
    <w:p w:rsidR="000E7D57" w:rsidRPr="00E30374" w:rsidRDefault="000E7D57" w:rsidP="00F54ECB">
      <w:pPr>
        <w:widowControl/>
        <w:rPr>
          <w:rFonts w:ascii="Times New Roman" w:hAnsi="Times New Roman"/>
        </w:rPr>
      </w:pPr>
    </w:p>
    <w:p w:rsidR="00F207CA" w:rsidRDefault="000E7D57" w:rsidP="0073413A">
      <w:pPr>
        <w:widowControl/>
        <w:tabs>
          <w:tab w:val="left" w:pos="0"/>
        </w:tabs>
        <w:ind w:firstLine="720"/>
        <w:jc w:val="both"/>
        <w:rPr>
          <w:rFonts w:ascii="Times New Roman" w:hAnsi="Times New Roman"/>
        </w:rPr>
      </w:pPr>
      <w:r w:rsidRPr="00E30374">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The current annual burden for the Call Reports is estimated to be </w:t>
      </w:r>
      <w:r w:rsidR="00E070A9">
        <w:rPr>
          <w:rFonts w:ascii="Times New Roman" w:hAnsi="Times New Roman"/>
        </w:rPr>
        <w:t>18</w:t>
      </w:r>
      <w:r w:rsidR="00FB0DA8">
        <w:rPr>
          <w:rFonts w:ascii="Times New Roman" w:hAnsi="Times New Roman"/>
        </w:rPr>
        <w:t>3,841</w:t>
      </w:r>
      <w:r w:rsidRPr="00E30374">
        <w:rPr>
          <w:rFonts w:ascii="Times New Roman" w:hAnsi="Times New Roman"/>
        </w:rPr>
        <w:t xml:space="preserve"> hours; the proposed revisions are estimated to </w:t>
      </w:r>
      <w:r w:rsidR="00267316">
        <w:rPr>
          <w:rFonts w:ascii="Times New Roman" w:hAnsi="Times New Roman"/>
        </w:rPr>
        <w:t>in</w:t>
      </w:r>
      <w:r w:rsidR="00267316" w:rsidRPr="00E30374">
        <w:rPr>
          <w:rFonts w:ascii="Times New Roman" w:hAnsi="Times New Roman"/>
        </w:rPr>
        <w:t xml:space="preserve">crease </w:t>
      </w:r>
      <w:r w:rsidRPr="00E30374">
        <w:rPr>
          <w:rFonts w:ascii="Times New Roman" w:hAnsi="Times New Roman"/>
        </w:rPr>
        <w:t xml:space="preserve">the annual burden to </w:t>
      </w:r>
      <w:r w:rsidR="00761031">
        <w:rPr>
          <w:rFonts w:ascii="Times New Roman" w:hAnsi="Times New Roman"/>
        </w:rPr>
        <w:t>188,869</w:t>
      </w:r>
      <w:r w:rsidR="00E070A9" w:rsidRPr="00E30374">
        <w:rPr>
          <w:rFonts w:ascii="Times New Roman" w:hAnsi="Times New Roman"/>
        </w:rPr>
        <w:t xml:space="preserve"> </w:t>
      </w:r>
      <w:r w:rsidRPr="00E30374">
        <w:rPr>
          <w:rFonts w:ascii="Times New Roman" w:hAnsi="Times New Roman"/>
        </w:rPr>
        <w:t xml:space="preserve">hours.  </w:t>
      </w:r>
    </w:p>
    <w:p w:rsidR="00F207CA" w:rsidRDefault="00F207CA" w:rsidP="00F207CA">
      <w:pPr>
        <w:widowControl/>
        <w:tabs>
          <w:tab w:val="left" w:pos="0"/>
        </w:tabs>
        <w:ind w:firstLine="360"/>
        <w:jc w:val="both"/>
        <w:rPr>
          <w:rFonts w:ascii="Times New Roman" w:hAnsi="Times New Roman"/>
        </w:rPr>
      </w:pPr>
    </w:p>
    <w:p w:rsidR="002F769E" w:rsidRDefault="002F769E" w:rsidP="002F769E">
      <w:pPr>
        <w:ind w:firstLine="720"/>
        <w:jc w:val="both"/>
      </w:pPr>
      <w:r w:rsidRPr="000178F9">
        <w:t xml:space="preserve">The agencies are proposing to implement </w:t>
      </w:r>
      <w:r>
        <w:t xml:space="preserve">certain </w:t>
      </w:r>
      <w:r w:rsidRPr="000178F9">
        <w:t xml:space="preserve">changes to the Call Report requirements </w:t>
      </w:r>
      <w:r>
        <w:t>in</w:t>
      </w:r>
      <w:r w:rsidRPr="000178F9">
        <w:t xml:space="preserve"> 20</w:t>
      </w:r>
      <w:r>
        <w:t>1</w:t>
      </w:r>
      <w:r w:rsidRPr="000178F9">
        <w:t>0</w:t>
      </w:r>
      <w:r>
        <w:t xml:space="preserve"> that are intended to provide data needed for </w:t>
      </w:r>
      <w:r w:rsidRPr="002D6607">
        <w:rPr>
          <w:iCs/>
        </w:rPr>
        <w:t>reasons of safety and soundness or other public purposes</w:t>
      </w:r>
      <w:r>
        <w:rPr>
          <w:iCs/>
        </w:rPr>
        <w:t xml:space="preserve">.  These proposed revisions respond, for example, to a change in accounting standards, a temporary increase in the deposit insurance limit, and credit availability concerns.  </w:t>
      </w:r>
      <w:r>
        <w:t xml:space="preserve">  </w:t>
      </w:r>
    </w:p>
    <w:p w:rsidR="002F769E" w:rsidRDefault="002F769E" w:rsidP="002F769E">
      <w:pPr>
        <w:jc w:val="both"/>
      </w:pPr>
      <w:r>
        <w:t xml:space="preserve">   </w:t>
      </w:r>
      <w:r w:rsidRPr="000178F9">
        <w:t xml:space="preserve">  </w:t>
      </w:r>
    </w:p>
    <w:p w:rsidR="002F769E" w:rsidRDefault="002F769E" w:rsidP="002F769E">
      <w:pPr>
        <w:ind w:firstLine="720"/>
        <w:jc w:val="both"/>
      </w:pPr>
      <w:r>
        <w:t>T</w:t>
      </w:r>
      <w:r w:rsidRPr="000178F9">
        <w:t xml:space="preserve">he </w:t>
      </w:r>
      <w:r>
        <w:t xml:space="preserve">proposed </w:t>
      </w:r>
      <w:r w:rsidRPr="000178F9">
        <w:t xml:space="preserve">Call Report changes </w:t>
      </w:r>
      <w:r>
        <w:t xml:space="preserve">that are the subject of this proposal would take effect as of March 31, 2010, unless otherwise indicated.  These revisions </w:t>
      </w:r>
      <w:r w:rsidRPr="000178F9">
        <w:t>include</w:t>
      </w:r>
      <w:r>
        <w:t>:</w:t>
      </w:r>
      <w:r w:rsidRPr="000178F9">
        <w:t xml:space="preserve"> </w:t>
      </w:r>
    </w:p>
    <w:p w:rsidR="002F769E" w:rsidRPr="00A55F7E" w:rsidRDefault="002F769E" w:rsidP="002F769E">
      <w:pPr>
        <w:widowControl/>
        <w:numPr>
          <w:ilvl w:val="0"/>
          <w:numId w:val="5"/>
        </w:numPr>
        <w:autoSpaceDE/>
        <w:autoSpaceDN/>
        <w:adjustRightInd/>
        <w:jc w:val="both"/>
      </w:pPr>
      <w:r w:rsidRPr="00A55F7E">
        <w:t xml:space="preserve">New items identifying total other-than-temporary impairment losses on debt securities, the portion of the total recognized in other comprehensive income, and the net losses recognized in earnings, consistent with the presentation requirements of a recent accounting standard;  </w:t>
      </w:r>
    </w:p>
    <w:p w:rsidR="002F769E" w:rsidRDefault="002F769E" w:rsidP="002F769E">
      <w:pPr>
        <w:widowControl/>
        <w:numPr>
          <w:ilvl w:val="0"/>
          <w:numId w:val="2"/>
        </w:numPr>
        <w:autoSpaceDE/>
        <w:autoSpaceDN/>
        <w:adjustRightInd/>
        <w:jc w:val="both"/>
      </w:pPr>
      <w:r>
        <w:t xml:space="preserve">Clarification of the instructions for reporting unused commitments; </w:t>
      </w:r>
    </w:p>
    <w:p w:rsidR="002F769E" w:rsidRDefault="002F769E" w:rsidP="002F769E">
      <w:pPr>
        <w:widowControl/>
        <w:numPr>
          <w:ilvl w:val="0"/>
          <w:numId w:val="2"/>
        </w:numPr>
        <w:autoSpaceDE/>
        <w:autoSpaceDN/>
        <w:adjustRightInd/>
        <w:jc w:val="both"/>
      </w:pPr>
      <w:r>
        <w:t>Breakdowns of the existing items for unused credit card lines and other unused commitments, with the former breakdown required only for certain institutions, and a related breakdown of the existing item for other loans;</w:t>
      </w:r>
    </w:p>
    <w:p w:rsidR="002F769E" w:rsidRDefault="002F769E" w:rsidP="002F769E">
      <w:pPr>
        <w:widowControl/>
        <w:numPr>
          <w:ilvl w:val="0"/>
          <w:numId w:val="2"/>
        </w:numPr>
        <w:autoSpaceDE/>
        <w:autoSpaceDN/>
        <w:adjustRightInd/>
        <w:jc w:val="both"/>
      </w:pPr>
      <w:r>
        <w:t>New items pertaining to reverse mortgages that would be collected annually as of December 31;</w:t>
      </w:r>
    </w:p>
    <w:p w:rsidR="002F769E" w:rsidRDefault="002F769E" w:rsidP="002F769E">
      <w:pPr>
        <w:widowControl/>
        <w:numPr>
          <w:ilvl w:val="0"/>
          <w:numId w:val="2"/>
        </w:numPr>
        <w:autoSpaceDE/>
        <w:autoSpaceDN/>
        <w:adjustRightInd/>
        <w:jc w:val="both"/>
      </w:pPr>
      <w:r>
        <w:t>A breakdown of the existing item for time deposits of $100,000 or more (in domestic offices);</w:t>
      </w:r>
    </w:p>
    <w:p w:rsidR="002F769E" w:rsidRDefault="002F769E" w:rsidP="002F769E">
      <w:pPr>
        <w:widowControl/>
        <w:numPr>
          <w:ilvl w:val="0"/>
          <w:numId w:val="2"/>
        </w:numPr>
        <w:autoSpaceDE/>
        <w:autoSpaceDN/>
        <w:adjustRightInd/>
        <w:jc w:val="both"/>
      </w:pPr>
      <w:r>
        <w:t>Revisions of existing items for brokered deposits;</w:t>
      </w:r>
    </w:p>
    <w:p w:rsidR="002F769E" w:rsidRDefault="002F769E" w:rsidP="002F769E">
      <w:pPr>
        <w:widowControl/>
        <w:numPr>
          <w:ilvl w:val="0"/>
          <w:numId w:val="2"/>
        </w:numPr>
        <w:autoSpaceDE/>
        <w:autoSpaceDN/>
        <w:adjustRightInd/>
        <w:jc w:val="both"/>
      </w:pPr>
      <w:r>
        <w:t xml:space="preserve">New items for </w:t>
      </w:r>
      <w:r w:rsidR="00A55F7E">
        <w:t xml:space="preserve">assets covered by FDIC </w:t>
      </w:r>
      <w:r w:rsidR="00761031">
        <w:t>l</w:t>
      </w:r>
      <w:r w:rsidR="00A55F7E">
        <w:t>oss-</w:t>
      </w:r>
      <w:r w:rsidR="00761031">
        <w:t>sharing agreements</w:t>
      </w:r>
      <w:r>
        <w:t>;</w:t>
      </w:r>
    </w:p>
    <w:p w:rsidR="002F769E" w:rsidRDefault="002F769E" w:rsidP="002F769E">
      <w:pPr>
        <w:widowControl/>
        <w:numPr>
          <w:ilvl w:val="0"/>
          <w:numId w:val="2"/>
        </w:numPr>
        <w:autoSpaceDE/>
        <w:autoSpaceDN/>
        <w:adjustRightInd/>
        <w:jc w:val="both"/>
      </w:pPr>
      <w:r>
        <w:t>A change in the reporting frequency for small business and small farm lending data from annually to quarterly;</w:t>
      </w:r>
    </w:p>
    <w:p w:rsidR="002F769E" w:rsidRPr="00A55F7E" w:rsidRDefault="002F769E" w:rsidP="002F769E">
      <w:pPr>
        <w:widowControl/>
        <w:numPr>
          <w:ilvl w:val="0"/>
          <w:numId w:val="2"/>
        </w:numPr>
        <w:autoSpaceDE/>
        <w:autoSpaceDN/>
        <w:adjustRightInd/>
        <w:jc w:val="both"/>
      </w:pPr>
      <w:r w:rsidRPr="00A55F7E">
        <w:t>A change in the reporting frequency for the number of certain deposit accounts from annually to quarterly; and</w:t>
      </w:r>
    </w:p>
    <w:p w:rsidR="00C7540B" w:rsidRPr="00A55F7E" w:rsidRDefault="002F769E" w:rsidP="001E2954">
      <w:pPr>
        <w:widowControl/>
        <w:numPr>
          <w:ilvl w:val="0"/>
          <w:numId w:val="4"/>
        </w:numPr>
        <w:tabs>
          <w:tab w:val="clear" w:pos="780"/>
          <w:tab w:val="num" w:pos="360"/>
        </w:tabs>
        <w:autoSpaceDE/>
        <w:autoSpaceDN/>
        <w:adjustRightInd/>
        <w:ind w:left="360"/>
        <w:jc w:val="both"/>
      </w:pPr>
      <w:r w:rsidRPr="00A55F7E">
        <w:lastRenderedPageBreak/>
        <w:t xml:space="preserve">The elimination of the item for internal allocations of income and expense from the schedule for income from foreign offices. </w:t>
      </w:r>
    </w:p>
    <w:p w:rsidR="001E2954" w:rsidRDefault="001E2954">
      <w:pPr>
        <w:pStyle w:val="Heading1"/>
        <w:rPr>
          <w:rFonts w:ascii="Times New Roman" w:hAnsi="Times New Roman"/>
        </w:rPr>
      </w:pPr>
    </w:p>
    <w:p w:rsidR="000E7D57" w:rsidRDefault="000E7D57">
      <w:pPr>
        <w:pStyle w:val="Heading1"/>
        <w:rPr>
          <w:rFonts w:ascii="Times New Roman" w:hAnsi="Times New Roman"/>
        </w:rPr>
      </w:pPr>
      <w:r>
        <w:rPr>
          <w:rFonts w:ascii="Times New Roman" w:hAnsi="Times New Roman"/>
        </w:rPr>
        <w:t>Background</w:t>
      </w:r>
      <w:r w:rsidR="00F54ECB">
        <w:rPr>
          <w:rFonts w:ascii="Times New Roman" w:hAnsi="Times New Roman"/>
        </w:rPr>
        <w:t xml:space="preserve"> </w:t>
      </w:r>
      <w:r w:rsidR="00F54ECB">
        <w:t>and Justification</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Default="00804EB1" w:rsidP="00804EB1">
      <w:pPr>
        <w:pStyle w:val="BodyTextIndent3"/>
        <w:widowControl/>
        <w:ind w:firstLine="0"/>
        <w:jc w:val="both"/>
        <w:rPr>
          <w:rFonts w:ascii="Times New Roman" w:hAnsi="Times New Roman"/>
        </w:rPr>
      </w:pPr>
    </w:p>
    <w:p w:rsidR="000E7D57" w:rsidRDefault="000E7D57" w:rsidP="00804EB1">
      <w:pPr>
        <w:widowControl/>
        <w:ind w:left="360"/>
        <w:jc w:val="both"/>
        <w:rPr>
          <w:rFonts w:ascii="Times New Roman" w:hAnsi="Times New Roman"/>
        </w:rPr>
      </w:pPr>
      <w:r>
        <w:rPr>
          <w:rFonts w:ascii="Times New Roman" w:hAnsi="Times New Roman"/>
        </w:rPr>
        <w:t>... banks ... shall be required to make reports of condition and of the payment of dividends to the Federal Reserve bank of which they become a member.  Not less than three of such reports shall be made annually on call of the Federal Reserve bank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Pr>
          <w:rFonts w:ascii="Times New Roman" w:hAnsi="Times New Roman"/>
        </w:rPr>
        <w:t>’</w:t>
      </w:r>
      <w:r>
        <w:rPr>
          <w:rFonts w:ascii="Times New Roman" w:hAnsi="Times New Roman"/>
        </w:rPr>
        <w:t>s monies and the overall soundness of the nation</w:t>
      </w:r>
      <w:r w:rsidR="00E30374">
        <w:rPr>
          <w:rFonts w:ascii="Times New Roman" w:hAnsi="Times New Roman"/>
        </w:rPr>
        <w:t>’</w:t>
      </w:r>
      <w:r>
        <w:rPr>
          <w:rFonts w:ascii="Times New Roman" w:hAnsi="Times New Roman"/>
        </w:rPr>
        <w:t>s financial structure, and (2) contribute information needed for background for the proper discharge of the Board</w:t>
      </w:r>
      <w:r w:rsidR="00E30374">
        <w:rPr>
          <w:rFonts w:ascii="Times New Roman" w:hAnsi="Times New Roman"/>
        </w:rPr>
        <w:t>’</w:t>
      </w:r>
      <w:r>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C858CC" w:rsidRDefault="000E7D57" w:rsidP="0069439F">
      <w:pPr>
        <w:widowControl/>
        <w:tabs>
          <w:tab w:val="left" w:pos="360"/>
        </w:tabs>
        <w:rPr>
          <w:rFonts w:ascii="Times New Roman" w:hAnsi="Times New Roman"/>
          <w:bCs/>
        </w:rPr>
      </w:pPr>
    </w:p>
    <w:p w:rsidR="000E7D57" w:rsidRDefault="000E7D57" w:rsidP="0069439F">
      <w:pPr>
        <w:widowControl/>
        <w:tabs>
          <w:tab w:val="left" w:pos="360"/>
        </w:tabs>
        <w:rPr>
          <w:rFonts w:ascii="Times New Roman" w:hAnsi="Times New Roman"/>
        </w:rPr>
      </w:pPr>
      <w:r>
        <w:rPr>
          <w:rFonts w:ascii="Times New Roman" w:hAnsi="Times New Roman"/>
          <w:b/>
          <w:bCs/>
        </w:rPr>
        <w:t>Description of Information Collection</w:t>
      </w:r>
    </w:p>
    <w:p w:rsidR="000E7D57"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0E7D57" w:rsidRDefault="000E7D57" w:rsidP="0069439F">
      <w:pPr>
        <w:pStyle w:val="BodyTextIndent3"/>
        <w:widowControl/>
        <w:jc w:val="both"/>
        <w:rPr>
          <w:rFonts w:ascii="Times New Roman" w:hAnsi="Times New Roman"/>
        </w:rPr>
      </w:pPr>
      <w:r>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Default="000E7D57" w:rsidP="0069439F">
      <w:pPr>
        <w:widowControl/>
        <w:tabs>
          <w:tab w:val="left" w:pos="360"/>
        </w:tabs>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Within the Call Report information collection system as a whole, there are two </w:t>
      </w:r>
      <w:r w:rsidR="00717B88">
        <w:rPr>
          <w:rFonts w:ascii="Times New Roman" w:hAnsi="Times New Roman"/>
        </w:rPr>
        <w:t xml:space="preserve">reporting </w:t>
      </w:r>
      <w:r>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Default="000E7D57" w:rsidP="0069439F">
      <w:pPr>
        <w:widowControl/>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There is no other </w:t>
      </w:r>
      <w:r w:rsidR="00785DE4">
        <w:rPr>
          <w:rFonts w:ascii="Times New Roman" w:hAnsi="Times New Roman"/>
        </w:rPr>
        <w:t>reporting form</w:t>
      </w:r>
      <w:r>
        <w:rPr>
          <w:rFonts w:ascii="Times New Roman" w:hAnsi="Times New Roman"/>
        </w:rPr>
        <w:t xml:space="preserve"> or series of report</w:t>
      </w:r>
      <w:r w:rsidR="00785DE4">
        <w:rPr>
          <w:rFonts w:ascii="Times New Roman" w:hAnsi="Times New Roman"/>
        </w:rPr>
        <w:t xml:space="preserve">ing </w:t>
      </w:r>
      <w:r w:rsidR="008F37A8">
        <w:rPr>
          <w:rFonts w:ascii="Times New Roman" w:hAnsi="Times New Roman"/>
        </w:rPr>
        <w:t>forms that collect</w:t>
      </w:r>
      <w:r>
        <w:rPr>
          <w:rFonts w:ascii="Times New Roman" w:hAnsi="Times New Roman"/>
        </w:rPr>
        <w:t xml:space="preserve"> from all commercial and savings banks the information gathered through the Reports of Condition and Income taken as a whole.  There are other information collection systems that tend to duplicate certain parts of the Call Reports; however, the information they provide would be of limited value as a replacement for the </w:t>
      </w:r>
      <w:r w:rsidR="006956DF">
        <w:rPr>
          <w:rFonts w:ascii="Times New Roman" w:hAnsi="Times New Roman"/>
        </w:rPr>
        <w:t>Call Reports</w:t>
      </w:r>
      <w:r>
        <w:rPr>
          <w:rFonts w:ascii="Times New Roman" w:hAnsi="Times New Roman"/>
        </w:rPr>
        <w:t xml:space="preserve">.  For example, the Federal Reserve collects various </w:t>
      </w:r>
      <w:r w:rsidR="006504B4">
        <w:rPr>
          <w:rFonts w:ascii="Times New Roman" w:hAnsi="Times New Roman"/>
        </w:rPr>
        <w:t xml:space="preserve">data </w:t>
      </w:r>
      <w:r>
        <w:rPr>
          <w:rFonts w:ascii="Times New Roman" w:hAnsi="Times New Roman"/>
        </w:rPr>
        <w:t xml:space="preserve">in connection with its measurement of monetary aggregates, of bank credit, and of flow of </w:t>
      </w:r>
      <w:r>
        <w:rPr>
          <w:rFonts w:ascii="Times New Roman" w:hAnsi="Times New Roman"/>
        </w:rPr>
        <w:lastRenderedPageBreak/>
        <w:t>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w:t>
      </w:r>
      <w:r w:rsidR="00844FD2">
        <w:rPr>
          <w:rFonts w:ascii="Times New Roman" w:hAnsi="Times New Roman"/>
        </w:rPr>
        <w:t>n a parent company only basis.</w:t>
      </w:r>
    </w:p>
    <w:p w:rsidR="000E7D57" w:rsidRDefault="000E7D57" w:rsidP="0069439F">
      <w:pPr>
        <w:widowControl/>
        <w:rPr>
          <w:rFonts w:ascii="Times New Roman" w:hAnsi="Times New Roman"/>
        </w:rPr>
      </w:pPr>
    </w:p>
    <w:p w:rsidR="000E7D57" w:rsidRDefault="000E7D57" w:rsidP="0069439F">
      <w:pPr>
        <w:pStyle w:val="BodyTextIndent3"/>
        <w:widowControl/>
        <w:jc w:val="both"/>
        <w:rPr>
          <w:rFonts w:ascii="Times New Roman" w:hAnsi="Times New Roman"/>
        </w:rPr>
      </w:pPr>
      <w:r>
        <w:rPr>
          <w:rFonts w:ascii="Times New Roman" w:hAnsi="Times New Roman"/>
        </w:rPr>
        <w:t xml:space="preserve">However, Federal Reserve </w:t>
      </w:r>
      <w:r w:rsidR="00785DE4">
        <w:rPr>
          <w:rFonts w:ascii="Times New Roman" w:hAnsi="Times New Roman"/>
        </w:rPr>
        <w:t>reporting form</w:t>
      </w:r>
      <w:r>
        <w:rPr>
          <w:rFonts w:ascii="Times New Roman" w:hAnsi="Times New Roman"/>
        </w:rPr>
        <w:t xml:space="preserve">s from banks are frequently obtained on a sample basis rather than from all insured banks.  Moreover, these </w:t>
      </w:r>
      <w:r w:rsidR="00785DE4">
        <w:rPr>
          <w:rFonts w:ascii="Times New Roman" w:hAnsi="Times New Roman"/>
        </w:rPr>
        <w:t>reporting form</w:t>
      </w:r>
      <w:r>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Pr>
          <w:rFonts w:ascii="Times New Roman" w:hAnsi="Times New Roman"/>
        </w:rPr>
        <w:t>reporting form</w:t>
      </w:r>
      <w:r>
        <w:rPr>
          <w:rFonts w:ascii="Times New Roman" w:hAnsi="Times New Roman"/>
        </w:rPr>
        <w:t xml:space="preserve">s.  Hence, these </w:t>
      </w:r>
      <w:r w:rsidR="00785DE4">
        <w:rPr>
          <w:rFonts w:ascii="Times New Roman" w:hAnsi="Times New Roman"/>
        </w:rPr>
        <w:t>reporting form</w:t>
      </w:r>
      <w:r>
        <w:rPr>
          <w:rFonts w:ascii="Times New Roman" w:hAnsi="Times New Roman"/>
        </w:rPr>
        <w:t>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0E7D57" w:rsidRDefault="000E7D57" w:rsidP="0069439F">
      <w:pPr>
        <w:widowControl/>
        <w:tabs>
          <w:tab w:val="left" w:pos="360"/>
        </w:tabs>
        <w:rPr>
          <w:rFonts w:ascii="Times New Roman" w:hAnsi="Times New Roman"/>
        </w:rPr>
      </w:pPr>
    </w:p>
    <w:p w:rsidR="00804EB1" w:rsidRDefault="000E7D57" w:rsidP="0069439F">
      <w:pPr>
        <w:pStyle w:val="BodyTextIndent3"/>
        <w:widowControl/>
        <w:jc w:val="both"/>
        <w:rPr>
          <w:rFonts w:ascii="Times New Roman" w:hAnsi="Times New Roman"/>
        </w:rPr>
      </w:pPr>
      <w:r>
        <w:rPr>
          <w:rFonts w:ascii="Times New Roman" w:hAnsi="Times New Roman"/>
        </w:rPr>
        <w:t xml:space="preserve">Beginning March 1998, all banks were required to transmit their </w:t>
      </w:r>
      <w:r w:rsidR="006956DF">
        <w:rPr>
          <w:rFonts w:ascii="Times New Roman" w:hAnsi="Times New Roman"/>
        </w:rPr>
        <w:t>Call Report</w:t>
      </w:r>
      <w:r>
        <w:rPr>
          <w:rFonts w:ascii="Times New Roman" w:hAnsi="Times New Roman"/>
        </w:rPr>
        <w:t xml:space="preserve"> data electronically.  Banks do not have to submit hard copy Call Reports to any federal bank supervisory agency unless sp</w:t>
      </w:r>
      <w:r w:rsidR="00804EB1">
        <w:rPr>
          <w:rFonts w:ascii="Times New Roman" w:hAnsi="Times New Roman"/>
        </w:rPr>
        <w:t>ecifically requested to do so.</w:t>
      </w:r>
    </w:p>
    <w:p w:rsidR="00190AA3" w:rsidRPr="00190AA3" w:rsidRDefault="00190AA3" w:rsidP="0069439F">
      <w:pPr>
        <w:rPr>
          <w:rFonts w:ascii="Times New Roman" w:hAnsi="Times New Roman"/>
        </w:rPr>
      </w:pPr>
    </w:p>
    <w:p w:rsidR="000E7D57" w:rsidRPr="00804EB1" w:rsidRDefault="000E7D57" w:rsidP="0069439F">
      <w:pPr>
        <w:ind w:firstLine="720"/>
        <w:rPr>
          <w:rFonts w:ascii="Times New Roman" w:hAnsi="Times New Roman"/>
          <w:b/>
        </w:rPr>
      </w:pPr>
      <w:r w:rsidRPr="00804EB1">
        <w:rPr>
          <w:rFonts w:ascii="Times New Roman" w:hAnsi="Times New Roman"/>
          <w:b/>
        </w:rPr>
        <w:t>Proposed Revisions</w:t>
      </w:r>
    </w:p>
    <w:p w:rsidR="00414C5D" w:rsidRDefault="00414C5D" w:rsidP="00414C5D">
      <w:pPr>
        <w:jc w:val="both"/>
        <w:rPr>
          <w:b/>
        </w:rPr>
      </w:pPr>
    </w:p>
    <w:p w:rsidR="00FB0DA8" w:rsidRPr="00441136" w:rsidRDefault="00FB0DA8" w:rsidP="00FB0DA8">
      <w:pPr>
        <w:jc w:val="both"/>
        <w:rPr>
          <w:u w:val="single"/>
        </w:rPr>
      </w:pPr>
      <w:r>
        <w:rPr>
          <w:u w:val="single"/>
        </w:rPr>
        <w:t>A</w:t>
      </w:r>
      <w:r w:rsidRPr="00441136">
        <w:rPr>
          <w:u w:val="single"/>
        </w:rPr>
        <w:t xml:space="preserve">.  </w:t>
      </w:r>
      <w:r>
        <w:rPr>
          <w:u w:val="single"/>
        </w:rPr>
        <w:t>Other-Than-Temporary Impairment Losses on Debt Securities</w:t>
      </w:r>
    </w:p>
    <w:p w:rsidR="00FB0DA8" w:rsidRDefault="00FB0DA8" w:rsidP="00FB0DA8">
      <w:pPr>
        <w:ind w:firstLine="720"/>
        <w:jc w:val="both"/>
      </w:pPr>
    </w:p>
    <w:p w:rsidR="00FB0DA8" w:rsidRDefault="00FB0DA8" w:rsidP="00FB0DA8">
      <w:pPr>
        <w:ind w:firstLine="720"/>
        <w:jc w:val="both"/>
      </w:pPr>
      <w:r w:rsidRPr="00C77FA4">
        <w:t xml:space="preserve">On April 9, 2009, the Financial Accounting Standards Board (FASB) issued FASB Staff Position (FSP) No. 115-2 and 124-2, </w:t>
      </w:r>
      <w:r w:rsidRPr="00C77FA4">
        <w:rPr>
          <w:i/>
        </w:rPr>
        <w:t>Recognition and Presentation of Other-Than-Temporary Impairments</w:t>
      </w:r>
      <w:r w:rsidRPr="00C77FA4">
        <w:t xml:space="preserve"> (FSP </w:t>
      </w:r>
      <w:r>
        <w:t xml:space="preserve">FAS </w:t>
      </w:r>
      <w:r w:rsidRPr="00C77FA4">
        <w:t>115-2).</w:t>
      </w:r>
      <w:r w:rsidRPr="002F769E">
        <w:rPr>
          <w:rStyle w:val="FootnoteReference"/>
          <w:sz w:val="20"/>
          <w:vertAlign w:val="superscript"/>
        </w:rPr>
        <w:footnoteReference w:id="1"/>
      </w:r>
      <w:r w:rsidRPr="002F769E">
        <w:rPr>
          <w:sz w:val="20"/>
          <w:vertAlign w:val="superscript"/>
        </w:rPr>
        <w:t xml:space="preserve"> </w:t>
      </w:r>
      <w:r w:rsidRPr="00C77FA4">
        <w:t xml:space="preserve"> This FSP amended the other-than-temporary impairment guidance in other accounting standards that applies to investments in debt securities.  Under FSP </w:t>
      </w:r>
      <w:r>
        <w:t xml:space="preserve">FAS </w:t>
      </w:r>
      <w:r w:rsidRPr="00C77FA4">
        <w:t xml:space="preserve">115-2, if a bank intends to sell a debt security or it is more likely than not that it will be required to sell the debt security before recovery of its </w:t>
      </w:r>
      <w:r w:rsidR="002F769E">
        <w:t xml:space="preserve">amortized cost basis, an </w:t>
      </w:r>
      <w:r w:rsidRPr="00C77FA4">
        <w:t xml:space="preserve">other-than-temporary impairment has occurred and the entire difference between the security’s amortized cost basis and its fair value at the balance sheet date must be recognized in earnings.  FSP </w:t>
      </w:r>
      <w:r>
        <w:t xml:space="preserve">FAS </w:t>
      </w:r>
      <w:r w:rsidRPr="00C77FA4">
        <w:t xml:space="preserve">115-2 also provides that if the present value of cash flows expected to be collected on a debt security is less than its amortized cost basis, a credit loss exists.  In this situation, if a bank does not intend to sell the security and it is not more likely than not that the bank will be required to sell the debt security before recovery of its amortized cost basis less any current-period credit loss, an other-than-temporary impairment has occurred.  The amount of the total other-than-temporary impairment related to the credit loss must be recognized in earnings, but the amount of the total impairment related to other factors must be recognized in other comprehensive income, net of applicable taxes.  </w:t>
      </w:r>
    </w:p>
    <w:p w:rsidR="007D4892" w:rsidRPr="00C77FA4" w:rsidRDefault="007D4892" w:rsidP="00FB0DA8">
      <w:pPr>
        <w:ind w:firstLine="720"/>
        <w:jc w:val="both"/>
      </w:pPr>
    </w:p>
    <w:p w:rsidR="00FB0DA8" w:rsidRDefault="00FB0DA8" w:rsidP="00FB0DA8">
      <w:pPr>
        <w:ind w:firstLine="720"/>
        <w:jc w:val="both"/>
      </w:pPr>
      <w:r w:rsidRPr="00C77FA4">
        <w:t xml:space="preserve">For other-than-temporary impairment losses on held-to-maturity and available-for-sale </w:t>
      </w:r>
      <w:r w:rsidRPr="00C77FA4">
        <w:lastRenderedPageBreak/>
        <w:t xml:space="preserve">debt securities, banks report the amount of the other-than-temporary impairment </w:t>
      </w:r>
      <w:r>
        <w:t xml:space="preserve">losses </w:t>
      </w:r>
      <w:r w:rsidRPr="00C77FA4">
        <w:t>that must be recognized in earnings in items 6.a and 6.b of the Call Report income statement (Schedule RI), respectively.  Other-than-temporary impairment losses that are to be recognized in other comprehensive income, net of applicable taxes, are reported in Schedule RI-A</w:t>
      </w:r>
      <w:r>
        <w:t>,</w:t>
      </w:r>
      <w:r w:rsidRPr="00C77FA4">
        <w:t xml:space="preserve"> Changes in Bank Equity Capital, item 10, “Other comprehensive income.”  However, because items 6.a and 6.b of </w:t>
      </w:r>
      <w:smartTag w:uri="urn:schemas-microsoft-com:office:smarttags" w:element="place">
        <w:smartTag w:uri="urn:schemas-microsoft-com:office:smarttags" w:element="City">
          <w:r w:rsidRPr="00C77FA4">
            <w:t>Schedule</w:t>
          </w:r>
        </w:smartTag>
        <w:r w:rsidRPr="00C77FA4">
          <w:t xml:space="preserve"> </w:t>
        </w:r>
        <w:smartTag w:uri="urn:schemas-microsoft-com:office:smarttags" w:element="State">
          <w:r w:rsidRPr="00C77FA4">
            <w:t>RI</w:t>
          </w:r>
        </w:smartTag>
      </w:smartTag>
      <w:r w:rsidRPr="00C77FA4">
        <w:t xml:space="preserve"> also include other amounts such as gains (losses) on sales of held-to-maturity and available-for-sale securities, the agencies currently are not able to determine the effect on the net income of banks, individually and in the aggregate, of other-than-temporary impairment losses that must be recognized in earnings.  Similarly, because item 10 of </w:t>
      </w:r>
      <w:smartTag w:uri="urn:schemas-microsoft-com:office:smarttags" w:element="place">
        <w:smartTag w:uri="urn:schemas-microsoft-com:office:smarttags" w:element="City">
          <w:r w:rsidRPr="00C77FA4">
            <w:t>Schedule</w:t>
          </w:r>
        </w:smartTag>
        <w:r w:rsidRPr="00C77FA4">
          <w:t xml:space="preserve"> </w:t>
        </w:r>
        <w:smartTag w:uri="urn:schemas-microsoft-com:office:smarttags" w:element="State">
          <w:r w:rsidRPr="00C77FA4">
            <w:t>RI</w:t>
          </w:r>
        </w:smartTag>
      </w:smartTag>
      <w:r w:rsidRPr="00C77FA4">
        <w:t xml:space="preserve">-A includes all of the other components of a bank’s other comprehensive income, the agencies cannot identify the portion of other comprehensive income attributable to other-than-temporary impairment losses for banks individually and in the aggregate.  </w:t>
      </w:r>
    </w:p>
    <w:p w:rsidR="007D4892" w:rsidRPr="00C77FA4" w:rsidRDefault="007D4892" w:rsidP="00FB0DA8">
      <w:pPr>
        <w:ind w:firstLine="720"/>
        <w:jc w:val="both"/>
      </w:pPr>
    </w:p>
    <w:p w:rsidR="00FB0DA8" w:rsidRPr="00C77FA4" w:rsidRDefault="00FB0DA8" w:rsidP="00FB0DA8">
      <w:pPr>
        <w:ind w:firstLine="720"/>
        <w:jc w:val="both"/>
      </w:pPr>
      <w:r>
        <w:rPr>
          <w:bCs/>
        </w:rPr>
        <w:t xml:space="preserve">According to FSP FAS 115-2, in a </w:t>
      </w:r>
      <w:r w:rsidRPr="00EF0948">
        <w:rPr>
          <w:bCs/>
        </w:rPr>
        <w:t>period in which a</w:t>
      </w:r>
      <w:r>
        <w:rPr>
          <w:bCs/>
        </w:rPr>
        <w:t xml:space="preserve"> bank</w:t>
      </w:r>
      <w:r w:rsidRPr="00EF0948">
        <w:rPr>
          <w:bCs/>
        </w:rPr>
        <w:t xml:space="preserve"> determines that a </w:t>
      </w:r>
      <w:r>
        <w:rPr>
          <w:bCs/>
        </w:rPr>
        <w:t xml:space="preserve">debt </w:t>
      </w:r>
      <w:r w:rsidRPr="00EF0948">
        <w:rPr>
          <w:bCs/>
        </w:rPr>
        <w:t xml:space="preserve">security’s decline in fair value below its amortized cost basis is other than temporary, the </w:t>
      </w:r>
      <w:r>
        <w:rPr>
          <w:bCs/>
        </w:rPr>
        <w:t>bank must</w:t>
      </w:r>
      <w:r w:rsidRPr="00EF0948">
        <w:rPr>
          <w:bCs/>
        </w:rPr>
        <w:t xml:space="preserve"> present the total other-than-temporary impairment </w:t>
      </w:r>
      <w:r>
        <w:rPr>
          <w:bCs/>
        </w:rPr>
        <w:t xml:space="preserve">loss </w:t>
      </w:r>
      <w:r w:rsidRPr="00EF0948">
        <w:rPr>
          <w:bCs/>
        </w:rPr>
        <w:t xml:space="preserve">in the </w:t>
      </w:r>
      <w:r>
        <w:rPr>
          <w:bCs/>
        </w:rPr>
        <w:t xml:space="preserve">income </w:t>
      </w:r>
      <w:r w:rsidRPr="00EF0948">
        <w:rPr>
          <w:bCs/>
        </w:rPr>
        <w:t xml:space="preserve">statement with an offset for the amount of the total </w:t>
      </w:r>
      <w:r>
        <w:rPr>
          <w:bCs/>
        </w:rPr>
        <w:t xml:space="preserve">loss </w:t>
      </w:r>
      <w:r w:rsidRPr="00EF0948">
        <w:rPr>
          <w:bCs/>
        </w:rPr>
        <w:t>that is recognized in other comprehensive income.</w:t>
      </w:r>
      <w:r>
        <w:rPr>
          <w:bCs/>
        </w:rPr>
        <w:t xml:space="preserve">  </w:t>
      </w:r>
      <w:r w:rsidRPr="00C77FA4">
        <w:t>This new presentation provides additional information about the amounts that a</w:t>
      </w:r>
      <w:r>
        <w:t xml:space="preserve"> bank</w:t>
      </w:r>
      <w:r w:rsidRPr="00C77FA4">
        <w:t xml:space="preserve"> does not expect to collect related to </w:t>
      </w:r>
      <w:r>
        <w:t xml:space="preserve">its investments in debt securities held for purposes other than trading.  Therefore, to enhance the agencies’ ability to evaluate the factors affecting bank earnings, the agencies propose to add three Memorandum items to the Call Report income statement that would mirror the presentation requirements of FSP FAS 115-2.  In these new Memorandum items, banks would report total other-than-temporary impairment losses on debt securities for the calendar year-to-date reporting period, the portion of these losses recognized in other comprehensive income, and the net losses recognized in earnings  </w:t>
      </w:r>
    </w:p>
    <w:p w:rsidR="00FB0DA8" w:rsidRDefault="00FB0DA8" w:rsidP="00FB0DA8">
      <w:pPr>
        <w:ind w:firstLine="720"/>
        <w:jc w:val="both"/>
      </w:pPr>
    </w:p>
    <w:p w:rsidR="00FB0DA8" w:rsidRDefault="00FB0DA8" w:rsidP="00FB0DA8">
      <w:pPr>
        <w:pStyle w:val="BodyText"/>
        <w:widowControl/>
        <w:tabs>
          <w:tab w:val="left" w:pos="360"/>
        </w:tabs>
        <w:spacing w:line="240" w:lineRule="auto"/>
        <w:rPr>
          <w:b/>
          <w:snapToGrid/>
          <w:szCs w:val="24"/>
        </w:rPr>
      </w:pPr>
      <w:r>
        <w:rPr>
          <w:szCs w:val="24"/>
          <w:u w:val="single"/>
        </w:rPr>
        <w:t>B.</w:t>
      </w:r>
      <w:r w:rsidRPr="00360135">
        <w:rPr>
          <w:szCs w:val="24"/>
          <w:u w:val="single"/>
        </w:rPr>
        <w:t xml:space="preserve">  </w:t>
      </w:r>
      <w:r>
        <w:rPr>
          <w:szCs w:val="24"/>
          <w:u w:val="single"/>
        </w:rPr>
        <w:t>Clarification of the Instructions for Reporting Unused Commitments</w:t>
      </w:r>
    </w:p>
    <w:p w:rsidR="00FB0DA8" w:rsidRDefault="00FB0DA8" w:rsidP="00FB0DA8">
      <w:pPr>
        <w:pStyle w:val="BodyText"/>
        <w:widowControl/>
        <w:tabs>
          <w:tab w:val="left" w:pos="360"/>
        </w:tabs>
        <w:spacing w:line="240" w:lineRule="auto"/>
        <w:rPr>
          <w:snapToGrid/>
          <w:szCs w:val="24"/>
        </w:rPr>
      </w:pPr>
    </w:p>
    <w:p w:rsidR="00FB0DA8" w:rsidRDefault="00FB0DA8" w:rsidP="007D4892">
      <w:pPr>
        <w:pStyle w:val="BodyText"/>
        <w:widowControl/>
        <w:spacing w:line="240" w:lineRule="auto"/>
        <w:ind w:firstLine="720"/>
        <w:rPr>
          <w:szCs w:val="24"/>
        </w:rPr>
      </w:pPr>
      <w:r>
        <w:rPr>
          <w:snapToGrid/>
          <w:szCs w:val="24"/>
        </w:rPr>
        <w:t xml:space="preserve">Banks report unused commitments in item 1 of Schedule RC-L, Derivatives and Off-Balance Sheet Items.  The instructions for this item identify various arrangements that should be reported as unused commitments, including but not limited to commitments </w:t>
      </w:r>
      <w:r w:rsidRPr="007709C1">
        <w:rPr>
          <w:snapToGrid/>
          <w:szCs w:val="24"/>
        </w:rPr>
        <w:t xml:space="preserve">for which the bank has charged a commitment fee or other consideration, </w:t>
      </w:r>
      <w:r>
        <w:rPr>
          <w:snapToGrid/>
          <w:szCs w:val="24"/>
        </w:rPr>
        <w:t>commitments that are legally</w:t>
      </w:r>
      <w:r w:rsidRPr="007709C1">
        <w:rPr>
          <w:snapToGrid/>
          <w:szCs w:val="24"/>
        </w:rPr>
        <w:t xml:space="preserve"> binding</w:t>
      </w:r>
      <w:r>
        <w:rPr>
          <w:snapToGrid/>
          <w:szCs w:val="24"/>
        </w:rPr>
        <w:t xml:space="preserve">, </w:t>
      </w:r>
      <w:r w:rsidRPr="007709C1">
        <w:rPr>
          <w:snapToGrid/>
          <w:szCs w:val="24"/>
        </w:rPr>
        <w:t>loan proceeds that the bank is obligated to advance</w:t>
      </w:r>
      <w:r>
        <w:rPr>
          <w:snapToGrid/>
          <w:szCs w:val="24"/>
        </w:rPr>
        <w:t xml:space="preserve">, </w:t>
      </w:r>
      <w:r w:rsidRPr="007709C1">
        <w:rPr>
          <w:snapToGrid/>
          <w:szCs w:val="24"/>
        </w:rPr>
        <w:t>commitments to issue a commitment</w:t>
      </w:r>
      <w:r>
        <w:rPr>
          <w:snapToGrid/>
          <w:szCs w:val="24"/>
        </w:rPr>
        <w:t>, and</w:t>
      </w:r>
      <w:r w:rsidRPr="007709C1">
        <w:rPr>
          <w:snapToGrid/>
          <w:szCs w:val="24"/>
        </w:rPr>
        <w:t xml:space="preserve"> revolving underwriting facilities</w:t>
      </w:r>
      <w:r>
        <w:rPr>
          <w:snapToGrid/>
          <w:szCs w:val="24"/>
        </w:rPr>
        <w:t>.  However, the agencies have found that some banks have not reported commitments that they have entered into until they have signed the loan agreement for the financing that they have committed to provide.  Although the agencies consider these arrangements to be commitments to issue a commitment and, therefore, within the scope of the existing instructions for reporting commitments in Schedule RC-L, they believe that these instructions may not be sufficiently clear.  Therefore, the agencies originally proposed to revise the instructions for Schedule RC-L, item 1, “Unused commitments,” as one of the proposed Call Report changes for implementation as of March 31, 2009.</w:t>
      </w:r>
      <w:r w:rsidRPr="00CD0778">
        <w:rPr>
          <w:rStyle w:val="FootnoteReference"/>
          <w:snapToGrid/>
          <w:szCs w:val="24"/>
          <w:vertAlign w:val="superscript"/>
        </w:rPr>
        <w:footnoteReference w:id="2"/>
      </w:r>
      <w:r w:rsidRPr="00CD0778">
        <w:rPr>
          <w:snapToGrid/>
          <w:szCs w:val="24"/>
          <w:vertAlign w:val="superscript"/>
        </w:rPr>
        <w:t xml:space="preserve"> </w:t>
      </w:r>
      <w:r>
        <w:rPr>
          <w:snapToGrid/>
          <w:szCs w:val="24"/>
        </w:rPr>
        <w:t xml:space="preserve"> More specifically, with respect to c</w:t>
      </w:r>
      <w:r w:rsidRPr="0008547A">
        <w:rPr>
          <w:szCs w:val="24"/>
        </w:rPr>
        <w:t>ommitments to issue a</w:t>
      </w:r>
      <w:r>
        <w:rPr>
          <w:szCs w:val="24"/>
        </w:rPr>
        <w:t xml:space="preserve"> </w:t>
      </w:r>
      <w:r w:rsidRPr="0008547A">
        <w:rPr>
          <w:szCs w:val="24"/>
        </w:rPr>
        <w:t>commitment at some point in the future,</w:t>
      </w:r>
      <w:r>
        <w:rPr>
          <w:szCs w:val="24"/>
        </w:rPr>
        <w:t xml:space="preserve"> the agencies proposed to add language to the instructions for this item explicitly stating that such commitments </w:t>
      </w:r>
      <w:r w:rsidRPr="0008547A">
        <w:rPr>
          <w:szCs w:val="24"/>
        </w:rPr>
        <w:t>includ</w:t>
      </w:r>
      <w:r>
        <w:rPr>
          <w:szCs w:val="24"/>
        </w:rPr>
        <w:t>e those</w:t>
      </w:r>
      <w:r w:rsidRPr="0008547A">
        <w:rPr>
          <w:szCs w:val="24"/>
        </w:rPr>
        <w:t xml:space="preserve"> that have been</w:t>
      </w:r>
      <w:r>
        <w:rPr>
          <w:szCs w:val="24"/>
        </w:rPr>
        <w:t xml:space="preserve"> </w:t>
      </w:r>
      <w:r w:rsidRPr="0008547A">
        <w:rPr>
          <w:szCs w:val="24"/>
        </w:rPr>
        <w:t>entered</w:t>
      </w:r>
      <w:r>
        <w:rPr>
          <w:szCs w:val="24"/>
        </w:rPr>
        <w:t xml:space="preserve"> i</w:t>
      </w:r>
      <w:r w:rsidRPr="0008547A">
        <w:rPr>
          <w:szCs w:val="24"/>
        </w:rPr>
        <w:t>nto even though the related</w:t>
      </w:r>
      <w:r>
        <w:rPr>
          <w:szCs w:val="24"/>
        </w:rPr>
        <w:t xml:space="preserve"> </w:t>
      </w:r>
      <w:r w:rsidRPr="0008547A">
        <w:rPr>
          <w:szCs w:val="24"/>
        </w:rPr>
        <w:t>loan agreement has not yet been signed.</w:t>
      </w:r>
    </w:p>
    <w:p w:rsidR="007D4892" w:rsidRDefault="007D4892" w:rsidP="007D4892">
      <w:pPr>
        <w:pStyle w:val="BodyText"/>
        <w:widowControl/>
        <w:spacing w:line="240" w:lineRule="auto"/>
        <w:ind w:firstLine="720"/>
        <w:rPr>
          <w:szCs w:val="24"/>
        </w:rPr>
      </w:pPr>
    </w:p>
    <w:p w:rsidR="00FB0DA8" w:rsidRDefault="00FB0DA8" w:rsidP="007D4892">
      <w:pPr>
        <w:pStyle w:val="BodyText"/>
        <w:widowControl/>
        <w:spacing w:line="240" w:lineRule="auto"/>
        <w:ind w:firstLine="720"/>
        <w:rPr>
          <w:snapToGrid/>
          <w:szCs w:val="24"/>
        </w:rPr>
      </w:pPr>
      <w:r>
        <w:rPr>
          <w:snapToGrid/>
          <w:szCs w:val="24"/>
        </w:rPr>
        <w:lastRenderedPageBreak/>
        <w:t>In response to the agencies’ request for comment on Call Report revisions for 2009, three commenters specifically addressed the proposed instructional clarification pertaining to unused commitments.  One commenter agreed that clarification is needed, but recommended that commitments to issue a commitment in the future, including those entered into even though the related loan agreement has not yet been signed, should be removed from the list of types of arrangements that the instructions would direct banks to report as unused commitments.  A second commenter expressed concern about reporting “commitments that contain a relatively high level of uncertainty until a loan agreement has been signed or the loan has been funded with a first advance” and the reliability of data on such commitments.  The third commenter stated that because some banks do not have systems for tracking such arrangements, the instructions should in effect permit banks to exclude commitment letters with an expiration date of 90 days or less.  Finally, the first commenter also recommended that the instructions for reporting unused commitments should state that amounts conveyed or participated to others that the conveying or participating bank is not obligated to fund should not be reported as unused commitments by the conveying or participating bank.</w:t>
      </w:r>
    </w:p>
    <w:p w:rsidR="007D4892" w:rsidRDefault="007D4892" w:rsidP="007D4892">
      <w:pPr>
        <w:pStyle w:val="BodyText"/>
        <w:widowControl/>
        <w:spacing w:line="240" w:lineRule="auto"/>
        <w:ind w:firstLine="720"/>
        <w:rPr>
          <w:snapToGrid/>
          <w:szCs w:val="24"/>
        </w:rPr>
      </w:pPr>
    </w:p>
    <w:p w:rsidR="00FB0DA8" w:rsidRDefault="00FB0DA8" w:rsidP="00FB0DA8">
      <w:pPr>
        <w:pStyle w:val="BodyText"/>
        <w:widowControl/>
        <w:spacing w:line="240" w:lineRule="auto"/>
        <w:ind w:firstLine="720"/>
        <w:rPr>
          <w:szCs w:val="24"/>
        </w:rPr>
      </w:pPr>
      <w:r>
        <w:rPr>
          <w:snapToGrid/>
          <w:szCs w:val="24"/>
        </w:rPr>
        <w:t>After evaluating these comments, the agencies have refined their approach to identifying commitments to issue a commitment in a manner that is intended to address the commenters’ concerns by focusing on a point in the commitment process when the agencies believe that banks’ systems should be tracking their commitments.  Thus, the instructions would state that c</w:t>
      </w:r>
      <w:r w:rsidRPr="00D64CF4">
        <w:rPr>
          <w:szCs w:val="24"/>
        </w:rPr>
        <w:t>ommitments to issue a commitment at some point in the future</w:t>
      </w:r>
      <w:r>
        <w:rPr>
          <w:szCs w:val="24"/>
        </w:rPr>
        <w:t xml:space="preserve"> are those</w:t>
      </w:r>
      <w:r w:rsidRPr="00D64CF4">
        <w:rPr>
          <w:szCs w:val="24"/>
        </w:rPr>
        <w:t xml:space="preserve"> </w:t>
      </w:r>
      <w:r>
        <w:rPr>
          <w:szCs w:val="24"/>
        </w:rPr>
        <w:t xml:space="preserve">where the bank has extended terms and the borrower has accepted the offered terms, </w:t>
      </w:r>
      <w:r w:rsidRPr="00D64CF4">
        <w:rPr>
          <w:szCs w:val="24"/>
        </w:rPr>
        <w:t>even though the related loan agreement has not yet been signed.</w:t>
      </w:r>
      <w:r>
        <w:rPr>
          <w:szCs w:val="24"/>
        </w:rPr>
        <w:t xml:space="preserve">  In addition, the agencies agree with the commenter’s recommendation concerning commitments that have been conveyed or participated to others and are proposing to modify the instructions accordingly. </w:t>
      </w:r>
    </w:p>
    <w:p w:rsidR="007D4892" w:rsidRDefault="007D4892" w:rsidP="00FB0DA8">
      <w:pPr>
        <w:pStyle w:val="BodyText"/>
        <w:widowControl/>
        <w:spacing w:line="240" w:lineRule="auto"/>
        <w:ind w:firstLine="720"/>
        <w:rPr>
          <w:snapToGrid/>
          <w:szCs w:val="24"/>
        </w:rPr>
      </w:pPr>
    </w:p>
    <w:p w:rsidR="00FB0DA8" w:rsidRDefault="00FB0DA8" w:rsidP="00FB0DA8">
      <w:pPr>
        <w:pStyle w:val="BodyText"/>
        <w:widowControl/>
        <w:spacing w:line="240" w:lineRule="auto"/>
        <w:ind w:firstLine="720"/>
        <w:rPr>
          <w:snapToGrid/>
          <w:szCs w:val="24"/>
        </w:rPr>
      </w:pPr>
      <w:r>
        <w:rPr>
          <w:snapToGrid/>
          <w:szCs w:val="24"/>
        </w:rPr>
        <w:t>The proposed revised instructions for Schedule RC-L, item 1, would read as follows:</w:t>
      </w:r>
    </w:p>
    <w:p w:rsidR="00FB0DA8" w:rsidRDefault="00FB0DA8" w:rsidP="00FB0DA8">
      <w:pPr>
        <w:pStyle w:val="BodyText"/>
        <w:widowControl/>
        <w:spacing w:line="240" w:lineRule="auto"/>
        <w:ind w:firstLine="720"/>
        <w:rPr>
          <w:snapToGrid/>
          <w:szCs w:val="24"/>
        </w:rPr>
      </w:pPr>
    </w:p>
    <w:p w:rsidR="00FB0DA8" w:rsidRPr="00D64CF4" w:rsidRDefault="00FB0DA8" w:rsidP="00FB0DA8">
      <w:pPr>
        <w:pStyle w:val="BodyText"/>
        <w:widowControl/>
        <w:spacing w:line="240" w:lineRule="auto"/>
        <w:ind w:left="360"/>
        <w:rPr>
          <w:szCs w:val="24"/>
        </w:rPr>
      </w:pPr>
      <w:r w:rsidRPr="00D64CF4">
        <w:rPr>
          <w:szCs w:val="24"/>
        </w:rPr>
        <w:t xml:space="preserve">Report in the appropriate subitem the unused portions of commitments.  Unused commitments are to be reported gross, i.e., include in the appropriate subitem the </w:t>
      </w:r>
      <w:r>
        <w:rPr>
          <w:szCs w:val="24"/>
        </w:rPr>
        <w:t xml:space="preserve">unused </w:t>
      </w:r>
      <w:r w:rsidRPr="00D64CF4">
        <w:rPr>
          <w:szCs w:val="24"/>
        </w:rPr>
        <w:t xml:space="preserve">amount of commitments acquired from and conveyed </w:t>
      </w:r>
      <w:r>
        <w:rPr>
          <w:szCs w:val="24"/>
        </w:rPr>
        <w:t xml:space="preserve">or participated </w:t>
      </w:r>
      <w:r w:rsidRPr="00D64CF4">
        <w:rPr>
          <w:szCs w:val="24"/>
        </w:rPr>
        <w:t>to others</w:t>
      </w:r>
      <w:r>
        <w:rPr>
          <w:szCs w:val="24"/>
        </w:rPr>
        <w:t xml:space="preserve">.  However, exclude commitments conveyed or participated to others that the bank </w:t>
      </w:r>
      <w:r>
        <w:rPr>
          <w:snapToGrid/>
          <w:szCs w:val="24"/>
        </w:rPr>
        <w:t>is not legally obligated to fund even if the party to whom the commitment has been conveyed or participated fails to perform in accordance with the terms of the commitment</w:t>
      </w:r>
      <w:r w:rsidRPr="00D64CF4">
        <w:rPr>
          <w:szCs w:val="24"/>
        </w:rPr>
        <w:t xml:space="preserve">.  </w:t>
      </w:r>
    </w:p>
    <w:p w:rsidR="00FB0DA8" w:rsidRPr="00D64CF4" w:rsidRDefault="00FB0DA8" w:rsidP="00FB0DA8">
      <w:pPr>
        <w:pStyle w:val="BodyText"/>
        <w:widowControl/>
        <w:spacing w:line="240" w:lineRule="auto"/>
        <w:ind w:left="360" w:firstLine="720"/>
        <w:rPr>
          <w:szCs w:val="24"/>
        </w:rPr>
      </w:pPr>
    </w:p>
    <w:p w:rsidR="00FB0DA8" w:rsidRPr="00D64CF4" w:rsidRDefault="00FB0DA8" w:rsidP="00FB0DA8">
      <w:pPr>
        <w:pStyle w:val="BodyText"/>
        <w:widowControl/>
        <w:spacing w:line="240" w:lineRule="auto"/>
        <w:ind w:left="360"/>
        <w:rPr>
          <w:szCs w:val="24"/>
        </w:rPr>
      </w:pPr>
      <w:r w:rsidRPr="00D64CF4">
        <w:rPr>
          <w:szCs w:val="24"/>
        </w:rPr>
        <w:t>For purposes of this item, commitments include:</w:t>
      </w:r>
    </w:p>
    <w:p w:rsidR="00FB0DA8" w:rsidRPr="00D64CF4" w:rsidRDefault="00FB0DA8" w:rsidP="00FB0DA8">
      <w:pPr>
        <w:pStyle w:val="BodyText"/>
        <w:widowControl/>
        <w:spacing w:line="240" w:lineRule="auto"/>
        <w:ind w:left="360" w:firstLine="720"/>
        <w:rPr>
          <w:szCs w:val="24"/>
        </w:rPr>
      </w:pPr>
    </w:p>
    <w:p w:rsidR="00FB0DA8" w:rsidRPr="00D64CF4" w:rsidRDefault="00FB0DA8" w:rsidP="00FB0DA8">
      <w:pPr>
        <w:pStyle w:val="BodyText"/>
        <w:widowControl/>
        <w:tabs>
          <w:tab w:val="left" w:pos="360"/>
          <w:tab w:val="left" w:pos="720"/>
        </w:tabs>
        <w:spacing w:line="240" w:lineRule="auto"/>
        <w:ind w:left="720" w:hanging="720"/>
        <w:rPr>
          <w:szCs w:val="24"/>
        </w:rPr>
      </w:pPr>
      <w:r>
        <w:rPr>
          <w:szCs w:val="24"/>
        </w:rPr>
        <w:tab/>
      </w:r>
      <w:r w:rsidRPr="00D64CF4">
        <w:rPr>
          <w:szCs w:val="24"/>
        </w:rPr>
        <w:t>(1)</w:t>
      </w:r>
      <w:r>
        <w:rPr>
          <w:szCs w:val="24"/>
        </w:rPr>
        <w:tab/>
      </w:r>
      <w:r w:rsidRPr="00D64CF4">
        <w:rPr>
          <w:szCs w:val="24"/>
        </w:rPr>
        <w:t>Commitments to make or purchase extensions of credit in the form of loans or</w:t>
      </w:r>
      <w:r w:rsidR="001E2954">
        <w:rPr>
          <w:szCs w:val="24"/>
        </w:rPr>
        <w:t xml:space="preserve"> </w:t>
      </w:r>
      <w:r w:rsidRPr="00D64CF4">
        <w:rPr>
          <w:szCs w:val="24"/>
        </w:rPr>
        <w:t>participations in loans, lease financing receivables, or similar transactions.</w:t>
      </w:r>
    </w:p>
    <w:p w:rsidR="00FB0DA8" w:rsidRPr="00D64CF4" w:rsidRDefault="00FB0DA8" w:rsidP="00FB0DA8">
      <w:pPr>
        <w:pStyle w:val="BodyText"/>
        <w:widowControl/>
        <w:tabs>
          <w:tab w:val="left" w:pos="360"/>
          <w:tab w:val="left" w:pos="720"/>
        </w:tabs>
        <w:spacing w:line="240" w:lineRule="auto"/>
        <w:ind w:left="720" w:hanging="720"/>
        <w:rPr>
          <w:szCs w:val="24"/>
        </w:rPr>
      </w:pPr>
      <w:r w:rsidRPr="00D64CF4">
        <w:rPr>
          <w:szCs w:val="24"/>
        </w:rPr>
        <w:tab/>
        <w:t>(2)</w:t>
      </w:r>
      <w:r w:rsidRPr="00D64CF4">
        <w:rPr>
          <w:szCs w:val="24"/>
        </w:rPr>
        <w:tab/>
        <w:t>Commitments for which the bank has charged a commitment fee or other consideration.</w:t>
      </w:r>
    </w:p>
    <w:p w:rsidR="00FB0DA8" w:rsidRPr="00D64CF4" w:rsidRDefault="00FB0DA8" w:rsidP="00FB0DA8">
      <w:pPr>
        <w:pStyle w:val="BodyText"/>
        <w:widowControl/>
        <w:tabs>
          <w:tab w:val="left" w:pos="360"/>
          <w:tab w:val="left" w:pos="720"/>
        </w:tabs>
        <w:spacing w:line="240" w:lineRule="auto"/>
        <w:ind w:left="720" w:hanging="720"/>
        <w:rPr>
          <w:szCs w:val="24"/>
        </w:rPr>
      </w:pPr>
      <w:r w:rsidRPr="00D64CF4">
        <w:rPr>
          <w:szCs w:val="24"/>
        </w:rPr>
        <w:tab/>
        <w:t>(3)</w:t>
      </w:r>
      <w:r w:rsidRPr="00D64CF4">
        <w:rPr>
          <w:szCs w:val="24"/>
        </w:rPr>
        <w:tab/>
        <w:t>Commitments that are legally binding.</w:t>
      </w:r>
    </w:p>
    <w:p w:rsidR="00FB0DA8" w:rsidRPr="00D64CF4" w:rsidRDefault="00FB0DA8" w:rsidP="00FB0DA8">
      <w:pPr>
        <w:pStyle w:val="BodyText"/>
        <w:widowControl/>
        <w:tabs>
          <w:tab w:val="left" w:pos="360"/>
          <w:tab w:val="left" w:pos="720"/>
        </w:tabs>
        <w:spacing w:line="240" w:lineRule="auto"/>
        <w:ind w:left="720" w:hanging="720"/>
        <w:rPr>
          <w:szCs w:val="24"/>
        </w:rPr>
      </w:pPr>
      <w:r w:rsidRPr="00D64CF4">
        <w:rPr>
          <w:szCs w:val="24"/>
        </w:rPr>
        <w:tab/>
        <w:t>(4)</w:t>
      </w:r>
      <w:r w:rsidRPr="00D64CF4">
        <w:rPr>
          <w:szCs w:val="24"/>
        </w:rPr>
        <w:tab/>
        <w:t>Loan proceeds that the bank is obligated to advance, such as:</w:t>
      </w:r>
    </w:p>
    <w:p w:rsidR="00FB0DA8" w:rsidRPr="00D64CF4" w:rsidRDefault="00FB0DA8" w:rsidP="00FB0DA8">
      <w:pPr>
        <w:pStyle w:val="BodyText"/>
        <w:widowControl/>
        <w:tabs>
          <w:tab w:val="left" w:pos="720"/>
          <w:tab w:val="left" w:pos="1080"/>
        </w:tabs>
        <w:spacing w:line="240" w:lineRule="auto"/>
        <w:ind w:firstLine="1080"/>
        <w:rPr>
          <w:szCs w:val="24"/>
        </w:rPr>
      </w:pPr>
      <w:r w:rsidRPr="00D64CF4">
        <w:rPr>
          <w:szCs w:val="24"/>
        </w:rPr>
        <w:t>(a)Loan draws;</w:t>
      </w:r>
    </w:p>
    <w:p w:rsidR="00FB0DA8" w:rsidRPr="00D64CF4" w:rsidRDefault="00FB0DA8" w:rsidP="00FB0DA8">
      <w:pPr>
        <w:pStyle w:val="BodyText"/>
        <w:widowControl/>
        <w:tabs>
          <w:tab w:val="left" w:pos="720"/>
          <w:tab w:val="left" w:pos="1080"/>
        </w:tabs>
        <w:spacing w:line="240" w:lineRule="auto"/>
        <w:ind w:firstLine="1080"/>
        <w:rPr>
          <w:szCs w:val="24"/>
        </w:rPr>
      </w:pPr>
      <w:r w:rsidRPr="00D64CF4">
        <w:rPr>
          <w:szCs w:val="24"/>
        </w:rPr>
        <w:t>(b)Construction progress payments; and</w:t>
      </w:r>
    </w:p>
    <w:p w:rsidR="00FB0DA8" w:rsidRPr="00D64CF4" w:rsidRDefault="00FB0DA8" w:rsidP="00FB0DA8">
      <w:pPr>
        <w:pStyle w:val="BodyText"/>
        <w:widowControl/>
        <w:tabs>
          <w:tab w:val="left" w:pos="720"/>
          <w:tab w:val="left" w:pos="1080"/>
        </w:tabs>
        <w:spacing w:line="240" w:lineRule="auto"/>
        <w:ind w:firstLine="1080"/>
        <w:rPr>
          <w:szCs w:val="24"/>
        </w:rPr>
      </w:pPr>
      <w:r w:rsidRPr="00D64CF4">
        <w:rPr>
          <w:szCs w:val="24"/>
        </w:rPr>
        <w:t>(c)Seasonal or living advances to farmers under prearranged lines of credit.</w:t>
      </w:r>
    </w:p>
    <w:p w:rsidR="00FB0DA8" w:rsidRPr="00D64CF4" w:rsidRDefault="00FB0DA8" w:rsidP="00FB0DA8">
      <w:pPr>
        <w:pStyle w:val="BodyText"/>
        <w:widowControl/>
        <w:tabs>
          <w:tab w:val="left" w:pos="360"/>
          <w:tab w:val="left" w:pos="720"/>
        </w:tabs>
        <w:spacing w:line="240" w:lineRule="auto"/>
        <w:ind w:left="720" w:hanging="720"/>
        <w:rPr>
          <w:szCs w:val="24"/>
        </w:rPr>
      </w:pPr>
      <w:r>
        <w:rPr>
          <w:szCs w:val="24"/>
        </w:rPr>
        <w:tab/>
      </w:r>
      <w:r w:rsidRPr="00D64CF4">
        <w:rPr>
          <w:szCs w:val="24"/>
        </w:rPr>
        <w:t>(5)</w:t>
      </w:r>
      <w:r>
        <w:rPr>
          <w:szCs w:val="24"/>
        </w:rPr>
        <w:tab/>
      </w:r>
      <w:r w:rsidRPr="00D64CF4">
        <w:rPr>
          <w:szCs w:val="24"/>
        </w:rPr>
        <w:t>Rotating, revolving, and open-end credit arrangements, including, but not limited to, retail credit card lines and home equity lines of credit.</w:t>
      </w:r>
    </w:p>
    <w:p w:rsidR="00FB0DA8" w:rsidRPr="00D64CF4" w:rsidRDefault="00FB0DA8" w:rsidP="00FB0DA8">
      <w:pPr>
        <w:pStyle w:val="BodyText"/>
        <w:widowControl/>
        <w:tabs>
          <w:tab w:val="left" w:pos="360"/>
          <w:tab w:val="left" w:pos="720"/>
        </w:tabs>
        <w:spacing w:line="240" w:lineRule="auto"/>
        <w:ind w:left="720" w:hanging="720"/>
        <w:rPr>
          <w:szCs w:val="24"/>
        </w:rPr>
      </w:pPr>
      <w:r>
        <w:rPr>
          <w:szCs w:val="24"/>
        </w:rPr>
        <w:lastRenderedPageBreak/>
        <w:tab/>
      </w:r>
      <w:r w:rsidRPr="00D64CF4">
        <w:rPr>
          <w:szCs w:val="24"/>
        </w:rPr>
        <w:t>(6)</w:t>
      </w:r>
      <w:r w:rsidRPr="00D64CF4">
        <w:rPr>
          <w:szCs w:val="24"/>
        </w:rPr>
        <w:tab/>
        <w:t xml:space="preserve">Commitments to issue a commitment at some point in the future, </w:t>
      </w:r>
      <w:r>
        <w:rPr>
          <w:szCs w:val="24"/>
        </w:rPr>
        <w:t xml:space="preserve">where the bank has extended terms and the borrower has accepted the offered terms, </w:t>
      </w:r>
      <w:r w:rsidR="00A55F7E">
        <w:rPr>
          <w:szCs w:val="24"/>
        </w:rPr>
        <w:t xml:space="preserve">and the extension and acceptance of the terms are in writing or, if not in writing, are legally binding on the bank and the borrower, </w:t>
      </w:r>
      <w:r w:rsidRPr="00D64CF4">
        <w:rPr>
          <w:szCs w:val="24"/>
        </w:rPr>
        <w:t>even though the related loan agreement has not yet been signed.</w:t>
      </w:r>
    </w:p>
    <w:p w:rsidR="00FB0DA8" w:rsidRPr="00D64CF4" w:rsidRDefault="00FB0DA8" w:rsidP="00FB0DA8">
      <w:pPr>
        <w:pStyle w:val="BodyText"/>
        <w:widowControl/>
        <w:tabs>
          <w:tab w:val="left" w:pos="360"/>
          <w:tab w:val="left" w:pos="720"/>
        </w:tabs>
        <w:spacing w:line="240" w:lineRule="auto"/>
        <w:ind w:left="720" w:hanging="720"/>
        <w:rPr>
          <w:szCs w:val="24"/>
        </w:rPr>
      </w:pPr>
      <w:r>
        <w:rPr>
          <w:szCs w:val="24"/>
        </w:rPr>
        <w:tab/>
      </w:r>
      <w:r w:rsidRPr="00D64CF4">
        <w:rPr>
          <w:szCs w:val="24"/>
        </w:rPr>
        <w:t>(7)</w:t>
      </w:r>
      <w:r w:rsidRPr="00D64CF4">
        <w:rPr>
          <w:szCs w:val="24"/>
        </w:rPr>
        <w:tab/>
        <w:t>Overdraft protection on depositors’ accounts offered under a program where the bank advises account holders of the available amount of overdraft protection, for example, when accounts are opened or on depositors' account statements or ATM receipts. </w:t>
      </w:r>
    </w:p>
    <w:p w:rsidR="00FB0DA8" w:rsidRDefault="00FB0DA8" w:rsidP="00FB0DA8">
      <w:pPr>
        <w:pStyle w:val="BodyText"/>
        <w:widowControl/>
        <w:tabs>
          <w:tab w:val="left" w:pos="360"/>
          <w:tab w:val="left" w:pos="720"/>
        </w:tabs>
        <w:spacing w:line="240" w:lineRule="auto"/>
        <w:ind w:left="720" w:hanging="720"/>
        <w:rPr>
          <w:szCs w:val="24"/>
        </w:rPr>
      </w:pPr>
      <w:r w:rsidRPr="00D64CF4">
        <w:rPr>
          <w:szCs w:val="24"/>
        </w:rPr>
        <w:tab/>
        <w:t>(8)</w:t>
      </w:r>
      <w:r w:rsidRPr="00D64CF4">
        <w:rPr>
          <w:szCs w:val="24"/>
        </w:rPr>
        <w:tab/>
        <w:t>The bank</w:t>
      </w:r>
      <w:r>
        <w:rPr>
          <w:szCs w:val="24"/>
        </w:rPr>
        <w:t>’</w:t>
      </w:r>
      <w:r w:rsidRPr="00D64CF4">
        <w:rPr>
          <w:szCs w:val="24"/>
        </w:rPr>
        <w:t>s own takedown in securities underwriting transactions.</w:t>
      </w:r>
    </w:p>
    <w:p w:rsidR="00FB0DA8" w:rsidRPr="00D64CF4" w:rsidRDefault="00FB0DA8" w:rsidP="00FB0DA8">
      <w:pPr>
        <w:pStyle w:val="BodyText"/>
        <w:widowControl/>
        <w:tabs>
          <w:tab w:val="left" w:pos="360"/>
          <w:tab w:val="left" w:pos="720"/>
        </w:tabs>
        <w:spacing w:line="240" w:lineRule="auto"/>
        <w:ind w:left="720" w:hanging="720"/>
        <w:rPr>
          <w:szCs w:val="24"/>
        </w:rPr>
      </w:pPr>
      <w:r w:rsidRPr="00D64CF4">
        <w:rPr>
          <w:szCs w:val="24"/>
        </w:rPr>
        <w:tab/>
        <w:t>(9)</w:t>
      </w:r>
      <w:r w:rsidRPr="00D64CF4">
        <w:rPr>
          <w:szCs w:val="24"/>
        </w:rPr>
        <w:tab/>
        <w:t>Revolving underwriting facilities (RUFs), note issuance facilities (NIFs), and other similar arrangements, which are facilities under which a borrower can issue on a revolving basis short</w:t>
      </w:r>
      <w:r w:rsidRPr="00D64CF4">
        <w:rPr>
          <w:szCs w:val="24"/>
        </w:rPr>
        <w:noBreakHyphen/>
        <w:t xml:space="preserve">term paper in its own name, but for which the underwriting banks have a legally binding commitment either to purchase any notes the borrower is unable to sell by the rollover date or to advance funds to the borrower. </w:t>
      </w:r>
    </w:p>
    <w:p w:rsidR="00FB0DA8" w:rsidRPr="00D64CF4" w:rsidRDefault="00FB0DA8" w:rsidP="00FB0DA8">
      <w:pPr>
        <w:pStyle w:val="BodyText"/>
        <w:widowControl/>
        <w:spacing w:line="240" w:lineRule="auto"/>
        <w:ind w:left="360" w:firstLine="720"/>
        <w:rPr>
          <w:szCs w:val="24"/>
        </w:rPr>
      </w:pPr>
    </w:p>
    <w:p w:rsidR="00FB0DA8" w:rsidRPr="00D64CF4" w:rsidRDefault="00FB0DA8" w:rsidP="00FB0DA8">
      <w:pPr>
        <w:pStyle w:val="BodyText"/>
        <w:widowControl/>
        <w:tabs>
          <w:tab w:val="left" w:pos="360"/>
        </w:tabs>
        <w:spacing w:line="240" w:lineRule="auto"/>
        <w:ind w:left="360" w:hanging="360"/>
        <w:rPr>
          <w:szCs w:val="24"/>
        </w:rPr>
      </w:pPr>
      <w:r w:rsidRPr="00D64CF4">
        <w:rPr>
          <w:szCs w:val="24"/>
        </w:rPr>
        <w:t xml:space="preserve">  </w:t>
      </w:r>
      <w:r w:rsidRPr="00D64CF4">
        <w:rPr>
          <w:szCs w:val="24"/>
        </w:rPr>
        <w:tab/>
      </w:r>
      <w:r w:rsidR="00CD0778">
        <w:rPr>
          <w:szCs w:val="24"/>
        </w:rPr>
        <w:tab/>
      </w:r>
      <w:r w:rsidRPr="00D64CF4">
        <w:rPr>
          <w:szCs w:val="24"/>
        </w:rPr>
        <w:t xml:space="preserve">Exclude forward contracts and other commitments that meet the definition of a derivative and must be accounted for in accordance with FASB </w:t>
      </w:r>
      <w:r w:rsidR="00A55F7E">
        <w:rPr>
          <w:szCs w:val="24"/>
        </w:rPr>
        <w:t xml:space="preserve">Accounting Standards Codifications Subtopic 815-10, Derivatives and Hedging – Overall (formerly </w:t>
      </w:r>
      <w:r w:rsidR="001701E1">
        <w:rPr>
          <w:szCs w:val="24"/>
        </w:rPr>
        <w:t xml:space="preserve">referred to as </w:t>
      </w:r>
      <w:r w:rsidRPr="00D64CF4">
        <w:rPr>
          <w:szCs w:val="24"/>
        </w:rPr>
        <w:t>Statement No. 133</w:t>
      </w:r>
      <w:r w:rsidR="001701E1">
        <w:rPr>
          <w:szCs w:val="24"/>
        </w:rPr>
        <w:t>)</w:t>
      </w:r>
      <w:r w:rsidRPr="00D64CF4">
        <w:rPr>
          <w:szCs w:val="24"/>
        </w:rPr>
        <w:t xml:space="preserve">, which should be reported in Schedule RC-L, item 12.  Include the amount </w:t>
      </w:r>
      <w:r>
        <w:rPr>
          <w:szCs w:val="24"/>
        </w:rPr>
        <w:t xml:space="preserve">(not the fair value) </w:t>
      </w:r>
      <w:r w:rsidRPr="00D64CF4">
        <w:rPr>
          <w:szCs w:val="24"/>
        </w:rPr>
        <w:t xml:space="preserve">of the unused portions of </w:t>
      </w:r>
      <w:r w:rsidRPr="00D64CF4">
        <w:rPr>
          <w:bCs/>
          <w:szCs w:val="24"/>
        </w:rPr>
        <w:t>loan commitments that do not meet the definition of a derivative that the bank has elected to report at fair value under a fair value option.  Also include forward contracts that do not meet the definition of a derivative.</w:t>
      </w:r>
    </w:p>
    <w:p w:rsidR="00FB0DA8" w:rsidRPr="00D64CF4" w:rsidRDefault="00FB0DA8" w:rsidP="00FB0DA8">
      <w:pPr>
        <w:pStyle w:val="BodyText"/>
        <w:widowControl/>
        <w:tabs>
          <w:tab w:val="left" w:pos="360"/>
        </w:tabs>
        <w:spacing w:line="240" w:lineRule="auto"/>
        <w:ind w:left="360" w:hanging="360"/>
        <w:rPr>
          <w:b/>
          <w:szCs w:val="24"/>
          <w:u w:val="single"/>
        </w:rPr>
      </w:pPr>
    </w:p>
    <w:p w:rsidR="00FB0DA8" w:rsidRPr="00D64CF4" w:rsidRDefault="00FB0DA8" w:rsidP="00FB0DA8">
      <w:pPr>
        <w:pStyle w:val="BodyText"/>
        <w:widowControl/>
        <w:tabs>
          <w:tab w:val="left" w:pos="360"/>
        </w:tabs>
        <w:spacing w:line="240" w:lineRule="auto"/>
        <w:ind w:left="360" w:hanging="360"/>
        <w:rPr>
          <w:szCs w:val="24"/>
        </w:rPr>
      </w:pPr>
      <w:r w:rsidRPr="00D64CF4">
        <w:rPr>
          <w:szCs w:val="24"/>
        </w:rPr>
        <w:tab/>
      </w:r>
      <w:r w:rsidR="00CD0778">
        <w:rPr>
          <w:szCs w:val="24"/>
        </w:rPr>
        <w:tab/>
      </w:r>
      <w:r w:rsidRPr="00D64CF4">
        <w:rPr>
          <w:szCs w:val="24"/>
        </w:rPr>
        <w:t>The unused portions of commitments are to be reported in the appropriate subitem regardless of whether they contain </w:t>
      </w:r>
      <w:r>
        <w:rPr>
          <w:szCs w:val="24"/>
        </w:rPr>
        <w:t>“</w:t>
      </w:r>
      <w:r w:rsidRPr="00D64CF4">
        <w:rPr>
          <w:szCs w:val="24"/>
        </w:rPr>
        <w:t>material adverse change</w:t>
      </w:r>
      <w:r>
        <w:rPr>
          <w:szCs w:val="24"/>
        </w:rPr>
        <w:t>”</w:t>
      </w:r>
      <w:r w:rsidRPr="00D64CF4">
        <w:rPr>
          <w:szCs w:val="24"/>
        </w:rPr>
        <w:t xml:space="preserve"> clauses or other provisions that are intended to relieve the issuer of its funding obligations under certain conditions and regardless of whether they are unconditionally cancelable at any time.  </w:t>
      </w:r>
    </w:p>
    <w:p w:rsidR="00FB0DA8" w:rsidRPr="00D64CF4" w:rsidRDefault="00FB0DA8" w:rsidP="00FB0DA8">
      <w:pPr>
        <w:pStyle w:val="BodyText"/>
        <w:widowControl/>
        <w:tabs>
          <w:tab w:val="left" w:pos="360"/>
        </w:tabs>
        <w:spacing w:line="240" w:lineRule="auto"/>
        <w:ind w:left="360" w:hanging="360"/>
        <w:rPr>
          <w:szCs w:val="24"/>
        </w:rPr>
      </w:pPr>
    </w:p>
    <w:p w:rsidR="00FB0DA8" w:rsidRPr="00D64CF4" w:rsidRDefault="00FB0DA8" w:rsidP="00FB0DA8">
      <w:pPr>
        <w:pStyle w:val="BodyText"/>
        <w:widowControl/>
        <w:tabs>
          <w:tab w:val="left" w:pos="360"/>
        </w:tabs>
        <w:spacing w:line="240" w:lineRule="auto"/>
        <w:ind w:left="360" w:hanging="360"/>
        <w:rPr>
          <w:szCs w:val="24"/>
        </w:rPr>
      </w:pPr>
      <w:r w:rsidRPr="00D64CF4">
        <w:rPr>
          <w:szCs w:val="24"/>
        </w:rPr>
        <w:tab/>
      </w:r>
      <w:r w:rsidR="00CD0778">
        <w:rPr>
          <w:szCs w:val="24"/>
        </w:rPr>
        <w:tab/>
      </w:r>
      <w:r w:rsidRPr="00D64CF4">
        <w:rPr>
          <w:szCs w:val="24"/>
        </w:rPr>
        <w:t>In the case of commitments for syndicated loans, report only the bank</w:t>
      </w:r>
      <w:r>
        <w:rPr>
          <w:szCs w:val="24"/>
        </w:rPr>
        <w:t>’</w:t>
      </w:r>
      <w:r w:rsidRPr="00D64CF4">
        <w:rPr>
          <w:szCs w:val="24"/>
        </w:rPr>
        <w:t xml:space="preserve">s proportional share of the commitment.  </w:t>
      </w:r>
    </w:p>
    <w:p w:rsidR="00FB0DA8" w:rsidRPr="00D64CF4" w:rsidRDefault="00FB0DA8" w:rsidP="00FB0DA8">
      <w:pPr>
        <w:pStyle w:val="BodyText"/>
        <w:widowControl/>
        <w:tabs>
          <w:tab w:val="left" w:pos="360"/>
        </w:tabs>
        <w:spacing w:line="240" w:lineRule="auto"/>
        <w:ind w:left="360" w:hanging="360"/>
        <w:rPr>
          <w:szCs w:val="24"/>
        </w:rPr>
      </w:pPr>
    </w:p>
    <w:p w:rsidR="00FB0DA8" w:rsidRPr="00D64CF4" w:rsidRDefault="00FB0DA8" w:rsidP="00FB0DA8">
      <w:pPr>
        <w:pStyle w:val="BodyText"/>
        <w:widowControl/>
        <w:tabs>
          <w:tab w:val="left" w:pos="360"/>
        </w:tabs>
        <w:spacing w:line="240" w:lineRule="auto"/>
        <w:ind w:left="360" w:hanging="360"/>
        <w:rPr>
          <w:szCs w:val="24"/>
        </w:rPr>
      </w:pPr>
      <w:r w:rsidRPr="00D64CF4">
        <w:rPr>
          <w:szCs w:val="24"/>
        </w:rPr>
        <w:t xml:space="preserve">   </w:t>
      </w:r>
      <w:r w:rsidRPr="00D64CF4">
        <w:rPr>
          <w:szCs w:val="24"/>
        </w:rPr>
        <w:tab/>
        <w:t>For purposes of reporting the unused portions of revolving asset-based lending commitments, the commitment is defined as the amount a bank is obligated to fund – as of the report date – based on the contractually agreed upon terms.  In the case of revolving asset-based lending, the unused portions of such commitments should be measured as the difference between (a) the lesser of the contractual borrowing base (i.e., eligible collateral times the advance rate) or the note commitment limit, and (b) the sum of outstanding loans and letters of credit under the commitment.  The note commitment limit is the overall maximum loan amount beyond which the bank will not advance funds regardless of the amount of collateral posted.  This definition of “commitment” is applicable only to revolving asset-based lending, which is a specialized form of secured lending in which a borrower uses current assets (e.g., accounts receivable and inventory) as collateral for a loan.  The loan is structured so that the amount of credit is limited by the value of the collateral.</w:t>
      </w:r>
    </w:p>
    <w:p w:rsidR="00FB0DA8" w:rsidRDefault="00FB0DA8" w:rsidP="00FB0DA8">
      <w:pPr>
        <w:pStyle w:val="BodyText"/>
        <w:widowControl/>
        <w:tabs>
          <w:tab w:val="left" w:pos="360"/>
        </w:tabs>
        <w:spacing w:line="240" w:lineRule="auto"/>
        <w:rPr>
          <w:snapToGrid/>
          <w:szCs w:val="24"/>
          <w:u w:val="single"/>
        </w:rPr>
      </w:pPr>
    </w:p>
    <w:p w:rsidR="00FB0DA8" w:rsidRDefault="00FB0DA8" w:rsidP="00FB0DA8">
      <w:pPr>
        <w:pStyle w:val="BodyText"/>
        <w:widowControl/>
        <w:tabs>
          <w:tab w:val="left" w:pos="360"/>
        </w:tabs>
        <w:spacing w:line="240" w:lineRule="auto"/>
        <w:rPr>
          <w:snapToGrid/>
          <w:szCs w:val="24"/>
        </w:rPr>
      </w:pPr>
      <w:r>
        <w:rPr>
          <w:snapToGrid/>
          <w:szCs w:val="24"/>
          <w:u w:val="single"/>
        </w:rPr>
        <w:t>C.  Additional Categories of Unused Commitments and Loans</w:t>
      </w:r>
    </w:p>
    <w:p w:rsidR="00FB0DA8" w:rsidRDefault="00FB0DA8" w:rsidP="00FB0DA8">
      <w:pPr>
        <w:pStyle w:val="BodyText"/>
        <w:widowControl/>
        <w:tabs>
          <w:tab w:val="left" w:pos="360"/>
        </w:tabs>
        <w:spacing w:line="240" w:lineRule="auto"/>
        <w:rPr>
          <w:snapToGrid/>
          <w:szCs w:val="24"/>
        </w:rPr>
      </w:pPr>
    </w:p>
    <w:p w:rsidR="00FB0DA8" w:rsidRDefault="00FB0DA8" w:rsidP="00FB0DA8">
      <w:pPr>
        <w:ind w:firstLine="720"/>
        <w:jc w:val="both"/>
        <w:rPr>
          <w:color w:val="000000"/>
        </w:rPr>
      </w:pPr>
      <w:r w:rsidRPr="00D46D09">
        <w:rPr>
          <w:color w:val="000000"/>
        </w:rPr>
        <w:t xml:space="preserve">The extent </w:t>
      </w:r>
      <w:r w:rsidR="001701E1">
        <w:rPr>
          <w:color w:val="000000"/>
        </w:rPr>
        <w:t xml:space="preserve">to which banks are </w:t>
      </w:r>
      <w:r w:rsidRPr="00D46D09">
        <w:rPr>
          <w:color w:val="000000"/>
        </w:rPr>
        <w:t>supply</w:t>
      </w:r>
      <w:r w:rsidR="001701E1">
        <w:rPr>
          <w:color w:val="000000"/>
        </w:rPr>
        <w:t>ing</w:t>
      </w:r>
      <w:r w:rsidRPr="00D46D09">
        <w:rPr>
          <w:color w:val="000000"/>
        </w:rPr>
        <w:t xml:space="preserve"> credit during the </w:t>
      </w:r>
      <w:r>
        <w:rPr>
          <w:color w:val="000000"/>
        </w:rPr>
        <w:t xml:space="preserve">current </w:t>
      </w:r>
      <w:r w:rsidRPr="00D46D09">
        <w:rPr>
          <w:color w:val="000000"/>
        </w:rPr>
        <w:t xml:space="preserve">financial crisis has been of great interest to the </w:t>
      </w:r>
      <w:r w:rsidR="001701E1">
        <w:rPr>
          <w:color w:val="000000"/>
        </w:rPr>
        <w:t xml:space="preserve">Executive Branch, the </w:t>
      </w:r>
      <w:r w:rsidRPr="00D46D09">
        <w:rPr>
          <w:color w:val="000000"/>
        </w:rPr>
        <w:t>Congress</w:t>
      </w:r>
      <w:r w:rsidR="001701E1">
        <w:rPr>
          <w:color w:val="000000"/>
        </w:rPr>
        <w:t>, and the banking agencies</w:t>
      </w:r>
      <w:r w:rsidRPr="00D46D09">
        <w:rPr>
          <w:color w:val="000000"/>
        </w:rPr>
        <w:t xml:space="preserve">.  </w:t>
      </w:r>
      <w:r w:rsidR="001701E1">
        <w:rPr>
          <w:color w:val="000000"/>
        </w:rPr>
        <w:t>B</w:t>
      </w:r>
      <w:r>
        <w:rPr>
          <w:color w:val="000000"/>
        </w:rPr>
        <w:t xml:space="preserve">ank lending </w:t>
      </w:r>
      <w:r>
        <w:rPr>
          <w:color w:val="000000"/>
        </w:rPr>
        <w:lastRenderedPageBreak/>
        <w:t xml:space="preserve">plays a central role in any economic recovery and the agencies need data to better determine when credit conditions have eased.  </w:t>
      </w:r>
      <w:r w:rsidRPr="00D46D09">
        <w:rPr>
          <w:color w:val="000000"/>
        </w:rPr>
        <w:t xml:space="preserve">One way to measure the supply of credit is to analyze the change in total lending commitments by banks, considering both the amount of loans outstanding and the volume of unused </w:t>
      </w:r>
      <w:r>
        <w:rPr>
          <w:color w:val="000000"/>
        </w:rPr>
        <w:t>c</w:t>
      </w:r>
      <w:r w:rsidRPr="00D46D09">
        <w:rPr>
          <w:color w:val="000000"/>
        </w:rPr>
        <w:t xml:space="preserve">redit lines.  These data are also needed for safety and soundness purposes </w:t>
      </w:r>
      <w:r>
        <w:rPr>
          <w:color w:val="000000"/>
        </w:rPr>
        <w:t>because</w:t>
      </w:r>
      <w:r w:rsidRPr="00D46D09">
        <w:rPr>
          <w:color w:val="000000"/>
        </w:rPr>
        <w:t xml:space="preserve"> draws on commitments</w:t>
      </w:r>
      <w:r>
        <w:rPr>
          <w:color w:val="000000"/>
        </w:rPr>
        <w:t xml:space="preserve"> during periods when banks face significant funding pressures, such as during the fall of 2008,</w:t>
      </w:r>
      <w:r w:rsidRPr="00D46D09">
        <w:rPr>
          <w:color w:val="000000"/>
        </w:rPr>
        <w:t xml:space="preserve"> can place significant and unexpected demands on the liquidity and capital positions of banks.  </w:t>
      </w:r>
      <w:r>
        <w:rPr>
          <w:color w:val="000000"/>
        </w:rPr>
        <w:t>Therefore, t</w:t>
      </w:r>
      <w:r w:rsidRPr="00D46D09">
        <w:rPr>
          <w:color w:val="000000"/>
        </w:rPr>
        <w:t xml:space="preserve">he agencies propose breaking out in further detail </w:t>
      </w:r>
      <w:r>
        <w:rPr>
          <w:color w:val="000000"/>
        </w:rPr>
        <w:t xml:space="preserve">two categories of unused commitments on </w:t>
      </w:r>
      <w:r w:rsidRPr="00D46D09">
        <w:rPr>
          <w:color w:val="000000"/>
        </w:rPr>
        <w:t>Schedule RC-L,</w:t>
      </w:r>
      <w:r>
        <w:rPr>
          <w:color w:val="000000"/>
        </w:rPr>
        <w:t xml:space="preserve"> Derivatives and Off-Balance Sheet Items.  </w:t>
      </w:r>
      <w:r w:rsidRPr="00D46D09">
        <w:rPr>
          <w:color w:val="000000"/>
        </w:rPr>
        <w:t>The agencies also propose to break</w:t>
      </w:r>
      <w:r>
        <w:rPr>
          <w:color w:val="000000"/>
        </w:rPr>
        <w:t xml:space="preserve"> </w:t>
      </w:r>
      <w:r w:rsidRPr="00D46D09">
        <w:rPr>
          <w:color w:val="000000"/>
        </w:rPr>
        <w:t xml:space="preserve">out in further detail </w:t>
      </w:r>
      <w:r>
        <w:rPr>
          <w:color w:val="000000"/>
        </w:rPr>
        <w:t>one new</w:t>
      </w:r>
      <w:r w:rsidRPr="00D46D09">
        <w:rPr>
          <w:color w:val="000000"/>
        </w:rPr>
        <w:t xml:space="preserve"> </w:t>
      </w:r>
      <w:r>
        <w:rPr>
          <w:color w:val="000000"/>
        </w:rPr>
        <w:t xml:space="preserve">loan </w:t>
      </w:r>
      <w:r w:rsidRPr="00D46D09">
        <w:rPr>
          <w:color w:val="000000"/>
        </w:rPr>
        <w:t>categor</w:t>
      </w:r>
      <w:r>
        <w:rPr>
          <w:color w:val="000000"/>
        </w:rPr>
        <w:t>y</w:t>
      </w:r>
      <w:r w:rsidRPr="00D46D09">
        <w:rPr>
          <w:color w:val="000000"/>
        </w:rPr>
        <w:t xml:space="preserve"> on Schedule</w:t>
      </w:r>
      <w:r>
        <w:rPr>
          <w:color w:val="000000"/>
        </w:rPr>
        <w:t> </w:t>
      </w:r>
      <w:r w:rsidRPr="00D46D09">
        <w:rPr>
          <w:color w:val="000000"/>
        </w:rPr>
        <w:t>RC</w:t>
      </w:r>
      <w:r>
        <w:rPr>
          <w:color w:val="000000"/>
        </w:rPr>
        <w:t>-C, part I, Loans and Leases</w:t>
      </w:r>
      <w:r w:rsidRPr="00D46D09">
        <w:rPr>
          <w:color w:val="000000"/>
        </w:rPr>
        <w:t xml:space="preserve">.  These new data items would improve the agencies’ ability to </w:t>
      </w:r>
      <w:r>
        <w:rPr>
          <w:color w:val="000000"/>
        </w:rPr>
        <w:t>obtain</w:t>
      </w:r>
      <w:r w:rsidRPr="00D46D09">
        <w:rPr>
          <w:color w:val="000000"/>
        </w:rPr>
        <w:t xml:space="preserve"> timely and accurate readings on the supply of credit</w:t>
      </w:r>
      <w:r>
        <w:rPr>
          <w:color w:val="000000"/>
        </w:rPr>
        <w:t xml:space="preserve"> available to households and businesses</w:t>
      </w:r>
      <w:r w:rsidRPr="00D46D09">
        <w:rPr>
          <w:color w:val="000000"/>
        </w:rPr>
        <w:t>.  These data would also be useful in determining the effectiveness of th</w:t>
      </w:r>
      <w:r>
        <w:rPr>
          <w:color w:val="000000"/>
        </w:rPr>
        <w:t>e government’s economic stabilization</w:t>
      </w:r>
      <w:r w:rsidRPr="00D46D09">
        <w:rPr>
          <w:color w:val="000000"/>
        </w:rPr>
        <w:t xml:space="preserve"> programs.  </w:t>
      </w:r>
    </w:p>
    <w:p w:rsidR="007D4892" w:rsidRPr="00D46D09" w:rsidRDefault="007D4892" w:rsidP="00FB0DA8">
      <w:pPr>
        <w:ind w:firstLine="720"/>
        <w:jc w:val="both"/>
        <w:rPr>
          <w:color w:val="000000"/>
        </w:rPr>
      </w:pPr>
    </w:p>
    <w:p w:rsidR="00FB0DA8" w:rsidRDefault="00FB0DA8" w:rsidP="00FB0DA8">
      <w:pPr>
        <w:ind w:firstLine="720"/>
        <w:jc w:val="both"/>
      </w:pPr>
      <w:r>
        <w:rPr>
          <w:color w:val="000000"/>
        </w:rPr>
        <w:t>U</w:t>
      </w:r>
      <w:r w:rsidRPr="00D46D09">
        <w:rPr>
          <w:color w:val="000000"/>
        </w:rPr>
        <w:t>nused commitments associated with credit card lines</w:t>
      </w:r>
      <w:r>
        <w:rPr>
          <w:color w:val="000000"/>
        </w:rPr>
        <w:t xml:space="preserve"> are reported in Schedule </w:t>
      </w:r>
      <w:r w:rsidRPr="00D46D09">
        <w:rPr>
          <w:color w:val="000000"/>
        </w:rPr>
        <w:t>RC-L, item 1</w:t>
      </w:r>
      <w:r>
        <w:rPr>
          <w:color w:val="000000"/>
        </w:rPr>
        <w:t>.</w:t>
      </w:r>
      <w:r w:rsidRPr="00D46D09">
        <w:rPr>
          <w:color w:val="000000"/>
        </w:rPr>
        <w:t xml:space="preserve">b.  This data item is not </w:t>
      </w:r>
      <w:r>
        <w:rPr>
          <w:color w:val="000000"/>
        </w:rPr>
        <w:t xml:space="preserve">sufficiently meaningful </w:t>
      </w:r>
      <w:r w:rsidRPr="00D46D09">
        <w:rPr>
          <w:color w:val="000000"/>
        </w:rPr>
        <w:t>for monitoring the supply of credit because it mixes consumer credit card lines with credit card lines</w:t>
      </w:r>
      <w:r>
        <w:rPr>
          <w:color w:val="000000"/>
        </w:rPr>
        <w:t xml:space="preserve"> for businesses and other entities</w:t>
      </w:r>
      <w:r w:rsidRPr="00D46D09">
        <w:rPr>
          <w:color w:val="000000"/>
        </w:rPr>
        <w:t xml:space="preserve">.  As a result of this aggregation, it is not possible to fully monitor credit available </w:t>
      </w:r>
      <w:r>
        <w:rPr>
          <w:color w:val="000000"/>
        </w:rPr>
        <w:t xml:space="preserve">specifically </w:t>
      </w:r>
      <w:r w:rsidRPr="00D46D09">
        <w:rPr>
          <w:color w:val="000000"/>
        </w:rPr>
        <w:t xml:space="preserve">to households.  </w:t>
      </w:r>
      <w:r>
        <w:rPr>
          <w:color w:val="000000"/>
        </w:rPr>
        <w:t xml:space="preserve">Furthermore, bank supervisors would benefit from the split, because the usage patterns, profitability, and evolution of credit quality through the business cycle are likely to differ for consumer credit cards and business credit cards. </w:t>
      </w:r>
      <w:r w:rsidRPr="00D46D09">
        <w:rPr>
          <w:color w:val="000000"/>
        </w:rPr>
        <w:t xml:space="preserve">Therefore, </w:t>
      </w:r>
      <w:r>
        <w:rPr>
          <w:color w:val="000000"/>
        </w:rPr>
        <w:t xml:space="preserve">the </w:t>
      </w:r>
      <w:r w:rsidRPr="00D46D09">
        <w:rPr>
          <w:color w:val="000000"/>
        </w:rPr>
        <w:t xml:space="preserve">agencies propose to split </w:t>
      </w:r>
      <w:r>
        <w:rPr>
          <w:color w:val="000000"/>
        </w:rPr>
        <w:t xml:space="preserve">Schedule </w:t>
      </w:r>
      <w:r w:rsidRPr="00D46D09">
        <w:rPr>
          <w:color w:val="000000"/>
        </w:rPr>
        <w:t>RC-L</w:t>
      </w:r>
      <w:r>
        <w:rPr>
          <w:color w:val="000000"/>
        </w:rPr>
        <w:t>, item</w:t>
      </w:r>
      <w:r w:rsidRPr="00D46D09">
        <w:rPr>
          <w:color w:val="000000"/>
        </w:rPr>
        <w:t xml:space="preserve"> 1</w:t>
      </w:r>
      <w:r>
        <w:rPr>
          <w:color w:val="000000"/>
        </w:rPr>
        <w:t>.b,</w:t>
      </w:r>
      <w:r w:rsidRPr="00D46D09">
        <w:rPr>
          <w:color w:val="000000"/>
        </w:rPr>
        <w:t xml:space="preserve"> into </w:t>
      </w:r>
      <w:r>
        <w:rPr>
          <w:color w:val="000000"/>
        </w:rPr>
        <w:t xml:space="preserve">unused </w:t>
      </w:r>
      <w:r w:rsidRPr="00D46D09">
        <w:rPr>
          <w:color w:val="000000"/>
        </w:rPr>
        <w:t>consumer credit card</w:t>
      </w:r>
      <w:r>
        <w:rPr>
          <w:color w:val="000000"/>
        </w:rPr>
        <w:t xml:space="preserve"> line</w:t>
      </w:r>
      <w:r w:rsidRPr="00D46D09">
        <w:rPr>
          <w:color w:val="000000"/>
        </w:rPr>
        <w:t xml:space="preserve">s and </w:t>
      </w:r>
      <w:r>
        <w:rPr>
          <w:color w:val="000000"/>
        </w:rPr>
        <w:t>other</w:t>
      </w:r>
      <w:r w:rsidRPr="00D46D09">
        <w:rPr>
          <w:color w:val="000000"/>
        </w:rPr>
        <w:t xml:space="preserve"> </w:t>
      </w:r>
      <w:r>
        <w:rPr>
          <w:color w:val="000000"/>
        </w:rPr>
        <w:t xml:space="preserve">unused </w:t>
      </w:r>
      <w:r w:rsidRPr="00D46D09">
        <w:rPr>
          <w:color w:val="000000"/>
        </w:rPr>
        <w:t>credit card</w:t>
      </w:r>
      <w:r>
        <w:rPr>
          <w:color w:val="000000"/>
        </w:rPr>
        <w:t xml:space="preserve"> line</w:t>
      </w:r>
      <w:r w:rsidRPr="00D46D09">
        <w:rPr>
          <w:color w:val="000000"/>
        </w:rPr>
        <w:t>s</w:t>
      </w:r>
      <w:r>
        <w:rPr>
          <w:color w:val="000000"/>
        </w:rPr>
        <w:t>.  This breakout would be reported by institutions with either $300 million or more in total assets or $300 million or more in unused credit card commitments</w:t>
      </w:r>
      <w:r w:rsidRPr="00D46D09">
        <w:rPr>
          <w:color w:val="000000"/>
        </w:rPr>
        <w:t xml:space="preserve">. </w:t>
      </w:r>
      <w:r>
        <w:rPr>
          <w:color w:val="000000"/>
        </w:rPr>
        <w:t xml:space="preserve"> Draws from t</w:t>
      </w:r>
      <w:r w:rsidRPr="00D46D09">
        <w:rPr>
          <w:color w:val="000000"/>
        </w:rPr>
        <w:t xml:space="preserve">hese </w:t>
      </w:r>
      <w:r>
        <w:rPr>
          <w:color w:val="000000"/>
        </w:rPr>
        <w:t xml:space="preserve">credit lines that have not been sold </w:t>
      </w:r>
      <w:r w:rsidRPr="00D46D09">
        <w:rPr>
          <w:color w:val="000000"/>
        </w:rPr>
        <w:t xml:space="preserve">are </w:t>
      </w:r>
      <w:r>
        <w:rPr>
          <w:color w:val="000000"/>
        </w:rPr>
        <w:t xml:space="preserve">already </w:t>
      </w:r>
      <w:r w:rsidRPr="00D46D09">
        <w:rPr>
          <w:color w:val="000000"/>
        </w:rPr>
        <w:t>reported on Schedule RC-C</w:t>
      </w:r>
      <w:r>
        <w:rPr>
          <w:color w:val="000000"/>
        </w:rPr>
        <w:t>, part I</w:t>
      </w:r>
      <w:r w:rsidRPr="00D46D09">
        <w:rPr>
          <w:color w:val="000000"/>
        </w:rPr>
        <w:t>.</w:t>
      </w:r>
      <w:r w:rsidRPr="00D46D09">
        <w:rPr>
          <w:color w:val="0000FF"/>
        </w:rPr>
        <w:t xml:space="preserve">  </w:t>
      </w:r>
      <w:r w:rsidRPr="00DA6F7F">
        <w:t>For example,</w:t>
      </w:r>
      <w:r>
        <w:rPr>
          <w:color w:val="0000FF"/>
        </w:rPr>
        <w:t xml:space="preserve"> </w:t>
      </w:r>
      <w:r>
        <w:t>b</w:t>
      </w:r>
      <w:r w:rsidRPr="00D46D09">
        <w:t xml:space="preserve">anks must report draws on credit cards </w:t>
      </w:r>
      <w:r>
        <w:t xml:space="preserve">issued to nonfarm nonfinancial businesses </w:t>
      </w:r>
      <w:r w:rsidRPr="00D46D09">
        <w:t xml:space="preserve">as </w:t>
      </w:r>
      <w:r>
        <w:t>commercial and industrial (</w:t>
      </w:r>
      <w:r w:rsidRPr="00D46D09">
        <w:t>C&amp;I</w:t>
      </w:r>
      <w:r>
        <w:t>)</w:t>
      </w:r>
      <w:r w:rsidRPr="00D46D09">
        <w:t xml:space="preserve"> loans in </w:t>
      </w:r>
      <w:r>
        <w:t xml:space="preserve">Schedule </w:t>
      </w:r>
      <w:r w:rsidRPr="00D46D09">
        <w:t xml:space="preserve">RC-C, </w:t>
      </w:r>
      <w:r>
        <w:t xml:space="preserve">part I, </w:t>
      </w:r>
      <w:r w:rsidRPr="00D46D09">
        <w:t>item 4</w:t>
      </w:r>
      <w:r>
        <w:t>,</w:t>
      </w:r>
      <w:r w:rsidRPr="00D46D09">
        <w:t xml:space="preserve"> and draws on personal credit cards as consumer loans in </w:t>
      </w:r>
      <w:r>
        <w:t xml:space="preserve">Schedule </w:t>
      </w:r>
      <w:r w:rsidRPr="00D46D09">
        <w:t xml:space="preserve">RC-C, </w:t>
      </w:r>
      <w:r>
        <w:t xml:space="preserve">part I, </w:t>
      </w:r>
      <w:r w:rsidRPr="00D46D09">
        <w:t>item 6</w:t>
      </w:r>
      <w:r>
        <w:t>.a</w:t>
      </w:r>
      <w:r w:rsidRPr="00D46D09">
        <w:t xml:space="preserve">.  </w:t>
      </w:r>
    </w:p>
    <w:p w:rsidR="007D4892" w:rsidRPr="00D46D09" w:rsidRDefault="007D4892" w:rsidP="00FB0DA8">
      <w:pPr>
        <w:ind w:firstLine="720"/>
        <w:jc w:val="both"/>
      </w:pPr>
    </w:p>
    <w:p w:rsidR="00FB0DA8" w:rsidRDefault="00FB0DA8" w:rsidP="00FB0DA8">
      <w:pPr>
        <w:ind w:firstLine="720"/>
        <w:jc w:val="both"/>
        <w:rPr>
          <w:color w:val="000000"/>
        </w:rPr>
      </w:pPr>
      <w:r w:rsidRPr="00D46D09">
        <w:rPr>
          <w:color w:val="000000"/>
        </w:rPr>
        <w:t>Schedule RC-L, item 1</w:t>
      </w:r>
      <w:r>
        <w:rPr>
          <w:color w:val="000000"/>
        </w:rPr>
        <w:t>.e,</w:t>
      </w:r>
      <w:r w:rsidRPr="00D46D09">
        <w:rPr>
          <w:color w:val="000000"/>
        </w:rPr>
        <w:t xml:space="preserve"> aggregates all other unused commitments, and includes unused commitments to fund </w:t>
      </w:r>
      <w:r>
        <w:rPr>
          <w:color w:val="000000"/>
        </w:rPr>
        <w:t xml:space="preserve">C&amp;I </w:t>
      </w:r>
      <w:r w:rsidRPr="00D46D09">
        <w:rPr>
          <w:color w:val="000000"/>
        </w:rPr>
        <w:t>loans</w:t>
      </w:r>
      <w:r>
        <w:rPr>
          <w:color w:val="000000"/>
        </w:rPr>
        <w:t xml:space="preserve"> (other than credit card lines to commercial and industrial enterprises, which are reported in item 1.b, and commitments to fund commercial real estate, construction, and land development loans not secured by real estate, which are reported in item 1.c.(2))</w:t>
      </w:r>
      <w:r w:rsidRPr="00D46D09">
        <w:rPr>
          <w:color w:val="000000"/>
        </w:rPr>
        <w:t xml:space="preserve">.  Separating </w:t>
      </w:r>
      <w:r>
        <w:rPr>
          <w:color w:val="000000"/>
        </w:rPr>
        <w:t>these C&amp;I</w:t>
      </w:r>
      <w:r w:rsidRPr="00D46D09">
        <w:rPr>
          <w:color w:val="000000"/>
        </w:rPr>
        <w:t xml:space="preserve"> lending commitments from the other </w:t>
      </w:r>
      <w:r>
        <w:rPr>
          <w:color w:val="000000"/>
        </w:rPr>
        <w:t xml:space="preserve">commitments included in other unused </w:t>
      </w:r>
      <w:r w:rsidRPr="00D46D09">
        <w:rPr>
          <w:color w:val="000000"/>
        </w:rPr>
        <w:t xml:space="preserve">commitments would </w:t>
      </w:r>
      <w:r>
        <w:rPr>
          <w:color w:val="000000"/>
        </w:rPr>
        <w:t xml:space="preserve">considerably </w:t>
      </w:r>
      <w:r w:rsidRPr="00D46D09">
        <w:rPr>
          <w:color w:val="000000"/>
        </w:rPr>
        <w:t xml:space="preserve">improve the agencies’ ability to analyze business credit conditions.  </w:t>
      </w:r>
      <w:r>
        <w:rPr>
          <w:color w:val="000000"/>
        </w:rPr>
        <w:t>A very large percentage of banks responding to</w:t>
      </w:r>
      <w:r w:rsidRPr="00D46D09">
        <w:rPr>
          <w:color w:val="000000"/>
        </w:rPr>
        <w:t xml:space="preserve"> the Federal Reserve’s Senior Loan Officer Opinion Survey on Bank Lending Practices (FR 2018; OMB No. 7100-0058) </w:t>
      </w:r>
      <w:r>
        <w:rPr>
          <w:color w:val="000000"/>
        </w:rPr>
        <w:t>reported having tightened lending policies for</w:t>
      </w:r>
      <w:r w:rsidRPr="00D46D09">
        <w:rPr>
          <w:color w:val="000000"/>
        </w:rPr>
        <w:t xml:space="preserve"> </w:t>
      </w:r>
      <w:r>
        <w:rPr>
          <w:color w:val="000000"/>
        </w:rPr>
        <w:t xml:space="preserve">C&amp;I </w:t>
      </w:r>
      <w:r w:rsidRPr="00D46D09">
        <w:rPr>
          <w:color w:val="000000"/>
        </w:rPr>
        <w:t>loans</w:t>
      </w:r>
      <w:r>
        <w:rPr>
          <w:color w:val="000000"/>
        </w:rPr>
        <w:t xml:space="preserve"> and credit lines during 2008; however, C&amp;I </w:t>
      </w:r>
      <w:r w:rsidRPr="00D46D09">
        <w:rPr>
          <w:color w:val="000000"/>
        </w:rPr>
        <w:t>loans on banks</w:t>
      </w:r>
      <w:r>
        <w:rPr>
          <w:color w:val="000000"/>
        </w:rPr>
        <w:t>’</w:t>
      </w:r>
      <w:r w:rsidRPr="00D46D09">
        <w:rPr>
          <w:color w:val="000000"/>
        </w:rPr>
        <w:t xml:space="preserve"> balance sheets expanded through the end of October 2008</w:t>
      </w:r>
      <w:r>
        <w:rPr>
          <w:color w:val="000000"/>
        </w:rPr>
        <w:t>, reportedly as a result of substantial draws on existing credit lines</w:t>
      </w:r>
      <w:r w:rsidRPr="00D46D09">
        <w:rPr>
          <w:color w:val="000000"/>
        </w:rPr>
        <w:t xml:space="preserve">. </w:t>
      </w:r>
      <w:r>
        <w:rPr>
          <w:color w:val="000000"/>
        </w:rPr>
        <w:t xml:space="preserve"> In contrast, other unused commitments reported on the Call Report contracted, but without the proposed breakouts of such commitments, it was not possible to know how total business borrowing capacity had changed. </w:t>
      </w:r>
      <w:r w:rsidRPr="00D46D09">
        <w:rPr>
          <w:color w:val="000000"/>
        </w:rPr>
        <w:t xml:space="preserve"> The FR 2018 data are </w:t>
      </w:r>
      <w:r>
        <w:rPr>
          <w:color w:val="000000"/>
        </w:rPr>
        <w:t xml:space="preserve">qualitative rather than quantitative and are </w:t>
      </w:r>
      <w:r w:rsidRPr="00D46D09">
        <w:rPr>
          <w:color w:val="000000"/>
        </w:rPr>
        <w:t xml:space="preserve">collected only from a sample of institutions up to </w:t>
      </w:r>
      <w:r>
        <w:rPr>
          <w:color w:val="000000"/>
        </w:rPr>
        <w:t>six</w:t>
      </w:r>
      <w:r w:rsidRPr="00D46D09">
        <w:rPr>
          <w:color w:val="000000"/>
        </w:rPr>
        <w:t xml:space="preserve"> times per year.  Having </w:t>
      </w:r>
      <w:r>
        <w:rPr>
          <w:color w:val="000000"/>
        </w:rPr>
        <w:t xml:space="preserve">the additional unused commitment </w:t>
      </w:r>
      <w:r w:rsidRPr="00D46D09">
        <w:rPr>
          <w:color w:val="000000"/>
        </w:rPr>
        <w:t>data reported separately on the Call Report</w:t>
      </w:r>
      <w:r>
        <w:rPr>
          <w:color w:val="000000"/>
        </w:rPr>
        <w:t xml:space="preserve">, along with the proposed changes to Schedule RC-C described below, </w:t>
      </w:r>
      <w:r w:rsidRPr="00D46D09">
        <w:rPr>
          <w:color w:val="000000"/>
        </w:rPr>
        <w:t xml:space="preserve">would have </w:t>
      </w:r>
      <w:r>
        <w:rPr>
          <w:color w:val="000000"/>
        </w:rPr>
        <w:t>indicated</w:t>
      </w:r>
      <w:r w:rsidRPr="00D46D09">
        <w:rPr>
          <w:color w:val="000000"/>
        </w:rPr>
        <w:t xml:space="preserve"> more </w:t>
      </w:r>
      <w:r>
        <w:rPr>
          <w:color w:val="000000"/>
        </w:rPr>
        <w:t xml:space="preserve">clearly whether there was a widespread restriction in new credit available </w:t>
      </w:r>
      <w:r w:rsidRPr="00D46D09">
        <w:rPr>
          <w:color w:val="000000"/>
        </w:rPr>
        <w:t xml:space="preserve">to businesses.  </w:t>
      </w:r>
    </w:p>
    <w:p w:rsidR="00FB0DA8" w:rsidRDefault="00FB0DA8" w:rsidP="00FB0DA8">
      <w:pPr>
        <w:ind w:firstLine="720"/>
        <w:jc w:val="both"/>
      </w:pPr>
      <w:r w:rsidRPr="00D46D09">
        <w:rPr>
          <w:color w:val="000000"/>
        </w:rPr>
        <w:lastRenderedPageBreak/>
        <w:t xml:space="preserve">Therefore, the agencies propose to split </w:t>
      </w:r>
      <w:r>
        <w:rPr>
          <w:color w:val="000000"/>
        </w:rPr>
        <w:t xml:space="preserve">Schedule </w:t>
      </w:r>
      <w:r w:rsidRPr="00D46D09">
        <w:rPr>
          <w:color w:val="000000"/>
        </w:rPr>
        <w:t>RC-L</w:t>
      </w:r>
      <w:r>
        <w:rPr>
          <w:color w:val="000000"/>
        </w:rPr>
        <w:t>, item</w:t>
      </w:r>
      <w:r w:rsidRPr="00D46D09">
        <w:rPr>
          <w:color w:val="000000"/>
        </w:rPr>
        <w:t xml:space="preserve"> 1</w:t>
      </w:r>
      <w:r>
        <w:rPr>
          <w:color w:val="000000"/>
        </w:rPr>
        <w:t>.e,</w:t>
      </w:r>
      <w:r w:rsidRPr="00D46D09">
        <w:rPr>
          <w:color w:val="000000"/>
        </w:rPr>
        <w:t xml:space="preserve"> into three categories</w:t>
      </w:r>
      <w:r>
        <w:rPr>
          <w:color w:val="000000"/>
        </w:rPr>
        <w:t>:</w:t>
      </w:r>
      <w:r w:rsidRPr="00D46D09">
        <w:rPr>
          <w:color w:val="000000"/>
        </w:rPr>
        <w:t xml:space="preserve"> </w:t>
      </w:r>
      <w:r>
        <w:rPr>
          <w:color w:val="000000"/>
        </w:rPr>
        <w:t xml:space="preserve"> unused commitments to fund </w:t>
      </w:r>
      <w:r w:rsidRPr="00D46D09">
        <w:rPr>
          <w:color w:val="000000"/>
        </w:rPr>
        <w:t xml:space="preserve">commercial and industrial </w:t>
      </w:r>
      <w:r>
        <w:rPr>
          <w:color w:val="000000"/>
        </w:rPr>
        <w:t xml:space="preserve">loans </w:t>
      </w:r>
      <w:r w:rsidRPr="00D46D09">
        <w:rPr>
          <w:color w:val="000000"/>
        </w:rPr>
        <w:t>(</w:t>
      </w:r>
      <w:r>
        <w:rPr>
          <w:color w:val="000000"/>
        </w:rPr>
        <w:t xml:space="preserve">which </w:t>
      </w:r>
      <w:r w:rsidRPr="00D46D09">
        <w:rPr>
          <w:color w:val="000000"/>
        </w:rPr>
        <w:t xml:space="preserve">would include only commitments </w:t>
      </w:r>
      <w:r>
        <w:rPr>
          <w:color w:val="000000"/>
        </w:rPr>
        <w:t xml:space="preserve">not reported in Schedule RC-L, items 1.b and 1.c.(2), </w:t>
      </w:r>
      <w:r w:rsidRPr="00D46D09">
        <w:rPr>
          <w:color w:val="000000"/>
        </w:rPr>
        <w:t>for loans that</w:t>
      </w:r>
      <w:r>
        <w:rPr>
          <w:color w:val="000000"/>
        </w:rPr>
        <w:t>, when funded,</w:t>
      </w:r>
      <w:r w:rsidRPr="00D46D09">
        <w:rPr>
          <w:color w:val="000000"/>
        </w:rPr>
        <w:t xml:space="preserve"> would be </w:t>
      </w:r>
      <w:r>
        <w:rPr>
          <w:color w:val="000000"/>
        </w:rPr>
        <w:t xml:space="preserve">reported </w:t>
      </w:r>
      <w:r w:rsidRPr="00D46D09">
        <w:rPr>
          <w:color w:val="000000"/>
        </w:rPr>
        <w:t xml:space="preserve">in </w:t>
      </w:r>
      <w:r>
        <w:rPr>
          <w:color w:val="000000"/>
        </w:rPr>
        <w:t>Schedule </w:t>
      </w:r>
      <w:r w:rsidRPr="00D46D09">
        <w:rPr>
          <w:color w:val="000000"/>
        </w:rPr>
        <w:t xml:space="preserve">RC-C, item 4), </w:t>
      </w:r>
      <w:r>
        <w:rPr>
          <w:color w:val="000000"/>
        </w:rPr>
        <w:t xml:space="preserve">unused commitments to fund loans to </w:t>
      </w:r>
      <w:r w:rsidRPr="00D46D09">
        <w:rPr>
          <w:color w:val="000000"/>
        </w:rPr>
        <w:t>financial institutions (</w:t>
      </w:r>
      <w:r>
        <w:rPr>
          <w:color w:val="000000"/>
        </w:rPr>
        <w:t>defined to include depository institutions and nondepository financial institutions, i.e., real estate investment trusts, mortgage companies, holding companies of other depository institutions, insurance companies, finance companies, mortgage finance companies, factors and other financial intermediaries, short-term business credit institutions, personal finance companies, investment banks, the bank’s own trust department, other domestic and foreign financial intermediaries, and Small Business Investment Companies</w:t>
      </w:r>
      <w:r w:rsidRPr="00D46D09">
        <w:rPr>
          <w:color w:val="000000"/>
        </w:rPr>
        <w:t xml:space="preserve">), and </w:t>
      </w:r>
      <w:r>
        <w:rPr>
          <w:color w:val="000000"/>
        </w:rPr>
        <w:t xml:space="preserve">all </w:t>
      </w:r>
      <w:r w:rsidRPr="00D46D09">
        <w:rPr>
          <w:color w:val="000000"/>
        </w:rPr>
        <w:t>other</w:t>
      </w:r>
      <w:r>
        <w:rPr>
          <w:color w:val="000000"/>
        </w:rPr>
        <w:t xml:space="preserve"> unused commitments</w:t>
      </w:r>
      <w:r w:rsidRPr="00D46D09">
        <w:rPr>
          <w:color w:val="000000"/>
        </w:rPr>
        <w:t xml:space="preserve">. </w:t>
      </w:r>
      <w:r w:rsidRPr="00D46D09">
        <w:t xml:space="preserve">With respect to Schedule RC-C, </w:t>
      </w:r>
      <w:r>
        <w:t xml:space="preserve">part I, </w:t>
      </w:r>
      <w:r w:rsidRPr="00D46D09">
        <w:t xml:space="preserve">the agencies also propose to </w:t>
      </w:r>
      <w:r>
        <w:t>revise</w:t>
      </w:r>
      <w:r w:rsidRPr="00D46D09">
        <w:t xml:space="preserve"> item 9</w:t>
      </w:r>
      <w:r>
        <w:t xml:space="preserve">, “Other loans,” by breaking out a new category </w:t>
      </w:r>
      <w:r w:rsidRPr="00D46D09">
        <w:t xml:space="preserve">for loans to </w:t>
      </w:r>
      <w:r>
        <w:t xml:space="preserve">nondepository </w:t>
      </w:r>
      <w:r w:rsidRPr="00D46D09">
        <w:t>financial institutions (</w:t>
      </w:r>
      <w:r>
        <w:t>as defined above</w:t>
      </w:r>
      <w:r w:rsidRPr="00D46D09">
        <w:t>)</w:t>
      </w:r>
      <w:r>
        <w:t xml:space="preserve">.  Banks already report data on loans to depository institutions in Schedule RC-C, part I, item 2.  </w:t>
      </w:r>
      <w:r w:rsidRPr="00D46D09">
        <w:t xml:space="preserve"> </w:t>
      </w:r>
    </w:p>
    <w:p w:rsidR="007D4892" w:rsidRDefault="007D4892" w:rsidP="00FB0DA8">
      <w:pPr>
        <w:ind w:firstLine="720"/>
        <w:jc w:val="both"/>
      </w:pPr>
    </w:p>
    <w:p w:rsidR="00FB0DA8" w:rsidRPr="00D46D09" w:rsidRDefault="00FB0DA8" w:rsidP="00FB0DA8">
      <w:pPr>
        <w:ind w:firstLine="720"/>
        <w:jc w:val="both"/>
        <w:rPr>
          <w:color w:val="000000"/>
        </w:rPr>
      </w:pPr>
      <w:r>
        <w:t>L</w:t>
      </w:r>
      <w:r>
        <w:rPr>
          <w:color w:val="000000"/>
        </w:rPr>
        <w:t>ending by nondepository financial institutions was a key characteristic of the recent credit cycle and many such institutions failed; however, little information existed on the exposure of the banking system to those firms as this information was obscured by the current structure of the Call Report’s loan schedule.  The proposed addition of separate items for unused commitments to financial institutions and loans to nondepository financial institutions, together with the existing data on loans to depository institutions, will allow supervisors and other interested parties to more closely monitor the exposure of individual banks to financial institutions and to assess the impact that changes in the credit availability to this sector have on the economy.</w:t>
      </w:r>
    </w:p>
    <w:p w:rsidR="00FB0DA8" w:rsidRDefault="00FB0DA8" w:rsidP="00FB0DA8">
      <w:pPr>
        <w:pStyle w:val="BodyText"/>
        <w:widowControl/>
        <w:tabs>
          <w:tab w:val="left" w:pos="360"/>
        </w:tabs>
        <w:spacing w:line="240" w:lineRule="auto"/>
        <w:rPr>
          <w:snapToGrid/>
          <w:szCs w:val="24"/>
        </w:rPr>
      </w:pPr>
    </w:p>
    <w:p w:rsidR="00FB0DA8" w:rsidRPr="008F3AB1" w:rsidRDefault="00FB0DA8" w:rsidP="00FB0DA8">
      <w:pPr>
        <w:pStyle w:val="BodyText"/>
        <w:widowControl/>
        <w:spacing w:line="240" w:lineRule="auto"/>
        <w:rPr>
          <w:snapToGrid/>
          <w:szCs w:val="24"/>
          <w:u w:val="single"/>
        </w:rPr>
      </w:pPr>
      <w:r>
        <w:rPr>
          <w:snapToGrid/>
          <w:szCs w:val="24"/>
          <w:u w:val="single"/>
        </w:rPr>
        <w:t>D</w:t>
      </w:r>
      <w:r w:rsidRPr="008F3AB1">
        <w:rPr>
          <w:snapToGrid/>
          <w:szCs w:val="24"/>
          <w:u w:val="single"/>
        </w:rPr>
        <w:t>.  Reverse Mortgage</w:t>
      </w:r>
      <w:r>
        <w:rPr>
          <w:snapToGrid/>
          <w:szCs w:val="24"/>
          <w:u w:val="single"/>
        </w:rPr>
        <w:t xml:space="preserve"> Data</w:t>
      </w:r>
    </w:p>
    <w:p w:rsidR="00FB0DA8" w:rsidRDefault="00FB0DA8" w:rsidP="00FB0DA8">
      <w:pPr>
        <w:pStyle w:val="BodyText"/>
        <w:widowControl/>
        <w:spacing w:line="240" w:lineRule="auto"/>
        <w:ind w:firstLine="720"/>
        <w:rPr>
          <w:snapToGrid/>
          <w:szCs w:val="24"/>
        </w:rPr>
      </w:pPr>
    </w:p>
    <w:p w:rsidR="007D4892" w:rsidRDefault="00FB0DA8" w:rsidP="00FB0DA8">
      <w:pPr>
        <w:pStyle w:val="BodyText"/>
        <w:widowControl/>
        <w:tabs>
          <w:tab w:val="left" w:pos="360"/>
        </w:tabs>
        <w:spacing w:line="240" w:lineRule="auto"/>
        <w:ind w:firstLine="720"/>
        <w:rPr>
          <w:snapToGrid/>
          <w:szCs w:val="24"/>
        </w:rPr>
      </w:pPr>
      <w:r>
        <w:rPr>
          <w:snapToGrid/>
          <w:szCs w:val="24"/>
        </w:rPr>
        <w:t>Reverse mortgages are complex loan products that leverage equity in homes to provide lump sum cash payments or lines of credit to</w:t>
      </w:r>
      <w:r w:rsidR="001701E1">
        <w:rPr>
          <w:snapToGrid/>
          <w:szCs w:val="24"/>
        </w:rPr>
        <w:t xml:space="preserve"> borrowers.  These products </w:t>
      </w:r>
      <w:r>
        <w:rPr>
          <w:snapToGrid/>
          <w:szCs w:val="24"/>
        </w:rPr>
        <w:t xml:space="preserve">typically </w:t>
      </w:r>
      <w:r w:rsidR="001701E1">
        <w:rPr>
          <w:snapToGrid/>
          <w:szCs w:val="24"/>
        </w:rPr>
        <w:t xml:space="preserve">are </w:t>
      </w:r>
      <w:r>
        <w:rPr>
          <w:snapToGrid/>
          <w:szCs w:val="24"/>
        </w:rPr>
        <w:t>marketed to senior citizens who own homes</w:t>
      </w:r>
      <w:r w:rsidR="001701E1">
        <w:rPr>
          <w:snapToGrid/>
          <w:szCs w:val="24"/>
        </w:rPr>
        <w:t xml:space="preserve"> with accumulated equity</w:t>
      </w:r>
      <w:r>
        <w:rPr>
          <w:snapToGrid/>
          <w:szCs w:val="24"/>
        </w:rPr>
        <w:t xml:space="preserve">.  </w:t>
      </w:r>
      <w:r w:rsidR="001701E1">
        <w:rPr>
          <w:snapToGrid/>
          <w:szCs w:val="24"/>
        </w:rPr>
        <w:t>Access to data regarding loan volumes, dollar amounts outstanding, and the institutions offering reverse mortgages or participating in reverse mortgage activity is severely limited. As a consequence, t</w:t>
      </w:r>
      <w:r>
        <w:rPr>
          <w:snapToGrid/>
          <w:szCs w:val="24"/>
        </w:rPr>
        <w:t>he agencies are currently unable to effectively identify and monitor institutions that offer these products</w:t>
      </w:r>
      <w:r w:rsidR="001701E1">
        <w:rPr>
          <w:snapToGrid/>
          <w:szCs w:val="24"/>
        </w:rPr>
        <w:t>.</w:t>
      </w:r>
    </w:p>
    <w:p w:rsidR="001701E1" w:rsidRDefault="001701E1" w:rsidP="00FB0DA8">
      <w:pPr>
        <w:pStyle w:val="BodyText"/>
        <w:widowControl/>
        <w:tabs>
          <w:tab w:val="left" w:pos="360"/>
        </w:tabs>
        <w:spacing w:line="240" w:lineRule="auto"/>
        <w:ind w:firstLine="720"/>
        <w:rPr>
          <w:snapToGrid/>
          <w:szCs w:val="24"/>
        </w:rPr>
      </w:pPr>
    </w:p>
    <w:p w:rsidR="00FB0DA8" w:rsidRDefault="00FB0DA8" w:rsidP="00FB0DA8">
      <w:pPr>
        <w:pStyle w:val="BodyText"/>
        <w:tabs>
          <w:tab w:val="left" w:pos="360"/>
        </w:tabs>
        <w:spacing w:line="240" w:lineRule="auto"/>
        <w:ind w:firstLine="720"/>
        <w:rPr>
          <w:snapToGrid/>
          <w:szCs w:val="24"/>
        </w:rPr>
      </w:pPr>
      <w:r>
        <w:rPr>
          <w:snapToGrid/>
          <w:szCs w:val="24"/>
        </w:rPr>
        <w:t>The reverse mortgage market currently consists of two basic types of products:  proprietary products designed and originated by financial institutions and a federally-insured product known as a Home Equity Conversion Mortgage (HECM).  Some r</w:t>
      </w:r>
      <w:r w:rsidRPr="008A1ED0">
        <w:rPr>
          <w:snapToGrid/>
          <w:szCs w:val="24"/>
        </w:rPr>
        <w:t>everse mortgages provide for a lump sum payment to the borrower at closing, with no ability for the borrower to receive additional funds under the mortgage at a later date</w:t>
      </w:r>
      <w:r>
        <w:rPr>
          <w:snapToGrid/>
          <w:szCs w:val="24"/>
        </w:rPr>
        <w:t>.  Other r</w:t>
      </w:r>
      <w:r w:rsidRPr="008A1ED0">
        <w:rPr>
          <w:snapToGrid/>
          <w:szCs w:val="24"/>
        </w:rPr>
        <w:t xml:space="preserve">everse mortgages are structured like home equity lines of credit </w:t>
      </w:r>
      <w:r>
        <w:rPr>
          <w:snapToGrid/>
          <w:szCs w:val="24"/>
        </w:rPr>
        <w:t xml:space="preserve">in </w:t>
      </w:r>
      <w:r w:rsidRPr="008A1ED0">
        <w:rPr>
          <w:szCs w:val="24"/>
        </w:rPr>
        <w:t>that they provide the borrower with additional funds after closing</w:t>
      </w:r>
      <w:r>
        <w:rPr>
          <w:szCs w:val="24"/>
        </w:rPr>
        <w:t>,</w:t>
      </w:r>
      <w:r w:rsidRPr="008A1ED0">
        <w:rPr>
          <w:szCs w:val="24"/>
        </w:rPr>
        <w:t xml:space="preserve"> either as fixed monthly </w:t>
      </w:r>
      <w:r w:rsidRPr="008A1ED0">
        <w:rPr>
          <w:snapToGrid/>
          <w:szCs w:val="24"/>
        </w:rPr>
        <w:t>payments, under a line of credit, or both</w:t>
      </w:r>
      <w:r>
        <w:rPr>
          <w:snapToGrid/>
          <w:szCs w:val="24"/>
        </w:rPr>
        <w:t>.  There are also reverse mortgages that provide</w:t>
      </w:r>
      <w:r w:rsidRPr="0066239E">
        <w:rPr>
          <w:snapToGrid/>
          <w:szCs w:val="24"/>
        </w:rPr>
        <w:t xml:space="preserve"> a combination of a lump sum payment to the borrower at closing and </w:t>
      </w:r>
      <w:r>
        <w:rPr>
          <w:snapToGrid/>
          <w:szCs w:val="24"/>
        </w:rPr>
        <w:t xml:space="preserve">additional </w:t>
      </w:r>
      <w:r w:rsidRPr="0066239E">
        <w:rPr>
          <w:snapToGrid/>
          <w:szCs w:val="24"/>
        </w:rPr>
        <w:t xml:space="preserve">payments </w:t>
      </w:r>
      <w:r>
        <w:rPr>
          <w:snapToGrid/>
          <w:szCs w:val="24"/>
        </w:rPr>
        <w:t xml:space="preserve">to the borrower </w:t>
      </w:r>
      <w:r w:rsidRPr="0066239E">
        <w:rPr>
          <w:snapToGrid/>
          <w:szCs w:val="24"/>
        </w:rPr>
        <w:t>after the closing of the loan</w:t>
      </w:r>
      <w:r>
        <w:rPr>
          <w:snapToGrid/>
          <w:szCs w:val="24"/>
        </w:rPr>
        <w:t>.</w:t>
      </w:r>
    </w:p>
    <w:p w:rsidR="007D4892" w:rsidRDefault="007D4892" w:rsidP="00FB0DA8">
      <w:pPr>
        <w:pStyle w:val="BodyText"/>
        <w:tabs>
          <w:tab w:val="left" w:pos="360"/>
        </w:tabs>
        <w:spacing w:line="240" w:lineRule="auto"/>
        <w:ind w:firstLine="720"/>
        <w:rPr>
          <w:snapToGrid/>
          <w:szCs w:val="24"/>
        </w:rPr>
      </w:pPr>
    </w:p>
    <w:p w:rsidR="00FB0DA8" w:rsidRDefault="00FB0DA8" w:rsidP="00FB0DA8">
      <w:pPr>
        <w:pStyle w:val="BodyText"/>
        <w:tabs>
          <w:tab w:val="left" w:pos="360"/>
        </w:tabs>
        <w:spacing w:line="240" w:lineRule="auto"/>
        <w:ind w:firstLine="720"/>
        <w:rPr>
          <w:snapToGrid/>
          <w:szCs w:val="24"/>
        </w:rPr>
      </w:pPr>
      <w:r>
        <w:rPr>
          <w:snapToGrid/>
          <w:szCs w:val="24"/>
        </w:rPr>
        <w:t xml:space="preserve">The volume of reverse mortgage activity is expected to dramatically increase in the coming years as the U.S. population ages.  A number of consumer protection related risks and safety and soundness related risks are associated with these products and the agencies need to collect </w:t>
      </w:r>
      <w:r>
        <w:rPr>
          <w:snapToGrid/>
          <w:szCs w:val="24"/>
        </w:rPr>
        <w:lastRenderedPageBreak/>
        <w:t xml:space="preserve">information from banks to monitor and mitigate those risks.  For example, proprietary reverse mortgages structured as lines of credit, which are not insured by the federal government, expose borrowers to the risk that the lender will be unwilling or unable to meet its obligation to make payments due to the borrower.  Additionally, in </w:t>
      </w:r>
      <w:r w:rsidR="001701E1">
        <w:rPr>
          <w:snapToGrid/>
          <w:szCs w:val="24"/>
        </w:rPr>
        <w:t>an economic environment</w:t>
      </w:r>
      <w:r>
        <w:rPr>
          <w:snapToGrid/>
          <w:szCs w:val="24"/>
        </w:rPr>
        <w:t xml:space="preserve"> in which housing prices are declining, there is the risk that the reverse mortgage loan balance may exceed the value of the underlying collateral value of the home.  </w:t>
      </w:r>
    </w:p>
    <w:p w:rsidR="007D4892" w:rsidRDefault="007D4892" w:rsidP="00FB0DA8">
      <w:pPr>
        <w:pStyle w:val="BodyText"/>
        <w:tabs>
          <w:tab w:val="left" w:pos="360"/>
        </w:tabs>
        <w:spacing w:line="240" w:lineRule="auto"/>
        <w:ind w:firstLine="720"/>
        <w:rPr>
          <w:snapToGrid/>
          <w:szCs w:val="24"/>
        </w:rPr>
      </w:pPr>
    </w:p>
    <w:p w:rsidR="00FB0DA8" w:rsidRDefault="00FB0DA8" w:rsidP="00FB0DA8">
      <w:pPr>
        <w:pStyle w:val="BodyText"/>
        <w:widowControl/>
        <w:tabs>
          <w:tab w:val="left" w:pos="360"/>
        </w:tabs>
        <w:spacing w:line="240" w:lineRule="auto"/>
        <w:ind w:firstLine="720"/>
        <w:rPr>
          <w:snapToGrid/>
          <w:szCs w:val="24"/>
        </w:rPr>
      </w:pPr>
      <w:r>
        <w:rPr>
          <w:snapToGrid/>
          <w:szCs w:val="24"/>
        </w:rPr>
        <w:t>The U.S. Department of Housing and Urban Development provides a monthly report for reverse mortgages endorsed for federal insurance, by fiscal year, for those loans that are part of the federally-sponsored HECM program.  While this monthly report provides information such as average expected interest rates, average property values, average age of the borrower, and the number of active insured accounts, there is no aggregate monthly data nor is there institution-specific information that identifies the institutions participating in the program.  For proprietary reverse mortgage loans, there is no known data on the volume of reverse mortgages, dollar amounts outstanding, or the institutions offering these products.</w:t>
      </w:r>
    </w:p>
    <w:p w:rsidR="007D4892" w:rsidRDefault="007D4892" w:rsidP="00FB0DA8">
      <w:pPr>
        <w:pStyle w:val="BodyText"/>
        <w:widowControl/>
        <w:tabs>
          <w:tab w:val="left" w:pos="360"/>
        </w:tabs>
        <w:spacing w:line="240" w:lineRule="auto"/>
        <w:ind w:firstLine="720"/>
        <w:rPr>
          <w:snapToGrid/>
          <w:szCs w:val="24"/>
        </w:rPr>
      </w:pPr>
    </w:p>
    <w:p w:rsidR="00FB0DA8" w:rsidRDefault="00FB0DA8" w:rsidP="00FB0DA8">
      <w:pPr>
        <w:pStyle w:val="BodyText"/>
        <w:widowControl/>
        <w:tabs>
          <w:tab w:val="left" w:pos="360"/>
        </w:tabs>
        <w:spacing w:line="240" w:lineRule="auto"/>
        <w:ind w:firstLine="720"/>
        <w:rPr>
          <w:snapToGrid/>
          <w:szCs w:val="24"/>
        </w:rPr>
      </w:pPr>
      <w:r>
        <w:rPr>
          <w:snapToGrid/>
          <w:szCs w:val="24"/>
        </w:rPr>
        <w:t xml:space="preserve">The agencies propose that new items be added to the Call Report to collect reverse mortgage data on an annual basis beginning on December 31, 2010.  Collecting this information will provide the agencies the necessary information for policy development and the management of risk exposures posed by institutions’ involvement with reverse mortgages.  First, a new Memorandum item would be added to Schedule RC-C, part I, Loans and Leases, for “Reverse mortgages outstanding that are held for investment.”   In this Memorandum item, banks would separately report the amount of HECM reverse mortgages and the amount of proprietary reverse mortgages that are held for investment and included in Schedule RC-C, part I, item 1.c, Loans “Secured by 1-4 family residential properties.”  </w:t>
      </w:r>
      <w:r w:rsidRPr="00006A86">
        <w:rPr>
          <w:snapToGrid/>
          <w:szCs w:val="24"/>
        </w:rPr>
        <w:t xml:space="preserve">Additionally, </w:t>
      </w:r>
      <w:r>
        <w:rPr>
          <w:snapToGrid/>
          <w:szCs w:val="24"/>
        </w:rPr>
        <w:t xml:space="preserve">new items would be added to </w:t>
      </w:r>
      <w:r w:rsidRPr="00006A86">
        <w:rPr>
          <w:snapToGrid/>
          <w:szCs w:val="24"/>
        </w:rPr>
        <w:t>Schedule RC-L, Derivatives and Off-Balance Sheet Items</w:t>
      </w:r>
      <w:r>
        <w:rPr>
          <w:snapToGrid/>
          <w:szCs w:val="24"/>
        </w:rPr>
        <w:t>, to</w:t>
      </w:r>
      <w:r w:rsidRPr="00006A86">
        <w:rPr>
          <w:snapToGrid/>
          <w:szCs w:val="24"/>
        </w:rPr>
        <w:t xml:space="preserve"> collect the </w:t>
      </w:r>
      <w:r>
        <w:rPr>
          <w:snapToGrid/>
          <w:szCs w:val="24"/>
        </w:rPr>
        <w:t>a</w:t>
      </w:r>
      <w:r w:rsidRPr="00006A86">
        <w:rPr>
          <w:snapToGrid/>
          <w:szCs w:val="24"/>
        </w:rPr>
        <w:t>mount</w:t>
      </w:r>
      <w:r>
        <w:rPr>
          <w:snapToGrid/>
          <w:szCs w:val="24"/>
        </w:rPr>
        <w:t>s</w:t>
      </w:r>
      <w:r w:rsidRPr="00006A86">
        <w:rPr>
          <w:snapToGrid/>
          <w:szCs w:val="24"/>
        </w:rPr>
        <w:t xml:space="preserve"> of </w:t>
      </w:r>
      <w:r>
        <w:rPr>
          <w:snapToGrid/>
          <w:szCs w:val="24"/>
        </w:rPr>
        <w:t>“U</w:t>
      </w:r>
      <w:r w:rsidRPr="00006A86">
        <w:rPr>
          <w:snapToGrid/>
          <w:szCs w:val="24"/>
        </w:rPr>
        <w:t>nused commitments for HECM reverse mortgages</w:t>
      </w:r>
      <w:r>
        <w:rPr>
          <w:snapToGrid/>
          <w:szCs w:val="24"/>
        </w:rPr>
        <w:t xml:space="preserve"> outstanding that are held for investment</w:t>
      </w:r>
      <w:r w:rsidRPr="00006A86">
        <w:rPr>
          <w:snapToGrid/>
          <w:szCs w:val="24"/>
        </w:rPr>
        <w:t xml:space="preserve">” and </w:t>
      </w:r>
      <w:r>
        <w:rPr>
          <w:snapToGrid/>
          <w:szCs w:val="24"/>
        </w:rPr>
        <w:t>“U</w:t>
      </w:r>
      <w:r w:rsidRPr="00006A86">
        <w:rPr>
          <w:snapToGrid/>
          <w:szCs w:val="24"/>
        </w:rPr>
        <w:t>nused commitments for proprietary reverse mortgages</w:t>
      </w:r>
      <w:r>
        <w:rPr>
          <w:snapToGrid/>
          <w:szCs w:val="24"/>
        </w:rPr>
        <w:t xml:space="preserve"> outstanding that held for investment.</w:t>
      </w:r>
      <w:r w:rsidRPr="00006A86">
        <w:rPr>
          <w:snapToGrid/>
          <w:szCs w:val="24"/>
        </w:rPr>
        <w:t>”</w:t>
      </w:r>
      <w:r>
        <w:rPr>
          <w:snapToGrid/>
          <w:szCs w:val="24"/>
        </w:rPr>
        <w:t xml:space="preserve">  Because these reverse mortgages have been structured in whole or in part like home equity lines of credit, the unused commitments associated with these mortgages are also reportable in existing item 1.a, “Revolving, open-end lines secured by 1-4 family residential properties,” of Schedule RC-L.  The proposed new unused commitment items would be subsets of item 1.a.     </w:t>
      </w:r>
      <w:r w:rsidRPr="00006A86">
        <w:rPr>
          <w:snapToGrid/>
          <w:szCs w:val="24"/>
        </w:rPr>
        <w:t xml:space="preserve">  </w:t>
      </w:r>
    </w:p>
    <w:p w:rsidR="007D4892" w:rsidRDefault="007D4892" w:rsidP="00FB0DA8">
      <w:pPr>
        <w:pStyle w:val="BodyText"/>
        <w:widowControl/>
        <w:tabs>
          <w:tab w:val="left" w:pos="360"/>
        </w:tabs>
        <w:spacing w:line="240" w:lineRule="auto"/>
        <w:ind w:firstLine="720"/>
        <w:rPr>
          <w:snapToGrid/>
          <w:szCs w:val="24"/>
        </w:rPr>
      </w:pPr>
    </w:p>
    <w:p w:rsidR="001701E1" w:rsidRDefault="001701E1" w:rsidP="001701E1">
      <w:pPr>
        <w:pStyle w:val="BodyText"/>
        <w:widowControl/>
        <w:tabs>
          <w:tab w:val="left" w:pos="360"/>
        </w:tabs>
        <w:spacing w:line="240" w:lineRule="auto"/>
        <w:ind w:firstLine="720"/>
        <w:rPr>
          <w:snapToGrid/>
          <w:szCs w:val="24"/>
        </w:rPr>
      </w:pPr>
      <w:r>
        <w:rPr>
          <w:snapToGrid/>
          <w:szCs w:val="24"/>
        </w:rPr>
        <w:t xml:space="preserve">In many instances, institutions do not underwrite and fund reverse mortgages, but instead refer borrowers to other reverse mortgage lenders.  These referring institutions may receive fees for performing actual services for the reverse mortgage lender in connection with the reverse mortgages of the customers who have been referred to the reverse mortgage lender.   This model enables consumers to deal first with their local institutions without the institutions having to build an entirely new lending function.  It also provides an economy of scale for a specialized lender by allowing it to build its business by partnering with existing institutions rather than establishing a large physical branch network.  The banking agencies propose to add a new Memorandum item to Schedule RC-C, part I, in which each bank making referrals to reverse mortgage lenders would annually report the estimated number of </w:t>
      </w:r>
      <w:r w:rsidR="00091E64">
        <w:rPr>
          <w:snapToGrid/>
          <w:szCs w:val="24"/>
        </w:rPr>
        <w:t xml:space="preserve">reverse mortgage loan </w:t>
      </w:r>
      <w:r>
        <w:rPr>
          <w:snapToGrid/>
          <w:szCs w:val="24"/>
        </w:rPr>
        <w:t xml:space="preserve">referrals </w:t>
      </w:r>
      <w:r w:rsidR="00091E64">
        <w:rPr>
          <w:snapToGrid/>
          <w:szCs w:val="24"/>
        </w:rPr>
        <w:t xml:space="preserve">to other lenders </w:t>
      </w:r>
      <w:r>
        <w:rPr>
          <w:snapToGrid/>
          <w:szCs w:val="24"/>
        </w:rPr>
        <w:t xml:space="preserve">during the year </w:t>
      </w:r>
      <w:r w:rsidR="00091E64">
        <w:rPr>
          <w:snapToGrid/>
          <w:szCs w:val="24"/>
        </w:rPr>
        <w:t>from whom they have received any compensation for services performed in connection with the origination of the reverse mortgages</w:t>
      </w:r>
      <w:r>
        <w:rPr>
          <w:snapToGrid/>
          <w:szCs w:val="24"/>
        </w:rPr>
        <w:t xml:space="preserve">.  Banks would report separately the estimated number of fee-paid referrals they made for HECM reverse mortgages and proprietary reverse mortgages beginning on December 31, 2010.  </w:t>
      </w:r>
    </w:p>
    <w:p w:rsidR="00FB0DA8" w:rsidRPr="007E3095" w:rsidRDefault="00FB0DA8" w:rsidP="00FB0DA8">
      <w:pPr>
        <w:pStyle w:val="BodyText"/>
        <w:widowControl/>
        <w:tabs>
          <w:tab w:val="left" w:pos="360"/>
        </w:tabs>
        <w:spacing w:line="240" w:lineRule="auto"/>
        <w:ind w:firstLine="720"/>
        <w:rPr>
          <w:snapToGrid/>
          <w:szCs w:val="24"/>
        </w:rPr>
      </w:pPr>
      <w:r>
        <w:rPr>
          <w:snapToGrid/>
          <w:szCs w:val="24"/>
        </w:rPr>
        <w:lastRenderedPageBreak/>
        <w:t>Finally, many banks that originate reverse mortgages routinely sell their funded mortgages in the secondary market.  As a result, these loans will not remain on the originating banks’ balance sheets for long periods of time and, therefore, the proposed items for reverse mortgages outstanding that are held for investment will not capture the extent of banks’ reverse mortgage activity when it involves the origination and sale of these loans.  Thus, the agencies propose to add Memorandum items to Schedule RC-C, part I, in which banks would report the principal amount of reverse mortgages originated for sale that have been sold during the year.  HECM and proprietary reverse mortgages sold would be reported separately.  These items are distinct and separate from the items for the estimated number of referra</w:t>
      </w:r>
      <w:r w:rsidR="001701E1">
        <w:rPr>
          <w:snapToGrid/>
          <w:szCs w:val="24"/>
        </w:rPr>
        <w:t>ls because the referring bank does not fund</w:t>
      </w:r>
      <w:r>
        <w:rPr>
          <w:snapToGrid/>
          <w:szCs w:val="24"/>
        </w:rPr>
        <w:t xml:space="preserve"> the loan, but </w:t>
      </w:r>
      <w:r w:rsidR="001701E1">
        <w:rPr>
          <w:snapToGrid/>
          <w:szCs w:val="24"/>
        </w:rPr>
        <w:t xml:space="preserve">instead </w:t>
      </w:r>
      <w:r>
        <w:rPr>
          <w:snapToGrid/>
          <w:szCs w:val="24"/>
        </w:rPr>
        <w:t>refer</w:t>
      </w:r>
      <w:r w:rsidR="001701E1">
        <w:rPr>
          <w:snapToGrid/>
          <w:szCs w:val="24"/>
        </w:rPr>
        <w:t>s</w:t>
      </w:r>
      <w:r>
        <w:rPr>
          <w:snapToGrid/>
          <w:szCs w:val="24"/>
        </w:rPr>
        <w:t xml:space="preserve"> the borrower to another </w:t>
      </w:r>
      <w:r w:rsidR="001701E1">
        <w:rPr>
          <w:snapToGrid/>
          <w:szCs w:val="24"/>
        </w:rPr>
        <w:t>lender</w:t>
      </w:r>
      <w:r>
        <w:rPr>
          <w:snapToGrid/>
          <w:szCs w:val="24"/>
        </w:rPr>
        <w:t xml:space="preserve"> that ultimately funds the reverse mortgage.  The information on loans sold during the year also would be collected annually beginning on December 31, 2010.</w:t>
      </w:r>
    </w:p>
    <w:p w:rsidR="00FB0DA8" w:rsidRPr="00990E00" w:rsidRDefault="00FB0DA8" w:rsidP="00FB0DA8">
      <w:pPr>
        <w:pStyle w:val="BodyText"/>
        <w:widowControl/>
        <w:spacing w:line="240" w:lineRule="auto"/>
        <w:ind w:firstLine="720"/>
        <w:rPr>
          <w:snapToGrid/>
          <w:szCs w:val="24"/>
        </w:rPr>
      </w:pPr>
    </w:p>
    <w:p w:rsidR="00FB0DA8" w:rsidRPr="00B55E0A" w:rsidRDefault="00FB0DA8" w:rsidP="00FB0DA8">
      <w:pPr>
        <w:pStyle w:val="BodyText"/>
        <w:widowControl/>
        <w:tabs>
          <w:tab w:val="left" w:pos="360"/>
        </w:tabs>
        <w:spacing w:line="240" w:lineRule="auto"/>
        <w:rPr>
          <w:snapToGrid/>
          <w:szCs w:val="24"/>
          <w:u w:val="single"/>
        </w:rPr>
      </w:pPr>
      <w:r>
        <w:rPr>
          <w:snapToGrid/>
          <w:szCs w:val="24"/>
          <w:u w:val="single"/>
        </w:rPr>
        <w:t>E.  Time Deposits of $100,000 or More</w:t>
      </w:r>
    </w:p>
    <w:p w:rsidR="00FB0DA8" w:rsidRDefault="00FB0DA8" w:rsidP="00FB0DA8">
      <w:pPr>
        <w:pStyle w:val="BodyText"/>
        <w:widowControl/>
        <w:tabs>
          <w:tab w:val="left" w:pos="360"/>
        </w:tabs>
        <w:spacing w:line="240" w:lineRule="auto"/>
        <w:rPr>
          <w:szCs w:val="24"/>
        </w:rPr>
      </w:pPr>
    </w:p>
    <w:p w:rsidR="00FB0DA8" w:rsidRDefault="00FB0DA8" w:rsidP="00FB0DA8">
      <w:pPr>
        <w:pStyle w:val="BodyText"/>
        <w:widowControl/>
        <w:spacing w:line="240" w:lineRule="auto"/>
        <w:ind w:firstLine="720"/>
        <w:rPr>
          <w:szCs w:val="24"/>
        </w:rPr>
      </w:pPr>
      <w:r w:rsidRPr="00B55E0A">
        <w:rPr>
          <w:szCs w:val="24"/>
        </w:rPr>
        <w:t>On October 3, 2008, the Emergency Economic Stabilization Act of 2008 temporarily raise</w:t>
      </w:r>
      <w:r>
        <w:rPr>
          <w:szCs w:val="24"/>
        </w:rPr>
        <w:t>d</w:t>
      </w:r>
      <w:r w:rsidRPr="00B55E0A">
        <w:rPr>
          <w:szCs w:val="24"/>
        </w:rPr>
        <w:t xml:space="preserve"> the </w:t>
      </w:r>
      <w:r>
        <w:rPr>
          <w:szCs w:val="24"/>
        </w:rPr>
        <w:t xml:space="preserve">standard maximum deposit insurance amount (SMDIA) </w:t>
      </w:r>
      <w:r w:rsidRPr="00B55E0A">
        <w:rPr>
          <w:szCs w:val="24"/>
        </w:rPr>
        <w:t xml:space="preserve">from $100,000 to $250,000 per depositor. </w:t>
      </w:r>
      <w:r>
        <w:rPr>
          <w:szCs w:val="24"/>
        </w:rPr>
        <w:t xml:space="preserve"> Under this </w:t>
      </w:r>
      <w:r w:rsidRPr="00B55E0A">
        <w:rPr>
          <w:szCs w:val="24"/>
        </w:rPr>
        <w:t>legislation</w:t>
      </w:r>
      <w:r>
        <w:rPr>
          <w:szCs w:val="24"/>
        </w:rPr>
        <w:t>, the SMDIA</w:t>
      </w:r>
      <w:r w:rsidRPr="00B55E0A">
        <w:rPr>
          <w:szCs w:val="24"/>
        </w:rPr>
        <w:t xml:space="preserve"> w</w:t>
      </w:r>
      <w:r>
        <w:rPr>
          <w:szCs w:val="24"/>
        </w:rPr>
        <w:t>as to</w:t>
      </w:r>
      <w:r w:rsidRPr="00B55E0A">
        <w:rPr>
          <w:szCs w:val="24"/>
        </w:rPr>
        <w:t xml:space="preserve"> return to $100,000 after December 31, 2009.</w:t>
      </w:r>
      <w:r>
        <w:rPr>
          <w:szCs w:val="24"/>
        </w:rPr>
        <w:t xml:space="preserve">  However, o</w:t>
      </w:r>
      <w:r w:rsidRPr="00B55E0A">
        <w:rPr>
          <w:szCs w:val="24"/>
        </w:rPr>
        <w:t xml:space="preserve">n May 20, 2009, the Helping Families Save Their Homes Act extended </w:t>
      </w:r>
      <w:r>
        <w:rPr>
          <w:szCs w:val="24"/>
        </w:rPr>
        <w:t xml:space="preserve">this </w:t>
      </w:r>
      <w:r w:rsidRPr="00B55E0A">
        <w:rPr>
          <w:szCs w:val="24"/>
        </w:rPr>
        <w:t xml:space="preserve">temporary increase in the SMDIA to $250,000 per depositor through December 31, 2013, after which the SMDIA is scheduled to return to $100,000.  </w:t>
      </w:r>
    </w:p>
    <w:p w:rsidR="007D4892" w:rsidRDefault="007D4892" w:rsidP="00FB0DA8">
      <w:pPr>
        <w:pStyle w:val="BodyText"/>
        <w:widowControl/>
        <w:spacing w:line="240" w:lineRule="auto"/>
        <w:ind w:firstLine="720"/>
        <w:rPr>
          <w:szCs w:val="24"/>
        </w:rPr>
      </w:pPr>
    </w:p>
    <w:p w:rsidR="00FB0DA8" w:rsidRDefault="00FB0DA8" w:rsidP="00FB0DA8">
      <w:pPr>
        <w:pStyle w:val="BodyText"/>
        <w:widowControl/>
        <w:spacing w:line="240" w:lineRule="auto"/>
        <w:ind w:firstLine="720"/>
        <w:rPr>
          <w:szCs w:val="24"/>
        </w:rPr>
      </w:pPr>
      <w:r>
        <w:rPr>
          <w:szCs w:val="24"/>
        </w:rPr>
        <w:t xml:space="preserve">At present, banks report a two-way breakdown of their time deposits (in domestic offices) in </w:t>
      </w:r>
      <w:r w:rsidRPr="00B55E0A">
        <w:rPr>
          <w:szCs w:val="24"/>
        </w:rPr>
        <w:t xml:space="preserve">Schedule RC-E, Deposit Liabilities, </w:t>
      </w:r>
      <w:r>
        <w:rPr>
          <w:szCs w:val="24"/>
        </w:rPr>
        <w:t xml:space="preserve">distinguishing between time deposits of less than $100,000 and time deposits of $100,000 or more.  In response to the extension of the temporary increase in the limit on deposit insurance coverage, the agencies understand that time deposits with balances in excess of $100,000, but less than or equal to $250,000, have been growing and can be expected to increase further.  However, given the existing Schedule RC-E reporting requirements, the agencies are unable to monitor growth in banks’ time deposits with balances within the temporarily increased limit on deposit insurance coverage.  </w:t>
      </w:r>
    </w:p>
    <w:p w:rsidR="007D4892" w:rsidRDefault="007D4892" w:rsidP="00FB0DA8">
      <w:pPr>
        <w:pStyle w:val="BodyText"/>
        <w:widowControl/>
        <w:spacing w:line="240" w:lineRule="auto"/>
        <w:ind w:firstLine="720"/>
        <w:rPr>
          <w:szCs w:val="24"/>
        </w:rPr>
      </w:pPr>
    </w:p>
    <w:p w:rsidR="00FB0DA8" w:rsidRDefault="00FB0DA8" w:rsidP="00FB0DA8">
      <w:pPr>
        <w:pStyle w:val="BodyText"/>
        <w:widowControl/>
        <w:spacing w:line="240" w:lineRule="auto"/>
        <w:ind w:firstLine="720"/>
        <w:rPr>
          <w:szCs w:val="24"/>
        </w:rPr>
      </w:pPr>
      <w:r>
        <w:rPr>
          <w:szCs w:val="24"/>
        </w:rPr>
        <w:t xml:space="preserve">Therefore, the agencies are proposing to replace Schedule RC-E, Memorandum item 2.c, “Total time deposits of $100,000 or more,” with a revised Memorandum item 2.c, “Total time deposits of $100,000 through $250,000,” and a new Memorandum item 2.d, “Total time deposits of more than $250,000.”  Existing Memorandum item 2.c.(1), “Individual Retirement Accounts (IRAs) and Keogh Plan accounts included in Memorandum item 2.c, ‘Total time deposits of $100,000 or more,’ above,” would be renumbered and recaptioned as Memorandum item 2.e, “Individual Retirement Accounts (IRAs) and Keogh Plan accounts of $100,000 or more included in Memorandum items 2.c and 2.d above,” but the scope of this Memorandum item would not change.   </w:t>
      </w:r>
    </w:p>
    <w:p w:rsidR="00DB1BC7" w:rsidRDefault="00DB1BC7" w:rsidP="00FB0DA8">
      <w:pPr>
        <w:pStyle w:val="BodyText"/>
        <w:widowControl/>
        <w:spacing w:line="240" w:lineRule="auto"/>
        <w:rPr>
          <w:snapToGrid/>
          <w:szCs w:val="24"/>
          <w:u w:val="single"/>
        </w:rPr>
      </w:pPr>
    </w:p>
    <w:p w:rsidR="00FB0DA8" w:rsidRPr="00EF2554" w:rsidRDefault="00FB0DA8" w:rsidP="00FB0DA8">
      <w:pPr>
        <w:pStyle w:val="BodyText"/>
        <w:widowControl/>
        <w:spacing w:line="240" w:lineRule="auto"/>
        <w:rPr>
          <w:snapToGrid/>
          <w:szCs w:val="24"/>
          <w:u w:val="single"/>
        </w:rPr>
      </w:pPr>
      <w:r>
        <w:rPr>
          <w:snapToGrid/>
          <w:szCs w:val="24"/>
          <w:u w:val="single"/>
        </w:rPr>
        <w:t>F</w:t>
      </w:r>
      <w:r w:rsidRPr="00EF2554">
        <w:rPr>
          <w:snapToGrid/>
          <w:szCs w:val="24"/>
          <w:u w:val="single"/>
        </w:rPr>
        <w:t>.  Revisions of Brokered Deposit Items</w:t>
      </w:r>
    </w:p>
    <w:p w:rsidR="00FB0DA8" w:rsidRDefault="00FB0DA8" w:rsidP="00FB0DA8">
      <w:pPr>
        <w:pStyle w:val="BodyText"/>
        <w:widowControl/>
        <w:spacing w:line="240" w:lineRule="auto"/>
        <w:ind w:firstLine="720"/>
        <w:rPr>
          <w:snapToGrid/>
          <w:szCs w:val="24"/>
        </w:rPr>
      </w:pPr>
    </w:p>
    <w:p w:rsidR="00FB0DA8" w:rsidRDefault="001E2954" w:rsidP="00FB0DA8">
      <w:pPr>
        <w:pStyle w:val="BodyText"/>
        <w:widowControl/>
        <w:spacing w:line="240" w:lineRule="auto"/>
        <w:ind w:firstLine="720"/>
        <w:rPr>
          <w:szCs w:val="24"/>
        </w:rPr>
      </w:pPr>
      <w:r>
        <w:rPr>
          <w:snapToGrid/>
          <w:szCs w:val="24"/>
        </w:rPr>
        <w:t xml:space="preserve">As mentioned in Section </w:t>
      </w:r>
      <w:r w:rsidR="00FB0DA8">
        <w:rPr>
          <w:snapToGrid/>
          <w:szCs w:val="24"/>
        </w:rPr>
        <w:t xml:space="preserve">E. above, the SMDIA has been increased temporarily from $100,000 to $250,000 through year-end 2013.  However, the data that banks currently report in the Call Report on fully insured brokered deposits in Schedule RC-E, Memorandum items 1.c.(1) and 1.c.(2), is based on the $100,000 insurance limit (except for brokered retirement deposit accounts </w:t>
      </w:r>
      <w:r w:rsidR="00FB0DA8">
        <w:rPr>
          <w:snapToGrid/>
          <w:szCs w:val="24"/>
        </w:rPr>
        <w:lastRenderedPageBreak/>
        <w:t xml:space="preserve">for which the deposit insurance limit was already $250,000).  Therefore, in response to the temporary increase in the SMDIA, the agencies are proposing to revise the reporting of fully insured brokered deposits in Schedule RC-E.  Furthermore, given the linkage between the deposit insurance limits and the Memorandum items on fully insured brokered deposits in Schedule RC-E, </w:t>
      </w:r>
      <w:r w:rsidR="00FB0DA8" w:rsidRPr="005D2A93">
        <w:rPr>
          <w:szCs w:val="24"/>
        </w:rPr>
        <w:t xml:space="preserve">the </w:t>
      </w:r>
      <w:r w:rsidR="00FB0DA8">
        <w:rPr>
          <w:szCs w:val="24"/>
        </w:rPr>
        <w:t xml:space="preserve">scope of these items </w:t>
      </w:r>
      <w:r w:rsidR="00FB0DA8" w:rsidRPr="005D2A93">
        <w:rPr>
          <w:szCs w:val="24"/>
        </w:rPr>
        <w:t>need</w:t>
      </w:r>
      <w:r w:rsidR="00FB0DA8">
        <w:rPr>
          <w:szCs w:val="24"/>
        </w:rPr>
        <w:t xml:space="preserve">s </w:t>
      </w:r>
      <w:r w:rsidR="00FB0DA8" w:rsidRPr="005D2A93">
        <w:rPr>
          <w:szCs w:val="24"/>
        </w:rPr>
        <w:t xml:space="preserve">to be changed </w:t>
      </w:r>
      <w:r w:rsidR="00FB0DA8">
        <w:rPr>
          <w:szCs w:val="24"/>
        </w:rPr>
        <w:t>whenever</w:t>
      </w:r>
      <w:r w:rsidR="00FB0DA8" w:rsidRPr="005D2A93">
        <w:rPr>
          <w:szCs w:val="24"/>
        </w:rPr>
        <w:t xml:space="preserve"> deposit insurance</w:t>
      </w:r>
      <w:r w:rsidR="00FB0DA8">
        <w:rPr>
          <w:szCs w:val="24"/>
        </w:rPr>
        <w:t xml:space="preserve"> </w:t>
      </w:r>
      <w:r w:rsidR="00FB0DA8" w:rsidRPr="005D2A93">
        <w:rPr>
          <w:szCs w:val="24"/>
        </w:rPr>
        <w:t>limit</w:t>
      </w:r>
      <w:r w:rsidR="00FB0DA8">
        <w:rPr>
          <w:szCs w:val="24"/>
        </w:rPr>
        <w:t>s</w:t>
      </w:r>
      <w:r w:rsidR="00FB0DA8" w:rsidRPr="005D2A93">
        <w:rPr>
          <w:szCs w:val="24"/>
        </w:rPr>
        <w:t xml:space="preserve"> change</w:t>
      </w:r>
      <w:r w:rsidR="00FB0DA8">
        <w:rPr>
          <w:szCs w:val="24"/>
        </w:rPr>
        <w:t xml:space="preserve">.  </w:t>
      </w:r>
      <w:r w:rsidR="00FB0DA8" w:rsidRPr="005D2A93">
        <w:rPr>
          <w:szCs w:val="24"/>
        </w:rPr>
        <w:t xml:space="preserve">To ensure that the </w:t>
      </w:r>
      <w:r w:rsidR="00FB0DA8">
        <w:rPr>
          <w:szCs w:val="24"/>
        </w:rPr>
        <w:t xml:space="preserve">scope of these Memorandum items, including the </w:t>
      </w:r>
      <w:r w:rsidR="00FB0DA8" w:rsidRPr="005D2A93">
        <w:rPr>
          <w:szCs w:val="24"/>
        </w:rPr>
        <w:t>dollar</w:t>
      </w:r>
      <w:r w:rsidR="00FB0DA8">
        <w:rPr>
          <w:szCs w:val="24"/>
        </w:rPr>
        <w:t xml:space="preserve"> </w:t>
      </w:r>
      <w:r w:rsidR="00FB0DA8" w:rsidRPr="005D2A93">
        <w:rPr>
          <w:szCs w:val="24"/>
        </w:rPr>
        <w:t>amount</w:t>
      </w:r>
      <w:r w:rsidR="00FB0DA8">
        <w:rPr>
          <w:szCs w:val="24"/>
        </w:rPr>
        <w:t>s</w:t>
      </w:r>
      <w:r w:rsidR="00FB0DA8" w:rsidRPr="005D2A93">
        <w:rPr>
          <w:szCs w:val="24"/>
        </w:rPr>
        <w:t xml:space="preserve"> cited in the caption</w:t>
      </w:r>
      <w:r w:rsidR="00FB0DA8">
        <w:rPr>
          <w:szCs w:val="24"/>
        </w:rPr>
        <w:t>s for these items,</w:t>
      </w:r>
      <w:r w:rsidR="00FB0DA8" w:rsidRPr="005D2A93">
        <w:rPr>
          <w:szCs w:val="24"/>
        </w:rPr>
        <w:t xml:space="preserve"> changes</w:t>
      </w:r>
      <w:r w:rsidR="00FB0DA8">
        <w:rPr>
          <w:szCs w:val="24"/>
        </w:rPr>
        <w:t xml:space="preserve"> </w:t>
      </w:r>
      <w:r w:rsidR="00FB0DA8" w:rsidRPr="005D2A93">
        <w:rPr>
          <w:szCs w:val="24"/>
        </w:rPr>
        <w:t>automatically as a function of the</w:t>
      </w:r>
      <w:r w:rsidR="00FB0DA8">
        <w:rPr>
          <w:szCs w:val="24"/>
        </w:rPr>
        <w:t xml:space="preserve"> </w:t>
      </w:r>
      <w:r w:rsidR="00FB0DA8" w:rsidRPr="005D2A93">
        <w:rPr>
          <w:szCs w:val="24"/>
        </w:rPr>
        <w:t>deposit insurance limit in effect on the</w:t>
      </w:r>
      <w:r w:rsidR="00FB0DA8">
        <w:rPr>
          <w:szCs w:val="24"/>
        </w:rPr>
        <w:t xml:space="preserve"> </w:t>
      </w:r>
      <w:r w:rsidR="00FB0DA8" w:rsidRPr="005D2A93">
        <w:rPr>
          <w:szCs w:val="24"/>
        </w:rPr>
        <w:t>report date, Memorandum item 1</w:t>
      </w:r>
      <w:r w:rsidR="00FB0DA8">
        <w:rPr>
          <w:szCs w:val="24"/>
        </w:rPr>
        <w:t xml:space="preserve">.c, “Fully insured brokered deposits,” </w:t>
      </w:r>
      <w:r w:rsidR="00FB0DA8" w:rsidRPr="005D2A93">
        <w:rPr>
          <w:szCs w:val="24"/>
        </w:rPr>
        <w:t>would be</w:t>
      </w:r>
      <w:r w:rsidR="00FB0DA8">
        <w:rPr>
          <w:szCs w:val="24"/>
        </w:rPr>
        <w:t xml:space="preserve"> </w:t>
      </w:r>
      <w:r w:rsidR="00FB0DA8" w:rsidRPr="005D2A93">
        <w:rPr>
          <w:szCs w:val="24"/>
        </w:rPr>
        <w:t>footnoted to state that the specific dollar</w:t>
      </w:r>
      <w:r w:rsidR="00FB0DA8">
        <w:rPr>
          <w:szCs w:val="24"/>
        </w:rPr>
        <w:t xml:space="preserve"> </w:t>
      </w:r>
      <w:r w:rsidR="00FB0DA8" w:rsidRPr="005D2A93">
        <w:rPr>
          <w:szCs w:val="24"/>
        </w:rPr>
        <w:t>amounts used as the basis for reporting</w:t>
      </w:r>
      <w:r w:rsidR="00FB0DA8">
        <w:rPr>
          <w:szCs w:val="24"/>
        </w:rPr>
        <w:t xml:space="preserve"> fully insured brokered deposits in Memorandum items 1.c.(1) and 1.c.(2) </w:t>
      </w:r>
      <w:r w:rsidR="00FB0DA8" w:rsidRPr="005D2A93">
        <w:rPr>
          <w:szCs w:val="24"/>
        </w:rPr>
        <w:t>reflect the deposit insurance limits</w:t>
      </w:r>
      <w:r w:rsidR="00FB0DA8">
        <w:rPr>
          <w:szCs w:val="24"/>
        </w:rPr>
        <w:t xml:space="preserve"> </w:t>
      </w:r>
      <w:r w:rsidR="00FB0DA8" w:rsidRPr="005D2A93">
        <w:rPr>
          <w:szCs w:val="24"/>
        </w:rPr>
        <w:t xml:space="preserve">in effect on the report date. </w:t>
      </w:r>
      <w:r w:rsidR="00FB0DA8">
        <w:rPr>
          <w:szCs w:val="24"/>
        </w:rPr>
        <w:t xml:space="preserve"> </w:t>
      </w:r>
      <w:r w:rsidR="00FB0DA8" w:rsidRPr="005D2A93">
        <w:rPr>
          <w:szCs w:val="24"/>
        </w:rPr>
        <w:t>The</w:t>
      </w:r>
      <w:r w:rsidR="00FB0DA8">
        <w:rPr>
          <w:szCs w:val="24"/>
        </w:rPr>
        <w:t xml:space="preserve"> instructions for</w:t>
      </w:r>
      <w:r w:rsidR="00FB0DA8" w:rsidRPr="005D2A93">
        <w:rPr>
          <w:szCs w:val="24"/>
        </w:rPr>
        <w:t xml:space="preserve"> Memorandum item</w:t>
      </w:r>
      <w:r w:rsidR="00FB0DA8">
        <w:rPr>
          <w:szCs w:val="24"/>
        </w:rPr>
        <w:t xml:space="preserve"> 1.c </w:t>
      </w:r>
      <w:r w:rsidR="00FB0DA8" w:rsidRPr="005D2A93">
        <w:rPr>
          <w:szCs w:val="24"/>
        </w:rPr>
        <w:t>would be similarly clarified.</w:t>
      </w:r>
      <w:r w:rsidR="00FB0DA8" w:rsidRPr="00CD0778">
        <w:rPr>
          <w:rStyle w:val="FootnoteReference"/>
          <w:szCs w:val="24"/>
          <w:vertAlign w:val="superscript"/>
        </w:rPr>
        <w:footnoteReference w:id="3"/>
      </w:r>
      <w:r w:rsidR="00FB0DA8" w:rsidRPr="00CD0778">
        <w:rPr>
          <w:szCs w:val="24"/>
          <w:vertAlign w:val="superscript"/>
        </w:rPr>
        <w:t xml:space="preserve"> </w:t>
      </w:r>
      <w:r w:rsidR="00FB0DA8">
        <w:rPr>
          <w:szCs w:val="24"/>
        </w:rPr>
        <w:t xml:space="preserve">    </w:t>
      </w:r>
    </w:p>
    <w:p w:rsidR="007D4892" w:rsidRPr="005D2A93" w:rsidRDefault="007D4892" w:rsidP="00FB0DA8">
      <w:pPr>
        <w:pStyle w:val="BodyText"/>
        <w:widowControl/>
        <w:spacing w:line="240" w:lineRule="auto"/>
        <w:ind w:firstLine="720"/>
        <w:rPr>
          <w:szCs w:val="24"/>
        </w:rPr>
      </w:pPr>
    </w:p>
    <w:p w:rsidR="00FB0DA8" w:rsidRDefault="00FB0DA8" w:rsidP="00FB0DA8">
      <w:pPr>
        <w:pStyle w:val="BodyText"/>
        <w:widowControl/>
        <w:spacing w:line="240" w:lineRule="auto"/>
        <w:ind w:firstLine="720"/>
        <w:rPr>
          <w:snapToGrid/>
          <w:szCs w:val="24"/>
        </w:rPr>
      </w:pPr>
      <w:r>
        <w:rPr>
          <w:snapToGrid/>
          <w:szCs w:val="24"/>
        </w:rPr>
        <w:t>In addition, consistent with the reporting of time deposits in other items of Schedule RC-E, brokered deposits would be reported based on their balances rather than the denominations in which they were issued.</w:t>
      </w:r>
    </w:p>
    <w:p w:rsidR="007D4892" w:rsidRDefault="007D4892" w:rsidP="00FB0DA8">
      <w:pPr>
        <w:pStyle w:val="BodyText"/>
        <w:widowControl/>
        <w:spacing w:line="240" w:lineRule="auto"/>
        <w:ind w:firstLine="720"/>
        <w:rPr>
          <w:snapToGrid/>
          <w:szCs w:val="24"/>
        </w:rPr>
      </w:pPr>
    </w:p>
    <w:p w:rsidR="00FB0DA8" w:rsidRDefault="00FB0DA8" w:rsidP="00FB0DA8">
      <w:pPr>
        <w:pStyle w:val="BodyText"/>
        <w:widowControl/>
        <w:spacing w:line="240" w:lineRule="auto"/>
        <w:ind w:firstLine="720"/>
        <w:rPr>
          <w:snapToGrid/>
          <w:szCs w:val="24"/>
        </w:rPr>
      </w:pPr>
      <w:r>
        <w:rPr>
          <w:snapToGrid/>
          <w:szCs w:val="24"/>
        </w:rPr>
        <w:t>Accordingly, Memorandum items 1.c.(1) and 1.c.(2) of Schedule RC-E and their instructions would be revised as follows:</w:t>
      </w:r>
    </w:p>
    <w:p w:rsidR="00FB0DA8" w:rsidRDefault="00FB0DA8" w:rsidP="00FB0DA8">
      <w:pPr>
        <w:pStyle w:val="BodyText"/>
        <w:widowControl/>
        <w:numPr>
          <w:ilvl w:val="0"/>
          <w:numId w:val="15"/>
        </w:numPr>
        <w:tabs>
          <w:tab w:val="clear" w:pos="-720"/>
          <w:tab w:val="clear" w:pos="134"/>
          <w:tab w:val="clear" w:pos="432"/>
          <w:tab w:val="clear" w:pos="864"/>
          <w:tab w:val="clear" w:pos="4320"/>
          <w:tab w:val="clear" w:pos="5040"/>
          <w:tab w:val="clear" w:pos="5760"/>
        </w:tabs>
        <w:suppressAutoHyphens w:val="0"/>
        <w:spacing w:line="240" w:lineRule="auto"/>
        <w:rPr>
          <w:snapToGrid/>
          <w:szCs w:val="24"/>
        </w:rPr>
      </w:pPr>
      <w:r>
        <w:rPr>
          <w:szCs w:val="24"/>
        </w:rPr>
        <w:t>Memorandum item 1.c.(1), “</w:t>
      </w:r>
      <w:r w:rsidRPr="000E2B28">
        <w:rPr>
          <w:szCs w:val="24"/>
        </w:rPr>
        <w:t xml:space="preserve">Brokered deposits </w:t>
      </w:r>
      <w:r>
        <w:rPr>
          <w:szCs w:val="24"/>
        </w:rPr>
        <w:t>o</w:t>
      </w:r>
      <w:r w:rsidRPr="000E2B28">
        <w:rPr>
          <w:szCs w:val="24"/>
        </w:rPr>
        <w:t>f less than $100,000</w:t>
      </w:r>
      <w:r>
        <w:rPr>
          <w:szCs w:val="24"/>
        </w:rPr>
        <w:t>”:</w:t>
      </w:r>
      <w:r w:rsidRPr="00D12EE0">
        <w:rPr>
          <w:szCs w:val="24"/>
        </w:rPr>
        <w:t xml:space="preserve">  Report in this item brokered deposits </w:t>
      </w:r>
      <w:r>
        <w:rPr>
          <w:szCs w:val="24"/>
        </w:rPr>
        <w:t xml:space="preserve">with balances </w:t>
      </w:r>
      <w:r w:rsidRPr="00D12EE0">
        <w:rPr>
          <w:szCs w:val="24"/>
        </w:rPr>
        <w:t xml:space="preserve">of less than $100,000.  Also report in this item time deposits issued to deposit brokers in the form of large ($100,000 or more) certificates of deposit that have been participated out by the broker in shares </w:t>
      </w:r>
      <w:r>
        <w:rPr>
          <w:szCs w:val="24"/>
        </w:rPr>
        <w:t xml:space="preserve">with balances </w:t>
      </w:r>
      <w:r w:rsidRPr="00D12EE0">
        <w:rPr>
          <w:szCs w:val="24"/>
        </w:rPr>
        <w:t>of less than $100,000.</w:t>
      </w:r>
      <w:r>
        <w:rPr>
          <w:szCs w:val="24"/>
        </w:rPr>
        <w:t xml:space="preserve">  </w:t>
      </w:r>
      <w:r w:rsidRPr="00D12EE0">
        <w:rPr>
          <w:snapToGrid/>
          <w:szCs w:val="24"/>
        </w:rPr>
        <w:t>For brokered deposits that represent retirement deposit accounts (as defined in Schedule RC</w:t>
      </w:r>
      <w:r w:rsidRPr="00D12EE0">
        <w:rPr>
          <w:snapToGrid/>
          <w:szCs w:val="24"/>
        </w:rPr>
        <w:noBreakHyphen/>
        <w:t>O, Memorandum item 1) eligible for $250,000 in deposit insurance coverage, report such brokered deposits in this item only if the</w:t>
      </w:r>
      <w:r>
        <w:rPr>
          <w:snapToGrid/>
          <w:szCs w:val="24"/>
        </w:rPr>
        <w:t xml:space="preserve">ir balances are </w:t>
      </w:r>
      <w:r w:rsidRPr="00D12EE0">
        <w:rPr>
          <w:snapToGrid/>
          <w:szCs w:val="24"/>
        </w:rPr>
        <w:t xml:space="preserve">less than $100,000.  </w:t>
      </w:r>
    </w:p>
    <w:p w:rsidR="00FB0DA8" w:rsidRDefault="00FB0DA8" w:rsidP="00FB0DA8">
      <w:pPr>
        <w:pStyle w:val="BodyText"/>
        <w:widowControl/>
        <w:numPr>
          <w:ilvl w:val="0"/>
          <w:numId w:val="15"/>
        </w:numPr>
        <w:tabs>
          <w:tab w:val="clear" w:pos="-720"/>
          <w:tab w:val="clear" w:pos="134"/>
          <w:tab w:val="clear" w:pos="432"/>
          <w:tab w:val="clear" w:pos="864"/>
          <w:tab w:val="clear" w:pos="4320"/>
          <w:tab w:val="clear" w:pos="5040"/>
          <w:tab w:val="clear" w:pos="5760"/>
        </w:tabs>
        <w:suppressAutoHyphens w:val="0"/>
        <w:spacing w:line="240" w:lineRule="auto"/>
        <w:rPr>
          <w:szCs w:val="24"/>
        </w:rPr>
      </w:pPr>
      <w:r>
        <w:rPr>
          <w:szCs w:val="24"/>
        </w:rPr>
        <w:t>Memorandum item 1.c.(2), “</w:t>
      </w:r>
      <w:r w:rsidRPr="000E2B28">
        <w:rPr>
          <w:szCs w:val="24"/>
        </w:rPr>
        <w:t xml:space="preserve">Brokered deposits </w:t>
      </w:r>
      <w:r>
        <w:rPr>
          <w:szCs w:val="24"/>
        </w:rPr>
        <w:t>o</w:t>
      </w:r>
      <w:r w:rsidRPr="000E2B28">
        <w:rPr>
          <w:szCs w:val="24"/>
        </w:rPr>
        <w:t>f $100,000</w:t>
      </w:r>
      <w:r>
        <w:rPr>
          <w:szCs w:val="24"/>
        </w:rPr>
        <w:t xml:space="preserve"> through $250,000 and certain brokered retirement deposit accounts”:</w:t>
      </w:r>
      <w:r w:rsidRPr="00D12EE0">
        <w:rPr>
          <w:szCs w:val="24"/>
        </w:rPr>
        <w:t xml:space="preserve">  Report in this item </w:t>
      </w:r>
      <w:r w:rsidRPr="000E2B28">
        <w:rPr>
          <w:szCs w:val="24"/>
        </w:rPr>
        <w:t xml:space="preserve">brokered deposits </w:t>
      </w:r>
      <w:r>
        <w:rPr>
          <w:szCs w:val="24"/>
        </w:rPr>
        <w:t xml:space="preserve">(including brokered retirement deposit accounts) with balances of </w:t>
      </w:r>
      <w:r w:rsidRPr="000E2B28">
        <w:rPr>
          <w:szCs w:val="24"/>
        </w:rPr>
        <w:t>$100,000</w:t>
      </w:r>
      <w:r>
        <w:rPr>
          <w:szCs w:val="24"/>
        </w:rPr>
        <w:t xml:space="preserve"> through $250,000</w:t>
      </w:r>
      <w:r w:rsidRPr="000E2B28">
        <w:rPr>
          <w:szCs w:val="24"/>
        </w:rPr>
        <w:t>.</w:t>
      </w:r>
      <w:r>
        <w:rPr>
          <w:szCs w:val="24"/>
        </w:rPr>
        <w:t xml:space="preserve">  </w:t>
      </w:r>
      <w:r w:rsidRPr="000E2B28">
        <w:rPr>
          <w:szCs w:val="24"/>
        </w:rPr>
        <w:t>Also report in this item brokered deposits that represent retirement deposit accounts (as defined in Schedule RC-O, Memorandum item 1) eligible for $250,000 in deposit insurance coverage that have been issued by the bank in denominations of more than $250,000 that have been participated out by the broker in shares of $100,000 through exactly $250,000.</w:t>
      </w:r>
    </w:p>
    <w:p w:rsidR="00FB0DA8" w:rsidRDefault="00FB0DA8" w:rsidP="00FB0DA8">
      <w:pPr>
        <w:pStyle w:val="BodyText"/>
        <w:widowControl/>
        <w:spacing w:line="240" w:lineRule="auto"/>
        <w:ind w:firstLine="720"/>
        <w:rPr>
          <w:snapToGrid/>
          <w:szCs w:val="24"/>
        </w:rPr>
      </w:pPr>
    </w:p>
    <w:p w:rsidR="00FB0DA8" w:rsidRDefault="00FB0DA8" w:rsidP="00FB0DA8">
      <w:pPr>
        <w:pStyle w:val="BodyText"/>
        <w:widowControl/>
        <w:spacing w:line="240" w:lineRule="auto"/>
        <w:ind w:firstLine="720"/>
        <w:rPr>
          <w:snapToGrid/>
          <w:szCs w:val="24"/>
        </w:rPr>
      </w:pPr>
      <w:r>
        <w:rPr>
          <w:snapToGrid/>
          <w:szCs w:val="24"/>
        </w:rPr>
        <w:t>The proposed revisions to Schedule RC-E, Memorandum items 1.c.(1) and 1.c.(2), that relate to the temporary increase in the SMDIA would remain in effect during this increase, after which the dollar amounts used as the basis for reporting fully insured brokered deposits in these items would revert to the amounts in effect prior to the temporary increase.</w:t>
      </w:r>
    </w:p>
    <w:p w:rsidR="007D4892" w:rsidRDefault="007D4892" w:rsidP="00FB0DA8">
      <w:pPr>
        <w:pStyle w:val="BodyText"/>
        <w:widowControl/>
        <w:spacing w:line="240" w:lineRule="auto"/>
        <w:ind w:firstLine="720"/>
        <w:rPr>
          <w:snapToGrid/>
          <w:szCs w:val="24"/>
        </w:rPr>
      </w:pPr>
    </w:p>
    <w:p w:rsidR="00FB0DA8" w:rsidRDefault="00FB0DA8" w:rsidP="00FB0DA8">
      <w:pPr>
        <w:pStyle w:val="BodyText"/>
        <w:widowControl/>
        <w:spacing w:line="240" w:lineRule="auto"/>
        <w:ind w:firstLine="720"/>
        <w:rPr>
          <w:snapToGrid/>
          <w:szCs w:val="24"/>
        </w:rPr>
      </w:pPr>
      <w:r>
        <w:rPr>
          <w:snapToGrid/>
          <w:szCs w:val="24"/>
        </w:rPr>
        <w:t xml:space="preserve">The agencies are not proposing to revise the existing requirements for the reporting of maturity data on brokered deposits in Memorandum items 1.d.(1) and 1.d.(2) of Schedule RC-E.  </w:t>
      </w:r>
    </w:p>
    <w:p w:rsidR="00FB0DA8" w:rsidRDefault="00FB0DA8" w:rsidP="00FB0DA8">
      <w:pPr>
        <w:pStyle w:val="BodyText"/>
        <w:widowControl/>
        <w:spacing w:line="240" w:lineRule="auto"/>
        <w:ind w:firstLine="720"/>
        <w:rPr>
          <w:snapToGrid/>
          <w:szCs w:val="24"/>
        </w:rPr>
      </w:pPr>
      <w:r>
        <w:rPr>
          <w:snapToGrid/>
          <w:szCs w:val="24"/>
        </w:rPr>
        <w:t xml:space="preserve">    </w:t>
      </w:r>
    </w:p>
    <w:p w:rsidR="00810E73" w:rsidRDefault="00810E73">
      <w:pPr>
        <w:widowControl/>
        <w:autoSpaceDE/>
        <w:autoSpaceDN/>
        <w:adjustRightInd/>
        <w:rPr>
          <w:rFonts w:ascii="CG Times (W1)" w:hAnsi="CG Times (W1)"/>
          <w:spacing w:val="-2"/>
          <w:u w:val="single"/>
        </w:rPr>
      </w:pPr>
      <w:r>
        <w:rPr>
          <w:u w:val="single"/>
        </w:rPr>
        <w:br w:type="page"/>
      </w:r>
    </w:p>
    <w:p w:rsidR="00FB0DA8" w:rsidRDefault="00FB0DA8" w:rsidP="00FB0DA8">
      <w:pPr>
        <w:pStyle w:val="BodyText"/>
        <w:widowControl/>
        <w:spacing w:line="240" w:lineRule="auto"/>
        <w:rPr>
          <w:snapToGrid/>
          <w:szCs w:val="24"/>
          <w:u w:val="single"/>
        </w:rPr>
      </w:pPr>
      <w:r>
        <w:rPr>
          <w:snapToGrid/>
          <w:szCs w:val="24"/>
          <w:u w:val="single"/>
        </w:rPr>
        <w:lastRenderedPageBreak/>
        <w:t>G</w:t>
      </w:r>
      <w:r w:rsidR="00761031">
        <w:rPr>
          <w:snapToGrid/>
          <w:szCs w:val="24"/>
          <w:u w:val="single"/>
        </w:rPr>
        <w:t xml:space="preserve">.  </w:t>
      </w:r>
      <w:r w:rsidR="00091E64">
        <w:rPr>
          <w:snapToGrid/>
          <w:szCs w:val="24"/>
          <w:u w:val="single"/>
        </w:rPr>
        <w:t>Assets Covered by FDIC Loss-</w:t>
      </w:r>
      <w:r w:rsidR="00761031">
        <w:rPr>
          <w:snapToGrid/>
          <w:szCs w:val="24"/>
          <w:u w:val="single"/>
        </w:rPr>
        <w:t>Sharing Agreements</w:t>
      </w:r>
    </w:p>
    <w:p w:rsidR="00091E64" w:rsidRDefault="00091E64" w:rsidP="00091E64">
      <w:pPr>
        <w:pStyle w:val="BodyText"/>
        <w:widowControl/>
        <w:spacing w:line="240" w:lineRule="auto"/>
        <w:rPr>
          <w:szCs w:val="24"/>
        </w:rPr>
      </w:pPr>
    </w:p>
    <w:p w:rsidR="00091E64" w:rsidRDefault="00091E64" w:rsidP="00091E64">
      <w:pPr>
        <w:pStyle w:val="BodyText"/>
        <w:widowControl/>
        <w:spacing w:line="240" w:lineRule="auto"/>
        <w:ind w:firstLine="720"/>
        <w:rPr>
          <w:szCs w:val="24"/>
        </w:rPr>
      </w:pPr>
      <w:r w:rsidRPr="00BF2105">
        <w:rPr>
          <w:szCs w:val="24"/>
        </w:rPr>
        <w:t xml:space="preserve">Under loss sharing, the FDIC agrees to absorb a portion of the loss on a specified pool of </w:t>
      </w:r>
      <w:r>
        <w:rPr>
          <w:szCs w:val="24"/>
        </w:rPr>
        <w:t xml:space="preserve">a failed institution’s </w:t>
      </w:r>
      <w:r w:rsidRPr="00BF2105">
        <w:rPr>
          <w:szCs w:val="24"/>
        </w:rPr>
        <w:t>assets in order to maximize asset recoveries and minimize</w:t>
      </w:r>
      <w:r>
        <w:rPr>
          <w:szCs w:val="24"/>
        </w:rPr>
        <w:t xml:space="preserve"> the </w:t>
      </w:r>
      <w:r w:rsidRPr="00BF2105">
        <w:rPr>
          <w:szCs w:val="24"/>
        </w:rPr>
        <w:t>FDIC</w:t>
      </w:r>
      <w:r>
        <w:rPr>
          <w:szCs w:val="24"/>
        </w:rPr>
        <w:t>’s</w:t>
      </w:r>
      <w:r w:rsidRPr="00BF2105">
        <w:rPr>
          <w:szCs w:val="24"/>
        </w:rPr>
        <w:t xml:space="preserve"> losses. </w:t>
      </w:r>
      <w:r>
        <w:rPr>
          <w:szCs w:val="24"/>
        </w:rPr>
        <w:t xml:space="preserve"> In general,</w:t>
      </w:r>
      <w:r w:rsidRPr="008B2B73">
        <w:rPr>
          <w:szCs w:val="24"/>
        </w:rPr>
        <w:t xml:space="preserve"> </w:t>
      </w:r>
      <w:r>
        <w:rPr>
          <w:szCs w:val="24"/>
        </w:rPr>
        <w:t xml:space="preserve">the </w:t>
      </w:r>
      <w:r w:rsidRPr="008B2B73">
        <w:rPr>
          <w:szCs w:val="24"/>
        </w:rPr>
        <w:t xml:space="preserve">FDIC will reimburse 80 percent of losses incurred by </w:t>
      </w:r>
      <w:r>
        <w:rPr>
          <w:szCs w:val="24"/>
        </w:rPr>
        <w:t xml:space="preserve">an </w:t>
      </w:r>
      <w:r w:rsidRPr="008B2B73">
        <w:rPr>
          <w:szCs w:val="24"/>
        </w:rPr>
        <w:t>acquir</w:t>
      </w:r>
      <w:r>
        <w:rPr>
          <w:szCs w:val="24"/>
        </w:rPr>
        <w:t>ing institution</w:t>
      </w:r>
      <w:r w:rsidRPr="008B2B73">
        <w:rPr>
          <w:szCs w:val="24"/>
        </w:rPr>
        <w:t xml:space="preserve"> on covered assets </w:t>
      </w:r>
      <w:r>
        <w:rPr>
          <w:szCs w:val="24"/>
        </w:rPr>
        <w:t xml:space="preserve">over a specified period of time </w:t>
      </w:r>
      <w:r w:rsidRPr="008B2B73">
        <w:rPr>
          <w:szCs w:val="24"/>
        </w:rPr>
        <w:t>up to a stated threshold amount, with the a</w:t>
      </w:r>
      <w:r>
        <w:rPr>
          <w:szCs w:val="24"/>
        </w:rPr>
        <w:t>cquirer</w:t>
      </w:r>
      <w:r w:rsidRPr="008B2B73">
        <w:rPr>
          <w:szCs w:val="24"/>
        </w:rPr>
        <w:t xml:space="preserve"> </w:t>
      </w:r>
      <w:r>
        <w:rPr>
          <w:szCs w:val="24"/>
        </w:rPr>
        <w:t>absorbing</w:t>
      </w:r>
      <w:r w:rsidRPr="008B2B73">
        <w:rPr>
          <w:szCs w:val="24"/>
        </w:rPr>
        <w:t xml:space="preserve"> 20 percent. </w:t>
      </w:r>
      <w:r>
        <w:rPr>
          <w:szCs w:val="24"/>
        </w:rPr>
        <w:t xml:space="preserve"> </w:t>
      </w:r>
      <w:r w:rsidRPr="008B2B73">
        <w:rPr>
          <w:szCs w:val="24"/>
        </w:rPr>
        <w:t xml:space="preserve">Any losses above the stated threshold amount will be reimbursed </w:t>
      </w:r>
      <w:r>
        <w:rPr>
          <w:szCs w:val="24"/>
        </w:rPr>
        <w:t xml:space="preserve">by the FDIC </w:t>
      </w:r>
      <w:r w:rsidRPr="008B2B73">
        <w:rPr>
          <w:szCs w:val="24"/>
        </w:rPr>
        <w:t xml:space="preserve">at 95 percent of the losses booked by the acquirer. </w:t>
      </w:r>
      <w:r>
        <w:rPr>
          <w:szCs w:val="24"/>
        </w:rPr>
        <w:t xml:space="preserve"> Over the past year, the FDIC has entered into loss-sharing agreements with acquiring institutions in connection with approximately 80 failed bank and thrift acquisitions.  Some acquiring institutions have been involved in multiple failed institution acquisitions.  The continued use of loss-sharing agreements is expected in connection with the resolution of failures of insured institutions by the FDIC.  Assets covered by loss-sharing agreements include, but are not limited to, loans, other real estate, and debt securities. </w:t>
      </w:r>
    </w:p>
    <w:p w:rsidR="00091E64" w:rsidRDefault="00091E64" w:rsidP="00091E64">
      <w:pPr>
        <w:pStyle w:val="BodyText"/>
        <w:widowControl/>
        <w:spacing w:line="240" w:lineRule="auto"/>
        <w:ind w:firstLine="720"/>
        <w:rPr>
          <w:szCs w:val="24"/>
        </w:rPr>
      </w:pPr>
    </w:p>
    <w:p w:rsidR="00091E64" w:rsidRDefault="00091E64" w:rsidP="00091E64">
      <w:pPr>
        <w:pStyle w:val="BodyText"/>
        <w:widowControl/>
        <w:spacing w:line="240" w:lineRule="auto"/>
        <w:ind w:firstLine="720"/>
        <w:rPr>
          <w:szCs w:val="24"/>
        </w:rPr>
      </w:pPr>
      <w:r>
        <w:rPr>
          <w:szCs w:val="24"/>
        </w:rPr>
        <w:tab/>
        <w:t xml:space="preserve">The </w:t>
      </w:r>
      <w:r w:rsidR="00576790">
        <w:rPr>
          <w:szCs w:val="24"/>
        </w:rPr>
        <w:t>Call Report does not include a readily accessible summary</w:t>
      </w:r>
      <w:r>
        <w:rPr>
          <w:szCs w:val="24"/>
        </w:rPr>
        <w:t xml:space="preserve"> of assets that reporting banks have acquired from failed institutions that are covered by FDIC loss-sharing agreements.  Any covered loans and leases that are past due 30 days or more or are in nonaccrual status are reportable in items 10 and 10.a of Schedule RC-N, Past Due and Nonaccrual Loans, Leases, and Other Assets, as loans and leases that are wholly or partially guaranteed by the U.S. Government.  However, these items would also include loans and leases guaranteed by other U.S. Government agencies (such as the Small Business Administration and the Federal Housing Administration) that are past due 30 days or more or are in nonaccrual status and they would exclude loans and leases covered by FDIC loss-sharing agreements that do not meet these past due or nonaccrual reporting conditions as of the report date.  Thus, the amount of covered loans and leases is not readily identifiable from the Call Report and the amount of other covered assets cannot be determined at all from the Call Report.  </w:t>
      </w:r>
    </w:p>
    <w:p w:rsidR="00576790" w:rsidRDefault="00576790" w:rsidP="00091E64">
      <w:pPr>
        <w:pStyle w:val="BodyText"/>
        <w:widowControl/>
        <w:spacing w:line="240" w:lineRule="auto"/>
        <w:ind w:firstLine="720"/>
        <w:rPr>
          <w:szCs w:val="24"/>
        </w:rPr>
      </w:pPr>
    </w:p>
    <w:p w:rsidR="00091E64" w:rsidRPr="00EC7A7C" w:rsidRDefault="00091E64" w:rsidP="00091E64">
      <w:pPr>
        <w:pStyle w:val="BodyText"/>
        <w:widowControl/>
        <w:spacing w:line="240" w:lineRule="auto"/>
        <w:rPr>
          <w:snapToGrid/>
          <w:szCs w:val="24"/>
          <w:u w:val="single"/>
        </w:rPr>
      </w:pPr>
      <w:r>
        <w:rPr>
          <w:szCs w:val="24"/>
        </w:rPr>
        <w:tab/>
      </w:r>
      <w:r w:rsidR="00576790">
        <w:rPr>
          <w:szCs w:val="24"/>
        </w:rPr>
        <w:tab/>
      </w:r>
      <w:r w:rsidR="00576790">
        <w:rPr>
          <w:szCs w:val="24"/>
        </w:rPr>
        <w:tab/>
      </w:r>
      <w:r>
        <w:rPr>
          <w:szCs w:val="24"/>
        </w:rPr>
        <w:t xml:space="preserve">The reporting of summary data on covered assets would be beneficial to Call Report users and to the banks holding covered assets.  Therefore, the agencies </w:t>
      </w:r>
      <w:r w:rsidR="00576790">
        <w:rPr>
          <w:szCs w:val="24"/>
        </w:rPr>
        <w:t>propose to</w:t>
      </w:r>
      <w:r>
        <w:rPr>
          <w:szCs w:val="24"/>
        </w:rPr>
        <w:t xml:space="preserve"> add such a summary to Call Report Schedule RC-M, Memoranda, effective March 31, 2010.  In this summary, banks that have entered into loss-sharing agreements with the FDIC would separately report the carrying amounts of (1) loans and leases, (2) other real estate owned, (3) debt securities, and (4) other assets covered by such agreements.  </w:t>
      </w:r>
    </w:p>
    <w:p w:rsidR="00FB0DA8" w:rsidRDefault="00FB0DA8" w:rsidP="00FB0DA8">
      <w:pPr>
        <w:pStyle w:val="BodyText"/>
        <w:widowControl/>
        <w:spacing w:line="240" w:lineRule="auto"/>
        <w:rPr>
          <w:snapToGrid/>
          <w:szCs w:val="24"/>
        </w:rPr>
      </w:pPr>
    </w:p>
    <w:p w:rsidR="00FB0DA8" w:rsidRPr="00BB7A6D" w:rsidRDefault="00FB0DA8" w:rsidP="00FB0DA8">
      <w:pPr>
        <w:pStyle w:val="BodyText"/>
        <w:widowControl/>
        <w:spacing w:line="240" w:lineRule="auto"/>
        <w:rPr>
          <w:szCs w:val="24"/>
        </w:rPr>
      </w:pPr>
      <w:r w:rsidRPr="00BB7A6D">
        <w:rPr>
          <w:snapToGrid/>
          <w:szCs w:val="24"/>
          <w:u w:val="single"/>
        </w:rPr>
        <w:t xml:space="preserve">H.  </w:t>
      </w:r>
      <w:r w:rsidRPr="00BB7A6D">
        <w:rPr>
          <w:szCs w:val="24"/>
          <w:u w:val="single"/>
        </w:rPr>
        <w:t>Change in Reporting Frequency for Loans to Small Businesses and Small Farms</w:t>
      </w:r>
    </w:p>
    <w:p w:rsidR="00FB0DA8" w:rsidRPr="00BB7A6D" w:rsidRDefault="00FB0DA8" w:rsidP="00FB0DA8">
      <w:pPr>
        <w:pStyle w:val="BodyText"/>
        <w:widowControl/>
        <w:spacing w:line="240" w:lineRule="auto"/>
        <w:rPr>
          <w:szCs w:val="24"/>
        </w:rPr>
      </w:pPr>
    </w:p>
    <w:p w:rsidR="00FB0DA8" w:rsidRDefault="00FB0DA8" w:rsidP="00FB0DA8">
      <w:pPr>
        <w:pStyle w:val="BodyText"/>
        <w:widowControl/>
        <w:spacing w:line="240" w:lineRule="auto"/>
        <w:ind w:firstLine="720"/>
        <w:rPr>
          <w:szCs w:val="24"/>
        </w:rPr>
      </w:pPr>
      <w:r w:rsidRPr="00BB7A6D">
        <w:rPr>
          <w:szCs w:val="24"/>
        </w:rPr>
        <w:t xml:space="preserve">Section 122 of the Federal Deposit Insurance Corporation Improvement Act requires the banking agencies to collect from insured institutions annually the information the agencies “may need to assess the availability of credit to small businesses and small farms.”  To implement these requirements, the banking agencies added Schedule RC-C, Part II – Loans to Small Businesses and Small Farms to the Call Report effective June 30, 1993.  This schedule requests information on the number and amount currently outstanding of “loans to small businesses” and “loans to small farms,” as defined in the Call Report instructions, which all banks </w:t>
      </w:r>
      <w:r>
        <w:rPr>
          <w:szCs w:val="24"/>
        </w:rPr>
        <w:t>must report annually as of June </w:t>
      </w:r>
      <w:r w:rsidRPr="00BB7A6D">
        <w:rPr>
          <w:szCs w:val="24"/>
        </w:rPr>
        <w:t>30.</w:t>
      </w:r>
    </w:p>
    <w:p w:rsidR="007D4892" w:rsidRPr="00BB7A6D" w:rsidRDefault="007D4892" w:rsidP="00FB0DA8">
      <w:pPr>
        <w:pStyle w:val="BodyText"/>
        <w:widowControl/>
        <w:spacing w:line="240" w:lineRule="auto"/>
        <w:ind w:firstLine="720"/>
        <w:rPr>
          <w:szCs w:val="24"/>
        </w:rPr>
      </w:pPr>
    </w:p>
    <w:p w:rsidR="00576790" w:rsidRDefault="00576790" w:rsidP="00576790">
      <w:pPr>
        <w:pStyle w:val="BodyText"/>
        <w:widowControl/>
        <w:spacing w:line="240" w:lineRule="auto"/>
        <w:ind w:firstLine="720"/>
        <w:rPr>
          <w:szCs w:val="24"/>
        </w:rPr>
      </w:pPr>
      <w:r>
        <w:rPr>
          <w:szCs w:val="24"/>
        </w:rPr>
        <w:t>T</w:t>
      </w:r>
      <w:r w:rsidRPr="00BB7A6D">
        <w:rPr>
          <w:szCs w:val="24"/>
        </w:rPr>
        <w:t xml:space="preserve">he United States </w:t>
      </w:r>
      <w:r>
        <w:rPr>
          <w:szCs w:val="24"/>
        </w:rPr>
        <w:t xml:space="preserve">is </w:t>
      </w:r>
      <w:r w:rsidRPr="00BB7A6D">
        <w:rPr>
          <w:szCs w:val="24"/>
        </w:rPr>
        <w:t xml:space="preserve">now </w:t>
      </w:r>
      <w:r>
        <w:rPr>
          <w:szCs w:val="24"/>
        </w:rPr>
        <w:t xml:space="preserve">emerging from </w:t>
      </w:r>
      <w:r w:rsidRPr="00BB7A6D">
        <w:rPr>
          <w:szCs w:val="24"/>
        </w:rPr>
        <w:t>a recession</w:t>
      </w:r>
      <w:r>
        <w:rPr>
          <w:szCs w:val="24"/>
        </w:rPr>
        <w:t>, although unemployment has continued to rise.  In this regard</w:t>
      </w:r>
      <w:r w:rsidRPr="00BB7A6D">
        <w:rPr>
          <w:szCs w:val="24"/>
        </w:rPr>
        <w:t>, the current administration</w:t>
      </w:r>
      <w:r>
        <w:rPr>
          <w:szCs w:val="24"/>
        </w:rPr>
        <w:t xml:space="preserve"> stated earlier this year that it </w:t>
      </w:r>
      <w:r w:rsidRPr="00BB7A6D">
        <w:rPr>
          <w:szCs w:val="24"/>
        </w:rPr>
        <w:t xml:space="preserve">“firmly </w:t>
      </w:r>
      <w:r w:rsidRPr="00BB7A6D">
        <w:rPr>
          <w:szCs w:val="24"/>
        </w:rPr>
        <w:lastRenderedPageBreak/>
        <w:t>believes that economic recovery will be driven in large part by America’s small businesses,” but “small business owners are finding it harder to get the credit necessary to stay in business.”</w:t>
      </w:r>
      <w:r w:rsidRPr="00BB7A6D">
        <w:rPr>
          <w:szCs w:val="24"/>
          <w:vertAlign w:val="superscript"/>
        </w:rPr>
        <w:footnoteReference w:id="4"/>
      </w:r>
      <w:r w:rsidRPr="00BB7A6D">
        <w:rPr>
          <w:szCs w:val="24"/>
        </w:rPr>
        <w:t xml:space="preserve">  Because “[c]redit is essential to economic recovery,” Treasury Secretary Geithner </w:t>
      </w:r>
      <w:r>
        <w:rPr>
          <w:szCs w:val="24"/>
        </w:rPr>
        <w:t>announc</w:t>
      </w:r>
      <w:r w:rsidRPr="00BB7A6D">
        <w:rPr>
          <w:szCs w:val="24"/>
        </w:rPr>
        <w:t>ed on March 16, 2009, that “we need our nation’s banks to go the extra mile in keeping credit lines in place on reasonable terms for viable businesses.”</w:t>
      </w:r>
      <w:r w:rsidRPr="00BB7A6D">
        <w:rPr>
          <w:szCs w:val="24"/>
          <w:vertAlign w:val="superscript"/>
        </w:rPr>
        <w:footnoteReference w:id="5"/>
      </w:r>
      <w:r w:rsidRPr="00BB7A6D">
        <w:rPr>
          <w:szCs w:val="24"/>
        </w:rPr>
        <w:t xml:space="preserve">  Accordingly, Secretary Geithner asked the banking agencies “to call for quarterly, as opposed to annual reporting of small business loans, so that we can carefully monitor the degree that credit is flowing to our nation’s entrepreneurs and small business owners.”</w:t>
      </w:r>
      <w:r w:rsidRPr="00BB7A6D">
        <w:rPr>
          <w:szCs w:val="24"/>
          <w:vertAlign w:val="superscript"/>
        </w:rPr>
        <w:footnoteReference w:id="6"/>
      </w:r>
      <w:r w:rsidRPr="00BB7A6D">
        <w:rPr>
          <w:szCs w:val="24"/>
        </w:rPr>
        <w:t xml:space="preserve">  </w:t>
      </w:r>
    </w:p>
    <w:p w:rsidR="00576790" w:rsidRDefault="00576790" w:rsidP="00576790">
      <w:pPr>
        <w:pStyle w:val="BodyText"/>
        <w:widowControl/>
        <w:spacing w:line="240" w:lineRule="auto"/>
        <w:ind w:firstLine="720"/>
        <w:rPr>
          <w:szCs w:val="24"/>
        </w:rPr>
      </w:pPr>
    </w:p>
    <w:p w:rsidR="00576790" w:rsidRDefault="00576790" w:rsidP="00576790">
      <w:pPr>
        <w:pStyle w:val="BodyText"/>
        <w:widowControl/>
        <w:spacing w:line="240" w:lineRule="auto"/>
        <w:ind w:firstLine="720"/>
        <w:rPr>
          <w:szCs w:val="24"/>
        </w:rPr>
      </w:pPr>
      <w:r>
        <w:rPr>
          <w:szCs w:val="24"/>
        </w:rPr>
        <w:t>When developing the small business and small farm loan reporting requirement in 1992, which was mandated by Section 122 of FDICIA, the FFIEC originally proposed to have institutions use the annual sales of their business and farm borrowers as the way to distinguish loans to small businesses and small farms from other business and farm loans.  However, because commenters on the proposal indicated that such sales data are usually not contained in loan systems, the FFIEC considered other reporting alternatives that would be based on data already maintained in loan systems.  Certain commenters on the FFIEC’s 1992 proposal suggested reporting “by loan size since loan sizes are available in loan systems, thereby minimizing reporting burden, and loan size would tend to be indicative of borrower size.”</w:t>
      </w:r>
      <w:r>
        <w:rPr>
          <w:rStyle w:val="FootnoteReference"/>
          <w:szCs w:val="24"/>
        </w:rPr>
        <w:footnoteReference w:id="7"/>
      </w:r>
      <w:r>
        <w:rPr>
          <w:szCs w:val="24"/>
        </w:rPr>
        <w:t xml:space="preserve">  The FFIEC concluded that this suggestion had merit after noting that data reported in the 1989 National Survey of Small Business Finances showed a strong correlation between size of business and loan size.</w:t>
      </w:r>
    </w:p>
    <w:p w:rsidR="00576790" w:rsidRPr="00BB7A6D" w:rsidRDefault="00576790" w:rsidP="00576790">
      <w:pPr>
        <w:pStyle w:val="BodyText"/>
        <w:widowControl/>
        <w:spacing w:line="240" w:lineRule="auto"/>
        <w:ind w:firstLine="720"/>
        <w:rPr>
          <w:szCs w:val="24"/>
        </w:rPr>
      </w:pPr>
    </w:p>
    <w:p w:rsidR="00576790" w:rsidRDefault="00576790" w:rsidP="00576790">
      <w:pPr>
        <w:pStyle w:val="BodyText"/>
        <w:spacing w:line="240" w:lineRule="auto"/>
        <w:rPr>
          <w:szCs w:val="24"/>
        </w:rPr>
      </w:pPr>
      <w:r>
        <w:rPr>
          <w:szCs w:val="24"/>
        </w:rPr>
        <w:tab/>
      </w:r>
      <w:r>
        <w:rPr>
          <w:szCs w:val="24"/>
        </w:rPr>
        <w:tab/>
      </w:r>
      <w:r>
        <w:rPr>
          <w:szCs w:val="24"/>
        </w:rPr>
        <w:tab/>
        <w:t>Furthermore, the agencies note that</w:t>
      </w:r>
      <w:r w:rsidRPr="003D3163">
        <w:rPr>
          <w:szCs w:val="24"/>
        </w:rPr>
        <w:t xml:space="preserve"> Call Report small business and small farm lending data are an invaluable resource for understanding credit conditions facing small businesses.  </w:t>
      </w:r>
      <w:r>
        <w:rPr>
          <w:szCs w:val="24"/>
        </w:rPr>
        <w:t>Quarterly rather than annual</w:t>
      </w:r>
      <w:r w:rsidRPr="003D3163">
        <w:rPr>
          <w:szCs w:val="24"/>
        </w:rPr>
        <w:t xml:space="preserve"> collection of these data would improve the agencies</w:t>
      </w:r>
      <w:r>
        <w:rPr>
          <w:szCs w:val="24"/>
        </w:rPr>
        <w:t>’</w:t>
      </w:r>
      <w:r w:rsidRPr="003D3163">
        <w:rPr>
          <w:szCs w:val="24"/>
        </w:rPr>
        <w:t xml:space="preserve"> and </w:t>
      </w:r>
      <w:r>
        <w:rPr>
          <w:szCs w:val="24"/>
        </w:rPr>
        <w:t>f</w:t>
      </w:r>
      <w:r w:rsidRPr="003D3163">
        <w:rPr>
          <w:szCs w:val="24"/>
        </w:rPr>
        <w:t xml:space="preserve">ederal policymakers’ ability to monitor credit conditions facing small businesses and small farms and would significantly contribute to their development of policies intended to address any problems that arise in credit markets.  In recent months, the Department of the Treasury, the Small Business Administration, and the Department of Agriculture have identified a particular need for these data as they have worked to develop policies to ensure that more small businesses and small farms have access to credit.  In addition, the </w:t>
      </w:r>
      <w:r>
        <w:rPr>
          <w:szCs w:val="24"/>
        </w:rPr>
        <w:t>Board</w:t>
      </w:r>
      <w:r w:rsidRPr="003D3163">
        <w:rPr>
          <w:szCs w:val="24"/>
        </w:rPr>
        <w:t xml:space="preserve"> would find </w:t>
      </w:r>
      <w:r>
        <w:rPr>
          <w:szCs w:val="24"/>
        </w:rPr>
        <w:t xml:space="preserve">more frequent collection of </w:t>
      </w:r>
      <w:r w:rsidRPr="003D3163">
        <w:rPr>
          <w:szCs w:val="24"/>
        </w:rPr>
        <w:t xml:space="preserve">these data very valuable for monetary policymaking purposes.  </w:t>
      </w:r>
    </w:p>
    <w:p w:rsidR="00576790" w:rsidRPr="003D3163" w:rsidRDefault="00576790" w:rsidP="00576790">
      <w:pPr>
        <w:pStyle w:val="BodyText"/>
        <w:spacing w:line="240" w:lineRule="auto"/>
        <w:rPr>
          <w:szCs w:val="24"/>
        </w:rPr>
      </w:pPr>
    </w:p>
    <w:p w:rsidR="00576790" w:rsidRDefault="00576790" w:rsidP="00576790">
      <w:pPr>
        <w:pStyle w:val="BodyText"/>
        <w:widowControl/>
        <w:spacing w:line="240" w:lineRule="auto"/>
        <w:rPr>
          <w:szCs w:val="24"/>
        </w:rPr>
      </w:pPr>
      <w:r>
        <w:rPr>
          <w:szCs w:val="24"/>
        </w:rPr>
        <w:tab/>
      </w:r>
      <w:r>
        <w:rPr>
          <w:szCs w:val="24"/>
        </w:rPr>
        <w:tab/>
      </w:r>
      <w:r>
        <w:rPr>
          <w:szCs w:val="24"/>
        </w:rPr>
        <w:tab/>
      </w:r>
      <w:r w:rsidRPr="003D3163">
        <w:rPr>
          <w:szCs w:val="24"/>
        </w:rPr>
        <w:t xml:space="preserve">The fact that small business and small farm lending data are currently collected only once per year is especially problematic when stabilization policies are being contemplated or implemented.  First, determining whether stabilization policies are needed requires an accurate diagnosis of the current situation in the financial system.  An accurate diagnosis depends crucially on the availability of timely data.  Second, successful stabilization policies need to be accurately targeted.  Again, timely data is required to identify which parts of the financial system are in need of stabilization.  While these needs are particularly acute during periods of economic contraction, the same need for timely and targeted information to inform policy making exists throughout the credit cycle. </w:t>
      </w:r>
    </w:p>
    <w:p w:rsidR="00576790" w:rsidRPr="003D3163" w:rsidRDefault="00576790" w:rsidP="00576790">
      <w:pPr>
        <w:pStyle w:val="BodyText"/>
        <w:widowControl/>
        <w:spacing w:line="240" w:lineRule="auto"/>
        <w:rPr>
          <w:szCs w:val="24"/>
        </w:rPr>
      </w:pPr>
    </w:p>
    <w:p w:rsidR="00576790" w:rsidRPr="003D3163" w:rsidRDefault="00576790" w:rsidP="00576790">
      <w:pPr>
        <w:pStyle w:val="BodyText"/>
        <w:widowControl/>
        <w:spacing w:line="240" w:lineRule="auto"/>
        <w:rPr>
          <w:szCs w:val="24"/>
        </w:rPr>
      </w:pPr>
      <w:r>
        <w:rPr>
          <w:szCs w:val="24"/>
        </w:rPr>
        <w:lastRenderedPageBreak/>
        <w:tab/>
      </w:r>
      <w:r>
        <w:rPr>
          <w:szCs w:val="24"/>
        </w:rPr>
        <w:tab/>
      </w:r>
      <w:r>
        <w:rPr>
          <w:szCs w:val="24"/>
        </w:rPr>
        <w:tab/>
      </w:r>
      <w:r w:rsidRPr="003D3163">
        <w:rPr>
          <w:szCs w:val="24"/>
        </w:rPr>
        <w:t xml:space="preserve">The bank-level Call Report data provide information that cannot be obtained from other indicators of small business credit conditions.  The agencies’ other indicators of small business credit conditions – including the </w:t>
      </w:r>
      <w:r>
        <w:rPr>
          <w:szCs w:val="24"/>
        </w:rPr>
        <w:t>Board</w:t>
      </w:r>
      <w:r w:rsidRPr="003D3163">
        <w:rPr>
          <w:szCs w:val="24"/>
        </w:rPr>
        <w:t xml:space="preserve">’s Senior Loan Officer Opinion Survey and </w:t>
      </w:r>
      <w:r>
        <w:rPr>
          <w:szCs w:val="24"/>
        </w:rPr>
        <w:t>its</w:t>
      </w:r>
      <w:r w:rsidRPr="003D3163">
        <w:rPr>
          <w:szCs w:val="24"/>
        </w:rPr>
        <w:t xml:space="preserve"> Flow of Funds</w:t>
      </w:r>
      <w:r>
        <w:rPr>
          <w:szCs w:val="24"/>
        </w:rPr>
        <w:t xml:space="preserve"> Accounts</w:t>
      </w:r>
      <w:r w:rsidRPr="003D3163">
        <w:rPr>
          <w:szCs w:val="24"/>
        </w:rPr>
        <w:t xml:space="preserve"> – do not provide the same level of detail that is available from bank Call Reports, and therefore cannot be used to answer many questions that naturally arise during the policy development process.  For example, during a period of credit contraction, these other sources cannot be used to identify which types of banks are contracting loans.  This is a significant constraint for agencies, as having detailed information about the characteristics of affected banks is crucial to designing well-targeted and effective policy responses.  Moreover, there is evidence that small business lending by small banks does not correlate with lending by larger banks.  </w:t>
      </w:r>
    </w:p>
    <w:p w:rsidR="00576790" w:rsidRDefault="00576790" w:rsidP="00576790">
      <w:pPr>
        <w:pStyle w:val="BodyText"/>
        <w:spacing w:line="240" w:lineRule="auto"/>
        <w:rPr>
          <w:szCs w:val="24"/>
        </w:rPr>
      </w:pPr>
      <w:r>
        <w:rPr>
          <w:szCs w:val="24"/>
        </w:rPr>
        <w:tab/>
      </w:r>
    </w:p>
    <w:p w:rsidR="00576790" w:rsidRPr="003D3163" w:rsidRDefault="00576790" w:rsidP="00576790">
      <w:pPr>
        <w:pStyle w:val="BodyText"/>
        <w:spacing w:line="240" w:lineRule="auto"/>
        <w:rPr>
          <w:szCs w:val="24"/>
        </w:rPr>
      </w:pPr>
      <w:r>
        <w:rPr>
          <w:szCs w:val="24"/>
        </w:rPr>
        <w:tab/>
      </w:r>
      <w:r>
        <w:rPr>
          <w:szCs w:val="24"/>
        </w:rPr>
        <w:tab/>
      </w:r>
      <w:r>
        <w:rPr>
          <w:szCs w:val="24"/>
        </w:rPr>
        <w:tab/>
      </w:r>
      <w:r w:rsidRPr="003D3163">
        <w:rPr>
          <w:szCs w:val="24"/>
        </w:rPr>
        <w:t xml:space="preserve">Monetary policymaking </w:t>
      </w:r>
      <w:r>
        <w:rPr>
          <w:szCs w:val="24"/>
        </w:rPr>
        <w:t xml:space="preserve">also </w:t>
      </w:r>
      <w:r w:rsidRPr="003D3163">
        <w:rPr>
          <w:szCs w:val="24"/>
        </w:rPr>
        <w:t xml:space="preserve">would benefit from more timely information on small business credit conditions and flows.  To determine how best to adjust the federal funds rates over time, the </w:t>
      </w:r>
      <w:r>
        <w:rPr>
          <w:szCs w:val="24"/>
        </w:rPr>
        <w:t>Board</w:t>
      </w:r>
      <w:r w:rsidRPr="003D3163">
        <w:rPr>
          <w:szCs w:val="24"/>
        </w:rPr>
        <w:t xml:space="preserve"> must continuously assess the prospects for real activity and inflation in coming quarters.  Credit conditions have an important bearing on the evolution of those prospects over time, and so the </w:t>
      </w:r>
      <w:r>
        <w:rPr>
          <w:szCs w:val="24"/>
        </w:rPr>
        <w:t>Board</w:t>
      </w:r>
      <w:r w:rsidRPr="003D3163">
        <w:rPr>
          <w:szCs w:val="24"/>
        </w:rPr>
        <w:t xml:space="preserve"> pays close attention to data from Call Reports and other sources.  In trying to understand the implications of aggregate credit data for the macroeconomic outlook, it is helpful to be able to distinguish between conditions facing small firms and those affecting other businesses for several reasons.  First, small businesses comprise a substantial portion of the nonfinancial business sector </w:t>
      </w:r>
      <w:r>
        <w:rPr>
          <w:szCs w:val="24"/>
        </w:rPr>
        <w:t>and</w:t>
      </w:r>
      <w:r w:rsidRPr="003D3163">
        <w:rPr>
          <w:szCs w:val="24"/>
        </w:rPr>
        <w:t xml:space="preserve"> their hiring and investment decisions have an important influence on overall real activity.</w:t>
      </w:r>
      <w:r w:rsidRPr="003D3163">
        <w:rPr>
          <w:szCs w:val="24"/>
          <w:vertAlign w:val="superscript"/>
        </w:rPr>
        <w:footnoteReference w:id="8"/>
      </w:r>
      <w:r w:rsidRPr="003D3163">
        <w:rPr>
          <w:szCs w:val="24"/>
        </w:rPr>
        <w:t xml:space="preserve">  Second, because small businesses tend to depend more heavily on banks and other institutions for external financing, they </w:t>
      </w:r>
      <w:r>
        <w:rPr>
          <w:szCs w:val="24"/>
        </w:rPr>
        <w:t xml:space="preserve">are more </w:t>
      </w:r>
      <w:r w:rsidRPr="003D3163">
        <w:rPr>
          <w:szCs w:val="24"/>
        </w:rPr>
        <w:t xml:space="preserve">likely </w:t>
      </w:r>
      <w:r>
        <w:rPr>
          <w:szCs w:val="24"/>
        </w:rPr>
        <w:t xml:space="preserve">to </w:t>
      </w:r>
      <w:r w:rsidRPr="003D3163">
        <w:rPr>
          <w:szCs w:val="24"/>
        </w:rPr>
        <w:t xml:space="preserve">experience material swings in their ability to obtain credit relative to larger firms.  Third, the relative opacity of small businesses and their consequent need to provide collateral for loans is thought to create a “credit” channel for monetary policy to influence real activity.  Specifically, changes in monetary policy may alter the value of assets used as collateral for loans, thereby affecting the ability of small businesses to obtain credit, abstracting from the effects of any changes in loan rates.  </w:t>
      </w:r>
    </w:p>
    <w:p w:rsidR="00576790" w:rsidRDefault="00576790" w:rsidP="00576790">
      <w:pPr>
        <w:pStyle w:val="BodyText"/>
        <w:spacing w:line="240" w:lineRule="auto"/>
        <w:rPr>
          <w:szCs w:val="24"/>
        </w:rPr>
      </w:pPr>
      <w:r>
        <w:rPr>
          <w:szCs w:val="24"/>
        </w:rPr>
        <w:tab/>
      </w:r>
    </w:p>
    <w:p w:rsidR="00576790" w:rsidRPr="003D3163" w:rsidRDefault="00576790" w:rsidP="00576790">
      <w:pPr>
        <w:pStyle w:val="BodyText"/>
        <w:spacing w:line="240" w:lineRule="auto"/>
        <w:rPr>
          <w:szCs w:val="24"/>
        </w:rPr>
      </w:pPr>
      <w:r>
        <w:rPr>
          <w:szCs w:val="24"/>
        </w:rPr>
        <w:tab/>
      </w:r>
      <w:r>
        <w:rPr>
          <w:szCs w:val="24"/>
        </w:rPr>
        <w:tab/>
      </w:r>
      <w:r>
        <w:rPr>
          <w:szCs w:val="24"/>
        </w:rPr>
        <w:tab/>
      </w:r>
      <w:r w:rsidRPr="003D3163">
        <w:rPr>
          <w:szCs w:val="24"/>
        </w:rPr>
        <w:t xml:space="preserve">Finally, the credit conditions facing small businesses and small farms differ substantially from those facing large businesses, making it necessary to collect indicators that are specific to these borrowers.  Large businesses may access credit from a number of different channels, including the corporate bond market and the commercial paper market.  In contrast, small businesses and small farms rely almost exclusively on credit provided through the bank lending channel.  The dependence of small businesses and small farms on bank lending – particularly from smaller banks – magnifies the importance of Call Report data, which provide the most comprehensive data on bank lending, and emphasizes the importance of collecting quarterly data from banks of all sizes.  </w:t>
      </w:r>
    </w:p>
    <w:p w:rsidR="00576790" w:rsidRPr="00BB7A6D" w:rsidRDefault="00576790" w:rsidP="00576790">
      <w:pPr>
        <w:pStyle w:val="BodyText"/>
        <w:widowControl/>
        <w:spacing w:line="240" w:lineRule="auto"/>
        <w:ind w:firstLine="720"/>
        <w:rPr>
          <w:szCs w:val="24"/>
        </w:rPr>
      </w:pPr>
    </w:p>
    <w:p w:rsidR="00576790" w:rsidRDefault="00576790" w:rsidP="00576790">
      <w:pPr>
        <w:pStyle w:val="BodyText"/>
        <w:widowControl/>
        <w:spacing w:line="240" w:lineRule="auto"/>
        <w:ind w:firstLine="720"/>
        <w:rPr>
          <w:szCs w:val="24"/>
        </w:rPr>
      </w:pPr>
      <w:r w:rsidRPr="00BB7A6D">
        <w:rPr>
          <w:szCs w:val="24"/>
        </w:rPr>
        <w:t>In response to Secretary Geithner’s request and to improve the agencies’ own ability to assess the availability of credit to small businesses and small farms, the agencies propose to change the frequency with which banks must submit Call</w:t>
      </w:r>
      <w:r>
        <w:rPr>
          <w:szCs w:val="24"/>
        </w:rPr>
        <w:t> </w:t>
      </w:r>
      <w:r w:rsidRPr="00BB7A6D">
        <w:rPr>
          <w:szCs w:val="24"/>
        </w:rPr>
        <w:t xml:space="preserve">Report Schedule RC-C, Part II, from annually to quarterly beginning March 31, 2010.  The agencies </w:t>
      </w:r>
      <w:r>
        <w:rPr>
          <w:szCs w:val="24"/>
        </w:rPr>
        <w:t>did</w:t>
      </w:r>
      <w:r w:rsidRPr="00BB7A6D">
        <w:rPr>
          <w:szCs w:val="24"/>
        </w:rPr>
        <w:t xml:space="preserve"> not propos</w:t>
      </w:r>
      <w:r>
        <w:rPr>
          <w:szCs w:val="24"/>
        </w:rPr>
        <w:t>e</w:t>
      </w:r>
      <w:r w:rsidRPr="00BB7A6D">
        <w:rPr>
          <w:szCs w:val="24"/>
        </w:rPr>
        <w:t xml:space="preserve"> to make any revisions to the information that banks are required to report on this schedule.</w:t>
      </w:r>
    </w:p>
    <w:p w:rsidR="00FB0DA8" w:rsidRPr="00BB7A6D" w:rsidRDefault="00FB0DA8" w:rsidP="00FB0DA8">
      <w:pPr>
        <w:pStyle w:val="BodyText"/>
        <w:widowControl/>
        <w:spacing w:line="240" w:lineRule="auto"/>
        <w:rPr>
          <w:szCs w:val="24"/>
        </w:rPr>
      </w:pPr>
    </w:p>
    <w:p w:rsidR="00FB0DA8" w:rsidRPr="00BB7A6D" w:rsidRDefault="00FB0DA8" w:rsidP="00FB0DA8">
      <w:pPr>
        <w:pStyle w:val="BodyText"/>
        <w:widowControl/>
        <w:spacing w:line="240" w:lineRule="auto"/>
        <w:rPr>
          <w:szCs w:val="24"/>
          <w:u w:val="single"/>
        </w:rPr>
      </w:pPr>
      <w:r>
        <w:rPr>
          <w:szCs w:val="24"/>
          <w:u w:val="single"/>
        </w:rPr>
        <w:lastRenderedPageBreak/>
        <w:t xml:space="preserve">I.  </w:t>
      </w:r>
      <w:r w:rsidRPr="00BB7A6D">
        <w:rPr>
          <w:szCs w:val="24"/>
          <w:u w:val="single"/>
        </w:rPr>
        <w:t>Change in Reporting Frequency for the Number of Certain Deposit Accounts</w:t>
      </w:r>
    </w:p>
    <w:p w:rsidR="00FB0DA8" w:rsidRPr="00BB7A6D" w:rsidRDefault="00FB0DA8" w:rsidP="00FB0DA8">
      <w:pPr>
        <w:pStyle w:val="BodyText"/>
        <w:widowControl/>
        <w:spacing w:line="240" w:lineRule="auto"/>
        <w:rPr>
          <w:szCs w:val="24"/>
        </w:rPr>
      </w:pPr>
    </w:p>
    <w:p w:rsidR="00FB0DA8" w:rsidRDefault="00FB0DA8" w:rsidP="00FB0DA8">
      <w:pPr>
        <w:pStyle w:val="BodyText"/>
        <w:widowControl/>
        <w:spacing w:line="240" w:lineRule="auto"/>
        <w:ind w:firstLine="720"/>
        <w:rPr>
          <w:szCs w:val="24"/>
        </w:rPr>
      </w:pPr>
      <w:r w:rsidRPr="00BB7A6D">
        <w:rPr>
          <w:szCs w:val="24"/>
        </w:rPr>
        <w:t xml:space="preserve">In Call Report Schedule RC-O – Other Data for Deposit Insurance and FICO Assessments, banks report the number of deposit accounts based on whether the amount of the account is within the deposit insurance limit or is in excess of this limit.  Information is reported separately for retirement deposit accounts and all other deposit accounts.  At present, for deposit accounts for which the amount of the account exceeds the deposit insurance limit, the number of accounts is reported quarterly (Schedule RC-O, Memorandum items 1.b.(2) and 1.d.(2)).  However, for deposit accounts for which the amount of the account is within this limit, the number of accounts is reported annually as of June 30 (Schedule RC-O, Memorandum items 1.a.(2) and 1.c.(2)).  </w:t>
      </w:r>
    </w:p>
    <w:p w:rsidR="007D4892" w:rsidRPr="00BB7A6D" w:rsidRDefault="007D4892" w:rsidP="00FB0DA8">
      <w:pPr>
        <w:pStyle w:val="BodyText"/>
        <w:widowControl/>
        <w:spacing w:line="240" w:lineRule="auto"/>
        <w:ind w:firstLine="720"/>
        <w:rPr>
          <w:szCs w:val="24"/>
        </w:rPr>
      </w:pPr>
    </w:p>
    <w:p w:rsidR="00FB0DA8" w:rsidRDefault="00FB0DA8" w:rsidP="00FB0DA8">
      <w:pPr>
        <w:pStyle w:val="BodyText"/>
        <w:widowControl/>
        <w:spacing w:line="240" w:lineRule="auto"/>
        <w:ind w:firstLine="720"/>
        <w:rPr>
          <w:szCs w:val="24"/>
        </w:rPr>
      </w:pPr>
      <w:r w:rsidRPr="00BB7A6D">
        <w:rPr>
          <w:szCs w:val="24"/>
        </w:rPr>
        <w:t>Data on the number of deposit accounts are used to estimate average deposit account balances and changes therein as well as insured and uninsured deposits.  These data also assist the FDIC in its planning efforts as it seeks to resolve potential failures of insured institutions.  As a consequence, the difference in reporting frequency for deposit accounts with balances within and in excess of the deposit insurance limit hinders the effectiveness of these analyses.  Therefore, the agencies are proposing to require all of the existing Call Report items on the number of deposit accounts to be reported quarterly beginning March 31, 2010.  The agencies note that savings associations already report the number of all deposit accounts quarterly in the Thrift Financial Report</w:t>
      </w:r>
      <w:r>
        <w:rPr>
          <w:szCs w:val="24"/>
        </w:rPr>
        <w:t xml:space="preserve"> (OMB No. 1550</w:t>
      </w:r>
      <w:r>
        <w:rPr>
          <w:szCs w:val="24"/>
        </w:rPr>
        <w:noBreakHyphen/>
        <w:t>0023)</w:t>
      </w:r>
      <w:r w:rsidRPr="00BB7A6D">
        <w:rPr>
          <w:szCs w:val="24"/>
        </w:rPr>
        <w:t xml:space="preserve">.  Thus, this proposed change in reporting frequency in the Call Report </w:t>
      </w:r>
      <w:r>
        <w:rPr>
          <w:szCs w:val="24"/>
        </w:rPr>
        <w:t>would</w:t>
      </w:r>
      <w:r w:rsidRPr="00BB7A6D">
        <w:rPr>
          <w:szCs w:val="24"/>
        </w:rPr>
        <w:t xml:space="preserve"> conform the reporting requirements in this area for banks and savings associations.</w:t>
      </w:r>
    </w:p>
    <w:p w:rsidR="00DB1BC7" w:rsidRDefault="00DB1BC7" w:rsidP="00FB0DA8">
      <w:pPr>
        <w:pStyle w:val="BodyText"/>
        <w:widowControl/>
        <w:spacing w:line="240" w:lineRule="auto"/>
        <w:rPr>
          <w:szCs w:val="24"/>
          <w:u w:val="single"/>
        </w:rPr>
      </w:pPr>
    </w:p>
    <w:p w:rsidR="00FB0DA8" w:rsidRPr="00CE0C2E" w:rsidRDefault="00FB0DA8" w:rsidP="00FB0DA8">
      <w:pPr>
        <w:pStyle w:val="BodyText"/>
        <w:widowControl/>
        <w:spacing w:line="240" w:lineRule="auto"/>
        <w:rPr>
          <w:szCs w:val="24"/>
          <w:u w:val="single"/>
        </w:rPr>
      </w:pPr>
      <w:r w:rsidRPr="00CE0C2E">
        <w:rPr>
          <w:szCs w:val="24"/>
          <w:u w:val="single"/>
        </w:rPr>
        <w:t>J.  Internal Income and Expense Allocations Applicable to Foreign Offices</w:t>
      </w:r>
    </w:p>
    <w:p w:rsidR="00FB0DA8" w:rsidRDefault="00FB0DA8" w:rsidP="00FB0DA8">
      <w:pPr>
        <w:pStyle w:val="BodyText"/>
        <w:widowControl/>
        <w:spacing w:line="240" w:lineRule="auto"/>
        <w:rPr>
          <w:szCs w:val="24"/>
        </w:rPr>
      </w:pPr>
    </w:p>
    <w:p w:rsidR="00FB0DA8" w:rsidRDefault="00FB0DA8" w:rsidP="00FB0DA8">
      <w:pPr>
        <w:pStyle w:val="BodyText"/>
        <w:widowControl/>
        <w:spacing w:line="240" w:lineRule="auto"/>
        <w:rPr>
          <w:szCs w:val="24"/>
        </w:rPr>
      </w:pPr>
      <w:r>
        <w:rPr>
          <w:szCs w:val="24"/>
        </w:rPr>
        <w:tab/>
      </w:r>
      <w:r w:rsidR="001E2954">
        <w:rPr>
          <w:szCs w:val="24"/>
        </w:rPr>
        <w:tab/>
      </w:r>
      <w:r w:rsidR="001E2954">
        <w:rPr>
          <w:szCs w:val="24"/>
        </w:rPr>
        <w:tab/>
      </w:r>
      <w:r>
        <w:rPr>
          <w:szCs w:val="24"/>
        </w:rPr>
        <w:t xml:space="preserve">In Schedule RI-D, Income from Foreign Offices, banks are to report in item 11 their </w:t>
      </w:r>
      <w:r w:rsidRPr="00CE0C2E">
        <w:rPr>
          <w:szCs w:val="24"/>
        </w:rPr>
        <w:t xml:space="preserve">best estimate of all appropriate internal allocations of income and expense applicable to foreign offices, whether or not “booked” that way in the bank’s formal accounting records.  </w:t>
      </w:r>
      <w:r>
        <w:rPr>
          <w:szCs w:val="24"/>
        </w:rPr>
        <w:t>This estimate includes, f</w:t>
      </w:r>
      <w:r w:rsidRPr="00CE0C2E">
        <w:rPr>
          <w:szCs w:val="24"/>
        </w:rPr>
        <w:t xml:space="preserve">or example, allocations of income and expense in domestic offices applicable to foreign offices and allocations of income and expense in foreign offices applicable to domestic offices.  </w:t>
      </w:r>
      <w:r>
        <w:rPr>
          <w:szCs w:val="24"/>
        </w:rPr>
        <w:t xml:space="preserve">A review of Schedule RI-D data indicates that few banks report any amount for these internal allocations and the usefulness of the amounts that are reported appears to be limited.  Accordingly, the agencies propose to eliminate item 11, “Internal allocations of income and expense applicable to foreign offices,” from Schedule RI-D.  </w:t>
      </w:r>
      <w:r w:rsidRPr="00CE0C2E">
        <w:rPr>
          <w:bCs/>
          <w:szCs w:val="24"/>
        </w:rPr>
        <w:t xml:space="preserve"> </w:t>
      </w:r>
    </w:p>
    <w:p w:rsidR="00FB0DA8" w:rsidRDefault="00FB0DA8" w:rsidP="00FB0DA8">
      <w:pPr>
        <w:pStyle w:val="BodyText"/>
        <w:widowControl/>
        <w:spacing w:line="240" w:lineRule="auto"/>
        <w:rPr>
          <w:szCs w:val="24"/>
        </w:rPr>
      </w:pPr>
    </w:p>
    <w:p w:rsidR="000E7D57" w:rsidRDefault="000E7D57">
      <w:pPr>
        <w:rPr>
          <w:rFonts w:ascii="Times New Roman" w:hAnsi="Times New Roman"/>
        </w:rPr>
      </w:pPr>
      <w:r>
        <w:rPr>
          <w:rFonts w:ascii="Times New Roman" w:hAnsi="Times New Roman"/>
          <w:b/>
          <w:bCs/>
        </w:rPr>
        <w:t>Time Schedule for Information Collection</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Pr>
          <w:rFonts w:ascii="Times New Roman" w:hAnsi="Times New Roman"/>
        </w:rPr>
        <w:t>’</w:t>
      </w:r>
      <w:r>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thirty calendar days following the as-of date; a </w:t>
      </w:r>
      <w:r w:rsidR="004C6593">
        <w:rPr>
          <w:rFonts w:ascii="Times New Roman" w:hAnsi="Times New Roman"/>
        </w:rPr>
        <w:t>five</w:t>
      </w:r>
      <w:r>
        <w:rPr>
          <w:rFonts w:ascii="Times New Roman" w:hAnsi="Times New Roman"/>
        </w:rPr>
        <w:t xml:space="preserve">-day extension </w:t>
      </w:r>
      <w:r w:rsidR="00607487">
        <w:rPr>
          <w:rFonts w:ascii="Times New Roman" w:hAnsi="Times New Roman"/>
        </w:rPr>
        <w:t>is</w:t>
      </w:r>
      <w:r>
        <w:rPr>
          <w:rFonts w:ascii="Times New Roman" w:hAnsi="Times New Roman"/>
        </w:rPr>
        <w:t xml:space="preserve"> given to banks with</w:t>
      </w:r>
      <w:r w:rsidR="00804EB1">
        <w:rPr>
          <w:rFonts w:ascii="Times New Roman" w:hAnsi="Times New Roman"/>
        </w:rPr>
        <w:t xml:space="preserve"> more than one foreign office.</w:t>
      </w:r>
    </w:p>
    <w:p w:rsidR="000E7D57" w:rsidRDefault="000E7D57">
      <w:pPr>
        <w:widowControl/>
        <w:tabs>
          <w:tab w:val="left" w:pos="360"/>
        </w:tabs>
        <w:rPr>
          <w:rFonts w:ascii="Times New Roman" w:hAnsi="Times New Roman"/>
        </w:rPr>
      </w:pPr>
    </w:p>
    <w:p w:rsidR="00591647" w:rsidRDefault="00D04052" w:rsidP="00591647">
      <w:pPr>
        <w:widowControl/>
        <w:tabs>
          <w:tab w:val="left" w:pos="360"/>
        </w:tabs>
        <w:rPr>
          <w:rFonts w:ascii="Times New Roman" w:hAnsi="Times New Roman"/>
          <w:color w:val="000000"/>
        </w:rPr>
      </w:pPr>
      <w:r>
        <w:rPr>
          <w:rFonts w:ascii="Times New Roman" w:hAnsi="Times New Roman"/>
        </w:rPr>
        <w:tab/>
      </w:r>
      <w:r>
        <w:rPr>
          <w:rFonts w:ascii="Times New Roman" w:hAnsi="Times New Roman"/>
        </w:rPr>
        <w:tab/>
      </w:r>
      <w:r w:rsidR="000E7D57">
        <w:rPr>
          <w:rFonts w:ascii="Times New Roman" w:hAnsi="Times New Roman"/>
        </w:rPr>
        <w:t xml:space="preserve">Aggregate data are published in the </w:t>
      </w:r>
      <w:r w:rsidR="000E7D57">
        <w:rPr>
          <w:rFonts w:ascii="Times New Roman" w:hAnsi="Times New Roman"/>
          <w:i/>
          <w:iCs/>
        </w:rPr>
        <w:t>Federal Reserve Bulletin</w:t>
      </w:r>
      <w:r w:rsidR="000E7D57">
        <w:rPr>
          <w:rFonts w:ascii="Times New Roman" w:hAnsi="Times New Roman"/>
        </w:rPr>
        <w:t xml:space="preserve"> and the </w:t>
      </w:r>
      <w:r w:rsidR="000E7D57">
        <w:rPr>
          <w:rFonts w:ascii="Times New Roman" w:hAnsi="Times New Roman"/>
          <w:i/>
          <w:iCs/>
        </w:rPr>
        <w:t>Annual Statistical Digest</w:t>
      </w:r>
      <w:r w:rsidR="000E7D57">
        <w:rPr>
          <w:rFonts w:ascii="Times New Roman" w:hAnsi="Times New Roman"/>
        </w:rPr>
        <w:t xml:space="preserve">.  Additionally, data are used in the </w:t>
      </w:r>
      <w:r w:rsidR="000E7D57">
        <w:rPr>
          <w:rFonts w:ascii="Times New Roman" w:hAnsi="Times New Roman"/>
          <w:i/>
          <w:iCs/>
        </w:rPr>
        <w:t>Uniform Bank Performance Report (UBPR)</w:t>
      </w:r>
      <w:r w:rsidR="000E7D57">
        <w:rPr>
          <w:rFonts w:ascii="Times New Roman" w:hAnsi="Times New Roman"/>
        </w:rPr>
        <w:t xml:space="preserve"> and the </w:t>
      </w:r>
      <w:r w:rsidR="000E7D57">
        <w:rPr>
          <w:rFonts w:ascii="Times New Roman" w:hAnsi="Times New Roman"/>
          <w:i/>
          <w:iCs/>
        </w:rPr>
        <w:t>Annual Report of the FFIEC</w:t>
      </w:r>
      <w:r w:rsidR="000E7D57">
        <w:rPr>
          <w:rFonts w:ascii="Times New Roman" w:hAnsi="Times New Roman"/>
        </w:rPr>
        <w:t xml:space="preserve">.  Individual respondent data, excluding confidential information, </w:t>
      </w:r>
      <w:r w:rsidR="000E7D57">
        <w:rPr>
          <w:rFonts w:ascii="Times New Roman" w:hAnsi="Times New Roman"/>
        </w:rPr>
        <w:lastRenderedPageBreak/>
        <w:t xml:space="preserve">are available to the public from the National Technical Information Service in </w:t>
      </w:r>
      <w:smartTag w:uri="urn:schemas-microsoft-com:office:smarttags" w:element="place">
        <w:smartTag w:uri="urn:schemas-microsoft-com:office:smarttags" w:element="City">
          <w:r w:rsidR="000E7D57">
            <w:rPr>
              <w:rFonts w:ascii="Times New Roman" w:hAnsi="Times New Roman"/>
            </w:rPr>
            <w:t>Springfield</w:t>
          </w:r>
        </w:smartTag>
        <w:r w:rsidR="000E7D57">
          <w:rPr>
            <w:rFonts w:ascii="Times New Roman" w:hAnsi="Times New Roman"/>
          </w:rPr>
          <w:t xml:space="preserve">, </w:t>
        </w:r>
        <w:smartTag w:uri="urn:schemas-microsoft-com:office:smarttags" w:element="State">
          <w:r w:rsidR="000E7D57">
            <w:rPr>
              <w:rFonts w:ascii="Times New Roman" w:hAnsi="Times New Roman"/>
            </w:rPr>
            <w:t>Virginia</w:t>
          </w:r>
        </w:smartTag>
      </w:smartTag>
      <w:r w:rsidR="000E7D57">
        <w:rPr>
          <w:rFonts w:ascii="Times New Roman" w:hAnsi="Times New Roman"/>
        </w:rPr>
        <w:t xml:space="preserve">, upon request approximately twelve weeks after the report date.  </w:t>
      </w:r>
      <w:r w:rsidR="00591647">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Pr>
          <w:rFonts w:ascii="Times New Roman" w:hAnsi="Times New Roman"/>
          <w:color w:val="000000"/>
        </w:rPr>
        <w:t>shortly after</w:t>
      </w:r>
      <w:r w:rsidR="00591647">
        <w:rPr>
          <w:rFonts w:ascii="Times New Roman" w:hAnsi="Times New Roman"/>
          <w:color w:val="000000"/>
        </w:rPr>
        <w:t xml:space="preserve"> </w:t>
      </w:r>
      <w:r w:rsidR="0052281E">
        <w:rPr>
          <w:rFonts w:ascii="Times New Roman" w:hAnsi="Times New Roman"/>
          <w:color w:val="000000"/>
        </w:rPr>
        <w:t xml:space="preserve">a bank’s </w:t>
      </w:r>
      <w:r w:rsidR="00591647">
        <w:rPr>
          <w:rFonts w:ascii="Times New Roman" w:hAnsi="Times New Roman"/>
          <w:color w:val="000000"/>
        </w:rPr>
        <w:t>submi</w:t>
      </w:r>
      <w:r w:rsidR="0052281E">
        <w:rPr>
          <w:rFonts w:ascii="Times New Roman" w:hAnsi="Times New Roman"/>
          <w:color w:val="000000"/>
        </w:rPr>
        <w:t xml:space="preserve">ssion, beginning </w:t>
      </w:r>
      <w:r w:rsidR="00837DF3">
        <w:rPr>
          <w:rFonts w:ascii="Times New Roman" w:hAnsi="Times New Roman"/>
          <w:color w:val="000000"/>
        </w:rPr>
        <w:t>the first</w:t>
      </w:r>
      <w:r w:rsidR="00591647">
        <w:rPr>
          <w:rFonts w:ascii="Times New Roman" w:hAnsi="Times New Roman"/>
          <w:color w:val="000000"/>
        </w:rPr>
        <w:t xml:space="preserve"> calendar day after the report date. Updated or revised data may replace data already posted at any time thereafter.</w:t>
      </w:r>
    </w:p>
    <w:p w:rsidR="005E3887" w:rsidRDefault="005E3887">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Legal Status</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 xml:space="preserve">The </w:t>
      </w:r>
      <w:r w:rsidR="00F54ECB">
        <w:rPr>
          <w:rFonts w:ascii="Times New Roman" w:hAnsi="Times New Roman"/>
        </w:rPr>
        <w:t xml:space="preserve">Board’s </w:t>
      </w:r>
      <w:r>
        <w:rPr>
          <w:rFonts w:ascii="Times New Roman" w:hAnsi="Times New Roman"/>
        </w:rPr>
        <w:t xml:space="preserve">Legal Division has determined that Section 9 of the Federal Reserve Act [12 U.S.C. 324] authorizes the </w:t>
      </w:r>
      <w:r w:rsidR="00F54ECB">
        <w:rPr>
          <w:rFonts w:ascii="Times New Roman" w:hAnsi="Times New Roman"/>
        </w:rPr>
        <w:t>Board</w:t>
      </w:r>
      <w:r>
        <w:rPr>
          <w:rFonts w:ascii="Times New Roman" w:hAnsi="Times New Roman"/>
        </w:rPr>
        <w:t xml:space="preserve"> to require these reports from all banks admitted to membership in the Federal Reserve System.  The Board</w:t>
      </w:r>
      <w:r w:rsidR="00E30374">
        <w:rPr>
          <w:rFonts w:ascii="Times New Roman" w:hAnsi="Times New Roman"/>
        </w:rPr>
        <w:t>’</w:t>
      </w:r>
      <w:r>
        <w:rPr>
          <w:rFonts w:ascii="Times New Roman" w:hAnsi="Times New Roman"/>
        </w:rPr>
        <w:t xml:space="preserve">s Legal Division has </w:t>
      </w:r>
      <w:r w:rsidR="00837DF3">
        <w:rPr>
          <w:rFonts w:ascii="Times New Roman" w:hAnsi="Times New Roman"/>
        </w:rPr>
        <w:t xml:space="preserve">determined that the individual respondent information contained in </w:t>
      </w:r>
      <w:r w:rsidR="0052281E">
        <w:rPr>
          <w:rFonts w:ascii="Times New Roman" w:hAnsi="Times New Roman"/>
        </w:rPr>
        <w:t xml:space="preserve">Schedule RI-E, item 2.g, “FDIC deposit insurance assessments” are exempt from disclosure pursuant to the Freedom of Information Act [5 U.S.C. 552 (b)(4) and (8)] for periods beginning June 30, 2009.  The Board’s Legal Division </w:t>
      </w:r>
      <w:r>
        <w:rPr>
          <w:rFonts w:ascii="Times New Roman" w:hAnsi="Times New Roman"/>
        </w:rPr>
        <w:t>also determined that the individual respondent information contained in the trust schedule, RC-T are exempt from disclosure pursuant to the Freedom of Information Act [5 U.S.C. 552(b)(4) and (8)]</w:t>
      </w:r>
      <w:r w:rsidR="004208AA">
        <w:rPr>
          <w:rFonts w:ascii="Times New Roman" w:hAnsi="Times New Roman"/>
        </w:rPr>
        <w:t xml:space="preserve"> for periods prior to March 31, 2009</w:t>
      </w:r>
      <w:r>
        <w:rPr>
          <w:rFonts w:ascii="Times New Roman" w:hAnsi="Times New Roman"/>
        </w:rPr>
        <w:t xml:space="preserve">.  Finally, Column A and Memorandum </w:t>
      </w:r>
      <w:r w:rsidR="0080082A">
        <w:rPr>
          <w:rFonts w:ascii="Times New Roman" w:hAnsi="Times New Roman"/>
        </w:rPr>
        <w:t>item</w:t>
      </w:r>
      <w:r>
        <w:rPr>
          <w:rFonts w:ascii="Times New Roman" w:hAnsi="Times New Roman"/>
        </w:rPr>
        <w:t xml:space="preserve"> 1 to Schedule RC-N, </w:t>
      </w:r>
      <w:r w:rsidR="00E30374">
        <w:rPr>
          <w:rFonts w:ascii="Times New Roman" w:hAnsi="Times New Roman"/>
        </w:rPr>
        <w:t>“</w:t>
      </w:r>
      <w:r>
        <w:rPr>
          <w:rFonts w:ascii="Times New Roman" w:hAnsi="Times New Roman"/>
        </w:rPr>
        <w:t>Past Due and Nonaccrual Loans, Leases, and Other Assets,</w:t>
      </w:r>
      <w:r w:rsidR="00E30374">
        <w:rPr>
          <w:rFonts w:ascii="Times New Roman" w:hAnsi="Times New Roman"/>
        </w:rPr>
        <w:t>”</w:t>
      </w:r>
      <w:r>
        <w:rPr>
          <w:rFonts w:ascii="Times New Roman" w:hAnsi="Times New Roman"/>
        </w:rPr>
        <w:t xml:space="preserve"> are exempt from disclosure pursuant to the Freedom of Information Act [5 U.S.C. 552(b)(4) and (8)] for periods prior to March 31, 2001.</w:t>
      </w:r>
    </w:p>
    <w:p w:rsidR="00D43CA3" w:rsidRDefault="00D43CA3">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Consultation Outside the Agency</w:t>
      </w:r>
      <w:r w:rsidR="00B2384E">
        <w:rPr>
          <w:rFonts w:ascii="Times New Roman" w:hAnsi="Times New Roman"/>
          <w:b/>
          <w:bCs/>
        </w:rPr>
        <w:t xml:space="preserve"> and Discussion of Public Comments</w:t>
      </w:r>
    </w:p>
    <w:p w:rsidR="000E7D57" w:rsidRDefault="000E7D57">
      <w:pPr>
        <w:widowControl/>
        <w:tabs>
          <w:tab w:val="left" w:pos="360"/>
        </w:tabs>
        <w:rPr>
          <w:rFonts w:ascii="Times New Roman" w:hAnsi="Times New Roman"/>
        </w:rPr>
      </w:pPr>
    </w:p>
    <w:p w:rsidR="00536C01" w:rsidRDefault="003E1198" w:rsidP="00536C01">
      <w:pPr>
        <w:ind w:firstLine="720"/>
        <w:jc w:val="both"/>
      </w:pPr>
      <w:r>
        <w:rPr>
          <w:rFonts w:ascii="Times New Roman" w:hAnsi="Times New Roman"/>
          <w:color w:val="000000"/>
        </w:rPr>
        <w:t>T</w:t>
      </w:r>
      <w:r w:rsidRPr="00E93E9C">
        <w:rPr>
          <w:rFonts w:ascii="Times New Roman" w:hAnsi="Times New Roman"/>
          <w:color w:val="000000"/>
        </w:rPr>
        <w:t xml:space="preserve">he </w:t>
      </w:r>
      <w:r>
        <w:rPr>
          <w:rFonts w:ascii="Times New Roman" w:hAnsi="Times New Roman"/>
          <w:color w:val="000000"/>
        </w:rPr>
        <w:t>agencies</w:t>
      </w:r>
      <w:r w:rsidRPr="00E93E9C">
        <w:rPr>
          <w:rFonts w:ascii="Times New Roman" w:hAnsi="Times New Roman"/>
          <w:color w:val="000000"/>
        </w:rPr>
        <w:t xml:space="preserve"> published the notice for comment in the </w:t>
      </w:r>
      <w:r w:rsidRPr="00E93E9C">
        <w:rPr>
          <w:rFonts w:ascii="Times New Roman" w:hAnsi="Times New Roman"/>
          <w:i/>
          <w:iCs/>
          <w:color w:val="000000"/>
        </w:rPr>
        <w:t>Federal Register</w:t>
      </w:r>
      <w:r>
        <w:rPr>
          <w:rFonts w:ascii="Times New Roman" w:hAnsi="Times New Roman"/>
          <w:i/>
          <w:iCs/>
          <w:color w:val="000000"/>
        </w:rPr>
        <w:t xml:space="preserve"> </w:t>
      </w:r>
      <w:r>
        <w:rPr>
          <w:rFonts w:ascii="Times New Roman" w:hAnsi="Times New Roman"/>
          <w:iCs/>
          <w:color w:val="000000"/>
        </w:rPr>
        <w:t xml:space="preserve">on </w:t>
      </w:r>
      <w:r w:rsidR="007D4892">
        <w:rPr>
          <w:rFonts w:ascii="Times New Roman" w:hAnsi="Times New Roman"/>
          <w:iCs/>
          <w:color w:val="000000"/>
        </w:rPr>
        <w:t>August 19</w:t>
      </w:r>
      <w:r>
        <w:rPr>
          <w:rFonts w:ascii="Times New Roman" w:hAnsi="Times New Roman"/>
          <w:iCs/>
          <w:color w:val="000000"/>
        </w:rPr>
        <w:t xml:space="preserve">, </w:t>
      </w:r>
      <w:r w:rsidR="005E3887">
        <w:rPr>
          <w:rFonts w:ascii="Times New Roman" w:hAnsi="Times New Roman"/>
          <w:iCs/>
          <w:color w:val="000000"/>
        </w:rPr>
        <w:t>200</w:t>
      </w:r>
      <w:r w:rsidR="007D4892">
        <w:rPr>
          <w:rFonts w:ascii="Times New Roman" w:hAnsi="Times New Roman"/>
          <w:iCs/>
          <w:color w:val="000000"/>
        </w:rPr>
        <w:t>9</w:t>
      </w:r>
      <w:r w:rsidR="00E14183">
        <w:rPr>
          <w:rFonts w:ascii="Times New Roman" w:hAnsi="Times New Roman"/>
          <w:iCs/>
          <w:color w:val="000000"/>
        </w:rPr>
        <w:t xml:space="preserve"> </w:t>
      </w:r>
      <w:r w:rsidRPr="00E93E9C">
        <w:rPr>
          <w:rFonts w:ascii="Times New Roman" w:hAnsi="Times New Roman"/>
          <w:iCs/>
          <w:color w:val="000000"/>
        </w:rPr>
        <w:t>(</w:t>
      </w:r>
      <w:r w:rsidR="005E3887" w:rsidRPr="00E93E9C">
        <w:rPr>
          <w:rFonts w:ascii="Times New Roman" w:hAnsi="Times New Roman"/>
          <w:iCs/>
          <w:color w:val="000000"/>
        </w:rPr>
        <w:t>7</w:t>
      </w:r>
      <w:r w:rsidR="00657033">
        <w:rPr>
          <w:rFonts w:ascii="Times New Roman" w:hAnsi="Times New Roman"/>
          <w:iCs/>
          <w:color w:val="000000"/>
        </w:rPr>
        <w:t>4</w:t>
      </w:r>
      <w:r w:rsidR="005E3887" w:rsidRPr="00E93E9C">
        <w:rPr>
          <w:rFonts w:ascii="Times New Roman" w:hAnsi="Times New Roman"/>
          <w:iCs/>
          <w:color w:val="000000"/>
        </w:rPr>
        <w:t xml:space="preserve"> </w:t>
      </w:r>
      <w:r w:rsidRPr="00E93E9C">
        <w:rPr>
          <w:rFonts w:ascii="Times New Roman" w:hAnsi="Times New Roman"/>
          <w:iCs/>
          <w:color w:val="000000"/>
        </w:rPr>
        <w:t xml:space="preserve">FR </w:t>
      </w:r>
      <w:r w:rsidR="00657033">
        <w:rPr>
          <w:rFonts w:ascii="Times New Roman" w:hAnsi="Times New Roman"/>
          <w:iCs/>
          <w:color w:val="000000"/>
        </w:rPr>
        <w:t>41973</w:t>
      </w:r>
      <w:r w:rsidRPr="00E93E9C">
        <w:rPr>
          <w:rFonts w:ascii="Times New Roman" w:hAnsi="Times New Roman"/>
          <w:iCs/>
          <w:color w:val="000000"/>
        </w:rPr>
        <w:t>)</w:t>
      </w:r>
      <w:r w:rsidR="00536C01">
        <w:rPr>
          <w:rFonts w:ascii="Times New Roman" w:hAnsi="Times New Roman"/>
          <w:iCs/>
          <w:color w:val="000000"/>
        </w:rPr>
        <w:t xml:space="preserve"> and collectively received seven comments:</w:t>
      </w:r>
      <w:r w:rsidR="00536C01" w:rsidRPr="00536C01">
        <w:t xml:space="preserve"> </w:t>
      </w:r>
      <w:r w:rsidR="00536C01">
        <w:t xml:space="preserve">four banks, one </w:t>
      </w:r>
      <w:r w:rsidR="00536C01" w:rsidRPr="00C25410">
        <w:t xml:space="preserve">bankers’ organization, </w:t>
      </w:r>
      <w:r w:rsidR="00536C01">
        <w:t xml:space="preserve">one law firm, </w:t>
      </w:r>
      <w:r w:rsidR="00536C01" w:rsidRPr="00C25410">
        <w:t xml:space="preserve">and a </w:t>
      </w:r>
      <w:r w:rsidR="00536C01">
        <w:t>government agency.</w:t>
      </w:r>
      <w:r w:rsidRPr="00E93E9C">
        <w:rPr>
          <w:rFonts w:ascii="Times New Roman" w:hAnsi="Times New Roman"/>
          <w:color w:val="000000"/>
        </w:rPr>
        <w:t>.</w:t>
      </w:r>
      <w:r>
        <w:rPr>
          <w:rFonts w:ascii="Times New Roman" w:hAnsi="Times New Roman"/>
          <w:color w:val="000000"/>
        </w:rPr>
        <w:t xml:space="preserve">  </w:t>
      </w:r>
      <w:r w:rsidR="000F753D" w:rsidRPr="00176C9A">
        <w:t>The comment period for this notice expire</w:t>
      </w:r>
      <w:r w:rsidR="00536C01">
        <w:t>d</w:t>
      </w:r>
      <w:r w:rsidR="000F753D" w:rsidRPr="00176C9A">
        <w:t xml:space="preserve"> on </w:t>
      </w:r>
      <w:r w:rsidR="00657033">
        <w:t>October 19, 2009</w:t>
      </w:r>
      <w:r w:rsidR="000F753D" w:rsidRPr="00176C9A">
        <w:t>.</w:t>
      </w:r>
      <w:r w:rsidR="00536C01">
        <w:t xml:space="preserve">  </w:t>
      </w:r>
      <w:r w:rsidR="00536C01">
        <w:rPr>
          <w:rFonts w:ascii="Times New Roman" w:hAnsi="Times New Roman"/>
          <w:color w:val="000000"/>
        </w:rPr>
        <w:t xml:space="preserve">The agencies modified the proposal in response to several comment letters.  </w:t>
      </w:r>
      <w:r w:rsidR="00536C01" w:rsidRPr="002016E1">
        <w:t xml:space="preserve">On </w:t>
      </w:r>
      <w:r w:rsidR="00536C01">
        <w:t>December 23, 2009</w:t>
      </w:r>
      <w:r w:rsidR="00536C01" w:rsidRPr="002016E1">
        <w:t xml:space="preserve">, the Federal Reserve published a final notice in the </w:t>
      </w:r>
      <w:r w:rsidR="00536C01" w:rsidRPr="002016E1">
        <w:rPr>
          <w:i/>
        </w:rPr>
        <w:t>Federal Register</w:t>
      </w:r>
      <w:r w:rsidR="00536C01" w:rsidRPr="002016E1">
        <w:t xml:space="preserve"> (7</w:t>
      </w:r>
      <w:r w:rsidR="00536C01">
        <w:t>4</w:t>
      </w:r>
      <w:r w:rsidR="00536C01" w:rsidRPr="002016E1">
        <w:t> FR </w:t>
      </w:r>
      <w:r w:rsidR="00536C01">
        <w:t>68314</w:t>
      </w:r>
      <w:r w:rsidR="00536C01" w:rsidRPr="002016E1">
        <w:t xml:space="preserve">) </w:t>
      </w:r>
      <w:r w:rsidR="00536C01" w:rsidRPr="00176C9A">
        <w:t>o</w:t>
      </w:r>
      <w:r w:rsidR="00536C01">
        <w:t>n</w:t>
      </w:r>
      <w:r w:rsidR="00536C01" w:rsidRPr="00176C9A">
        <w:t xml:space="preserve"> the </w:t>
      </w:r>
      <w:r w:rsidR="00536C01">
        <w:t>Call Reports, including a more detailed discussion of the comments received</w:t>
      </w:r>
      <w:r w:rsidR="00536C01" w:rsidRPr="002016E1">
        <w:t>.</w:t>
      </w:r>
    </w:p>
    <w:p w:rsidR="00536C01" w:rsidRDefault="00536C01" w:rsidP="00536C01">
      <w:pPr>
        <w:ind w:firstLine="720"/>
        <w:jc w:val="both"/>
      </w:pPr>
    </w:p>
    <w:p w:rsidR="00536C01" w:rsidRDefault="00536C01" w:rsidP="00536C01">
      <w:pPr>
        <w:ind w:firstLine="720"/>
        <w:jc w:val="both"/>
      </w:pPr>
      <w:r w:rsidRPr="00B2384E">
        <w:rPr>
          <w:rFonts w:ascii="Times New Roman" w:hAnsi="Times New Roman"/>
          <w:b/>
        </w:rPr>
        <w:t>Public Comments</w:t>
      </w:r>
      <w:r>
        <w:rPr>
          <w:rFonts w:ascii="Times New Roman" w:hAnsi="Times New Roman"/>
          <w:b/>
        </w:rPr>
        <w:t>:</w:t>
      </w:r>
      <w:r>
        <w:rPr>
          <w:rFonts w:ascii="Times New Roman" w:hAnsi="Times New Roman"/>
        </w:rPr>
        <w:t xml:space="preserve">  </w:t>
      </w:r>
      <w:r w:rsidRPr="00C25410">
        <w:t xml:space="preserve">None of the commenters addressed </w:t>
      </w:r>
      <w:r>
        <w:t xml:space="preserve">every specific </w:t>
      </w:r>
      <w:r w:rsidRPr="00C25410">
        <w:t xml:space="preserve">aspect of the proposal.  Rather, individual respondents </w:t>
      </w:r>
      <w:r>
        <w:t xml:space="preserve">commented upon one or more of the </w:t>
      </w:r>
      <w:r w:rsidRPr="00C25410">
        <w:t xml:space="preserve">proposed </w:t>
      </w:r>
      <w:r>
        <w:t xml:space="preserve">Call Report </w:t>
      </w:r>
      <w:r w:rsidRPr="00C25410">
        <w:t>changes.</w:t>
      </w:r>
      <w:r>
        <w:t xml:space="preserve">  Four of the commenters offered general views on the overall proposal.  One bank expressed general support for the agencies’ proposal and identified a few items that deserved further consideration.  The bankers’ organization commented that its members expressed no concerns with many of the proposed changes, but it urged the agencies to consider several suggested changes in the final revisions.  The organization’s suggested changes also included the proposed collection of data in one subject area that was not addressed in the agencies’ proposal.  The government agency supported the collection of the additional proposed Call Report data and noted that Call Report data are crucial to key components of the agency’s economic analysis.  </w:t>
      </w:r>
    </w:p>
    <w:p w:rsidR="00536C01" w:rsidRDefault="00536C01" w:rsidP="00536C01">
      <w:pPr>
        <w:jc w:val="both"/>
      </w:pPr>
    </w:p>
    <w:p w:rsidR="00536C01" w:rsidRDefault="00536C01" w:rsidP="00536C01">
      <w:pPr>
        <w:ind w:firstLine="720"/>
        <w:jc w:val="both"/>
      </w:pPr>
      <w:r>
        <w:t xml:space="preserve">However, one bank opposed the proposed revisions, stating they would not improve the safety and soundness of any bank, yet would add to banks’ costs of operations.  While an important use of Call Report data is to assist the agencies in fulfilling their supervisory </w:t>
      </w:r>
      <w:r>
        <w:lastRenderedPageBreak/>
        <w:t>responsibilities with respect to the safety and soundness of individual banks as well as the banking system as a whole, Call Report data are also used for a variety of other purposes, such as determining deposit insurance assessments, supporting the conduct of monetary policy, and assessing the availability of credit.  In this regard, Congress has recognized that Call Report data serve multiple purposes as demonstrated by Section 307 of the Riegle Community Development and Regulatory Improvement Act of 1994, which directed e</w:t>
      </w:r>
      <w:r w:rsidRPr="008A4441">
        <w:t xml:space="preserve">ach </w:t>
      </w:r>
      <w:r>
        <w:t>f</w:t>
      </w:r>
      <w:r w:rsidRPr="008A4441">
        <w:t xml:space="preserve">ederal banking agency </w:t>
      </w:r>
      <w:r>
        <w:t xml:space="preserve">to </w:t>
      </w:r>
      <w:r w:rsidRPr="008A4441">
        <w:t>review the</w:t>
      </w:r>
      <w:r>
        <w:t xml:space="preserve"> information banks are required to report in the Call Report and “</w:t>
      </w:r>
      <w:r w:rsidRPr="008A4441">
        <w:t>eliminate requirements that are not warranted for reasons of safety and soundness or other public purposes.</w:t>
      </w:r>
      <w:r>
        <w:t xml:space="preserve">”  Furthermore, in developing the Call Report revisions for 2010, the agencies carefully considered the purposes for which the proposed additional data would be used, which are described in the agencies’ August 19, 2009, </w:t>
      </w:r>
      <w:r w:rsidRPr="00A60B66">
        <w:rPr>
          <w:i/>
        </w:rPr>
        <w:t>Federal Register</w:t>
      </w:r>
      <w:r>
        <w:t xml:space="preserve"> notice and, to the extent appropriate, in this </w:t>
      </w:r>
      <w:r w:rsidRPr="00A60B66">
        <w:rPr>
          <w:i/>
        </w:rPr>
        <w:t>Federal Register</w:t>
      </w:r>
      <w:r>
        <w:t xml:space="preserve"> notice.  The agencies also considered the estimated cost and burden to banks of reporting these additional data.</w:t>
      </w:r>
    </w:p>
    <w:p w:rsidR="00536C01" w:rsidRPr="008A4441" w:rsidRDefault="00536C01" w:rsidP="00536C01">
      <w:pPr>
        <w:ind w:firstLine="720"/>
        <w:jc w:val="both"/>
      </w:pPr>
    </w:p>
    <w:p w:rsidR="00536C01" w:rsidRDefault="00536C01" w:rsidP="00536C01">
      <w:pPr>
        <w:ind w:firstLine="720"/>
        <w:jc w:val="both"/>
      </w:pPr>
      <w:r w:rsidRPr="00776B09">
        <w:t xml:space="preserve">After </w:t>
      </w:r>
      <w:r>
        <w:t>considering</w:t>
      </w:r>
      <w:r w:rsidRPr="00776B09">
        <w:t xml:space="preserve"> the comments received on the proposal, the </w:t>
      </w:r>
      <w:r>
        <w:t xml:space="preserve">FFIEC and the </w:t>
      </w:r>
      <w:r w:rsidRPr="00776B09">
        <w:t xml:space="preserve">agencies will move forward </w:t>
      </w:r>
      <w:r>
        <w:t xml:space="preserve">in 2010 </w:t>
      </w:r>
      <w:r w:rsidRPr="00776B09">
        <w:t xml:space="preserve">with </w:t>
      </w:r>
      <w:r>
        <w:t xml:space="preserve">most of the proposed </w:t>
      </w:r>
      <w:r w:rsidRPr="00776B09">
        <w:t>reporting changes</w:t>
      </w:r>
      <w:r>
        <w:t xml:space="preserve"> after making certain modifications in response to the comments.  The agencies will not implement the items for interest expense and quarterly averages for brokered time deposits in 2010 as had been proposed, but will instead </w:t>
      </w:r>
      <w:r w:rsidRPr="001F29C1">
        <w:t xml:space="preserve">reconsider their </w:t>
      </w:r>
      <w:r>
        <w:t xml:space="preserve">data </w:t>
      </w:r>
      <w:r w:rsidRPr="001F29C1">
        <w:t>need</w:t>
      </w:r>
      <w:r>
        <w:t xml:space="preserve">s with respect to </w:t>
      </w:r>
      <w:r w:rsidRPr="001F29C1">
        <w:t>deposit funding and related costs</w:t>
      </w:r>
      <w:r>
        <w:t>.</w:t>
      </w:r>
      <w:r w:rsidRPr="001F29C1">
        <w:t xml:space="preserve"> </w:t>
      </w:r>
      <w:r>
        <w:t xml:space="preserve"> In addition, the FFIEC and the agencies will add four items to the Call Report on assets covered by FDIC loss-sharing agreements in response to the recommendation from the bankers’ organization.  </w:t>
      </w:r>
    </w:p>
    <w:p w:rsidR="00A60B66" w:rsidRDefault="00A60B66" w:rsidP="00536C01">
      <w:pPr>
        <w:ind w:firstLine="720"/>
        <w:jc w:val="both"/>
      </w:pPr>
    </w:p>
    <w:p w:rsidR="00536C01" w:rsidRPr="000178F9" w:rsidRDefault="00536C01" w:rsidP="00536C01">
      <w:pPr>
        <w:ind w:firstLine="720"/>
        <w:jc w:val="both"/>
      </w:pPr>
      <w:r>
        <w:t>The agencies recognize institutions’ need for lead time to prepare for reporting changes.  Thus, consistent with longstanding practice, f</w:t>
      </w:r>
      <w:r w:rsidRPr="00405787">
        <w:t xml:space="preserve">or the March 31, </w:t>
      </w:r>
      <w:r>
        <w:t xml:space="preserve">2010, </w:t>
      </w:r>
      <w:r w:rsidRPr="00405787">
        <w:t xml:space="preserve">report date, </w:t>
      </w:r>
      <w:r>
        <w:t>banks</w:t>
      </w:r>
      <w:r w:rsidRPr="00405787">
        <w:t xml:space="preserve"> may provide reasonable estimates for </w:t>
      </w:r>
      <w:r>
        <w:t>a</w:t>
      </w:r>
      <w:r w:rsidRPr="00405787">
        <w:t xml:space="preserve">ny new or revised Call Report item </w:t>
      </w:r>
      <w:r>
        <w:t xml:space="preserve">initially </w:t>
      </w:r>
      <w:r w:rsidRPr="00405787">
        <w:t>required to be reported as of that date for which the requested information is not readily available.</w:t>
      </w:r>
      <w:r>
        <w:t xml:space="preserve">  </w:t>
      </w:r>
      <w:r w:rsidRPr="00BB29F5">
        <w:t>This policy on the use of reasonable estimates will apply to the reporting of</w:t>
      </w:r>
      <w:r>
        <w:t xml:space="preserve"> those </w:t>
      </w:r>
      <w:r w:rsidRPr="00BB29F5">
        <w:t xml:space="preserve">new </w:t>
      </w:r>
      <w:r>
        <w:t xml:space="preserve">Call Report </w:t>
      </w:r>
      <w:r w:rsidRPr="00BB29F5">
        <w:t xml:space="preserve">items </w:t>
      </w:r>
      <w:r>
        <w:t xml:space="preserve">that will be </w:t>
      </w:r>
      <w:r w:rsidRPr="00BB29F5">
        <w:t xml:space="preserve">first implemented </w:t>
      </w:r>
      <w:r>
        <w:t xml:space="preserve">effective December 31, 2010.  </w:t>
      </w:r>
    </w:p>
    <w:p w:rsidR="00536C01" w:rsidRPr="000178F9" w:rsidRDefault="00536C01" w:rsidP="00536C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jc w:val="both"/>
        <w:rPr>
          <w:sz w:val="24"/>
          <w:szCs w:val="24"/>
        </w:rPr>
      </w:pPr>
      <w:r w:rsidRPr="000178F9">
        <w:rPr>
          <w:sz w:val="24"/>
          <w:szCs w:val="24"/>
        </w:rPr>
        <w:tab/>
      </w:r>
    </w:p>
    <w:p w:rsidR="00536C01" w:rsidRPr="00E93E9C" w:rsidRDefault="00536C01" w:rsidP="00536C01">
      <w:pPr>
        <w:widowControl/>
        <w:suppressAutoHyphens/>
        <w:ind w:firstLine="720"/>
        <w:rPr>
          <w:rFonts w:ascii="Times New Roman" w:hAnsi="Times New Roman"/>
        </w:rPr>
      </w:pPr>
      <w:r>
        <w:rPr>
          <w:rFonts w:ascii="Times New Roman" w:hAnsi="Times New Roman"/>
        </w:rPr>
        <w:t xml:space="preserve">For a more detailed discussion of the changes proposed, the comments received, and the agencies’ responses, please refer to the “Current Actions” section of the final </w:t>
      </w:r>
      <w:r w:rsidRPr="00BA5648">
        <w:rPr>
          <w:rFonts w:ascii="Times New Roman" w:hAnsi="Times New Roman"/>
          <w:i/>
        </w:rPr>
        <w:t>Federal Register</w:t>
      </w:r>
      <w:r>
        <w:rPr>
          <w:rFonts w:ascii="Times New Roman" w:hAnsi="Times New Roman"/>
        </w:rPr>
        <w:t xml:space="preserve"> notice for this submission.</w:t>
      </w:r>
    </w:p>
    <w:p w:rsidR="00BA5648" w:rsidRDefault="00BA5648" w:rsidP="00536C01">
      <w:pPr>
        <w:ind w:firstLine="720"/>
        <w:jc w:val="both"/>
        <w:rPr>
          <w:i/>
        </w:rPr>
      </w:pPr>
      <w:r>
        <w:rPr>
          <w:rFonts w:ascii="Times New Roman" w:hAnsi="Times New Roman"/>
        </w:rPr>
        <w:tab/>
      </w:r>
    </w:p>
    <w:p w:rsidR="000E7D57" w:rsidRPr="003E1198" w:rsidRDefault="000E7D57" w:rsidP="00BA5648">
      <w:pPr>
        <w:pStyle w:val="BodyText2"/>
        <w:tabs>
          <w:tab w:val="left" w:pos="720"/>
          <w:tab w:val="left" w:pos="810"/>
        </w:tabs>
        <w:spacing w:line="240" w:lineRule="auto"/>
        <w:rPr>
          <w:i w:val="0"/>
        </w:rPr>
      </w:pPr>
      <w:r w:rsidRPr="003E1198">
        <w:rPr>
          <w:i w:val="0"/>
        </w:rPr>
        <w:t>Estimate of Respondent Burden</w:t>
      </w:r>
    </w:p>
    <w:p w:rsidR="00BA5648" w:rsidRDefault="00BA5648" w:rsidP="003E1198">
      <w:pPr>
        <w:pStyle w:val="BodyTextIndent3"/>
        <w:widowControl/>
        <w:jc w:val="both"/>
        <w:rPr>
          <w:rFonts w:ascii="Times New Roman" w:hAnsi="Times New Roman"/>
        </w:rPr>
      </w:pPr>
    </w:p>
    <w:p w:rsidR="00810E73" w:rsidRDefault="000E7D57" w:rsidP="003E1198">
      <w:pPr>
        <w:pStyle w:val="BodyTextIndent3"/>
        <w:widowControl/>
        <w:jc w:val="both"/>
        <w:rPr>
          <w:rFonts w:ascii="Times New Roman" w:hAnsi="Times New Roman"/>
        </w:rPr>
      </w:pPr>
      <w:r>
        <w:rPr>
          <w:rFonts w:ascii="Times New Roman" w:hAnsi="Times New Roman"/>
        </w:rPr>
        <w:t xml:space="preserve">The Federal Reserve estimates that the proposed revisions would </w:t>
      </w:r>
      <w:r w:rsidR="001B77FC">
        <w:rPr>
          <w:rFonts w:ascii="Times New Roman" w:hAnsi="Times New Roman"/>
        </w:rPr>
        <w:t>in</w:t>
      </w:r>
      <w:r>
        <w:rPr>
          <w:rFonts w:ascii="Times New Roman" w:hAnsi="Times New Roman"/>
        </w:rPr>
        <w:t xml:space="preserve">crease the estimated annual burden by </w:t>
      </w:r>
      <w:r w:rsidR="002F769E">
        <w:rPr>
          <w:rFonts w:ascii="Times New Roman" w:hAnsi="Times New Roman"/>
        </w:rPr>
        <w:t>5,</w:t>
      </w:r>
      <w:r w:rsidR="00761031">
        <w:rPr>
          <w:rFonts w:ascii="Times New Roman" w:hAnsi="Times New Roman"/>
        </w:rPr>
        <w:t>028</w:t>
      </w:r>
      <w:r w:rsidR="00E070A9">
        <w:rPr>
          <w:rFonts w:ascii="Times New Roman" w:hAnsi="Times New Roman"/>
        </w:rPr>
        <w:t xml:space="preserve"> </w:t>
      </w:r>
      <w:r>
        <w:rPr>
          <w:rFonts w:ascii="Times New Roman" w:hAnsi="Times New Roman"/>
        </w:rPr>
        <w:t xml:space="preserve">hours.  </w:t>
      </w:r>
      <w:r w:rsidR="00DF4583">
        <w:t xml:space="preserve">This proposal would add several new data items to the </w:t>
      </w:r>
      <w:r w:rsidR="006956DF">
        <w:t>Call Reports</w:t>
      </w:r>
      <w:r w:rsidR="001B77FC">
        <w:t xml:space="preserve"> and</w:t>
      </w:r>
      <w:r w:rsidR="00DF4583">
        <w:t xml:space="preserve"> revise certain existing </w:t>
      </w:r>
      <w:r w:rsidR="006504B4">
        <w:t>data items</w:t>
      </w:r>
      <w:r w:rsidR="00C41BCD">
        <w:t>.</w:t>
      </w:r>
      <w:r w:rsidR="003E1198">
        <w:t xml:space="preserve">  </w:t>
      </w:r>
      <w:r w:rsidR="001B77FC">
        <w:t>T</w:t>
      </w:r>
      <w:r w:rsidR="00DF4583">
        <w:t xml:space="preserve">he proposal as a whole would produce a net </w:t>
      </w:r>
      <w:r w:rsidR="001B77FC">
        <w:t xml:space="preserve">increase </w:t>
      </w:r>
      <w:r w:rsidR="00DF4583">
        <w:t xml:space="preserve">in reporting burden for banks of all sizes of </w:t>
      </w:r>
      <w:r w:rsidR="002F769E">
        <w:t>1.</w:t>
      </w:r>
      <w:r w:rsidR="00A60B66">
        <w:t>46</w:t>
      </w:r>
      <w:r w:rsidR="002F769E">
        <w:t xml:space="preserve"> hours</w:t>
      </w:r>
      <w:r w:rsidR="00DF4583">
        <w:t xml:space="preserve"> per response.  </w:t>
      </w:r>
      <w:r>
        <w:rPr>
          <w:rFonts w:ascii="Times New Roman" w:hAnsi="Times New Roman"/>
        </w:rPr>
        <w:t xml:space="preserve">The Federal Reserve estimates the total proposed annual reporting burden for state member banks to be </w:t>
      </w:r>
      <w:r w:rsidR="00761031">
        <w:rPr>
          <w:rFonts w:ascii="Times New Roman" w:hAnsi="Times New Roman"/>
        </w:rPr>
        <w:t>188,869</w:t>
      </w:r>
      <w:r w:rsidR="00E070A9">
        <w:rPr>
          <w:rFonts w:ascii="Times New Roman" w:hAnsi="Times New Roman"/>
        </w:rPr>
        <w:t xml:space="preserve"> </w:t>
      </w:r>
      <w:r>
        <w:rPr>
          <w:rFonts w:ascii="Times New Roman" w:hAnsi="Times New Roman"/>
        </w:rPr>
        <w:t>hours, as shown below</w:t>
      </w:r>
      <w:r w:rsidR="00972322">
        <w:rPr>
          <w:rFonts w:ascii="Times New Roman" w:hAnsi="Times New Roman"/>
        </w:rPr>
        <w:t xml:space="preserve">.  This burden represents </w:t>
      </w:r>
      <w:r w:rsidR="00657033">
        <w:rPr>
          <w:rFonts w:ascii="Times New Roman" w:hAnsi="Times New Roman"/>
        </w:rPr>
        <w:t xml:space="preserve">less than </w:t>
      </w:r>
      <w:r w:rsidR="00A60B66">
        <w:rPr>
          <w:rFonts w:ascii="Times New Roman" w:hAnsi="Times New Roman"/>
        </w:rPr>
        <w:t>3.5</w:t>
      </w:r>
      <w:r w:rsidR="00E70831">
        <w:rPr>
          <w:rFonts w:ascii="Times New Roman" w:hAnsi="Times New Roman"/>
        </w:rPr>
        <w:t xml:space="preserve"> </w:t>
      </w:r>
      <w:r w:rsidR="00972322">
        <w:rPr>
          <w:rFonts w:ascii="Times New Roman" w:hAnsi="Times New Roman"/>
        </w:rPr>
        <w:t>percent of the total Federal Reserve paperwork burden.</w:t>
      </w:r>
    </w:p>
    <w:p w:rsidR="00810E73" w:rsidRDefault="00810E73">
      <w:pPr>
        <w:widowControl/>
        <w:autoSpaceDE/>
        <w:autoSpaceDN/>
        <w:adjustRightInd/>
        <w:rPr>
          <w:rFonts w:ascii="Times New Roman" w:hAnsi="Times New Roman"/>
        </w:rPr>
      </w:pPr>
      <w:r>
        <w:rPr>
          <w:rFonts w:ascii="Times New Roman" w:hAnsi="Times New Roman"/>
        </w:rPr>
        <w:br w:type="page"/>
      </w:r>
    </w:p>
    <w:p w:rsidR="000E7D57" w:rsidRDefault="000E7D57" w:rsidP="003E1198">
      <w:pPr>
        <w:pStyle w:val="BodyTextIndent3"/>
        <w:widowControl/>
        <w:jc w:val="both"/>
        <w:rPr>
          <w:rFonts w:ascii="Times New Roman" w:hAnsi="Times New Roman"/>
        </w:rPr>
      </w:pPr>
    </w:p>
    <w:p w:rsidR="00A863C4"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tc>
          <w:tcPr>
            <w:tcW w:w="2160" w:type="dxa"/>
            <w:tcBorders>
              <w:top w:val="single" w:sz="8" w:space="0" w:color="000000"/>
              <w:bottom w:val="single" w:sz="8" w:space="0" w:color="000000"/>
            </w:tcBorders>
          </w:tcPr>
          <w:p w:rsidR="000E7D57"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Default="000E7D57" w:rsidP="00905999">
            <w:pPr>
              <w:widowControl/>
              <w:tabs>
                <w:tab w:val="left" w:pos="360"/>
              </w:tabs>
              <w:spacing w:after="58"/>
              <w:jc w:val="center"/>
              <w:rPr>
                <w:rFonts w:ascii="Times New Roman" w:hAnsi="Times New Roman"/>
                <w:i/>
                <w:iCs/>
              </w:rPr>
            </w:pPr>
            <w:r>
              <w:rPr>
                <w:rFonts w:ascii="Times New Roman" w:hAnsi="Times New Roman"/>
                <w:i/>
                <w:iCs/>
              </w:rPr>
              <w:t xml:space="preserve">Number </w:t>
            </w:r>
            <w:r w:rsidR="00905999">
              <w:rPr>
                <w:rFonts w:ascii="Times New Roman" w:hAnsi="Times New Roman"/>
                <w:i/>
                <w:iCs/>
              </w:rPr>
              <w:t>of</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respondents</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Annual</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Estimated</w:t>
            </w:r>
          </w:p>
          <w:p w:rsidR="00905999" w:rsidRDefault="006956DF" w:rsidP="00905999">
            <w:pPr>
              <w:widowControl/>
              <w:tabs>
                <w:tab w:val="left" w:pos="360"/>
              </w:tabs>
              <w:spacing w:after="58"/>
              <w:jc w:val="center"/>
              <w:rPr>
                <w:rFonts w:ascii="Times New Roman" w:hAnsi="Times New Roman"/>
                <w:i/>
                <w:iCs/>
              </w:rPr>
            </w:pPr>
            <w:r>
              <w:rPr>
                <w:rFonts w:ascii="Times New Roman" w:hAnsi="Times New Roman"/>
                <w:i/>
                <w:iCs/>
              </w:rPr>
              <w:t>average hours</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Default="00905999" w:rsidP="00905999">
            <w:pPr>
              <w:widowControl/>
              <w:tabs>
                <w:tab w:val="left" w:pos="360"/>
              </w:tabs>
              <w:spacing w:after="58"/>
              <w:jc w:val="center"/>
              <w:rPr>
                <w:rFonts w:ascii="Times New Roman" w:hAnsi="Times New Roman"/>
                <w:i/>
                <w:iCs/>
              </w:rPr>
            </w:pPr>
            <w:r>
              <w:rPr>
                <w:rFonts w:ascii="Times New Roman" w:hAnsi="Times New Roman"/>
                <w:i/>
                <w:iCs/>
              </w:rPr>
              <w:t>Estimated</w:t>
            </w:r>
          </w:p>
          <w:p w:rsidR="00905999" w:rsidRDefault="006956DF" w:rsidP="00905999">
            <w:pPr>
              <w:widowControl/>
              <w:tabs>
                <w:tab w:val="left" w:pos="360"/>
              </w:tabs>
              <w:spacing w:after="58"/>
              <w:jc w:val="center"/>
              <w:rPr>
                <w:rFonts w:ascii="Times New Roman" w:hAnsi="Times New Roman"/>
                <w:i/>
                <w:iCs/>
              </w:rPr>
            </w:pPr>
            <w:r>
              <w:rPr>
                <w:rFonts w:ascii="Times New Roman" w:hAnsi="Times New Roman"/>
                <w:i/>
                <w:iCs/>
              </w:rPr>
              <w:t>annual burden</w:t>
            </w:r>
          </w:p>
          <w:p w:rsidR="000E7D57" w:rsidRDefault="006956DF" w:rsidP="00905999">
            <w:pPr>
              <w:widowControl/>
              <w:tabs>
                <w:tab w:val="left" w:pos="360"/>
              </w:tabs>
              <w:spacing w:after="58"/>
              <w:jc w:val="center"/>
              <w:rPr>
                <w:rFonts w:ascii="Times New Roman" w:hAnsi="Times New Roman"/>
                <w:i/>
                <w:iCs/>
              </w:rPr>
            </w:pPr>
            <w:r>
              <w:rPr>
                <w:rFonts w:ascii="Times New Roman" w:hAnsi="Times New Roman"/>
                <w:i/>
                <w:iCs/>
              </w:rPr>
              <w:t>hours</w:t>
            </w:r>
          </w:p>
        </w:tc>
      </w:tr>
      <w:tr w:rsidR="00905999">
        <w:trPr>
          <w:trHeight w:val="423"/>
        </w:trPr>
        <w:tc>
          <w:tcPr>
            <w:tcW w:w="2160" w:type="dxa"/>
            <w:tcBorders>
              <w:top w:val="single" w:sz="8" w:space="0" w:color="000000"/>
            </w:tcBorders>
            <w:vAlign w:val="center"/>
          </w:tcPr>
          <w:p w:rsidR="00905999" w:rsidRPr="00972C3E" w:rsidRDefault="00905999" w:rsidP="00972C3E">
            <w:pPr>
              <w:widowControl/>
              <w:tabs>
                <w:tab w:val="left" w:pos="360"/>
              </w:tabs>
              <w:spacing w:after="58"/>
              <w:rPr>
                <w:rFonts w:ascii="Times New Roman" w:hAnsi="Times New Roman"/>
                <w:b/>
              </w:rPr>
            </w:pPr>
            <w:r w:rsidRPr="00905999">
              <w:rPr>
                <w:rFonts w:ascii="Times New Roman" w:hAnsi="Times New Roman"/>
                <w:b/>
              </w:rPr>
              <w:t>Current</w:t>
            </w:r>
          </w:p>
        </w:tc>
        <w:tc>
          <w:tcPr>
            <w:tcW w:w="1800" w:type="dxa"/>
            <w:tcBorders>
              <w:top w:val="single" w:sz="8" w:space="0" w:color="000000"/>
            </w:tcBorders>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8</w:t>
            </w:r>
            <w:r w:rsidR="007D4892">
              <w:rPr>
                <w:rFonts w:ascii="Times New Roman" w:hAnsi="Times New Roman"/>
              </w:rPr>
              <w:t>61</w:t>
            </w:r>
          </w:p>
        </w:tc>
        <w:tc>
          <w:tcPr>
            <w:tcW w:w="1800" w:type="dxa"/>
            <w:tcBorders>
              <w:top w:val="single" w:sz="8" w:space="0" w:color="000000"/>
            </w:tcBorders>
            <w:vAlign w:val="center"/>
          </w:tcPr>
          <w:p w:rsidR="00905999" w:rsidRDefault="00905999" w:rsidP="00972C3E">
            <w:pPr>
              <w:widowControl/>
              <w:tabs>
                <w:tab w:val="left" w:pos="360"/>
              </w:tabs>
              <w:spacing w:after="58"/>
              <w:jc w:val="center"/>
              <w:rPr>
                <w:rFonts w:ascii="Times New Roman" w:hAnsi="Times New Roman"/>
              </w:rPr>
            </w:pPr>
            <w:r>
              <w:rPr>
                <w:rFonts w:ascii="Times New Roman" w:hAnsi="Times New Roman"/>
              </w:rPr>
              <w:t>4</w:t>
            </w:r>
          </w:p>
        </w:tc>
        <w:tc>
          <w:tcPr>
            <w:tcW w:w="1800" w:type="dxa"/>
            <w:tcBorders>
              <w:top w:val="single" w:sz="8" w:space="0" w:color="000000"/>
            </w:tcBorders>
            <w:vAlign w:val="center"/>
          </w:tcPr>
          <w:p w:rsidR="00905999" w:rsidRDefault="00E070A9" w:rsidP="007D4892">
            <w:pPr>
              <w:widowControl/>
              <w:tabs>
                <w:tab w:val="left" w:pos="360"/>
              </w:tabs>
              <w:spacing w:after="58"/>
              <w:jc w:val="center"/>
              <w:rPr>
                <w:rFonts w:ascii="Times New Roman" w:hAnsi="Times New Roman"/>
              </w:rPr>
            </w:pPr>
            <w:r>
              <w:rPr>
                <w:rFonts w:ascii="Times New Roman" w:hAnsi="Times New Roman"/>
              </w:rPr>
              <w:t>5</w:t>
            </w:r>
            <w:r w:rsidR="007D4892">
              <w:rPr>
                <w:rFonts w:ascii="Times New Roman" w:hAnsi="Times New Roman"/>
              </w:rPr>
              <w:t>3</w:t>
            </w:r>
            <w:r w:rsidR="00E14183">
              <w:rPr>
                <w:rFonts w:ascii="Times New Roman" w:hAnsi="Times New Roman"/>
              </w:rPr>
              <w:t>.</w:t>
            </w:r>
            <w:r w:rsidR="007D4892">
              <w:rPr>
                <w:rFonts w:ascii="Times New Roman" w:hAnsi="Times New Roman"/>
              </w:rPr>
              <w:t>38</w:t>
            </w:r>
          </w:p>
        </w:tc>
        <w:tc>
          <w:tcPr>
            <w:tcW w:w="1800" w:type="dxa"/>
            <w:tcBorders>
              <w:top w:val="single" w:sz="8" w:space="0" w:color="000000"/>
            </w:tcBorders>
            <w:vAlign w:val="center"/>
          </w:tcPr>
          <w:p w:rsidR="00905999" w:rsidRDefault="001B77FC" w:rsidP="007D4892">
            <w:pPr>
              <w:widowControl/>
              <w:spacing w:after="58"/>
              <w:jc w:val="center"/>
              <w:rPr>
                <w:rFonts w:ascii="Times New Roman" w:hAnsi="Times New Roman"/>
              </w:rPr>
            </w:pPr>
            <w:r>
              <w:t>18</w:t>
            </w:r>
            <w:r w:rsidR="007D4892">
              <w:t>3,841</w:t>
            </w:r>
          </w:p>
        </w:tc>
      </w:tr>
      <w:tr w:rsidR="00905999">
        <w:tc>
          <w:tcPr>
            <w:tcW w:w="2160" w:type="dxa"/>
            <w:vAlign w:val="center"/>
          </w:tcPr>
          <w:p w:rsidR="00905999" w:rsidRPr="00972C3E" w:rsidRDefault="00905999" w:rsidP="00972C3E">
            <w:pPr>
              <w:widowControl/>
              <w:tabs>
                <w:tab w:val="left" w:pos="360"/>
              </w:tabs>
              <w:spacing w:after="58"/>
              <w:rPr>
                <w:rFonts w:ascii="Times New Roman" w:hAnsi="Times New Roman"/>
                <w:b/>
              </w:rPr>
            </w:pPr>
            <w:r w:rsidRPr="00905999">
              <w:rPr>
                <w:rFonts w:ascii="Times New Roman" w:hAnsi="Times New Roman"/>
                <w:b/>
              </w:rPr>
              <w:t>Proposed</w:t>
            </w:r>
          </w:p>
        </w:tc>
        <w:tc>
          <w:tcPr>
            <w:tcW w:w="1800" w:type="dxa"/>
            <w:vAlign w:val="center"/>
          </w:tcPr>
          <w:p w:rsidR="00905999" w:rsidRDefault="00E070A9" w:rsidP="00972C3E">
            <w:pPr>
              <w:widowControl/>
              <w:tabs>
                <w:tab w:val="left" w:pos="360"/>
              </w:tabs>
              <w:spacing w:after="58"/>
              <w:jc w:val="center"/>
              <w:rPr>
                <w:rFonts w:ascii="Times New Roman" w:hAnsi="Times New Roman"/>
              </w:rPr>
            </w:pPr>
            <w:r>
              <w:rPr>
                <w:rFonts w:ascii="Times New Roman" w:hAnsi="Times New Roman"/>
              </w:rPr>
              <w:t>8</w:t>
            </w:r>
            <w:r w:rsidR="00C13C84">
              <w:rPr>
                <w:rFonts w:ascii="Times New Roman" w:hAnsi="Times New Roman"/>
              </w:rPr>
              <w:t>61</w:t>
            </w:r>
          </w:p>
        </w:tc>
        <w:tc>
          <w:tcPr>
            <w:tcW w:w="1800" w:type="dxa"/>
            <w:vAlign w:val="center"/>
          </w:tcPr>
          <w:p w:rsidR="00905999" w:rsidRDefault="00905999" w:rsidP="00972C3E">
            <w:pPr>
              <w:widowControl/>
              <w:tabs>
                <w:tab w:val="left" w:pos="360"/>
              </w:tabs>
              <w:spacing w:after="58"/>
              <w:jc w:val="center"/>
              <w:rPr>
                <w:rFonts w:ascii="Times New Roman" w:hAnsi="Times New Roman"/>
              </w:rPr>
            </w:pPr>
            <w:r>
              <w:rPr>
                <w:rFonts w:ascii="Times New Roman" w:hAnsi="Times New Roman"/>
              </w:rPr>
              <w:t>4</w:t>
            </w:r>
          </w:p>
        </w:tc>
        <w:tc>
          <w:tcPr>
            <w:tcW w:w="1800" w:type="dxa"/>
            <w:vAlign w:val="center"/>
          </w:tcPr>
          <w:p w:rsidR="00905999" w:rsidRDefault="00761031" w:rsidP="00972C3E">
            <w:pPr>
              <w:widowControl/>
              <w:tabs>
                <w:tab w:val="left" w:pos="360"/>
              </w:tabs>
              <w:spacing w:after="58"/>
              <w:jc w:val="center"/>
              <w:rPr>
                <w:rFonts w:ascii="Times New Roman" w:hAnsi="Times New Roman"/>
              </w:rPr>
            </w:pPr>
            <w:r>
              <w:rPr>
                <w:rFonts w:ascii="Times New Roman" w:hAnsi="Times New Roman"/>
              </w:rPr>
              <w:t>54.84</w:t>
            </w:r>
          </w:p>
        </w:tc>
        <w:tc>
          <w:tcPr>
            <w:tcW w:w="1800" w:type="dxa"/>
            <w:vAlign w:val="center"/>
          </w:tcPr>
          <w:p w:rsidR="00905999" w:rsidRDefault="00761031" w:rsidP="00972C3E">
            <w:pPr>
              <w:widowControl/>
              <w:spacing w:after="58"/>
              <w:jc w:val="center"/>
              <w:rPr>
                <w:rFonts w:ascii="Times New Roman" w:hAnsi="Times New Roman"/>
              </w:rPr>
            </w:pPr>
            <w:r>
              <w:t>188,869</w:t>
            </w:r>
          </w:p>
        </w:tc>
      </w:tr>
      <w:tr w:rsidR="000E7D57">
        <w:tc>
          <w:tcPr>
            <w:tcW w:w="2160" w:type="dxa"/>
            <w:tcBorders>
              <w:bottom w:val="single" w:sz="7" w:space="0" w:color="000000"/>
            </w:tcBorders>
            <w:vAlign w:val="center"/>
          </w:tcPr>
          <w:p w:rsidR="000E7D57" w:rsidRDefault="00905999" w:rsidP="00972C3E">
            <w:pPr>
              <w:widowControl/>
              <w:tabs>
                <w:tab w:val="left" w:pos="360"/>
              </w:tabs>
              <w:spacing w:after="58"/>
              <w:rPr>
                <w:rFonts w:ascii="Times New Roman" w:hAnsi="Times New Roman"/>
                <w:i/>
                <w:iCs/>
              </w:rPr>
            </w:pPr>
            <w:r>
              <w:rPr>
                <w:rFonts w:ascii="Times New Roman" w:hAnsi="Times New Roman"/>
                <w:i/>
                <w:iCs/>
              </w:rPr>
              <w:t>C</w:t>
            </w:r>
            <w:r w:rsidR="000E7D57">
              <w:rPr>
                <w:rFonts w:ascii="Times New Roman" w:hAnsi="Times New Roman"/>
                <w:i/>
                <w:iCs/>
              </w:rPr>
              <w:t>hange</w:t>
            </w: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972C3E" w:rsidRDefault="00DF4583" w:rsidP="00761031">
            <w:pPr>
              <w:widowControl/>
              <w:tabs>
                <w:tab w:val="right" w:pos="600"/>
              </w:tabs>
              <w:spacing w:after="58"/>
              <w:jc w:val="center"/>
            </w:pPr>
            <w:r>
              <w:t xml:space="preserve">  </w:t>
            </w:r>
            <w:r w:rsidR="001B77FC">
              <w:t xml:space="preserve">    </w:t>
            </w:r>
            <w:r w:rsidR="00C13C84">
              <w:t>5,</w:t>
            </w:r>
            <w:r w:rsidR="00761031">
              <w:t>028</w:t>
            </w:r>
          </w:p>
        </w:tc>
      </w:tr>
    </w:tbl>
    <w:p w:rsidR="00844FD2" w:rsidRDefault="00844FD2" w:rsidP="00804EB1">
      <w:pPr>
        <w:widowControl/>
        <w:jc w:val="both"/>
        <w:rPr>
          <w:rFonts w:ascii="Times New Roman" w:hAnsi="Times New Roman"/>
        </w:rPr>
      </w:pPr>
    </w:p>
    <w:p w:rsidR="000E7D57" w:rsidRDefault="00883923" w:rsidP="00844FD2">
      <w:pPr>
        <w:widowControl/>
        <w:ind w:firstLine="720"/>
        <w:jc w:val="both"/>
        <w:rPr>
          <w:rFonts w:ascii="Times New Roman" w:hAnsi="Times New Roman"/>
        </w:rPr>
      </w:pPr>
      <w:r>
        <w:rPr>
          <w:rFonts w:ascii="Times New Roman" w:hAnsi="Times New Roman"/>
        </w:rPr>
        <w:t>T</w:t>
      </w:r>
      <w:r w:rsidR="000E7D57">
        <w:rPr>
          <w:rFonts w:ascii="Times New Roman" w:hAnsi="Times New Roman"/>
        </w:rPr>
        <w:t xml:space="preserve">he total cost to state member banks is estimated to be </w:t>
      </w:r>
      <w:r w:rsidR="000E7D57" w:rsidRPr="004208AA">
        <w:rPr>
          <w:rFonts w:ascii="Times New Roman" w:hAnsi="Times New Roman"/>
        </w:rPr>
        <w:t>$</w:t>
      </w:r>
      <w:r w:rsidR="004208AA">
        <w:rPr>
          <w:rFonts w:ascii="Times New Roman" w:hAnsi="Times New Roman"/>
        </w:rPr>
        <w:t>11,</w:t>
      </w:r>
      <w:r w:rsidR="00657033">
        <w:rPr>
          <w:rFonts w:ascii="Times New Roman" w:hAnsi="Times New Roman"/>
        </w:rPr>
        <w:t>2</w:t>
      </w:r>
      <w:r w:rsidR="00A60B66">
        <w:rPr>
          <w:rFonts w:ascii="Times New Roman" w:hAnsi="Times New Roman"/>
        </w:rPr>
        <w:t>18</w:t>
      </w:r>
      <w:r w:rsidR="004208AA">
        <w:rPr>
          <w:rFonts w:ascii="Times New Roman" w:hAnsi="Times New Roman"/>
        </w:rPr>
        <w:t>,</w:t>
      </w:r>
      <w:r w:rsidR="00A60B66">
        <w:rPr>
          <w:rFonts w:ascii="Times New Roman" w:hAnsi="Times New Roman"/>
        </w:rPr>
        <w:t xml:space="preserve">819 </w:t>
      </w:r>
      <w:r w:rsidR="000E7D57">
        <w:rPr>
          <w:rFonts w:ascii="Times New Roman" w:hAnsi="Times New Roman"/>
        </w:rPr>
        <w:t>annually.</w:t>
      </w:r>
      <w:r w:rsidR="005130D2" w:rsidRPr="005130D2">
        <w:rPr>
          <w:rStyle w:val="FootnoteReference"/>
          <w:rFonts w:ascii="Times New Roman" w:hAnsi="Times New Roman"/>
          <w:vertAlign w:val="superscript"/>
        </w:rPr>
        <w:footnoteReference w:id="9"/>
      </w:r>
      <w:r w:rsidR="000E7D57" w:rsidRPr="005130D2">
        <w:rPr>
          <w:rFonts w:ascii="Times New Roman" w:hAnsi="Times New Roman"/>
          <w:vertAlign w:val="superscript"/>
        </w:rPr>
        <w:t xml:space="preserve"> </w:t>
      </w:r>
      <w:r w:rsidR="000E7D57">
        <w:rPr>
          <w:rFonts w:ascii="Times New Roman" w:hAnsi="Times New Roman"/>
        </w:rPr>
        <w:t xml:space="preserve"> 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Default="00F55823" w:rsidP="00844FD2">
      <w:pPr>
        <w:widowControl/>
        <w:ind w:firstLine="720"/>
        <w:jc w:val="both"/>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Pr>
          <w:rFonts w:ascii="Times New Roman" w:hAnsi="Times New Roman"/>
        </w:rPr>
        <w:t>ot be determined at this time.</w:t>
      </w:r>
    </w:p>
    <w:p w:rsidR="000E7D57" w:rsidRPr="00804EB1" w:rsidRDefault="000E7D57">
      <w:pPr>
        <w:widowControl/>
        <w:tabs>
          <w:tab w:val="left" w:pos="360"/>
        </w:tabs>
        <w:rPr>
          <w:rFonts w:ascii="Times New Roman" w:hAnsi="Times New Roman"/>
          <w:bCs/>
        </w:rPr>
      </w:pPr>
    </w:p>
    <w:p w:rsidR="000E7D57" w:rsidRDefault="000E7D57">
      <w:pPr>
        <w:widowControl/>
        <w:tabs>
          <w:tab w:val="left" w:pos="360"/>
        </w:tabs>
        <w:rPr>
          <w:rFonts w:ascii="Times New Roman" w:hAnsi="Times New Roman"/>
        </w:rPr>
      </w:pPr>
      <w:r>
        <w:rPr>
          <w:rFonts w:ascii="Times New Roman" w:hAnsi="Times New Roman"/>
          <w:b/>
          <w:bCs/>
        </w:rPr>
        <w:t>Sensitive Questions</w:t>
      </w:r>
    </w:p>
    <w:p w:rsidR="000E7D57" w:rsidRDefault="000E7D57">
      <w:pPr>
        <w:widowControl/>
        <w:tabs>
          <w:tab w:val="left" w:pos="360"/>
        </w:tabs>
        <w:rPr>
          <w:rFonts w:ascii="Times New Roman" w:hAnsi="Times New Roman"/>
        </w:rPr>
      </w:pPr>
    </w:p>
    <w:p w:rsidR="000E7D57" w:rsidRDefault="000E7D57" w:rsidP="00804EB1">
      <w:pPr>
        <w:pStyle w:val="BodyTextIndent3"/>
        <w:widowControl/>
        <w:jc w:val="both"/>
        <w:rPr>
          <w:rFonts w:ascii="Times New Roman" w:hAnsi="Times New Roman"/>
        </w:rPr>
      </w:pPr>
      <w:r>
        <w:rPr>
          <w:rFonts w:ascii="Times New Roman" w:hAnsi="Times New Roman"/>
        </w:rPr>
        <w:t>This collection of information contains no questions of a sensitive nature, as defined by OMB guidelines.</w:t>
      </w:r>
    </w:p>
    <w:p w:rsidR="00DB1BC7" w:rsidRDefault="00DB1BC7">
      <w:pPr>
        <w:widowControl/>
        <w:tabs>
          <w:tab w:val="left" w:pos="360"/>
        </w:tabs>
        <w:rPr>
          <w:rFonts w:ascii="Times New Roman" w:hAnsi="Times New Roman"/>
          <w:b/>
          <w:bCs/>
        </w:rPr>
      </w:pPr>
    </w:p>
    <w:p w:rsidR="000E7D57" w:rsidRDefault="000E7D57">
      <w:pPr>
        <w:widowControl/>
        <w:tabs>
          <w:tab w:val="left" w:pos="360"/>
        </w:tabs>
        <w:rPr>
          <w:rFonts w:ascii="Times New Roman" w:hAnsi="Times New Roman"/>
        </w:rPr>
      </w:pPr>
      <w:r>
        <w:rPr>
          <w:rFonts w:ascii="Times New Roman" w:hAnsi="Times New Roman"/>
          <w:b/>
          <w:bCs/>
        </w:rPr>
        <w:t>Estimate of Cost to the Federal Reserve System</w:t>
      </w:r>
    </w:p>
    <w:p w:rsidR="000E7D57" w:rsidRDefault="000E7D57">
      <w:pPr>
        <w:widowControl/>
        <w:tabs>
          <w:tab w:val="left" w:pos="360"/>
        </w:tabs>
        <w:rPr>
          <w:rFonts w:ascii="Times New Roman" w:hAnsi="Times New Roman"/>
        </w:rPr>
      </w:pPr>
    </w:p>
    <w:p w:rsidR="000E7D57" w:rsidRPr="00972C3E" w:rsidRDefault="00354091" w:rsidP="004208A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rPr>
      </w:pPr>
      <w:r>
        <w:rPr>
          <w:rFonts w:ascii="Times New Roman" w:hAnsi="Times New Roman"/>
        </w:rPr>
        <w:t xml:space="preserve">Current costs to the Federal Reserve System for collecting and processing the Call Reports are estimated to be $1,589,906 per year.  This amount includes the routine annual costs of personnel, printing, and computer processing, as well as internal software development costs for maintaining and modifying existing operating systems used to edit and validate submitted data. </w:t>
      </w:r>
    </w:p>
    <w:sectPr w:rsidR="000E7D57" w:rsidRPr="00972C3E" w:rsidSect="00513BCD">
      <w:footerReference w:type="even" r:id="rId7"/>
      <w:footerReference w:type="default" r:id="rId8"/>
      <w:headerReference w:type="first" r:id="rId9"/>
      <w:endnotePr>
        <w:numFmt w:val="decimal"/>
      </w:endnotePr>
      <w:type w:val="continuous"/>
      <w:pgSz w:w="12240" w:h="15840" w:code="1"/>
      <w:pgMar w:top="1440" w:right="1440" w:bottom="1260" w:left="1440" w:header="720" w:footer="36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DB7" w:rsidRDefault="00D11DB7">
      <w:r>
        <w:separator/>
      </w:r>
    </w:p>
  </w:endnote>
  <w:endnote w:type="continuationSeparator" w:id="0">
    <w:p w:rsidR="00D11DB7" w:rsidRDefault="00D11D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1" w:rsidRPr="00E30374" w:rsidRDefault="008657C1"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1" w:rsidRPr="00E30374" w:rsidRDefault="008657C1"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810E73">
      <w:rPr>
        <w:rStyle w:val="PageNumber"/>
        <w:rFonts w:ascii="Times New Roman" w:hAnsi="Times New Roman"/>
        <w:noProof/>
      </w:rPr>
      <w:t>18</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DB7" w:rsidRDefault="00D11DB7">
      <w:r>
        <w:separator/>
      </w:r>
    </w:p>
  </w:footnote>
  <w:footnote w:type="continuationSeparator" w:id="0">
    <w:p w:rsidR="00D11DB7" w:rsidRDefault="00D11DB7">
      <w:r>
        <w:continuationSeparator/>
      </w:r>
    </w:p>
  </w:footnote>
  <w:footnote w:id="1">
    <w:p w:rsidR="008657C1" w:rsidRPr="002F769E" w:rsidRDefault="008657C1" w:rsidP="00FB0DA8">
      <w:pPr>
        <w:pStyle w:val="FootnoteText"/>
        <w:rPr>
          <w:rFonts w:ascii="Times New Roman" w:hAnsi="Times New Roman"/>
          <w:sz w:val="20"/>
        </w:rPr>
      </w:pPr>
      <w:r w:rsidRPr="002F769E">
        <w:rPr>
          <w:rStyle w:val="FootnoteReference"/>
          <w:rFonts w:ascii="Times New Roman" w:hAnsi="Times New Roman"/>
          <w:sz w:val="20"/>
        </w:rPr>
        <w:footnoteRef/>
      </w:r>
      <w:r w:rsidRPr="002F769E">
        <w:rPr>
          <w:rFonts w:ascii="Times New Roman" w:hAnsi="Times New Roman"/>
          <w:sz w:val="20"/>
        </w:rPr>
        <w:t xml:space="preserve">  Under the FASB Accounting Standards Codification™, see Topic 320, Investments – Debt and Equity Securities.</w:t>
      </w:r>
    </w:p>
  </w:footnote>
  <w:footnote w:id="2">
    <w:p w:rsidR="008657C1" w:rsidRPr="00CD0778" w:rsidRDefault="008657C1" w:rsidP="00FB0DA8">
      <w:pPr>
        <w:pStyle w:val="FootnoteText"/>
        <w:rPr>
          <w:rFonts w:ascii="Times New Roman" w:hAnsi="Times New Roman"/>
          <w:sz w:val="20"/>
        </w:rPr>
      </w:pPr>
      <w:r w:rsidRPr="00CD0778">
        <w:rPr>
          <w:rStyle w:val="FootnoteReference"/>
          <w:rFonts w:ascii="Times New Roman" w:hAnsi="Times New Roman"/>
          <w:sz w:val="20"/>
        </w:rPr>
        <w:footnoteRef/>
      </w:r>
      <w:r w:rsidRPr="00CD0778">
        <w:rPr>
          <w:rFonts w:ascii="Times New Roman" w:hAnsi="Times New Roman"/>
          <w:sz w:val="20"/>
        </w:rPr>
        <w:t xml:space="preserve">  73 FR 54811, September 23, 2008.</w:t>
      </w:r>
    </w:p>
  </w:footnote>
  <w:footnote w:id="3">
    <w:p w:rsidR="008657C1" w:rsidRPr="00CD0778" w:rsidRDefault="008657C1" w:rsidP="00FB0DA8">
      <w:pPr>
        <w:pStyle w:val="FootnoteText"/>
        <w:rPr>
          <w:rFonts w:ascii="Times New Roman" w:hAnsi="Times New Roman"/>
          <w:sz w:val="20"/>
        </w:rPr>
      </w:pPr>
      <w:r w:rsidRPr="00CD0778">
        <w:rPr>
          <w:rStyle w:val="FootnoteReference"/>
          <w:rFonts w:ascii="Times New Roman" w:hAnsi="Times New Roman"/>
          <w:sz w:val="20"/>
          <w:vertAlign w:val="superscript"/>
        </w:rPr>
        <w:footnoteRef/>
      </w:r>
      <w:r w:rsidRPr="00CD0778">
        <w:rPr>
          <w:rFonts w:ascii="Times New Roman" w:hAnsi="Times New Roman"/>
          <w:sz w:val="20"/>
          <w:vertAlign w:val="superscript"/>
        </w:rPr>
        <w:t xml:space="preserve"> </w:t>
      </w:r>
      <w:r w:rsidRPr="00CD0778">
        <w:rPr>
          <w:rFonts w:ascii="Times New Roman" w:hAnsi="Times New Roman"/>
          <w:sz w:val="20"/>
        </w:rPr>
        <w:t xml:space="preserve">The proposed linkage of the scope of the Memorandum items on fully insured brokered deposits in Schedule RC-E to the deposit insurance limits in effect on the report date is consistent with an existing linkage between the deposit insurance limits in effect on the report date and the Memorandum items in Schedule RC-O, Other Data for Deposit Insurance and FICO Assessments, on the amount and number of deposit accounts within the insurance limit and in excess of the insurance limit. </w:t>
      </w:r>
    </w:p>
  </w:footnote>
  <w:footnote w:id="4">
    <w:p w:rsidR="00576790" w:rsidRPr="00576790" w:rsidRDefault="00576790" w:rsidP="00576790">
      <w:pPr>
        <w:pStyle w:val="FootnoteText"/>
        <w:rPr>
          <w:rFonts w:ascii="Times New Roman" w:hAnsi="Times New Roman"/>
          <w:sz w:val="20"/>
        </w:rPr>
      </w:pPr>
      <w:r w:rsidRPr="00576790">
        <w:rPr>
          <w:rStyle w:val="FootnoteReference"/>
          <w:rFonts w:ascii="Times New Roman" w:hAnsi="Times New Roman"/>
          <w:sz w:val="20"/>
        </w:rPr>
        <w:footnoteRef/>
      </w:r>
      <w:r w:rsidRPr="00576790">
        <w:rPr>
          <w:rFonts w:ascii="Times New Roman" w:hAnsi="Times New Roman"/>
          <w:sz w:val="20"/>
        </w:rPr>
        <w:t xml:space="preserve">  </w:t>
      </w:r>
      <w:hyperlink r:id="rId1" w:history="1">
        <w:r w:rsidRPr="00576790">
          <w:rPr>
            <w:rStyle w:val="Hyperlink"/>
            <w:rFonts w:ascii="Times New Roman" w:hAnsi="Times New Roman"/>
            <w:sz w:val="20"/>
          </w:rPr>
          <w:t>http://www.financialstability.gov/roadtostability/smallbusinesscommunity.html</w:t>
        </w:r>
      </w:hyperlink>
      <w:r w:rsidRPr="00576790">
        <w:rPr>
          <w:rFonts w:ascii="Times New Roman" w:hAnsi="Times New Roman"/>
          <w:sz w:val="20"/>
        </w:rPr>
        <w:t>.</w:t>
      </w:r>
    </w:p>
  </w:footnote>
  <w:footnote w:id="5">
    <w:p w:rsidR="00576790" w:rsidRPr="00576790" w:rsidRDefault="00576790" w:rsidP="00576790">
      <w:pPr>
        <w:pStyle w:val="FootnoteText"/>
        <w:rPr>
          <w:rFonts w:ascii="Times New Roman" w:hAnsi="Times New Roman"/>
          <w:sz w:val="20"/>
        </w:rPr>
      </w:pPr>
      <w:r w:rsidRPr="00576790">
        <w:rPr>
          <w:rStyle w:val="FootnoteReference"/>
          <w:rFonts w:ascii="Times New Roman" w:hAnsi="Times New Roman"/>
          <w:sz w:val="20"/>
        </w:rPr>
        <w:footnoteRef/>
      </w:r>
      <w:r w:rsidRPr="00576790">
        <w:rPr>
          <w:rFonts w:ascii="Times New Roman" w:hAnsi="Times New Roman"/>
          <w:sz w:val="20"/>
        </w:rPr>
        <w:t xml:space="preserve">  </w:t>
      </w:r>
      <w:hyperlink r:id="rId2" w:history="1">
        <w:r w:rsidRPr="00576790">
          <w:rPr>
            <w:rStyle w:val="Hyperlink"/>
            <w:rFonts w:ascii="Times New Roman" w:hAnsi="Times New Roman"/>
            <w:sz w:val="20"/>
          </w:rPr>
          <w:t>http://www.financialstability.gov/latest/tg58-remarks.html</w:t>
        </w:r>
      </w:hyperlink>
      <w:r w:rsidRPr="00576790">
        <w:rPr>
          <w:rFonts w:ascii="Times New Roman" w:hAnsi="Times New Roman"/>
          <w:sz w:val="20"/>
        </w:rPr>
        <w:t>.</w:t>
      </w:r>
    </w:p>
  </w:footnote>
  <w:footnote w:id="6">
    <w:p w:rsidR="00576790" w:rsidRPr="00576790" w:rsidRDefault="00576790" w:rsidP="00576790">
      <w:pPr>
        <w:pStyle w:val="FootnoteText"/>
        <w:rPr>
          <w:rFonts w:ascii="Times New Roman" w:hAnsi="Times New Roman"/>
          <w:sz w:val="20"/>
        </w:rPr>
      </w:pPr>
      <w:r w:rsidRPr="00576790">
        <w:rPr>
          <w:rStyle w:val="FootnoteReference"/>
          <w:rFonts w:ascii="Times New Roman" w:hAnsi="Times New Roman"/>
          <w:sz w:val="20"/>
        </w:rPr>
        <w:footnoteRef/>
      </w:r>
      <w:r w:rsidRPr="00576790">
        <w:rPr>
          <w:rFonts w:ascii="Times New Roman" w:hAnsi="Times New Roman"/>
          <w:sz w:val="20"/>
        </w:rPr>
        <w:t xml:space="preserve">  Ibid.</w:t>
      </w:r>
    </w:p>
  </w:footnote>
  <w:footnote w:id="7">
    <w:p w:rsidR="00576790" w:rsidRDefault="00576790" w:rsidP="00576790">
      <w:pPr>
        <w:pStyle w:val="FootnoteText"/>
      </w:pPr>
      <w:r w:rsidRPr="00576790">
        <w:rPr>
          <w:rStyle w:val="FootnoteReference"/>
          <w:rFonts w:ascii="Times New Roman" w:hAnsi="Times New Roman"/>
          <w:sz w:val="20"/>
        </w:rPr>
        <w:footnoteRef/>
      </w:r>
      <w:r w:rsidRPr="00576790">
        <w:rPr>
          <w:rFonts w:ascii="Times New Roman" w:hAnsi="Times New Roman"/>
          <w:sz w:val="20"/>
        </w:rPr>
        <w:t xml:space="preserve">  57 FR 54237, November 17, 1992.</w:t>
      </w:r>
    </w:p>
  </w:footnote>
  <w:footnote w:id="8">
    <w:p w:rsidR="00576790" w:rsidRPr="00576790" w:rsidRDefault="00576790" w:rsidP="00576790">
      <w:pPr>
        <w:pStyle w:val="FootnoteText"/>
        <w:rPr>
          <w:rFonts w:ascii="Times New Roman" w:hAnsi="Times New Roman"/>
          <w:sz w:val="20"/>
        </w:rPr>
      </w:pPr>
      <w:r w:rsidRPr="00576790">
        <w:rPr>
          <w:rStyle w:val="FootnoteReference"/>
          <w:rFonts w:ascii="Times New Roman" w:hAnsi="Times New Roman"/>
          <w:sz w:val="20"/>
        </w:rPr>
        <w:footnoteRef/>
      </w:r>
      <w:r w:rsidRPr="00576790">
        <w:rPr>
          <w:rFonts w:ascii="Times New Roman" w:hAnsi="Times New Roman"/>
          <w:sz w:val="20"/>
        </w:rPr>
        <w:t xml:space="preserve"> Based on statistics tabulated early in the decade, roughly one quarter of all nonfinancial business assets were outside the corporate sector, and such firms tend to be partnerships and proprietorships, which tend to be small businesses.</w:t>
      </w:r>
    </w:p>
  </w:footnote>
  <w:footnote w:id="9">
    <w:p w:rsidR="008657C1" w:rsidRPr="005130D2" w:rsidRDefault="008657C1" w:rsidP="002B09AA">
      <w:pPr>
        <w:spacing w:line="240" w:lineRule="atLeast"/>
        <w:ind w:right="1080"/>
        <w:rPr>
          <w:rFonts w:ascii="Times New Roman" w:hAnsi="Times New Roman"/>
          <w:color w:val="000000"/>
          <w:sz w:val="20"/>
          <w:szCs w:val="20"/>
        </w:rPr>
      </w:pPr>
      <w:r w:rsidRPr="005130D2">
        <w:rPr>
          <w:rStyle w:val="FootnoteReference"/>
          <w:rFonts w:ascii="Times New Roman" w:hAnsi="Times New Roman"/>
          <w:sz w:val="20"/>
          <w:szCs w:val="20"/>
          <w:vertAlign w:val="superscript"/>
        </w:rPr>
        <w:footnoteRef/>
      </w:r>
      <w:r w:rsidRPr="005130D2">
        <w:rPr>
          <w:rFonts w:ascii="Times New Roman" w:hAnsi="Times New Roman"/>
          <w:sz w:val="20"/>
          <w:szCs w:val="20"/>
        </w:rPr>
        <w:t xml:space="preserve"> </w:t>
      </w:r>
      <w:r w:rsidRPr="005130D2">
        <w:rPr>
          <w:rFonts w:ascii="Times New Roman" w:hAnsi="Times New Roman"/>
          <w:color w:val="000000"/>
          <w:sz w:val="20"/>
          <w:szCs w:val="20"/>
        </w:rPr>
        <w:t xml:space="preserve">Total cost to the public was estimated using the following formula.  Percent of staff time, multiplied by annual burden hours, multiplied by hourly rate:  30% - </w:t>
      </w:r>
      <w:r>
        <w:rPr>
          <w:rFonts w:ascii="Times New Roman" w:hAnsi="Times New Roman"/>
          <w:color w:val="000000"/>
          <w:sz w:val="20"/>
          <w:szCs w:val="20"/>
        </w:rPr>
        <w:t>Administrative or Junior Analyst</w:t>
      </w:r>
      <w:r w:rsidRPr="005130D2">
        <w:rPr>
          <w:rFonts w:ascii="Times New Roman" w:hAnsi="Times New Roman"/>
          <w:color w:val="000000"/>
          <w:sz w:val="20"/>
          <w:szCs w:val="20"/>
        </w:rPr>
        <w:t xml:space="preserve"> @ $25, </w:t>
      </w:r>
      <w:r>
        <w:rPr>
          <w:rFonts w:ascii="Times New Roman" w:hAnsi="Times New Roman"/>
          <w:color w:val="000000"/>
          <w:sz w:val="20"/>
          <w:szCs w:val="20"/>
        </w:rPr>
        <w:t>50</w:t>
      </w:r>
      <w:r w:rsidRPr="005130D2">
        <w:rPr>
          <w:rFonts w:ascii="Times New Roman" w:hAnsi="Times New Roman"/>
          <w:color w:val="000000"/>
          <w:sz w:val="20"/>
          <w:szCs w:val="20"/>
        </w:rPr>
        <w:t xml:space="preserve">% - Managerial or Technical @ $55, </w:t>
      </w:r>
      <w:r>
        <w:rPr>
          <w:rFonts w:ascii="Times New Roman" w:hAnsi="Times New Roman"/>
          <w:color w:val="000000"/>
          <w:sz w:val="20"/>
          <w:szCs w:val="20"/>
        </w:rPr>
        <w:t>10</w:t>
      </w:r>
      <w:r w:rsidRPr="005130D2">
        <w:rPr>
          <w:rFonts w:ascii="Times New Roman" w:hAnsi="Times New Roman"/>
          <w:color w:val="000000"/>
          <w:sz w:val="20"/>
          <w:szCs w:val="20"/>
        </w:rPr>
        <w:t xml:space="preserve">% - Senior Management @ $100, and 10% - Legal Counsel @ $144.  Hourly rate estimates for each occupational group are averages using data from the Bureau of Labor and Statistics, </w:t>
      </w:r>
      <w:r w:rsidRPr="005130D2">
        <w:rPr>
          <w:rFonts w:ascii="Times New Roman" w:hAnsi="Times New Roman"/>
          <w:i/>
          <w:iCs/>
          <w:color w:val="000000"/>
          <w:sz w:val="20"/>
          <w:szCs w:val="20"/>
        </w:rPr>
        <w:t>Occupational Employment and Wages</w:t>
      </w:r>
      <w:r w:rsidRPr="005130D2">
        <w:rPr>
          <w:rFonts w:ascii="Times New Roman" w:hAnsi="Times New Roman"/>
          <w:color w:val="000000"/>
          <w:sz w:val="20"/>
          <w:szCs w:val="20"/>
        </w:rPr>
        <w:t>, news release.</w:t>
      </w:r>
    </w:p>
    <w:p w:rsidR="008657C1" w:rsidRDefault="008657C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C1" w:rsidRPr="00C8009C" w:rsidRDefault="008657C1" w:rsidP="00C8009C">
    <w:pPr>
      <w:pStyle w:val="Header"/>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12">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0"/>
  </w:num>
  <w:num w:numId="8">
    <w:abstractNumId w:val="4"/>
  </w:num>
  <w:num w:numId="9">
    <w:abstractNumId w:val="9"/>
  </w:num>
  <w:num w:numId="10">
    <w:abstractNumId w:val="3"/>
  </w:num>
  <w:num w:numId="11">
    <w:abstractNumId w:val="7"/>
  </w:num>
  <w:num w:numId="12">
    <w:abstractNumId w:val="5"/>
  </w:num>
  <w:num w:numId="13">
    <w:abstractNumId w:val="1"/>
  </w:num>
  <w:num w:numId="14">
    <w:abstractNumId w:val="13"/>
  </w:num>
  <w:num w:numId="1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52329"/>
    <w:rsid w:val="000671C4"/>
    <w:rsid w:val="0008523F"/>
    <w:rsid w:val="000915A5"/>
    <w:rsid w:val="00091E64"/>
    <w:rsid w:val="00095BE0"/>
    <w:rsid w:val="000A2224"/>
    <w:rsid w:val="000A49D8"/>
    <w:rsid w:val="000C6B98"/>
    <w:rsid w:val="000C748A"/>
    <w:rsid w:val="000E7D57"/>
    <w:rsid w:val="000F753D"/>
    <w:rsid w:val="00116759"/>
    <w:rsid w:val="00124320"/>
    <w:rsid w:val="00133F74"/>
    <w:rsid w:val="00146AE4"/>
    <w:rsid w:val="00154ECF"/>
    <w:rsid w:val="001566B1"/>
    <w:rsid w:val="00156996"/>
    <w:rsid w:val="0015741C"/>
    <w:rsid w:val="001606EC"/>
    <w:rsid w:val="00162427"/>
    <w:rsid w:val="001701E1"/>
    <w:rsid w:val="00190AA3"/>
    <w:rsid w:val="001B77FC"/>
    <w:rsid w:val="001D32C4"/>
    <w:rsid w:val="001E2954"/>
    <w:rsid w:val="001E6FA6"/>
    <w:rsid w:val="00216084"/>
    <w:rsid w:val="00267316"/>
    <w:rsid w:val="00271AAB"/>
    <w:rsid w:val="002802E6"/>
    <w:rsid w:val="002854E4"/>
    <w:rsid w:val="002B09AA"/>
    <w:rsid w:val="002B46B7"/>
    <w:rsid w:val="002B4F98"/>
    <w:rsid w:val="002C7A05"/>
    <w:rsid w:val="002D6F1D"/>
    <w:rsid w:val="002E04D3"/>
    <w:rsid w:val="002F769E"/>
    <w:rsid w:val="00305816"/>
    <w:rsid w:val="00327178"/>
    <w:rsid w:val="00344444"/>
    <w:rsid w:val="00354091"/>
    <w:rsid w:val="003632CB"/>
    <w:rsid w:val="00372A03"/>
    <w:rsid w:val="00375044"/>
    <w:rsid w:val="00381901"/>
    <w:rsid w:val="00381BAF"/>
    <w:rsid w:val="0038298E"/>
    <w:rsid w:val="00391E54"/>
    <w:rsid w:val="003C7568"/>
    <w:rsid w:val="003D6199"/>
    <w:rsid w:val="003E1198"/>
    <w:rsid w:val="003E1961"/>
    <w:rsid w:val="003F24AA"/>
    <w:rsid w:val="00400B04"/>
    <w:rsid w:val="00404DA8"/>
    <w:rsid w:val="00413420"/>
    <w:rsid w:val="00414C5D"/>
    <w:rsid w:val="0041718F"/>
    <w:rsid w:val="004208AA"/>
    <w:rsid w:val="00472307"/>
    <w:rsid w:val="00494299"/>
    <w:rsid w:val="00495AA5"/>
    <w:rsid w:val="004A0112"/>
    <w:rsid w:val="004A0E01"/>
    <w:rsid w:val="004A11C3"/>
    <w:rsid w:val="004C6593"/>
    <w:rsid w:val="00506466"/>
    <w:rsid w:val="005130D2"/>
    <w:rsid w:val="00513BCD"/>
    <w:rsid w:val="0052281E"/>
    <w:rsid w:val="00536C01"/>
    <w:rsid w:val="00563B4C"/>
    <w:rsid w:val="00576790"/>
    <w:rsid w:val="00581F55"/>
    <w:rsid w:val="00591647"/>
    <w:rsid w:val="005B692C"/>
    <w:rsid w:val="005D0558"/>
    <w:rsid w:val="005D7707"/>
    <w:rsid w:val="005E3887"/>
    <w:rsid w:val="005F2454"/>
    <w:rsid w:val="005F3992"/>
    <w:rsid w:val="00607487"/>
    <w:rsid w:val="00620668"/>
    <w:rsid w:val="00626F9C"/>
    <w:rsid w:val="00641F7D"/>
    <w:rsid w:val="006504B4"/>
    <w:rsid w:val="00657033"/>
    <w:rsid w:val="006821DE"/>
    <w:rsid w:val="0068396F"/>
    <w:rsid w:val="00683AAD"/>
    <w:rsid w:val="0069439F"/>
    <w:rsid w:val="006956DF"/>
    <w:rsid w:val="006C6A53"/>
    <w:rsid w:val="007009BE"/>
    <w:rsid w:val="00717B88"/>
    <w:rsid w:val="007253F9"/>
    <w:rsid w:val="0073413A"/>
    <w:rsid w:val="007471F7"/>
    <w:rsid w:val="007543CB"/>
    <w:rsid w:val="00761031"/>
    <w:rsid w:val="00785DE4"/>
    <w:rsid w:val="007917B3"/>
    <w:rsid w:val="00797CC8"/>
    <w:rsid w:val="007A6A3E"/>
    <w:rsid w:val="007A7FEB"/>
    <w:rsid w:val="007C6980"/>
    <w:rsid w:val="007D4892"/>
    <w:rsid w:val="007D6C88"/>
    <w:rsid w:val="007D7F50"/>
    <w:rsid w:val="007F722A"/>
    <w:rsid w:val="0080082A"/>
    <w:rsid w:val="00804EB1"/>
    <w:rsid w:val="008057FA"/>
    <w:rsid w:val="00810E73"/>
    <w:rsid w:val="008272C2"/>
    <w:rsid w:val="00837DF3"/>
    <w:rsid w:val="00841092"/>
    <w:rsid w:val="00844FD2"/>
    <w:rsid w:val="008657C1"/>
    <w:rsid w:val="008748DE"/>
    <w:rsid w:val="00883923"/>
    <w:rsid w:val="00885A53"/>
    <w:rsid w:val="008D41D2"/>
    <w:rsid w:val="008E4E40"/>
    <w:rsid w:val="008E7AEF"/>
    <w:rsid w:val="008F37A8"/>
    <w:rsid w:val="00905999"/>
    <w:rsid w:val="009173D5"/>
    <w:rsid w:val="00932960"/>
    <w:rsid w:val="00944E3C"/>
    <w:rsid w:val="00965005"/>
    <w:rsid w:val="00965718"/>
    <w:rsid w:val="00972322"/>
    <w:rsid w:val="00972C3E"/>
    <w:rsid w:val="00984353"/>
    <w:rsid w:val="00992C88"/>
    <w:rsid w:val="009A2181"/>
    <w:rsid w:val="009A633C"/>
    <w:rsid w:val="009A64C5"/>
    <w:rsid w:val="009B16AD"/>
    <w:rsid w:val="009B3974"/>
    <w:rsid w:val="009B599D"/>
    <w:rsid w:val="009D729C"/>
    <w:rsid w:val="009E4828"/>
    <w:rsid w:val="009E4B47"/>
    <w:rsid w:val="009F11BC"/>
    <w:rsid w:val="009F3291"/>
    <w:rsid w:val="009F7D24"/>
    <w:rsid w:val="00A14ABF"/>
    <w:rsid w:val="00A47075"/>
    <w:rsid w:val="00A51FE3"/>
    <w:rsid w:val="00A55F7E"/>
    <w:rsid w:val="00A60B66"/>
    <w:rsid w:val="00A66054"/>
    <w:rsid w:val="00A80E3C"/>
    <w:rsid w:val="00A863C4"/>
    <w:rsid w:val="00A873FD"/>
    <w:rsid w:val="00AD33C0"/>
    <w:rsid w:val="00AD5797"/>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180C"/>
    <w:rsid w:val="00BF6AC4"/>
    <w:rsid w:val="00C13C84"/>
    <w:rsid w:val="00C14FEF"/>
    <w:rsid w:val="00C41BCD"/>
    <w:rsid w:val="00C57BDF"/>
    <w:rsid w:val="00C60E88"/>
    <w:rsid w:val="00C61541"/>
    <w:rsid w:val="00C72F1F"/>
    <w:rsid w:val="00C7540B"/>
    <w:rsid w:val="00C8009C"/>
    <w:rsid w:val="00C8176E"/>
    <w:rsid w:val="00C81F4D"/>
    <w:rsid w:val="00C857EE"/>
    <w:rsid w:val="00C858CC"/>
    <w:rsid w:val="00C870A5"/>
    <w:rsid w:val="00C912E5"/>
    <w:rsid w:val="00CA49D8"/>
    <w:rsid w:val="00CD0778"/>
    <w:rsid w:val="00CD1148"/>
    <w:rsid w:val="00CE56C9"/>
    <w:rsid w:val="00CE79FF"/>
    <w:rsid w:val="00CF278D"/>
    <w:rsid w:val="00CF69E2"/>
    <w:rsid w:val="00CF7C8F"/>
    <w:rsid w:val="00D04052"/>
    <w:rsid w:val="00D11DB7"/>
    <w:rsid w:val="00D25F1F"/>
    <w:rsid w:val="00D329D5"/>
    <w:rsid w:val="00D354C3"/>
    <w:rsid w:val="00D367B4"/>
    <w:rsid w:val="00D420EA"/>
    <w:rsid w:val="00D43CA3"/>
    <w:rsid w:val="00D51AC3"/>
    <w:rsid w:val="00D533F6"/>
    <w:rsid w:val="00D935DA"/>
    <w:rsid w:val="00D97648"/>
    <w:rsid w:val="00DA2EA2"/>
    <w:rsid w:val="00DB1BC7"/>
    <w:rsid w:val="00DD6CD2"/>
    <w:rsid w:val="00DE027E"/>
    <w:rsid w:val="00DE51C6"/>
    <w:rsid w:val="00DF4583"/>
    <w:rsid w:val="00DF527C"/>
    <w:rsid w:val="00E070A9"/>
    <w:rsid w:val="00E07713"/>
    <w:rsid w:val="00E14183"/>
    <w:rsid w:val="00E30374"/>
    <w:rsid w:val="00E462E5"/>
    <w:rsid w:val="00E52C44"/>
    <w:rsid w:val="00E70831"/>
    <w:rsid w:val="00E816D8"/>
    <w:rsid w:val="00E94147"/>
    <w:rsid w:val="00E97ABA"/>
    <w:rsid w:val="00EB2B27"/>
    <w:rsid w:val="00EC4F34"/>
    <w:rsid w:val="00ED613D"/>
    <w:rsid w:val="00F01D1B"/>
    <w:rsid w:val="00F02674"/>
    <w:rsid w:val="00F207CA"/>
    <w:rsid w:val="00F37B53"/>
    <w:rsid w:val="00F54ECB"/>
    <w:rsid w:val="00F55823"/>
    <w:rsid w:val="00F66D29"/>
    <w:rsid w:val="00F67940"/>
    <w:rsid w:val="00F90733"/>
    <w:rsid w:val="00FB0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basedOn w:val="Normal"/>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inancialstability.gov/latest/tg58-remarks.html" TargetMode="External"/><Relationship Id="rId1" Type="http://schemas.openxmlformats.org/officeDocument/2006/relationships/hyperlink" Target="http://www.financialstability.gov/roadtostability/smallbusinesscommun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9352</Words>
  <Characters>51869</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61099</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frbuser</cp:lastModifiedBy>
  <cp:revision>2</cp:revision>
  <cp:lastPrinted>2009-08-31T16:48:00Z</cp:lastPrinted>
  <dcterms:created xsi:type="dcterms:W3CDTF">2009-12-28T20:56:00Z</dcterms:created>
  <dcterms:modified xsi:type="dcterms:W3CDTF">2009-12-28T20:56:00Z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