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2A" w:rsidRPr="00D267F8" w:rsidRDefault="00D267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OMB Docket from AMS:  Customer Satisfaction Survey for </w:t>
      </w:r>
      <w:r w:rsidR="00E4455B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Marketing Order Online System (MOLS)</w:t>
      </w:r>
    </w:p>
    <w:p w:rsidR="00484211" w:rsidRDefault="00D267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materials transm</w:t>
      </w:r>
      <w:r w:rsidR="00364909">
        <w:rPr>
          <w:rFonts w:ascii="Arial" w:hAnsi="Arial" w:cs="Arial"/>
          <w:sz w:val="20"/>
          <w:szCs w:val="20"/>
        </w:rPr>
        <w:t>itted appear to be incomplete; they also show s</w:t>
      </w:r>
      <w:r w:rsidR="00484211">
        <w:rPr>
          <w:rFonts w:ascii="Arial" w:hAnsi="Arial" w:cs="Arial"/>
          <w:sz w:val="20"/>
          <w:szCs w:val="20"/>
        </w:rPr>
        <w:t>ome inconsistencies.  In part A</w:t>
      </w:r>
      <w:r w:rsidR="00BA4313">
        <w:rPr>
          <w:rFonts w:ascii="Arial" w:hAnsi="Arial" w:cs="Arial"/>
          <w:sz w:val="20"/>
          <w:szCs w:val="20"/>
        </w:rPr>
        <w:t xml:space="preserve"> </w:t>
      </w:r>
      <w:r w:rsidR="00364909">
        <w:rPr>
          <w:rFonts w:ascii="Arial" w:hAnsi="Arial" w:cs="Arial"/>
          <w:sz w:val="20"/>
          <w:szCs w:val="20"/>
        </w:rPr>
        <w:t>of the documentation there is mention of a five-point Likert scale, but in the tentat</w:t>
      </w:r>
      <w:r w:rsidR="00484211">
        <w:rPr>
          <w:rFonts w:ascii="Arial" w:hAnsi="Arial" w:cs="Arial"/>
          <w:sz w:val="20"/>
          <w:szCs w:val="20"/>
        </w:rPr>
        <w:t>iv</w:t>
      </w:r>
      <w:r w:rsidR="00D973C8">
        <w:rPr>
          <w:rFonts w:ascii="Arial" w:hAnsi="Arial" w:cs="Arial"/>
          <w:sz w:val="20"/>
          <w:szCs w:val="20"/>
        </w:rPr>
        <w:t>e questionnaires included, most</w:t>
      </w:r>
      <w:r w:rsidR="00484211">
        <w:rPr>
          <w:rFonts w:ascii="Arial" w:hAnsi="Arial" w:cs="Arial"/>
          <w:sz w:val="20"/>
          <w:szCs w:val="20"/>
        </w:rPr>
        <w:t xml:space="preserve"> </w:t>
      </w:r>
      <w:r w:rsidR="00D973C8">
        <w:rPr>
          <w:rFonts w:ascii="Arial" w:hAnsi="Arial" w:cs="Arial"/>
          <w:sz w:val="20"/>
          <w:szCs w:val="20"/>
        </w:rPr>
        <w:t xml:space="preserve">Likert-modeling </w:t>
      </w:r>
      <w:r w:rsidR="00484211">
        <w:rPr>
          <w:rFonts w:ascii="Arial" w:hAnsi="Arial" w:cs="Arial"/>
          <w:sz w:val="20"/>
          <w:szCs w:val="20"/>
        </w:rPr>
        <w:t>question</w:t>
      </w:r>
      <w:r w:rsidR="00D973C8">
        <w:rPr>
          <w:rFonts w:ascii="Arial" w:hAnsi="Arial" w:cs="Arial"/>
          <w:sz w:val="20"/>
          <w:szCs w:val="20"/>
        </w:rPr>
        <w:t>s reflect</w:t>
      </w:r>
      <w:r w:rsidR="00B77913">
        <w:rPr>
          <w:rFonts w:ascii="Arial" w:hAnsi="Arial" w:cs="Arial"/>
          <w:sz w:val="20"/>
          <w:szCs w:val="20"/>
        </w:rPr>
        <w:t xml:space="preserve"> a ten-point scale; OMB should be given a copy of the questionnaire in nearly final form, </w:t>
      </w:r>
      <w:r w:rsidR="00E4455B">
        <w:rPr>
          <w:rFonts w:ascii="Arial" w:hAnsi="Arial" w:cs="Arial"/>
          <w:sz w:val="20"/>
          <w:szCs w:val="20"/>
        </w:rPr>
        <w:t xml:space="preserve">probably </w:t>
      </w:r>
      <w:r w:rsidR="00B77913">
        <w:rPr>
          <w:rFonts w:ascii="Arial" w:hAnsi="Arial" w:cs="Arial"/>
          <w:sz w:val="20"/>
          <w:szCs w:val="20"/>
        </w:rPr>
        <w:t xml:space="preserve">without “Survey Monkey.” </w:t>
      </w:r>
      <w:r w:rsidR="0036490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It should be explicitly stated </w:t>
      </w:r>
      <w:r w:rsidR="0018133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in Part B</w:t>
      </w:r>
      <w:r w:rsidR="004537A0">
        <w:rPr>
          <w:rFonts w:ascii="Arial" w:hAnsi="Arial" w:cs="Arial"/>
          <w:sz w:val="20"/>
          <w:szCs w:val="20"/>
        </w:rPr>
        <w:t>: 2</w:t>
      </w:r>
      <w:r>
        <w:rPr>
          <w:rFonts w:ascii="Arial" w:hAnsi="Arial" w:cs="Arial"/>
          <w:sz w:val="20"/>
          <w:szCs w:val="20"/>
        </w:rPr>
        <w:t xml:space="preserve"> of the </w:t>
      </w:r>
      <w:r w:rsidR="004537A0">
        <w:rPr>
          <w:rFonts w:ascii="Arial" w:hAnsi="Arial" w:cs="Arial"/>
          <w:sz w:val="20"/>
          <w:szCs w:val="20"/>
        </w:rPr>
        <w:t>documentation</w:t>
      </w:r>
      <w:r w:rsidR="00484211">
        <w:rPr>
          <w:rFonts w:ascii="Arial" w:hAnsi="Arial" w:cs="Arial"/>
          <w:sz w:val="20"/>
          <w:szCs w:val="20"/>
        </w:rPr>
        <w:t>, which was misinterpreted</w:t>
      </w:r>
      <w:r w:rsidR="00181332">
        <w:rPr>
          <w:rFonts w:ascii="Arial" w:hAnsi="Arial" w:cs="Arial"/>
          <w:sz w:val="20"/>
          <w:szCs w:val="20"/>
        </w:rPr>
        <w:t>)</w:t>
      </w:r>
      <w:r w:rsidR="004537A0">
        <w:rPr>
          <w:rFonts w:ascii="Arial" w:hAnsi="Arial" w:cs="Arial"/>
          <w:sz w:val="20"/>
          <w:szCs w:val="20"/>
        </w:rPr>
        <w:t xml:space="preserve"> that the survey proposed is actually a census of MOLS users: all </w:t>
      </w:r>
      <w:r w:rsidR="00D36166">
        <w:rPr>
          <w:rFonts w:ascii="Arial" w:hAnsi="Arial" w:cs="Arial"/>
          <w:sz w:val="20"/>
          <w:szCs w:val="20"/>
        </w:rPr>
        <w:t>online MOLS users (requestors of exemptions from import inspection)</w:t>
      </w:r>
      <w:r w:rsidR="004537A0">
        <w:rPr>
          <w:rFonts w:ascii="Arial" w:hAnsi="Arial" w:cs="Arial"/>
          <w:sz w:val="20"/>
          <w:szCs w:val="20"/>
        </w:rPr>
        <w:t xml:space="preserve"> are bein</w:t>
      </w:r>
      <w:r w:rsidR="00A3512B">
        <w:rPr>
          <w:rFonts w:ascii="Arial" w:hAnsi="Arial" w:cs="Arial"/>
          <w:sz w:val="20"/>
          <w:szCs w:val="20"/>
        </w:rPr>
        <w:t>g asked to complete the survey (a 100% sample).</w:t>
      </w:r>
      <w:r w:rsidR="00522FA3">
        <w:rPr>
          <w:rFonts w:ascii="Arial" w:hAnsi="Arial" w:cs="Arial"/>
          <w:sz w:val="20"/>
          <w:szCs w:val="20"/>
        </w:rPr>
        <w:t xml:space="preserve"> </w:t>
      </w:r>
      <w:r w:rsidR="00D36166">
        <w:rPr>
          <w:rFonts w:ascii="Arial" w:hAnsi="Arial" w:cs="Arial"/>
          <w:sz w:val="20"/>
          <w:szCs w:val="20"/>
        </w:rPr>
        <w:t>Results of the survey are not intended for publication, but merely for intra-agency use, to identify ways to improve MOLS and make it more accessible to users.</w:t>
      </w:r>
      <w:r w:rsidR="00B77913">
        <w:rPr>
          <w:rFonts w:ascii="Arial" w:hAnsi="Arial" w:cs="Arial"/>
          <w:sz w:val="20"/>
          <w:szCs w:val="20"/>
        </w:rPr>
        <w:t xml:space="preserve">    </w:t>
      </w:r>
      <w:r w:rsidR="00D36166">
        <w:rPr>
          <w:rFonts w:ascii="Arial" w:hAnsi="Arial" w:cs="Arial"/>
          <w:sz w:val="20"/>
          <w:szCs w:val="20"/>
        </w:rPr>
        <w:t xml:space="preserve">  </w:t>
      </w:r>
    </w:p>
    <w:p w:rsidR="004537A0" w:rsidRDefault="00BA43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 B contains a </w:t>
      </w:r>
      <w:r w:rsidR="00484211">
        <w:rPr>
          <w:rFonts w:ascii="Arial" w:hAnsi="Arial" w:cs="Arial"/>
          <w:sz w:val="20"/>
          <w:szCs w:val="20"/>
        </w:rPr>
        <w:t xml:space="preserve">critical omission: </w:t>
      </w:r>
      <w:r w:rsidR="00354DA3">
        <w:rPr>
          <w:rFonts w:ascii="Arial" w:hAnsi="Arial" w:cs="Arial"/>
          <w:sz w:val="20"/>
          <w:szCs w:val="20"/>
        </w:rPr>
        <w:t xml:space="preserve">although a </w:t>
      </w:r>
      <w:r w:rsidR="00522FA3">
        <w:rPr>
          <w:rFonts w:ascii="Arial" w:hAnsi="Arial" w:cs="Arial"/>
          <w:sz w:val="20"/>
          <w:szCs w:val="20"/>
        </w:rPr>
        <w:t xml:space="preserve">nonresponse </w:t>
      </w:r>
      <w:r w:rsidR="00354DA3">
        <w:rPr>
          <w:rFonts w:ascii="Arial" w:hAnsi="Arial" w:cs="Arial"/>
          <w:sz w:val="20"/>
          <w:szCs w:val="20"/>
        </w:rPr>
        <w:t xml:space="preserve">follow-up is mentioned, </w:t>
      </w:r>
      <w:r w:rsidR="004537A0">
        <w:rPr>
          <w:rFonts w:ascii="Arial" w:hAnsi="Arial" w:cs="Arial"/>
          <w:sz w:val="20"/>
          <w:szCs w:val="20"/>
        </w:rPr>
        <w:t xml:space="preserve">no </w:t>
      </w:r>
      <w:r w:rsidR="00354DA3">
        <w:rPr>
          <w:rFonts w:ascii="Arial" w:hAnsi="Arial" w:cs="Arial"/>
          <w:sz w:val="20"/>
          <w:szCs w:val="20"/>
        </w:rPr>
        <w:t xml:space="preserve">other </w:t>
      </w:r>
      <w:r w:rsidR="004537A0">
        <w:rPr>
          <w:rFonts w:ascii="Arial" w:hAnsi="Arial" w:cs="Arial"/>
          <w:sz w:val="20"/>
          <w:szCs w:val="20"/>
        </w:rPr>
        <w:t>procedures were cited for dealing with nonresponse</w:t>
      </w:r>
      <w:r w:rsidR="0035154C">
        <w:rPr>
          <w:rFonts w:ascii="Arial" w:hAnsi="Arial" w:cs="Arial"/>
          <w:sz w:val="20"/>
          <w:szCs w:val="20"/>
        </w:rPr>
        <w:t xml:space="preserve">; no </w:t>
      </w:r>
      <w:r w:rsidR="00181332">
        <w:rPr>
          <w:rFonts w:ascii="Arial" w:hAnsi="Arial" w:cs="Arial"/>
          <w:sz w:val="20"/>
          <w:szCs w:val="20"/>
        </w:rPr>
        <w:t xml:space="preserve">nonresponse </w:t>
      </w:r>
      <w:r w:rsidR="0035154C">
        <w:rPr>
          <w:rFonts w:ascii="Arial" w:hAnsi="Arial" w:cs="Arial"/>
          <w:sz w:val="20"/>
          <w:szCs w:val="20"/>
        </w:rPr>
        <w:t>weight</w:t>
      </w:r>
      <w:r w:rsidR="00181332">
        <w:rPr>
          <w:rFonts w:ascii="Arial" w:hAnsi="Arial" w:cs="Arial"/>
          <w:sz w:val="20"/>
          <w:szCs w:val="20"/>
        </w:rPr>
        <w:t>ing methodology was m</w:t>
      </w:r>
      <w:r w:rsidR="001F6C66">
        <w:rPr>
          <w:rFonts w:ascii="Arial" w:hAnsi="Arial" w:cs="Arial"/>
          <w:sz w:val="20"/>
          <w:szCs w:val="20"/>
        </w:rPr>
        <w:t>entio</w:t>
      </w:r>
      <w:r w:rsidR="00354DA3">
        <w:rPr>
          <w:rFonts w:ascii="Arial" w:hAnsi="Arial" w:cs="Arial"/>
          <w:sz w:val="20"/>
          <w:szCs w:val="20"/>
        </w:rPr>
        <w:t xml:space="preserve">ned and there is no substantive discussion of </w:t>
      </w:r>
      <w:r w:rsidR="00522FA3">
        <w:rPr>
          <w:rFonts w:ascii="Arial" w:hAnsi="Arial" w:cs="Arial"/>
          <w:sz w:val="20"/>
          <w:szCs w:val="20"/>
        </w:rPr>
        <w:t xml:space="preserve">the proposed </w:t>
      </w:r>
      <w:r w:rsidR="00354DA3">
        <w:rPr>
          <w:rFonts w:ascii="Arial" w:hAnsi="Arial" w:cs="Arial"/>
          <w:sz w:val="20"/>
          <w:szCs w:val="20"/>
        </w:rPr>
        <w:t>nonresponse follow-up</w:t>
      </w:r>
      <w:r w:rsidR="0035154C">
        <w:rPr>
          <w:rFonts w:ascii="Arial" w:hAnsi="Arial" w:cs="Arial"/>
          <w:sz w:val="20"/>
          <w:szCs w:val="20"/>
        </w:rPr>
        <w:t xml:space="preserve">.   </w:t>
      </w:r>
      <w:r w:rsidR="00522FA3">
        <w:rPr>
          <w:rFonts w:ascii="Arial" w:hAnsi="Arial" w:cs="Arial"/>
          <w:sz w:val="20"/>
          <w:szCs w:val="20"/>
        </w:rPr>
        <w:t>A conventional weighting solution would</w:t>
      </w:r>
      <w:r w:rsidR="00B77913">
        <w:rPr>
          <w:rFonts w:ascii="Arial" w:hAnsi="Arial" w:cs="Arial"/>
          <w:sz w:val="20"/>
          <w:szCs w:val="20"/>
        </w:rPr>
        <w:t xml:space="preserve"> </w:t>
      </w:r>
      <w:r w:rsidR="00522FA3">
        <w:rPr>
          <w:rFonts w:ascii="Arial" w:hAnsi="Arial" w:cs="Arial"/>
          <w:sz w:val="20"/>
          <w:szCs w:val="20"/>
        </w:rPr>
        <w:t>involve devising</w:t>
      </w:r>
      <w:r w:rsidR="00B77913">
        <w:rPr>
          <w:rFonts w:ascii="Arial" w:hAnsi="Arial" w:cs="Arial"/>
          <w:sz w:val="20"/>
          <w:szCs w:val="20"/>
        </w:rPr>
        <w:t xml:space="preserve"> a simple form of </w:t>
      </w:r>
      <w:r w:rsidR="00497587">
        <w:rPr>
          <w:rFonts w:ascii="Arial" w:hAnsi="Arial" w:cs="Arial"/>
          <w:sz w:val="20"/>
          <w:szCs w:val="20"/>
        </w:rPr>
        <w:t xml:space="preserve">nonresponse </w:t>
      </w:r>
      <w:r w:rsidR="00B77913">
        <w:rPr>
          <w:rFonts w:ascii="Arial" w:hAnsi="Arial" w:cs="Arial"/>
          <w:sz w:val="20"/>
          <w:szCs w:val="20"/>
        </w:rPr>
        <w:t xml:space="preserve">stratification for MOLS users, based on type or size of operation; response could then be treated as a kind of sampling process, with respondents weighted by </w:t>
      </w:r>
      <w:r w:rsidR="00497587">
        <w:rPr>
          <w:rFonts w:ascii="Arial" w:hAnsi="Arial" w:cs="Arial"/>
          <w:sz w:val="20"/>
          <w:szCs w:val="20"/>
        </w:rPr>
        <w:t xml:space="preserve">stratum by </w:t>
      </w:r>
      <w:r w:rsidR="00B77913">
        <w:rPr>
          <w:rFonts w:ascii="Arial" w:hAnsi="Arial" w:cs="Arial"/>
          <w:sz w:val="20"/>
          <w:szCs w:val="20"/>
        </w:rPr>
        <w:t>the inverse of the</w:t>
      </w:r>
      <w:r w:rsidR="00497587">
        <w:rPr>
          <w:rFonts w:ascii="Arial" w:hAnsi="Arial" w:cs="Arial"/>
          <w:sz w:val="20"/>
          <w:szCs w:val="20"/>
        </w:rPr>
        <w:t xml:space="preserve">ir </w:t>
      </w:r>
      <w:r w:rsidR="00B77913">
        <w:rPr>
          <w:rFonts w:ascii="Arial" w:hAnsi="Arial" w:cs="Arial"/>
          <w:sz w:val="20"/>
          <w:szCs w:val="20"/>
        </w:rPr>
        <w:t xml:space="preserve"> </w:t>
      </w:r>
      <w:r w:rsidR="00497587">
        <w:rPr>
          <w:rFonts w:ascii="Arial" w:hAnsi="Arial" w:cs="Arial"/>
          <w:sz w:val="20"/>
          <w:szCs w:val="20"/>
        </w:rPr>
        <w:t xml:space="preserve">stratum-level </w:t>
      </w:r>
      <w:r w:rsidR="00B77913">
        <w:rPr>
          <w:rFonts w:ascii="Arial" w:hAnsi="Arial" w:cs="Arial"/>
          <w:sz w:val="20"/>
          <w:szCs w:val="20"/>
        </w:rPr>
        <w:t xml:space="preserve">response rate. </w:t>
      </w:r>
      <w:r w:rsidR="00522FA3">
        <w:rPr>
          <w:rFonts w:ascii="Arial" w:hAnsi="Arial" w:cs="Arial"/>
          <w:sz w:val="20"/>
          <w:szCs w:val="20"/>
        </w:rPr>
        <w:t xml:space="preserve">In any case, with only a 20% response rate anticipated, the significance of the Likert medians or means would remain unclear; the survey data might not be informative.  </w:t>
      </w:r>
      <w:r w:rsidR="00B77913">
        <w:rPr>
          <w:rFonts w:ascii="Arial" w:hAnsi="Arial" w:cs="Arial"/>
          <w:sz w:val="20"/>
          <w:szCs w:val="20"/>
        </w:rPr>
        <w:t xml:space="preserve"> </w:t>
      </w:r>
      <w:r w:rsidR="00522FA3">
        <w:rPr>
          <w:rFonts w:ascii="Arial" w:hAnsi="Arial" w:cs="Arial"/>
          <w:sz w:val="20"/>
          <w:szCs w:val="20"/>
        </w:rPr>
        <w:t>Without intensive follow-up</w:t>
      </w:r>
      <w:r w:rsidR="0035154C">
        <w:rPr>
          <w:rFonts w:ascii="Arial" w:hAnsi="Arial" w:cs="Arial"/>
          <w:sz w:val="20"/>
          <w:szCs w:val="20"/>
        </w:rPr>
        <w:t>, the survey responses may incur</w:t>
      </w:r>
      <w:r w:rsidR="00484211">
        <w:rPr>
          <w:rFonts w:ascii="Arial" w:hAnsi="Arial" w:cs="Arial"/>
          <w:sz w:val="20"/>
          <w:szCs w:val="20"/>
        </w:rPr>
        <w:t xml:space="preserve"> unknown biases; </w:t>
      </w:r>
      <w:r w:rsidR="00181332">
        <w:rPr>
          <w:rFonts w:ascii="Arial" w:hAnsi="Arial" w:cs="Arial"/>
          <w:sz w:val="20"/>
          <w:szCs w:val="20"/>
        </w:rPr>
        <w:t>intense dissatisfactio</w:t>
      </w:r>
      <w:r w:rsidR="004510EC">
        <w:rPr>
          <w:rFonts w:ascii="Arial" w:hAnsi="Arial" w:cs="Arial"/>
          <w:sz w:val="20"/>
          <w:szCs w:val="20"/>
        </w:rPr>
        <w:t>n of a vocal minority could</w:t>
      </w:r>
      <w:r w:rsidR="00181332">
        <w:rPr>
          <w:rFonts w:ascii="Arial" w:hAnsi="Arial" w:cs="Arial"/>
          <w:sz w:val="20"/>
          <w:szCs w:val="20"/>
        </w:rPr>
        <w:t xml:space="preserve"> cloud the results, as could frenetic applause from a </w:t>
      </w:r>
      <w:r w:rsidR="00BE2F18">
        <w:rPr>
          <w:rFonts w:ascii="Arial" w:hAnsi="Arial" w:cs="Arial"/>
          <w:sz w:val="20"/>
          <w:szCs w:val="20"/>
        </w:rPr>
        <w:t>highly supportive subgroup</w:t>
      </w:r>
      <w:r w:rsidR="007F6ED5">
        <w:rPr>
          <w:rFonts w:ascii="Arial" w:hAnsi="Arial" w:cs="Arial"/>
          <w:sz w:val="20"/>
          <w:szCs w:val="20"/>
        </w:rPr>
        <w:t xml:space="preserve">.  </w:t>
      </w:r>
      <w:r w:rsidR="00181332">
        <w:rPr>
          <w:rFonts w:ascii="Arial" w:hAnsi="Arial" w:cs="Arial"/>
          <w:sz w:val="20"/>
          <w:szCs w:val="20"/>
        </w:rPr>
        <w:t xml:space="preserve">  </w:t>
      </w:r>
      <w:r w:rsidR="007F6ED5">
        <w:rPr>
          <w:rFonts w:ascii="Arial" w:hAnsi="Arial" w:cs="Arial"/>
          <w:sz w:val="20"/>
          <w:szCs w:val="20"/>
        </w:rPr>
        <w:t xml:space="preserve">  </w:t>
      </w:r>
    </w:p>
    <w:p w:rsidR="007F6ED5" w:rsidRDefault="007F6ED5">
      <w:pPr>
        <w:rPr>
          <w:rFonts w:ascii="Arial" w:hAnsi="Arial" w:cs="Arial"/>
          <w:sz w:val="20"/>
          <w:szCs w:val="20"/>
        </w:rPr>
      </w:pPr>
    </w:p>
    <w:p w:rsidR="007F6ED5" w:rsidRDefault="007F6ED5">
      <w:pPr>
        <w:rPr>
          <w:rFonts w:ascii="Arial" w:hAnsi="Arial" w:cs="Arial"/>
          <w:sz w:val="20"/>
          <w:szCs w:val="20"/>
        </w:rPr>
      </w:pPr>
    </w:p>
    <w:p w:rsidR="007F6ED5" w:rsidRDefault="007F6ED5">
      <w:pPr>
        <w:rPr>
          <w:rFonts w:ascii="Arial" w:hAnsi="Arial" w:cs="Arial"/>
          <w:sz w:val="20"/>
          <w:szCs w:val="20"/>
        </w:rPr>
      </w:pPr>
    </w:p>
    <w:p w:rsidR="007F6ED5" w:rsidRDefault="007F6ED5">
      <w:pPr>
        <w:rPr>
          <w:rFonts w:ascii="Arial" w:hAnsi="Arial" w:cs="Arial"/>
          <w:sz w:val="20"/>
          <w:szCs w:val="20"/>
        </w:rPr>
      </w:pPr>
    </w:p>
    <w:p w:rsidR="007F6ED5" w:rsidRDefault="007F6ED5">
      <w:pPr>
        <w:rPr>
          <w:rFonts w:ascii="Arial" w:hAnsi="Arial" w:cs="Arial"/>
          <w:sz w:val="20"/>
          <w:szCs w:val="20"/>
        </w:rPr>
      </w:pPr>
    </w:p>
    <w:p w:rsidR="007F6ED5" w:rsidRDefault="007F6ED5">
      <w:pPr>
        <w:rPr>
          <w:rFonts w:ascii="Arial" w:hAnsi="Arial" w:cs="Arial"/>
          <w:sz w:val="20"/>
          <w:szCs w:val="20"/>
        </w:rPr>
      </w:pPr>
    </w:p>
    <w:p w:rsidR="007F6ED5" w:rsidRDefault="007F6ED5">
      <w:pPr>
        <w:rPr>
          <w:rFonts w:ascii="Arial" w:hAnsi="Arial" w:cs="Arial"/>
          <w:sz w:val="20"/>
          <w:szCs w:val="20"/>
        </w:rPr>
      </w:pPr>
    </w:p>
    <w:p w:rsidR="007F6ED5" w:rsidRDefault="007F6ED5">
      <w:pPr>
        <w:rPr>
          <w:rFonts w:ascii="Arial" w:hAnsi="Arial" w:cs="Arial"/>
          <w:sz w:val="20"/>
          <w:szCs w:val="20"/>
        </w:rPr>
      </w:pPr>
    </w:p>
    <w:p w:rsidR="007F6ED5" w:rsidRDefault="007F6ED5">
      <w:pPr>
        <w:rPr>
          <w:rFonts w:ascii="Arial" w:hAnsi="Arial" w:cs="Arial"/>
          <w:sz w:val="20"/>
          <w:szCs w:val="20"/>
        </w:rPr>
      </w:pPr>
    </w:p>
    <w:p w:rsidR="007F6ED5" w:rsidRDefault="007F6ED5">
      <w:pPr>
        <w:rPr>
          <w:rFonts w:ascii="Arial" w:hAnsi="Arial" w:cs="Arial"/>
          <w:sz w:val="20"/>
          <w:szCs w:val="20"/>
        </w:rPr>
      </w:pPr>
    </w:p>
    <w:p w:rsidR="007F6ED5" w:rsidRDefault="007F6ED5">
      <w:pPr>
        <w:rPr>
          <w:rFonts w:ascii="Arial" w:hAnsi="Arial" w:cs="Arial"/>
          <w:sz w:val="20"/>
          <w:szCs w:val="20"/>
        </w:rPr>
      </w:pPr>
    </w:p>
    <w:p w:rsidR="007F6ED5" w:rsidRDefault="007F6ED5">
      <w:pPr>
        <w:rPr>
          <w:rFonts w:ascii="Arial" w:hAnsi="Arial" w:cs="Arial"/>
          <w:sz w:val="20"/>
          <w:szCs w:val="20"/>
        </w:rPr>
      </w:pPr>
    </w:p>
    <w:p w:rsidR="007F6ED5" w:rsidRDefault="007F6ED5">
      <w:pPr>
        <w:rPr>
          <w:rFonts w:ascii="Arial" w:hAnsi="Arial" w:cs="Arial"/>
          <w:sz w:val="20"/>
          <w:szCs w:val="20"/>
        </w:rPr>
      </w:pPr>
    </w:p>
    <w:p w:rsidR="007F6ED5" w:rsidRDefault="007F6ED5">
      <w:pPr>
        <w:rPr>
          <w:rFonts w:ascii="Arial" w:hAnsi="Arial" w:cs="Arial"/>
          <w:sz w:val="20"/>
          <w:szCs w:val="20"/>
        </w:rPr>
      </w:pPr>
    </w:p>
    <w:p w:rsidR="007F6ED5" w:rsidRDefault="007F6ED5">
      <w:pPr>
        <w:rPr>
          <w:rFonts w:ascii="Arial" w:hAnsi="Arial" w:cs="Arial"/>
          <w:sz w:val="20"/>
          <w:szCs w:val="20"/>
        </w:rPr>
      </w:pPr>
    </w:p>
    <w:p w:rsidR="007F6ED5" w:rsidRDefault="007F6ED5">
      <w:pPr>
        <w:rPr>
          <w:rFonts w:ascii="Arial" w:hAnsi="Arial" w:cs="Arial"/>
          <w:sz w:val="20"/>
          <w:szCs w:val="20"/>
        </w:rPr>
      </w:pPr>
    </w:p>
    <w:p w:rsidR="007F6ED5" w:rsidRDefault="007F6ED5">
      <w:pPr>
        <w:rPr>
          <w:rFonts w:ascii="Arial" w:hAnsi="Arial" w:cs="Arial"/>
          <w:sz w:val="20"/>
          <w:szCs w:val="20"/>
        </w:rPr>
      </w:pPr>
    </w:p>
    <w:p w:rsidR="007F6ED5" w:rsidRDefault="007F6ED5">
      <w:pPr>
        <w:rPr>
          <w:rFonts w:ascii="Arial" w:hAnsi="Arial" w:cs="Arial"/>
          <w:sz w:val="20"/>
          <w:szCs w:val="20"/>
        </w:rPr>
      </w:pPr>
    </w:p>
    <w:p w:rsidR="007F6ED5" w:rsidRDefault="007F6ED5">
      <w:pPr>
        <w:rPr>
          <w:rFonts w:ascii="Arial" w:hAnsi="Arial" w:cs="Arial"/>
          <w:sz w:val="20"/>
          <w:szCs w:val="20"/>
        </w:rPr>
      </w:pPr>
    </w:p>
    <w:sectPr w:rsidR="007F6ED5" w:rsidSect="00802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67F8"/>
    <w:rsid w:val="00103921"/>
    <w:rsid w:val="00181332"/>
    <w:rsid w:val="001F6C66"/>
    <w:rsid w:val="0035154C"/>
    <w:rsid w:val="00354DA3"/>
    <w:rsid w:val="00364909"/>
    <w:rsid w:val="004510EC"/>
    <w:rsid w:val="004537A0"/>
    <w:rsid w:val="00484211"/>
    <w:rsid w:val="00497587"/>
    <w:rsid w:val="004C023B"/>
    <w:rsid w:val="00522FA3"/>
    <w:rsid w:val="00757995"/>
    <w:rsid w:val="007D5AEF"/>
    <w:rsid w:val="007F6ED5"/>
    <w:rsid w:val="00802A2A"/>
    <w:rsid w:val="00956C80"/>
    <w:rsid w:val="00A3512B"/>
    <w:rsid w:val="00A72A5B"/>
    <w:rsid w:val="00B77913"/>
    <w:rsid w:val="00BA4313"/>
    <w:rsid w:val="00BE2F18"/>
    <w:rsid w:val="00CD1255"/>
    <w:rsid w:val="00D267F8"/>
    <w:rsid w:val="00D36166"/>
    <w:rsid w:val="00D973C8"/>
    <w:rsid w:val="00DA3F92"/>
    <w:rsid w:val="00E44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42041-6993-4AA4-A4E0-CD492CF0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swanca</dc:creator>
  <cp:keywords/>
  <dc:description/>
  <cp:lastModifiedBy>Marilyn Pish</cp:lastModifiedBy>
  <cp:revision>2</cp:revision>
  <cp:lastPrinted>2009-09-15T12:46:00Z</cp:lastPrinted>
  <dcterms:created xsi:type="dcterms:W3CDTF">2009-10-02T15:40:00Z</dcterms:created>
  <dcterms:modified xsi:type="dcterms:W3CDTF">2009-10-02T15:40:00Z</dcterms:modified>
</cp:coreProperties>
</file>