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F5C" w:rsidRDefault="007C0F5C">
      <w:pPr>
        <w:framePr w:w="1378" w:hSpace="180" w:wrap="around" w:vAnchor="text" w:hAnchor="page" w:x="496" w:y="152"/>
        <w:ind w:left="-720" w:firstLine="720"/>
        <w:rPr>
          <w:rFonts w:ascii="Univers" w:hAnsi="Univers"/>
        </w:rPr>
      </w:pPr>
    </w:p>
    <w:p w:rsidR="007C0F5C" w:rsidRDefault="007C0F5C">
      <w:pPr>
        <w:framePr w:w="1378" w:hSpace="180" w:wrap="around" w:vAnchor="text" w:hAnchor="page" w:x="496" w:y="152"/>
        <w:ind w:left="-720" w:firstLine="720"/>
        <w:rPr>
          <w:rFonts w:ascii="Univers" w:hAnsi="Univers"/>
        </w:rPr>
      </w:pPr>
    </w:p>
    <w:p w:rsidR="007C0F5C" w:rsidRDefault="007C0F5C">
      <w:pPr>
        <w:framePr w:w="1378" w:hSpace="180" w:wrap="around" w:vAnchor="text" w:hAnchor="page" w:x="496" w:y="152"/>
        <w:ind w:left="-720" w:firstLine="720"/>
        <w:rPr>
          <w:rFonts w:ascii="Univers" w:hAnsi="Univers"/>
        </w:rPr>
      </w:pPr>
    </w:p>
    <w:p w:rsidR="007C0F5C" w:rsidRDefault="007C0F5C">
      <w:pPr>
        <w:framePr w:w="1378" w:hSpace="180" w:wrap="around" w:vAnchor="text" w:hAnchor="page" w:x="496" w:y="152"/>
        <w:ind w:left="-720" w:firstLine="720"/>
        <w:rPr>
          <w:rFonts w:ascii="Univers" w:hAnsi="Univers"/>
        </w:rPr>
      </w:pPr>
    </w:p>
    <w:p w:rsidR="007C0F5C" w:rsidRDefault="007C0F5C">
      <w:pPr>
        <w:framePr w:w="1378" w:hSpace="180" w:wrap="around" w:vAnchor="text" w:hAnchor="page" w:x="496" w:y="152"/>
        <w:ind w:left="-720" w:firstLine="720"/>
        <w:rPr>
          <w:rFonts w:ascii="Univers" w:hAnsi="Univers"/>
        </w:rPr>
      </w:pPr>
    </w:p>
    <w:p w:rsidR="007C0F5C" w:rsidRDefault="007C0F5C">
      <w:pPr>
        <w:framePr w:w="1378" w:hSpace="180" w:wrap="around" w:vAnchor="text" w:hAnchor="page" w:x="496" w:y="152"/>
        <w:ind w:left="-720" w:firstLine="720"/>
        <w:rPr>
          <w:rFonts w:ascii="Univers" w:hAnsi="Univers"/>
        </w:rPr>
      </w:pPr>
    </w:p>
    <w:p w:rsidR="007C0F5C" w:rsidRDefault="007C0F5C">
      <w:pPr>
        <w:framePr w:w="1378" w:hSpace="180" w:wrap="around" w:vAnchor="text" w:hAnchor="page" w:x="496" w:y="152"/>
        <w:ind w:left="-720" w:firstLine="720"/>
        <w:rPr>
          <w:rFonts w:ascii="Univers" w:hAnsi="Univers"/>
        </w:rPr>
      </w:pPr>
    </w:p>
    <w:p w:rsidR="007C0F5C" w:rsidRDefault="007C0F5C">
      <w:pPr>
        <w:framePr w:w="1378" w:hSpace="180" w:wrap="around" w:vAnchor="text" w:hAnchor="page" w:x="496" w:y="152"/>
        <w:ind w:left="-720" w:firstLine="720"/>
        <w:rPr>
          <w:rFonts w:ascii="Univers" w:hAnsi="Univers"/>
        </w:rPr>
      </w:pPr>
    </w:p>
    <w:p w:rsidR="007C0F5C" w:rsidRDefault="007C0F5C">
      <w:pPr>
        <w:framePr w:w="1378" w:hSpace="180" w:wrap="around" w:vAnchor="text" w:hAnchor="page" w:x="496" w:y="152"/>
        <w:ind w:left="-720" w:firstLine="720"/>
        <w:rPr>
          <w:rFonts w:ascii="Univers" w:hAnsi="Univers"/>
        </w:rPr>
      </w:pPr>
    </w:p>
    <w:p w:rsidR="007C0F5C" w:rsidRDefault="007C0F5C">
      <w:pPr>
        <w:framePr w:w="1378" w:hSpace="180" w:wrap="around" w:vAnchor="text" w:hAnchor="page" w:x="496" w:y="152"/>
        <w:ind w:left="-720" w:firstLine="720"/>
        <w:rPr>
          <w:rFonts w:ascii="Univers" w:hAnsi="Univers"/>
        </w:rPr>
      </w:pPr>
    </w:p>
    <w:p w:rsidR="007C0F5C" w:rsidRDefault="007C0F5C">
      <w:pPr>
        <w:framePr w:w="1378" w:hSpace="180" w:wrap="around" w:vAnchor="text" w:hAnchor="page" w:x="496" w:y="152"/>
        <w:ind w:left="-720" w:firstLine="720"/>
        <w:rPr>
          <w:rFonts w:ascii="Univers" w:hAnsi="Univers"/>
          <w:b/>
          <w:sz w:val="18"/>
        </w:rPr>
      </w:pPr>
      <w:r>
        <w:rPr>
          <w:rFonts w:ascii="Univers" w:hAnsi="Univers"/>
          <w:b/>
          <w:sz w:val="18"/>
        </w:rPr>
        <w:t>United States</w:t>
      </w:r>
    </w:p>
    <w:p w:rsidR="007C0F5C" w:rsidRDefault="007C0F5C">
      <w:pPr>
        <w:framePr w:w="1378" w:hSpace="180" w:wrap="around" w:vAnchor="text" w:hAnchor="page" w:x="496" w:y="152"/>
        <w:ind w:left="-720" w:firstLine="720"/>
        <w:rPr>
          <w:rFonts w:ascii="Univers" w:hAnsi="Univers"/>
          <w:b/>
          <w:sz w:val="18"/>
        </w:rPr>
      </w:pPr>
      <w:r>
        <w:rPr>
          <w:rFonts w:ascii="Univers" w:hAnsi="Univers"/>
          <w:b/>
          <w:sz w:val="18"/>
        </w:rPr>
        <w:t>Department of</w:t>
      </w:r>
    </w:p>
    <w:p w:rsidR="007C0F5C" w:rsidRDefault="007C0F5C">
      <w:pPr>
        <w:framePr w:w="1378" w:hSpace="180" w:wrap="around" w:vAnchor="text" w:hAnchor="page" w:x="496" w:y="152"/>
        <w:ind w:left="-720" w:firstLine="720"/>
      </w:pPr>
      <w:r>
        <w:rPr>
          <w:rFonts w:ascii="Univers" w:hAnsi="Univers"/>
          <w:b/>
          <w:sz w:val="18"/>
        </w:rPr>
        <w:t>Agriculture</w:t>
      </w:r>
    </w:p>
    <w:p w:rsidR="007C0F5C" w:rsidRDefault="007C0F5C">
      <w:pPr>
        <w:framePr w:w="1378" w:hSpace="180" w:wrap="around" w:vAnchor="text" w:hAnchor="page" w:x="496" w:y="152"/>
        <w:ind w:left="-720" w:firstLine="720"/>
      </w:pPr>
    </w:p>
    <w:p w:rsidR="007C0F5C" w:rsidRDefault="007C0F5C">
      <w:pPr>
        <w:framePr w:w="1378" w:hSpace="180" w:wrap="around" w:vAnchor="text" w:hAnchor="page" w:x="496" w:y="152"/>
        <w:ind w:left="-720" w:firstLine="720"/>
        <w:rPr>
          <w:rFonts w:ascii="Univers" w:hAnsi="Univers"/>
          <w:sz w:val="16"/>
        </w:rPr>
      </w:pPr>
      <w:r>
        <w:rPr>
          <w:rFonts w:ascii="Univers" w:hAnsi="Univers"/>
          <w:sz w:val="16"/>
        </w:rPr>
        <w:t>Center for</w:t>
      </w:r>
    </w:p>
    <w:p w:rsidR="007C0F5C" w:rsidRDefault="007C0F5C">
      <w:pPr>
        <w:framePr w:w="1378" w:hSpace="180" w:wrap="around" w:vAnchor="text" w:hAnchor="page" w:x="496" w:y="152"/>
        <w:ind w:left="-720" w:firstLine="720"/>
        <w:rPr>
          <w:rFonts w:ascii="Univers" w:hAnsi="Univers"/>
          <w:sz w:val="16"/>
        </w:rPr>
      </w:pPr>
      <w:r>
        <w:rPr>
          <w:rFonts w:ascii="Univers" w:hAnsi="Univers"/>
          <w:sz w:val="16"/>
        </w:rPr>
        <w:t>Nutrition Policy</w:t>
      </w:r>
    </w:p>
    <w:p w:rsidR="007C0F5C" w:rsidRDefault="007C0F5C">
      <w:pPr>
        <w:framePr w:w="1378" w:hSpace="180" w:wrap="around" w:vAnchor="text" w:hAnchor="page" w:x="496" w:y="152"/>
        <w:ind w:left="-720" w:firstLine="720"/>
        <w:rPr>
          <w:rFonts w:ascii="Univers" w:hAnsi="Univers"/>
          <w:sz w:val="16"/>
        </w:rPr>
      </w:pPr>
      <w:r>
        <w:rPr>
          <w:rFonts w:ascii="Univers" w:hAnsi="Univers"/>
          <w:sz w:val="16"/>
        </w:rPr>
        <w:t xml:space="preserve">&amp; Promotion  </w:t>
      </w:r>
    </w:p>
    <w:p w:rsidR="007C0F5C" w:rsidRDefault="007C0F5C">
      <w:pPr>
        <w:framePr w:w="1378" w:hSpace="180" w:wrap="around" w:vAnchor="text" w:hAnchor="page" w:x="496" w:y="152"/>
        <w:ind w:left="-720" w:firstLine="720"/>
        <w:rPr>
          <w:rFonts w:ascii="Univers" w:hAnsi="Univers"/>
          <w:sz w:val="16"/>
        </w:rPr>
      </w:pPr>
    </w:p>
    <w:p w:rsidR="007C0F5C" w:rsidRDefault="007C0F5C">
      <w:pPr>
        <w:framePr w:w="1378" w:hSpace="180" w:wrap="around" w:vAnchor="text" w:hAnchor="page" w:x="496" w:y="152"/>
        <w:ind w:left="-720" w:firstLine="720"/>
        <w:rPr>
          <w:rFonts w:ascii="Univers" w:hAnsi="Univers"/>
          <w:sz w:val="16"/>
        </w:rPr>
      </w:pPr>
      <w:r>
        <w:rPr>
          <w:rFonts w:ascii="Univers" w:hAnsi="Univers"/>
          <w:sz w:val="16"/>
        </w:rPr>
        <w:t>3101 Park</w:t>
      </w:r>
    </w:p>
    <w:p w:rsidR="007C0F5C" w:rsidRDefault="007C0F5C">
      <w:pPr>
        <w:framePr w:w="1378" w:hSpace="180" w:wrap="around" w:vAnchor="text" w:hAnchor="page" w:x="496" w:y="152"/>
        <w:ind w:left="-720" w:firstLine="720"/>
        <w:rPr>
          <w:rFonts w:ascii="Univers" w:hAnsi="Univers"/>
          <w:sz w:val="16"/>
        </w:rPr>
      </w:pPr>
      <w:r>
        <w:rPr>
          <w:rFonts w:ascii="Univers" w:hAnsi="Univers"/>
          <w:sz w:val="16"/>
        </w:rPr>
        <w:t>Center Drive</w:t>
      </w:r>
    </w:p>
    <w:p w:rsidR="007C0F5C" w:rsidRDefault="007C0F5C">
      <w:pPr>
        <w:framePr w:w="1378" w:hSpace="180" w:wrap="around" w:vAnchor="text" w:hAnchor="page" w:x="496" w:y="152"/>
        <w:ind w:left="-720" w:firstLine="720"/>
        <w:rPr>
          <w:rFonts w:ascii="Univers" w:hAnsi="Univers"/>
          <w:sz w:val="16"/>
        </w:rPr>
      </w:pPr>
    </w:p>
    <w:p w:rsidR="007C0F5C" w:rsidRDefault="007C0F5C">
      <w:pPr>
        <w:framePr w:w="1378" w:hSpace="180" w:wrap="around" w:vAnchor="text" w:hAnchor="page" w:x="496" w:y="152"/>
        <w:ind w:left="-720" w:firstLine="720"/>
        <w:rPr>
          <w:rFonts w:ascii="Univers" w:hAnsi="Univers"/>
          <w:sz w:val="16"/>
        </w:rPr>
      </w:pPr>
      <w:r>
        <w:rPr>
          <w:rFonts w:ascii="Univers" w:hAnsi="Univers"/>
          <w:sz w:val="16"/>
        </w:rPr>
        <w:t>Alexandria, VA</w:t>
      </w:r>
    </w:p>
    <w:p w:rsidR="007C0F5C" w:rsidRDefault="007C0F5C">
      <w:pPr>
        <w:framePr w:w="1378" w:hSpace="180" w:wrap="around" w:vAnchor="text" w:hAnchor="page" w:x="496" w:y="152"/>
        <w:ind w:left="-720" w:firstLine="720"/>
        <w:rPr>
          <w:rFonts w:ascii="Univers" w:hAnsi="Univers"/>
          <w:sz w:val="16"/>
        </w:rPr>
      </w:pPr>
      <w:r>
        <w:rPr>
          <w:rFonts w:ascii="Univers" w:hAnsi="Univers"/>
          <w:sz w:val="16"/>
        </w:rPr>
        <w:t>22302-1500</w:t>
      </w: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framePr w:w="1378" w:hSpace="180" w:wrap="around" w:vAnchor="text" w:hAnchor="page" w:x="496" w:y="152"/>
        <w:ind w:left="-720" w:firstLine="720"/>
        <w:rPr>
          <w:rFonts w:ascii="Univers" w:hAnsi="Univers"/>
          <w:sz w:val="24"/>
        </w:rPr>
      </w:pPr>
    </w:p>
    <w:p w:rsidR="007C0F5C" w:rsidRPr="009C55CB" w:rsidRDefault="007C0F5C">
      <w:pPr>
        <w:rPr>
          <w:sz w:val="24"/>
        </w:rPr>
      </w:pPr>
    </w:p>
    <w:p w:rsidR="007C0F5C" w:rsidRPr="009C55CB" w:rsidRDefault="007C0F5C">
      <w:pPr>
        <w:rPr>
          <w:sz w:val="24"/>
        </w:rPr>
      </w:pPr>
      <w:r w:rsidRPr="009C55CB">
        <w:rPr>
          <w:sz w:val="24"/>
        </w:rPr>
        <w:t xml:space="preserve">                                                                                                 </w:t>
      </w:r>
    </w:p>
    <w:p w:rsidR="007C0F5C" w:rsidRDefault="007C0F5C" w:rsidP="00220390">
      <w:pPr>
        <w:rPr>
          <w:b/>
          <w:bCs/>
          <w:sz w:val="24"/>
        </w:rPr>
      </w:pPr>
    </w:p>
    <w:p w:rsidR="007C0F5C" w:rsidRDefault="007C0F5C" w:rsidP="00220390">
      <w:pPr>
        <w:rPr>
          <w:b/>
          <w:bCs/>
          <w:sz w:val="24"/>
        </w:rPr>
      </w:pPr>
    </w:p>
    <w:p w:rsidR="007C0F5C" w:rsidRDefault="007C0F5C" w:rsidP="00220390">
      <w:pPr>
        <w:rPr>
          <w:b/>
          <w:bCs/>
          <w:sz w:val="24"/>
        </w:rPr>
      </w:pPr>
    </w:p>
    <w:p w:rsidR="007C0F5C" w:rsidRPr="009C55CB" w:rsidRDefault="006D5BB0" w:rsidP="005D2C74">
      <w:pPr>
        <w:framePr w:hSpace="180" w:wrap="around" w:vAnchor="text" w:hAnchor="page" w:x="2071" w:y="-1143"/>
        <w:rPr>
          <w:sz w:val="24"/>
        </w:rPr>
      </w:pPr>
      <w:r>
        <w:rPr>
          <w:noProof/>
          <w:sz w:val="24"/>
        </w:rPr>
        <w:drawing>
          <wp:inline distT="0" distB="0" distL="0" distR="0">
            <wp:extent cx="628650" cy="466725"/>
            <wp:effectExtent l="19050" t="0" r="0" b="0"/>
            <wp:docPr id="1"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
                    <a:srcRect/>
                    <a:stretch>
                      <a:fillRect/>
                    </a:stretch>
                  </pic:blipFill>
                  <pic:spPr bwMode="auto">
                    <a:xfrm>
                      <a:off x="0" y="0"/>
                      <a:ext cx="628650" cy="466725"/>
                    </a:xfrm>
                    <a:prstGeom prst="rect">
                      <a:avLst/>
                    </a:prstGeom>
                    <a:noFill/>
                    <a:ln w="9525">
                      <a:noFill/>
                      <a:miter lim="800000"/>
                      <a:headEnd/>
                      <a:tailEnd/>
                    </a:ln>
                  </pic:spPr>
                </pic:pic>
              </a:graphicData>
            </a:graphic>
          </wp:inline>
        </w:drawing>
      </w:r>
    </w:p>
    <w:p w:rsidR="007C0F5C" w:rsidRPr="002F685C" w:rsidRDefault="003A0343" w:rsidP="00220390">
      <w:pPr>
        <w:rPr>
          <w:b/>
          <w:bCs/>
          <w:sz w:val="24"/>
        </w:rPr>
      </w:pPr>
      <w:r>
        <w:rPr>
          <w:b/>
          <w:bCs/>
          <w:sz w:val="24"/>
        </w:rPr>
        <w:t xml:space="preserve">  </w:t>
      </w:r>
      <w:r w:rsidR="007C0F5C" w:rsidRPr="002F685C">
        <w:rPr>
          <w:b/>
          <w:bCs/>
          <w:sz w:val="24"/>
        </w:rPr>
        <w:t>Memorandum</w:t>
      </w:r>
    </w:p>
    <w:p w:rsidR="007C0F5C" w:rsidRPr="002F685C" w:rsidRDefault="007C0F5C" w:rsidP="00220390">
      <w:pPr>
        <w:rPr>
          <w:b/>
          <w:bCs/>
          <w:sz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3"/>
        <w:gridCol w:w="6267"/>
      </w:tblGrid>
      <w:tr w:rsidR="003A0343" w:rsidRPr="003A0343" w:rsidTr="003A0343">
        <w:tc>
          <w:tcPr>
            <w:tcW w:w="1383" w:type="dxa"/>
          </w:tcPr>
          <w:p w:rsidR="003A0343" w:rsidRPr="003A0343" w:rsidRDefault="003A0343" w:rsidP="003A0343">
            <w:pPr>
              <w:spacing w:after="240"/>
              <w:rPr>
                <w:b/>
                <w:bCs/>
                <w:sz w:val="24"/>
              </w:rPr>
            </w:pPr>
            <w:r w:rsidRPr="003A0343">
              <w:rPr>
                <w:b/>
                <w:bCs/>
                <w:sz w:val="24"/>
              </w:rPr>
              <w:t>To:</w:t>
            </w:r>
            <w:r w:rsidRPr="003A0343">
              <w:rPr>
                <w:b/>
                <w:bCs/>
                <w:sz w:val="24"/>
              </w:rPr>
              <w:tab/>
            </w:r>
            <w:r w:rsidRPr="003A0343">
              <w:rPr>
                <w:b/>
                <w:bCs/>
                <w:sz w:val="24"/>
              </w:rPr>
              <w:tab/>
            </w:r>
          </w:p>
        </w:tc>
        <w:tc>
          <w:tcPr>
            <w:tcW w:w="6267" w:type="dxa"/>
          </w:tcPr>
          <w:p w:rsidR="003A0343" w:rsidRPr="003A0343" w:rsidRDefault="003A0343" w:rsidP="003A0343">
            <w:pPr>
              <w:spacing w:after="240"/>
              <w:rPr>
                <w:b/>
                <w:bCs/>
                <w:sz w:val="24"/>
              </w:rPr>
            </w:pPr>
            <w:r w:rsidRPr="003A0343">
              <w:rPr>
                <w:b/>
                <w:bCs/>
                <w:sz w:val="24"/>
              </w:rPr>
              <w:t>Julie Wise, OMB Desk Officer, Office of Management and Budget</w:t>
            </w:r>
          </w:p>
        </w:tc>
      </w:tr>
      <w:tr w:rsidR="003A0343" w:rsidRPr="003A0343" w:rsidTr="003A0343">
        <w:tc>
          <w:tcPr>
            <w:tcW w:w="1383" w:type="dxa"/>
          </w:tcPr>
          <w:p w:rsidR="003A0343" w:rsidRPr="003A0343" w:rsidRDefault="003A0343" w:rsidP="003A0343">
            <w:pPr>
              <w:spacing w:after="240"/>
              <w:rPr>
                <w:b/>
                <w:bCs/>
                <w:sz w:val="24"/>
              </w:rPr>
            </w:pPr>
            <w:r w:rsidRPr="003A0343">
              <w:rPr>
                <w:b/>
                <w:bCs/>
                <w:sz w:val="24"/>
              </w:rPr>
              <w:t>Through:</w:t>
            </w:r>
            <w:r w:rsidRPr="003A0343">
              <w:rPr>
                <w:b/>
                <w:bCs/>
                <w:sz w:val="24"/>
              </w:rPr>
              <w:tab/>
              <w:t xml:space="preserve"> </w:t>
            </w:r>
          </w:p>
        </w:tc>
        <w:tc>
          <w:tcPr>
            <w:tcW w:w="6267" w:type="dxa"/>
          </w:tcPr>
          <w:p w:rsidR="003A0343" w:rsidRPr="003A0343" w:rsidRDefault="003A0343" w:rsidP="001E7018">
            <w:pPr>
              <w:spacing w:after="240"/>
              <w:rPr>
                <w:b/>
                <w:bCs/>
                <w:sz w:val="24"/>
              </w:rPr>
            </w:pPr>
            <w:r w:rsidRPr="003A0343">
              <w:rPr>
                <w:b/>
                <w:bCs/>
                <w:sz w:val="24"/>
              </w:rPr>
              <w:t xml:space="preserve">Rachelle Ragland Greene, FNS Information Clearance Officer </w:t>
            </w:r>
          </w:p>
        </w:tc>
      </w:tr>
      <w:tr w:rsidR="003A0343" w:rsidRPr="003A0343" w:rsidTr="003A0343">
        <w:tc>
          <w:tcPr>
            <w:tcW w:w="1383" w:type="dxa"/>
          </w:tcPr>
          <w:p w:rsidR="003A0343" w:rsidRPr="003A0343" w:rsidRDefault="003A0343" w:rsidP="003A0343">
            <w:pPr>
              <w:spacing w:after="240"/>
              <w:rPr>
                <w:b/>
                <w:bCs/>
                <w:sz w:val="24"/>
              </w:rPr>
            </w:pPr>
          </w:p>
        </w:tc>
        <w:tc>
          <w:tcPr>
            <w:tcW w:w="6267" w:type="dxa"/>
          </w:tcPr>
          <w:p w:rsidR="003A0343" w:rsidRPr="003A0343" w:rsidRDefault="003A0343" w:rsidP="003A0343">
            <w:pPr>
              <w:spacing w:after="240"/>
              <w:rPr>
                <w:b/>
                <w:bCs/>
                <w:sz w:val="24"/>
              </w:rPr>
            </w:pPr>
            <w:r w:rsidRPr="003A0343">
              <w:rPr>
                <w:b/>
                <w:bCs/>
                <w:sz w:val="24"/>
              </w:rPr>
              <w:t>Ruth Brown, OCIO Desk Officer</w:t>
            </w:r>
          </w:p>
        </w:tc>
      </w:tr>
      <w:tr w:rsidR="003A0343" w:rsidRPr="003A0343" w:rsidTr="003A0343">
        <w:tc>
          <w:tcPr>
            <w:tcW w:w="1383" w:type="dxa"/>
          </w:tcPr>
          <w:p w:rsidR="003A0343" w:rsidRPr="003A0343" w:rsidRDefault="003A0343" w:rsidP="003A0343">
            <w:pPr>
              <w:spacing w:after="240"/>
              <w:rPr>
                <w:b/>
                <w:bCs/>
                <w:sz w:val="24"/>
              </w:rPr>
            </w:pPr>
            <w:r w:rsidRPr="003A0343">
              <w:rPr>
                <w:b/>
                <w:bCs/>
                <w:sz w:val="24"/>
              </w:rPr>
              <w:t xml:space="preserve">From:  </w:t>
            </w:r>
          </w:p>
        </w:tc>
        <w:tc>
          <w:tcPr>
            <w:tcW w:w="6267" w:type="dxa"/>
          </w:tcPr>
          <w:p w:rsidR="003A0343" w:rsidRPr="003A0343" w:rsidRDefault="003A0343" w:rsidP="003A0343">
            <w:pPr>
              <w:spacing w:after="240"/>
              <w:rPr>
                <w:b/>
                <w:bCs/>
                <w:sz w:val="24"/>
              </w:rPr>
            </w:pPr>
            <w:r w:rsidRPr="003A0343">
              <w:rPr>
                <w:b/>
                <w:bCs/>
                <w:sz w:val="24"/>
              </w:rPr>
              <w:t>Robert Post, Deputy Director</w:t>
            </w:r>
          </w:p>
        </w:tc>
      </w:tr>
      <w:tr w:rsidR="003A0343" w:rsidRPr="003A0343" w:rsidTr="003A0343">
        <w:trPr>
          <w:trHeight w:val="306"/>
        </w:trPr>
        <w:tc>
          <w:tcPr>
            <w:tcW w:w="1383" w:type="dxa"/>
          </w:tcPr>
          <w:p w:rsidR="003A0343" w:rsidRPr="003A0343" w:rsidRDefault="003A0343" w:rsidP="003A0343">
            <w:pPr>
              <w:rPr>
                <w:b/>
                <w:bCs/>
                <w:sz w:val="24"/>
              </w:rPr>
            </w:pPr>
            <w:r w:rsidRPr="003A0343">
              <w:rPr>
                <w:b/>
                <w:bCs/>
                <w:sz w:val="24"/>
              </w:rPr>
              <w:t>Re:</w:t>
            </w:r>
          </w:p>
        </w:tc>
        <w:tc>
          <w:tcPr>
            <w:tcW w:w="6267" w:type="dxa"/>
          </w:tcPr>
          <w:p w:rsidR="003A0343" w:rsidRPr="003A0343" w:rsidRDefault="003A0343" w:rsidP="003A0343">
            <w:pPr>
              <w:rPr>
                <w:b/>
                <w:bCs/>
                <w:sz w:val="24"/>
              </w:rPr>
            </w:pPr>
            <w:r w:rsidRPr="003A0343">
              <w:rPr>
                <w:b/>
                <w:bCs/>
                <w:sz w:val="24"/>
              </w:rPr>
              <w:t>Under Approved Generic OMB Clearance No. 0584-0523</w:t>
            </w:r>
          </w:p>
        </w:tc>
      </w:tr>
      <w:tr w:rsidR="003A0343" w:rsidRPr="003A0343" w:rsidTr="003A0343">
        <w:tc>
          <w:tcPr>
            <w:tcW w:w="1383" w:type="dxa"/>
          </w:tcPr>
          <w:p w:rsidR="003A0343" w:rsidRPr="003A0343" w:rsidRDefault="003A0343" w:rsidP="003A0343">
            <w:pPr>
              <w:rPr>
                <w:b/>
                <w:bCs/>
                <w:sz w:val="24"/>
              </w:rPr>
            </w:pPr>
          </w:p>
        </w:tc>
        <w:tc>
          <w:tcPr>
            <w:tcW w:w="6267" w:type="dxa"/>
          </w:tcPr>
          <w:p w:rsidR="003A0343" w:rsidRPr="003A0343" w:rsidRDefault="003A0343" w:rsidP="009B5EA8">
            <w:pPr>
              <w:spacing w:after="240"/>
              <w:rPr>
                <w:b/>
                <w:bCs/>
                <w:sz w:val="24"/>
              </w:rPr>
            </w:pPr>
            <w:r w:rsidRPr="003A0343">
              <w:rPr>
                <w:b/>
                <w:bCs/>
                <w:sz w:val="24"/>
              </w:rPr>
              <w:t xml:space="preserve">Request Approval to Perform </w:t>
            </w:r>
            <w:r w:rsidR="009B5EA8">
              <w:rPr>
                <w:b/>
                <w:bCs/>
                <w:sz w:val="24"/>
              </w:rPr>
              <w:t>Survey Research</w:t>
            </w:r>
            <w:r w:rsidRPr="003A0343">
              <w:rPr>
                <w:b/>
                <w:bCs/>
                <w:sz w:val="24"/>
              </w:rPr>
              <w:t xml:space="preserve"> to Inform Public Communication about the 2010 Dietary Guidelines for Americans (DGA)</w:t>
            </w:r>
          </w:p>
        </w:tc>
      </w:tr>
    </w:tbl>
    <w:p w:rsidR="007C0F5C" w:rsidRPr="006314BB" w:rsidRDefault="007C0F5C" w:rsidP="003A0343">
      <w:pPr>
        <w:spacing w:after="240"/>
        <w:rPr>
          <w:b/>
          <w:bCs/>
          <w:sz w:val="24"/>
        </w:rPr>
      </w:pPr>
      <w:r w:rsidRPr="006314BB">
        <w:rPr>
          <w:b/>
          <w:bCs/>
          <w:sz w:val="24"/>
        </w:rPr>
        <w:t>_____________________________________________________________________</w:t>
      </w:r>
    </w:p>
    <w:p w:rsidR="007C0F5C" w:rsidRPr="006314BB" w:rsidRDefault="007C0F5C" w:rsidP="00220390">
      <w:pPr>
        <w:rPr>
          <w:b/>
          <w:bCs/>
          <w:sz w:val="24"/>
        </w:rPr>
      </w:pPr>
    </w:p>
    <w:p w:rsidR="007C0F5C" w:rsidRPr="00C73389" w:rsidRDefault="007C0F5C" w:rsidP="00220390">
      <w:pPr>
        <w:rPr>
          <w:bCs/>
          <w:sz w:val="24"/>
        </w:rPr>
      </w:pPr>
      <w:r w:rsidRPr="006314BB">
        <w:rPr>
          <w:sz w:val="24"/>
        </w:rPr>
        <w:t xml:space="preserve">The </w:t>
      </w:r>
      <w:r w:rsidRPr="00AC040F">
        <w:rPr>
          <w:bCs/>
          <w:sz w:val="24"/>
        </w:rPr>
        <w:t>Center for Nutrition Policy and Promotion</w:t>
      </w:r>
      <w:r w:rsidRPr="006314BB">
        <w:rPr>
          <w:sz w:val="24"/>
        </w:rPr>
        <w:t xml:space="preserve"> of the USDA is requesting approval for formative </w:t>
      </w:r>
      <w:r>
        <w:rPr>
          <w:sz w:val="24"/>
        </w:rPr>
        <w:t>r</w:t>
      </w:r>
      <w:r w:rsidRPr="006314BB">
        <w:rPr>
          <w:sz w:val="24"/>
        </w:rPr>
        <w:t xml:space="preserve">esearch under Approved Generic OMB Clearance No. </w:t>
      </w:r>
      <w:r>
        <w:rPr>
          <w:bCs/>
          <w:sz w:val="24"/>
        </w:rPr>
        <w:t>0584-0523</w:t>
      </w:r>
    </w:p>
    <w:p w:rsidR="007C0F5C" w:rsidRPr="00C73389" w:rsidRDefault="007C0F5C" w:rsidP="00220390">
      <w:pPr>
        <w:rPr>
          <w:sz w:val="24"/>
        </w:rPr>
      </w:pPr>
    </w:p>
    <w:p w:rsidR="007C0F5C" w:rsidRPr="006314BB" w:rsidRDefault="007C0F5C" w:rsidP="00220390">
      <w:pPr>
        <w:rPr>
          <w:sz w:val="24"/>
        </w:rPr>
      </w:pPr>
      <w:r w:rsidRPr="006314BB">
        <w:rPr>
          <w:sz w:val="24"/>
        </w:rPr>
        <w:t>The following information is provided for your review:</w:t>
      </w:r>
    </w:p>
    <w:p w:rsidR="007C0F5C" w:rsidRPr="006314BB" w:rsidRDefault="007C0F5C" w:rsidP="00220390">
      <w:pPr>
        <w:rPr>
          <w:sz w:val="24"/>
        </w:rPr>
      </w:pPr>
    </w:p>
    <w:p w:rsidR="007C0F5C" w:rsidRPr="00E11891" w:rsidRDefault="007C0F5C" w:rsidP="00220390">
      <w:pPr>
        <w:widowControl w:val="0"/>
        <w:numPr>
          <w:ilvl w:val="0"/>
          <w:numId w:val="11"/>
        </w:numPr>
        <w:tabs>
          <w:tab w:val="num" w:pos="360"/>
        </w:tabs>
        <w:overflowPunct/>
        <w:ind w:left="360"/>
        <w:textAlignment w:val="auto"/>
        <w:rPr>
          <w:sz w:val="24"/>
        </w:rPr>
      </w:pPr>
      <w:r w:rsidRPr="00E11891">
        <w:rPr>
          <w:sz w:val="24"/>
        </w:rPr>
        <w:t xml:space="preserve">Title of Project: </w:t>
      </w:r>
      <w:r w:rsidRPr="00E11891">
        <w:rPr>
          <w:bCs/>
          <w:sz w:val="24"/>
        </w:rPr>
        <w:t xml:space="preserve">Formative Research to Inform </w:t>
      </w:r>
      <w:r>
        <w:rPr>
          <w:bCs/>
          <w:sz w:val="24"/>
        </w:rPr>
        <w:t>Public</w:t>
      </w:r>
      <w:r w:rsidRPr="00E11891">
        <w:rPr>
          <w:bCs/>
          <w:sz w:val="24"/>
        </w:rPr>
        <w:t xml:space="preserve"> </w:t>
      </w:r>
      <w:r>
        <w:rPr>
          <w:bCs/>
          <w:sz w:val="24"/>
        </w:rPr>
        <w:t>Communication</w:t>
      </w:r>
      <w:r w:rsidRPr="00E11891">
        <w:rPr>
          <w:bCs/>
          <w:sz w:val="24"/>
        </w:rPr>
        <w:t xml:space="preserve"> about the 2010 Dietary Guidelines for Americans (DGA)</w:t>
      </w:r>
      <w:r>
        <w:rPr>
          <w:bCs/>
          <w:sz w:val="24"/>
        </w:rPr>
        <w:t xml:space="preserve"> </w:t>
      </w:r>
    </w:p>
    <w:p w:rsidR="007C0F5C" w:rsidRDefault="007C0F5C" w:rsidP="00220390">
      <w:pPr>
        <w:rPr>
          <w:sz w:val="24"/>
        </w:rPr>
      </w:pPr>
    </w:p>
    <w:p w:rsidR="007C0F5C" w:rsidRDefault="007C0F5C" w:rsidP="00220390">
      <w:pPr>
        <w:ind w:left="360"/>
        <w:rPr>
          <w:sz w:val="24"/>
        </w:rPr>
      </w:pPr>
      <w:r>
        <w:rPr>
          <w:sz w:val="24"/>
        </w:rPr>
        <w:t>The research for Task 1 includes an on</w:t>
      </w:r>
      <w:r w:rsidRPr="00E11891">
        <w:rPr>
          <w:sz w:val="24"/>
        </w:rPr>
        <w:t xml:space="preserve">line survey among consumers to test messages and </w:t>
      </w:r>
      <w:r>
        <w:rPr>
          <w:sz w:val="24"/>
        </w:rPr>
        <w:t xml:space="preserve">graphic images pertaining to the </w:t>
      </w:r>
      <w:r w:rsidRPr="00E11891">
        <w:rPr>
          <w:sz w:val="24"/>
        </w:rPr>
        <w:t>DGA</w:t>
      </w:r>
      <w:r>
        <w:rPr>
          <w:sz w:val="24"/>
        </w:rPr>
        <w:t xml:space="preserve">. </w:t>
      </w:r>
    </w:p>
    <w:p w:rsidR="007C0F5C" w:rsidRPr="006314BB" w:rsidRDefault="007C0F5C" w:rsidP="00220390">
      <w:pPr>
        <w:ind w:left="360"/>
        <w:rPr>
          <w:sz w:val="24"/>
        </w:rPr>
      </w:pPr>
    </w:p>
    <w:p w:rsidR="007C0F5C" w:rsidRPr="006314BB" w:rsidRDefault="007C0F5C" w:rsidP="00220390">
      <w:pPr>
        <w:widowControl w:val="0"/>
        <w:numPr>
          <w:ilvl w:val="0"/>
          <w:numId w:val="11"/>
        </w:numPr>
        <w:tabs>
          <w:tab w:val="num" w:pos="360"/>
        </w:tabs>
        <w:overflowPunct/>
        <w:ind w:left="360"/>
        <w:textAlignment w:val="auto"/>
        <w:rPr>
          <w:sz w:val="24"/>
        </w:rPr>
      </w:pPr>
      <w:r>
        <w:rPr>
          <w:sz w:val="24"/>
        </w:rPr>
        <w:t xml:space="preserve">OMB </w:t>
      </w:r>
      <w:r w:rsidRPr="006314BB">
        <w:rPr>
          <w:sz w:val="24"/>
        </w:rPr>
        <w:t xml:space="preserve">Control Number:  </w:t>
      </w:r>
      <w:r>
        <w:rPr>
          <w:bCs/>
          <w:sz w:val="24"/>
        </w:rPr>
        <w:t>0584-0523,</w:t>
      </w:r>
      <w:r w:rsidRPr="0032590F">
        <w:rPr>
          <w:sz w:val="24"/>
        </w:rPr>
        <w:t xml:space="preserve"> </w:t>
      </w:r>
      <w:r>
        <w:rPr>
          <w:sz w:val="24"/>
        </w:rPr>
        <w:t>expiration date</w:t>
      </w:r>
      <w:r w:rsidRPr="00864E07">
        <w:rPr>
          <w:sz w:val="24"/>
        </w:rPr>
        <w:t xml:space="preserve"> 07/31/2012</w:t>
      </w:r>
    </w:p>
    <w:p w:rsidR="007C0F5C" w:rsidRPr="006314BB" w:rsidRDefault="007C0F5C" w:rsidP="00220390">
      <w:pPr>
        <w:rPr>
          <w:sz w:val="24"/>
        </w:rPr>
      </w:pPr>
    </w:p>
    <w:p w:rsidR="007C0F5C" w:rsidRPr="00FA34CD" w:rsidRDefault="007C0F5C" w:rsidP="00FA34CD">
      <w:pPr>
        <w:ind w:left="360"/>
        <w:rPr>
          <w:sz w:val="24"/>
        </w:rPr>
      </w:pPr>
      <w:r w:rsidRPr="001362D5">
        <w:rPr>
          <w:sz w:val="24"/>
        </w:rPr>
        <w:t xml:space="preserve">Public affected by this project: </w:t>
      </w:r>
      <w:r>
        <w:rPr>
          <w:sz w:val="24"/>
        </w:rPr>
        <w:t xml:space="preserve">Individuals/Households. </w:t>
      </w:r>
      <w:r w:rsidRPr="001362D5">
        <w:rPr>
          <w:sz w:val="24"/>
        </w:rPr>
        <w:t xml:space="preserve">Respondent universe includes adult consumers and children ages 10-13. As the DGA is intended for “healthy Americans two years of age and older,” we are including a </w:t>
      </w:r>
      <w:r>
        <w:rPr>
          <w:sz w:val="24"/>
        </w:rPr>
        <w:t xml:space="preserve">general </w:t>
      </w:r>
      <w:r w:rsidRPr="001362D5">
        <w:rPr>
          <w:sz w:val="24"/>
        </w:rPr>
        <w:t>sample of 2,000 adults, which will include</w:t>
      </w:r>
      <w:r>
        <w:rPr>
          <w:sz w:val="24"/>
        </w:rPr>
        <w:t xml:space="preserve"> a diverse mix of demographic factors. We also want to be certain that the DGA consumer messages resonate among adults with lower education levels and lower income levels. Therefore, we have included a sample of 1,000 adults with less than a high school degree, and 1,000 adults under 185% of the federal </w:t>
      </w:r>
      <w:r>
        <w:rPr>
          <w:sz w:val="24"/>
        </w:rPr>
        <w:lastRenderedPageBreak/>
        <w:t>poverty level (FPL).</w:t>
      </w:r>
      <w:r>
        <w:rPr>
          <w:rStyle w:val="FootnoteReference"/>
          <w:sz w:val="24"/>
        </w:rPr>
        <w:footnoteReference w:id="1"/>
      </w:r>
      <w:r>
        <w:rPr>
          <w:sz w:val="24"/>
        </w:rPr>
        <w:t xml:space="preserve"> In addition, we have included a sample of 500 children ages 10-13, as we believe this age range represents a critical time when children are beginning to make their own food choices independent of their parents. </w:t>
      </w:r>
      <w:r w:rsidRPr="00FA34CD">
        <w:rPr>
          <w:sz w:val="24"/>
        </w:rPr>
        <w:t>During mid</w:t>
      </w:r>
      <w:r>
        <w:rPr>
          <w:sz w:val="24"/>
        </w:rPr>
        <w:t>-</w:t>
      </w:r>
      <w:r w:rsidRPr="00FA34CD">
        <w:rPr>
          <w:sz w:val="24"/>
        </w:rPr>
        <w:t>elementary through early middle school, children are beginning to make more food purchasing decisions. In talking with our library staff, they indicated that most of the nutrition education interventions in the literature include this age group (8-13) rather than</w:t>
      </w:r>
      <w:r>
        <w:rPr>
          <w:sz w:val="24"/>
        </w:rPr>
        <w:t xml:space="preserve"> younger and older children. </w:t>
      </w:r>
      <w:r w:rsidRPr="00FA34CD">
        <w:rPr>
          <w:sz w:val="24"/>
        </w:rPr>
        <w:t>Therefore, more information is available about the impact of nutrition education on this audience.</w:t>
      </w:r>
    </w:p>
    <w:p w:rsidR="007C0F5C" w:rsidRPr="00FA34CD" w:rsidRDefault="007C0F5C" w:rsidP="00FA34CD">
      <w:pPr>
        <w:rPr>
          <w:sz w:val="24"/>
        </w:rPr>
      </w:pPr>
    </w:p>
    <w:p w:rsidR="007C0F5C" w:rsidRDefault="007C0F5C" w:rsidP="002B6C4E">
      <w:pPr>
        <w:pStyle w:val="ListParagraph"/>
        <w:numPr>
          <w:ilvl w:val="0"/>
          <w:numId w:val="0"/>
        </w:numPr>
        <w:ind w:left="360"/>
      </w:pPr>
      <w:r>
        <w:t>A separate data tabulation and summary will be developed for each of the following segments:</w:t>
      </w:r>
    </w:p>
    <w:p w:rsidR="007C0F5C" w:rsidRDefault="007C0F5C" w:rsidP="003E5212">
      <w:pPr>
        <w:pStyle w:val="ListParagraph"/>
        <w:numPr>
          <w:ilvl w:val="0"/>
          <w:numId w:val="22"/>
        </w:numPr>
      </w:pPr>
      <w:r w:rsidRPr="00E2740F">
        <w:t>General adult population ages 18+</w:t>
      </w:r>
    </w:p>
    <w:p w:rsidR="007C0F5C" w:rsidRDefault="007C0F5C" w:rsidP="003E5212">
      <w:pPr>
        <w:pStyle w:val="ListParagraph"/>
        <w:numPr>
          <w:ilvl w:val="0"/>
          <w:numId w:val="22"/>
        </w:numPr>
      </w:pPr>
      <w:r w:rsidRPr="00E2740F">
        <w:t>Adults under 185% of the federal poverty level</w:t>
      </w:r>
    </w:p>
    <w:p w:rsidR="007C0F5C" w:rsidRDefault="007C0F5C" w:rsidP="003E5212">
      <w:pPr>
        <w:pStyle w:val="ListParagraph"/>
        <w:numPr>
          <w:ilvl w:val="0"/>
          <w:numId w:val="22"/>
        </w:numPr>
        <w:rPr>
          <w:bCs/>
        </w:rPr>
      </w:pPr>
      <w:r w:rsidRPr="00E2740F">
        <w:rPr>
          <w:bCs/>
        </w:rPr>
        <w:t xml:space="preserve">Adults with less than high school </w:t>
      </w:r>
      <w:r>
        <w:rPr>
          <w:bCs/>
        </w:rPr>
        <w:t xml:space="preserve">graduate </w:t>
      </w:r>
      <w:r w:rsidRPr="00E2740F">
        <w:rPr>
          <w:bCs/>
        </w:rPr>
        <w:t>education</w:t>
      </w:r>
    </w:p>
    <w:p w:rsidR="007C0F5C" w:rsidRDefault="007C0F5C" w:rsidP="003E5212">
      <w:pPr>
        <w:pStyle w:val="ListParagraph"/>
        <w:numPr>
          <w:ilvl w:val="0"/>
          <w:numId w:val="22"/>
        </w:numPr>
      </w:pPr>
      <w:r w:rsidRPr="00E2740F">
        <w:rPr>
          <w:bCs/>
        </w:rPr>
        <w:t>Children ages 10-13</w:t>
      </w:r>
    </w:p>
    <w:p w:rsidR="007C0F5C" w:rsidRPr="001362D5" w:rsidRDefault="007C0F5C" w:rsidP="002B6C4E">
      <w:pPr>
        <w:widowControl w:val="0"/>
        <w:overflowPunct/>
        <w:textAlignment w:val="auto"/>
        <w:rPr>
          <w:sz w:val="24"/>
        </w:rPr>
      </w:pPr>
    </w:p>
    <w:p w:rsidR="007C0F5C" w:rsidRDefault="007C0F5C" w:rsidP="000F49E4">
      <w:pPr>
        <w:widowControl w:val="0"/>
        <w:overflowPunct/>
        <w:ind w:firstLine="360"/>
        <w:textAlignment w:val="auto"/>
        <w:rPr>
          <w:sz w:val="24"/>
        </w:rPr>
      </w:pPr>
      <w:r>
        <w:rPr>
          <w:sz w:val="24"/>
        </w:rPr>
        <w:t>The samples are outlined as follows:</w:t>
      </w:r>
    </w:p>
    <w:p w:rsidR="007C0F5C" w:rsidRPr="00702447" w:rsidDel="00702447" w:rsidRDefault="007C0F5C" w:rsidP="00220390">
      <w:pPr>
        <w:ind w:left="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28"/>
        <w:gridCol w:w="1350"/>
      </w:tblGrid>
      <w:tr w:rsidR="007C0F5C" w:rsidRPr="00E2740F" w:rsidTr="001E7018">
        <w:tc>
          <w:tcPr>
            <w:tcW w:w="5328" w:type="dxa"/>
          </w:tcPr>
          <w:p w:rsidR="007C0F5C" w:rsidRPr="00E2740F" w:rsidRDefault="007C0F5C" w:rsidP="00E4777B">
            <w:pPr>
              <w:rPr>
                <w:sz w:val="24"/>
              </w:rPr>
            </w:pPr>
            <w:r w:rsidRPr="00E2740F">
              <w:rPr>
                <w:sz w:val="24"/>
              </w:rPr>
              <w:t>General adult population ages 18+</w:t>
            </w:r>
          </w:p>
        </w:tc>
        <w:tc>
          <w:tcPr>
            <w:tcW w:w="1350" w:type="dxa"/>
          </w:tcPr>
          <w:p w:rsidR="007C0F5C" w:rsidRPr="00E2740F" w:rsidRDefault="007C0F5C" w:rsidP="00E4777B">
            <w:pPr>
              <w:rPr>
                <w:sz w:val="24"/>
              </w:rPr>
            </w:pPr>
            <w:r w:rsidRPr="00E2740F">
              <w:rPr>
                <w:sz w:val="24"/>
              </w:rPr>
              <w:t>2,000</w:t>
            </w:r>
          </w:p>
        </w:tc>
      </w:tr>
      <w:tr w:rsidR="007C0F5C" w:rsidRPr="00E2740F" w:rsidTr="001E7018">
        <w:tc>
          <w:tcPr>
            <w:tcW w:w="5328" w:type="dxa"/>
          </w:tcPr>
          <w:p w:rsidR="007C0F5C" w:rsidRPr="00E2740F" w:rsidRDefault="007C0F5C" w:rsidP="00E2740F">
            <w:pPr>
              <w:rPr>
                <w:sz w:val="24"/>
              </w:rPr>
            </w:pPr>
            <w:r w:rsidRPr="00E2740F">
              <w:rPr>
                <w:sz w:val="24"/>
              </w:rPr>
              <w:t>Adults under 185% of the federal poverty level</w:t>
            </w:r>
          </w:p>
        </w:tc>
        <w:tc>
          <w:tcPr>
            <w:tcW w:w="1350" w:type="dxa"/>
          </w:tcPr>
          <w:p w:rsidR="007C0F5C" w:rsidRPr="00E2740F" w:rsidRDefault="007C0F5C" w:rsidP="00E4777B">
            <w:pPr>
              <w:rPr>
                <w:sz w:val="24"/>
              </w:rPr>
            </w:pPr>
            <w:r>
              <w:rPr>
                <w:sz w:val="24"/>
              </w:rPr>
              <w:t>1,000</w:t>
            </w:r>
          </w:p>
        </w:tc>
      </w:tr>
      <w:tr w:rsidR="007C0F5C" w:rsidRPr="00E2740F" w:rsidTr="001E7018">
        <w:tc>
          <w:tcPr>
            <w:tcW w:w="5328" w:type="dxa"/>
          </w:tcPr>
          <w:p w:rsidR="007C0F5C" w:rsidRPr="00E2740F" w:rsidRDefault="007C0F5C" w:rsidP="00567DD5">
            <w:pPr>
              <w:rPr>
                <w:bCs/>
                <w:sz w:val="24"/>
              </w:rPr>
            </w:pPr>
            <w:r w:rsidRPr="00E2740F">
              <w:rPr>
                <w:bCs/>
                <w:sz w:val="24"/>
              </w:rPr>
              <w:t xml:space="preserve">Adults with less than high school </w:t>
            </w:r>
            <w:r>
              <w:rPr>
                <w:bCs/>
                <w:sz w:val="24"/>
              </w:rPr>
              <w:t xml:space="preserve">graduate </w:t>
            </w:r>
            <w:r w:rsidRPr="00E2740F">
              <w:rPr>
                <w:bCs/>
                <w:sz w:val="24"/>
              </w:rPr>
              <w:t>education</w:t>
            </w:r>
          </w:p>
        </w:tc>
        <w:tc>
          <w:tcPr>
            <w:tcW w:w="1350" w:type="dxa"/>
          </w:tcPr>
          <w:p w:rsidR="007C0F5C" w:rsidRPr="00E2740F" w:rsidRDefault="007C0F5C" w:rsidP="00E4777B">
            <w:pPr>
              <w:rPr>
                <w:sz w:val="24"/>
              </w:rPr>
            </w:pPr>
            <w:r w:rsidRPr="00E2740F">
              <w:rPr>
                <w:bCs/>
                <w:sz w:val="24"/>
              </w:rPr>
              <w:t>1,000</w:t>
            </w:r>
          </w:p>
        </w:tc>
      </w:tr>
      <w:tr w:rsidR="007C0F5C" w:rsidRPr="00E2740F" w:rsidTr="001E7018">
        <w:tc>
          <w:tcPr>
            <w:tcW w:w="5328" w:type="dxa"/>
          </w:tcPr>
          <w:p w:rsidR="007C0F5C" w:rsidRPr="00E2740F" w:rsidRDefault="007C0F5C" w:rsidP="00E4777B">
            <w:pPr>
              <w:rPr>
                <w:bCs/>
                <w:sz w:val="24"/>
              </w:rPr>
            </w:pPr>
            <w:r w:rsidRPr="00E2740F">
              <w:rPr>
                <w:bCs/>
                <w:sz w:val="24"/>
              </w:rPr>
              <w:t>Pretest among adults</w:t>
            </w:r>
          </w:p>
        </w:tc>
        <w:tc>
          <w:tcPr>
            <w:tcW w:w="1350" w:type="dxa"/>
          </w:tcPr>
          <w:p w:rsidR="007C0F5C" w:rsidRPr="00E2740F" w:rsidRDefault="007C0F5C" w:rsidP="00E4777B">
            <w:pPr>
              <w:rPr>
                <w:sz w:val="24"/>
              </w:rPr>
            </w:pPr>
            <w:r w:rsidRPr="00E2740F">
              <w:rPr>
                <w:bCs/>
                <w:sz w:val="24"/>
              </w:rPr>
              <w:t>25</w:t>
            </w:r>
          </w:p>
        </w:tc>
      </w:tr>
      <w:tr w:rsidR="007C0F5C" w:rsidRPr="00E2740F" w:rsidTr="001E7018">
        <w:tc>
          <w:tcPr>
            <w:tcW w:w="5328" w:type="dxa"/>
          </w:tcPr>
          <w:p w:rsidR="007C0F5C" w:rsidRPr="00E2740F" w:rsidRDefault="007C0F5C" w:rsidP="00E4777B">
            <w:pPr>
              <w:rPr>
                <w:bCs/>
                <w:sz w:val="24"/>
              </w:rPr>
            </w:pPr>
            <w:r w:rsidRPr="00E2740F">
              <w:rPr>
                <w:bCs/>
                <w:sz w:val="24"/>
              </w:rPr>
              <w:t>Children ages 10-13</w:t>
            </w:r>
          </w:p>
        </w:tc>
        <w:tc>
          <w:tcPr>
            <w:tcW w:w="1350" w:type="dxa"/>
          </w:tcPr>
          <w:p w:rsidR="007C0F5C" w:rsidRPr="00E2740F" w:rsidRDefault="007C0F5C" w:rsidP="00E4777B">
            <w:pPr>
              <w:rPr>
                <w:sz w:val="24"/>
              </w:rPr>
            </w:pPr>
            <w:r w:rsidRPr="00E2740F">
              <w:rPr>
                <w:bCs/>
                <w:sz w:val="24"/>
              </w:rPr>
              <w:t>500</w:t>
            </w:r>
          </w:p>
        </w:tc>
      </w:tr>
      <w:tr w:rsidR="007C0F5C" w:rsidRPr="00E2740F" w:rsidTr="001E7018">
        <w:tc>
          <w:tcPr>
            <w:tcW w:w="5328" w:type="dxa"/>
          </w:tcPr>
          <w:p w:rsidR="007C0F5C" w:rsidRPr="00E2740F" w:rsidRDefault="007C0F5C" w:rsidP="00E4777B">
            <w:pPr>
              <w:rPr>
                <w:bCs/>
                <w:sz w:val="24"/>
              </w:rPr>
            </w:pPr>
            <w:r w:rsidRPr="00E2740F">
              <w:rPr>
                <w:bCs/>
                <w:sz w:val="24"/>
              </w:rPr>
              <w:t>Pretest among children 10-13</w:t>
            </w:r>
          </w:p>
        </w:tc>
        <w:tc>
          <w:tcPr>
            <w:tcW w:w="1350" w:type="dxa"/>
          </w:tcPr>
          <w:p w:rsidR="007C0F5C" w:rsidRPr="00E2740F" w:rsidRDefault="007C0F5C" w:rsidP="00E4777B">
            <w:pPr>
              <w:rPr>
                <w:sz w:val="24"/>
              </w:rPr>
            </w:pPr>
            <w:r w:rsidRPr="00E2740F">
              <w:rPr>
                <w:bCs/>
                <w:sz w:val="24"/>
              </w:rPr>
              <w:t>25</w:t>
            </w:r>
          </w:p>
        </w:tc>
      </w:tr>
      <w:tr w:rsidR="007C0F5C" w:rsidRPr="00E2740F" w:rsidTr="001E7018">
        <w:tc>
          <w:tcPr>
            <w:tcW w:w="5328" w:type="dxa"/>
          </w:tcPr>
          <w:p w:rsidR="007C0F5C" w:rsidRPr="00E2740F" w:rsidRDefault="007C0F5C" w:rsidP="00E4777B">
            <w:pPr>
              <w:rPr>
                <w:sz w:val="24"/>
              </w:rPr>
            </w:pPr>
            <w:r w:rsidRPr="00E2740F">
              <w:rPr>
                <w:sz w:val="24"/>
              </w:rPr>
              <w:t>Parental consent for ages 10-13</w:t>
            </w:r>
          </w:p>
        </w:tc>
        <w:tc>
          <w:tcPr>
            <w:tcW w:w="1350" w:type="dxa"/>
          </w:tcPr>
          <w:p w:rsidR="007C0F5C" w:rsidRPr="00E2740F" w:rsidRDefault="007C0F5C" w:rsidP="00E4777B">
            <w:pPr>
              <w:rPr>
                <w:sz w:val="24"/>
                <w:u w:val="single"/>
              </w:rPr>
            </w:pPr>
            <w:r w:rsidRPr="00E2740F">
              <w:rPr>
                <w:sz w:val="24"/>
                <w:u w:val="single"/>
              </w:rPr>
              <w:t>525</w:t>
            </w:r>
          </w:p>
        </w:tc>
      </w:tr>
      <w:tr w:rsidR="007C0F5C" w:rsidRPr="00E2740F" w:rsidTr="001E7018">
        <w:tc>
          <w:tcPr>
            <w:tcW w:w="5328" w:type="dxa"/>
          </w:tcPr>
          <w:p w:rsidR="007C0F5C" w:rsidRPr="00E2740F" w:rsidRDefault="007C0F5C" w:rsidP="00E4777B">
            <w:pPr>
              <w:rPr>
                <w:bCs/>
                <w:sz w:val="24"/>
              </w:rPr>
            </w:pPr>
            <w:r w:rsidRPr="00E2740F">
              <w:rPr>
                <w:bCs/>
                <w:sz w:val="24"/>
              </w:rPr>
              <w:t xml:space="preserve">Total Respondent:  </w:t>
            </w:r>
          </w:p>
        </w:tc>
        <w:tc>
          <w:tcPr>
            <w:tcW w:w="1350" w:type="dxa"/>
          </w:tcPr>
          <w:p w:rsidR="007C0F5C" w:rsidRPr="00E2740F" w:rsidRDefault="007C0F5C" w:rsidP="00E4777B">
            <w:pPr>
              <w:rPr>
                <w:bCs/>
                <w:sz w:val="24"/>
              </w:rPr>
            </w:pPr>
            <w:r w:rsidRPr="00E2740F">
              <w:rPr>
                <w:bCs/>
                <w:sz w:val="24"/>
              </w:rPr>
              <w:t>5,075</w:t>
            </w:r>
          </w:p>
        </w:tc>
      </w:tr>
    </w:tbl>
    <w:p w:rsidR="007C0F5C" w:rsidRPr="00E2740F" w:rsidRDefault="007C0F5C" w:rsidP="00220390">
      <w:pPr>
        <w:rPr>
          <w:sz w:val="24"/>
        </w:rPr>
      </w:pPr>
    </w:p>
    <w:p w:rsidR="007C0F5C" w:rsidRDefault="007C0F5C" w:rsidP="00220390">
      <w:pPr>
        <w:widowControl w:val="0"/>
        <w:numPr>
          <w:ilvl w:val="0"/>
          <w:numId w:val="11"/>
        </w:numPr>
        <w:tabs>
          <w:tab w:val="num" w:pos="360"/>
        </w:tabs>
        <w:overflowPunct/>
        <w:ind w:left="360"/>
        <w:textAlignment w:val="auto"/>
        <w:rPr>
          <w:sz w:val="24"/>
        </w:rPr>
      </w:pPr>
      <w:r w:rsidRPr="006314BB">
        <w:rPr>
          <w:sz w:val="24"/>
        </w:rPr>
        <w:t xml:space="preserve">Time needed per Response: </w:t>
      </w:r>
    </w:p>
    <w:p w:rsidR="007C0F5C" w:rsidRDefault="007C0F5C" w:rsidP="00220390">
      <w:pPr>
        <w:ind w:left="360"/>
        <w:rPr>
          <w:sz w:val="24"/>
          <w:u w:val="single"/>
        </w:rPr>
      </w:pPr>
    </w:p>
    <w:p w:rsidR="007C0F5C" w:rsidRDefault="007C0F5C" w:rsidP="00220390">
      <w:pPr>
        <w:ind w:left="360"/>
        <w:rPr>
          <w:sz w:val="24"/>
        </w:rPr>
      </w:pPr>
      <w:r w:rsidRPr="008059A1">
        <w:rPr>
          <w:sz w:val="24"/>
          <w:u w:val="single"/>
        </w:rPr>
        <w:t xml:space="preserve">Online survey among </w:t>
      </w:r>
      <w:r>
        <w:rPr>
          <w:sz w:val="24"/>
          <w:u w:val="single"/>
        </w:rPr>
        <w:t xml:space="preserve">adult </w:t>
      </w:r>
      <w:r w:rsidRPr="008059A1">
        <w:rPr>
          <w:sz w:val="24"/>
          <w:u w:val="single"/>
        </w:rPr>
        <w:t>consumers</w:t>
      </w:r>
      <w:r>
        <w:rPr>
          <w:sz w:val="24"/>
          <w:u w:val="single"/>
        </w:rPr>
        <w:t xml:space="preserve"> (general population, 185% FPL and low-education adults, and pre-test)</w:t>
      </w:r>
      <w:r>
        <w:rPr>
          <w:sz w:val="24"/>
        </w:rPr>
        <w:t xml:space="preserve">: </w:t>
      </w:r>
      <w:r w:rsidRPr="006314BB">
        <w:rPr>
          <w:sz w:val="24"/>
        </w:rPr>
        <w:t xml:space="preserve">Based on the assumption that the average length of the </w:t>
      </w:r>
      <w:r>
        <w:rPr>
          <w:sz w:val="24"/>
        </w:rPr>
        <w:t xml:space="preserve">survey </w:t>
      </w:r>
      <w:r w:rsidRPr="006314BB">
        <w:rPr>
          <w:sz w:val="24"/>
        </w:rPr>
        <w:t xml:space="preserve">will </w:t>
      </w:r>
      <w:r w:rsidRPr="003F78D0">
        <w:rPr>
          <w:sz w:val="24"/>
        </w:rPr>
        <w:t>be .4175 hours per</w:t>
      </w:r>
      <w:r w:rsidRPr="006314BB">
        <w:rPr>
          <w:sz w:val="24"/>
        </w:rPr>
        <w:t xml:space="preserve"> </w:t>
      </w:r>
      <w:r>
        <w:rPr>
          <w:sz w:val="24"/>
        </w:rPr>
        <w:t>adult participant</w:t>
      </w:r>
      <w:r w:rsidRPr="006314BB">
        <w:rPr>
          <w:sz w:val="24"/>
        </w:rPr>
        <w:t xml:space="preserve">, the burden hours associated with </w:t>
      </w:r>
      <w:r>
        <w:rPr>
          <w:sz w:val="24"/>
        </w:rPr>
        <w:t>4,025</w:t>
      </w:r>
      <w:r w:rsidRPr="006314BB">
        <w:rPr>
          <w:sz w:val="24"/>
        </w:rPr>
        <w:t xml:space="preserve"> </w:t>
      </w:r>
      <w:r>
        <w:rPr>
          <w:sz w:val="24"/>
        </w:rPr>
        <w:t>respondents</w:t>
      </w:r>
      <w:r w:rsidRPr="006314BB">
        <w:rPr>
          <w:sz w:val="24"/>
        </w:rPr>
        <w:t xml:space="preserve"> is </w:t>
      </w:r>
      <w:r>
        <w:rPr>
          <w:sz w:val="24"/>
        </w:rPr>
        <w:t xml:space="preserve">1,680 hours </w:t>
      </w:r>
      <w:r w:rsidRPr="006314BB">
        <w:rPr>
          <w:sz w:val="24"/>
        </w:rPr>
        <w:t>(</w:t>
      </w:r>
      <w:r>
        <w:rPr>
          <w:sz w:val="24"/>
        </w:rPr>
        <w:t xml:space="preserve">.4175 </w:t>
      </w:r>
      <w:r w:rsidRPr="006314BB">
        <w:rPr>
          <w:sz w:val="24"/>
        </w:rPr>
        <w:t xml:space="preserve">x </w:t>
      </w:r>
      <w:r>
        <w:rPr>
          <w:sz w:val="24"/>
        </w:rPr>
        <w:t>4,025</w:t>
      </w:r>
      <w:r w:rsidRPr="006314BB">
        <w:rPr>
          <w:sz w:val="24"/>
        </w:rPr>
        <w:t xml:space="preserve"> = </w:t>
      </w:r>
      <w:r>
        <w:rPr>
          <w:sz w:val="24"/>
        </w:rPr>
        <w:t xml:space="preserve">1,680 </w:t>
      </w:r>
      <w:r w:rsidRPr="006314BB">
        <w:rPr>
          <w:sz w:val="24"/>
        </w:rPr>
        <w:t>hours).</w:t>
      </w:r>
    </w:p>
    <w:p w:rsidR="007C0F5C" w:rsidRDefault="007C0F5C" w:rsidP="00220390">
      <w:pPr>
        <w:ind w:left="360"/>
        <w:rPr>
          <w:sz w:val="24"/>
        </w:rPr>
      </w:pPr>
    </w:p>
    <w:p w:rsidR="007C0F5C" w:rsidRDefault="007C0F5C" w:rsidP="00220390">
      <w:pPr>
        <w:ind w:left="360"/>
        <w:rPr>
          <w:sz w:val="24"/>
        </w:rPr>
      </w:pPr>
      <w:proofErr w:type="gramStart"/>
      <w:r w:rsidRPr="002C4C24">
        <w:rPr>
          <w:sz w:val="24"/>
          <w:u w:val="single"/>
        </w:rPr>
        <w:t>Responding to invitation</w:t>
      </w:r>
      <w:r>
        <w:rPr>
          <w:sz w:val="24"/>
          <w:u w:val="single"/>
        </w:rPr>
        <w:t xml:space="preserve"> to adults</w:t>
      </w:r>
      <w:r w:rsidRPr="002C4C24">
        <w:rPr>
          <w:sz w:val="24"/>
          <w:u w:val="single"/>
        </w:rPr>
        <w:t xml:space="preserve"> </w:t>
      </w:r>
      <w:r>
        <w:rPr>
          <w:sz w:val="24"/>
          <w:u w:val="single"/>
        </w:rPr>
        <w:t>for</w:t>
      </w:r>
      <w:r w:rsidRPr="002C4C24">
        <w:rPr>
          <w:sz w:val="24"/>
          <w:u w:val="single"/>
        </w:rPr>
        <w:t xml:space="preserve"> web-based message testing survey</w:t>
      </w:r>
      <w:r>
        <w:rPr>
          <w:sz w:val="24"/>
        </w:rPr>
        <w:t xml:space="preserve">: </w:t>
      </w:r>
      <w:r w:rsidRPr="006314BB">
        <w:rPr>
          <w:sz w:val="24"/>
        </w:rPr>
        <w:t xml:space="preserve">Based on the assumption that the average length of the </w:t>
      </w:r>
      <w:r>
        <w:rPr>
          <w:sz w:val="24"/>
        </w:rPr>
        <w:t xml:space="preserve">invitation response process </w:t>
      </w:r>
      <w:r w:rsidRPr="006314BB">
        <w:rPr>
          <w:sz w:val="24"/>
        </w:rPr>
        <w:t>will be</w:t>
      </w:r>
      <w:r w:rsidRPr="002C4C24">
        <w:rPr>
          <w:sz w:val="24"/>
        </w:rPr>
        <w:t xml:space="preserve"> </w:t>
      </w:r>
      <w:r>
        <w:rPr>
          <w:sz w:val="24"/>
        </w:rPr>
        <w:t>.05 hours</w:t>
      </w:r>
      <w:r w:rsidRPr="006314BB">
        <w:rPr>
          <w:sz w:val="24"/>
        </w:rPr>
        <w:t xml:space="preserve"> per </w:t>
      </w:r>
      <w:r>
        <w:rPr>
          <w:sz w:val="24"/>
        </w:rPr>
        <w:t>adult participant</w:t>
      </w:r>
      <w:r w:rsidRPr="006314BB">
        <w:rPr>
          <w:sz w:val="24"/>
        </w:rPr>
        <w:t xml:space="preserve">, the burden hours associated with </w:t>
      </w:r>
      <w:r>
        <w:rPr>
          <w:sz w:val="24"/>
        </w:rPr>
        <w:t>4,025</w:t>
      </w:r>
      <w:r w:rsidRPr="006314BB">
        <w:rPr>
          <w:sz w:val="24"/>
        </w:rPr>
        <w:t xml:space="preserve"> </w:t>
      </w:r>
      <w:r>
        <w:rPr>
          <w:sz w:val="24"/>
        </w:rPr>
        <w:t>respondents</w:t>
      </w:r>
      <w:r w:rsidRPr="006314BB">
        <w:rPr>
          <w:sz w:val="24"/>
        </w:rPr>
        <w:t xml:space="preserve"> is </w:t>
      </w:r>
      <w:r>
        <w:rPr>
          <w:sz w:val="24"/>
        </w:rPr>
        <w:t>201.25 hours</w:t>
      </w:r>
      <w:r w:rsidDel="002C4C24">
        <w:rPr>
          <w:sz w:val="24"/>
        </w:rPr>
        <w:t xml:space="preserve"> </w:t>
      </w:r>
      <w:r w:rsidRPr="006314BB">
        <w:rPr>
          <w:sz w:val="24"/>
        </w:rPr>
        <w:t>(</w:t>
      </w:r>
      <w:r>
        <w:rPr>
          <w:sz w:val="24"/>
        </w:rPr>
        <w:t xml:space="preserve">.05 </w:t>
      </w:r>
      <w:r w:rsidRPr="006314BB">
        <w:rPr>
          <w:sz w:val="24"/>
        </w:rPr>
        <w:t xml:space="preserve">x </w:t>
      </w:r>
      <w:r>
        <w:rPr>
          <w:sz w:val="24"/>
        </w:rPr>
        <w:t>4,025</w:t>
      </w:r>
      <w:r w:rsidRPr="006314BB">
        <w:rPr>
          <w:sz w:val="24"/>
        </w:rPr>
        <w:t xml:space="preserve"> = </w:t>
      </w:r>
      <w:r>
        <w:rPr>
          <w:sz w:val="24"/>
        </w:rPr>
        <w:t>201.25 hours</w:t>
      </w:r>
      <w:r w:rsidRPr="006314BB">
        <w:rPr>
          <w:sz w:val="24"/>
        </w:rPr>
        <w:t>).</w:t>
      </w:r>
      <w:proofErr w:type="gramEnd"/>
    </w:p>
    <w:p w:rsidR="007C0F5C" w:rsidRDefault="007C0F5C" w:rsidP="00220390">
      <w:pPr>
        <w:ind w:left="360"/>
        <w:rPr>
          <w:sz w:val="24"/>
        </w:rPr>
      </w:pPr>
    </w:p>
    <w:p w:rsidR="007C0F5C" w:rsidRDefault="007C0F5C" w:rsidP="00220390">
      <w:pPr>
        <w:ind w:left="360"/>
        <w:rPr>
          <w:sz w:val="24"/>
        </w:rPr>
      </w:pPr>
      <w:proofErr w:type="gramStart"/>
      <w:r w:rsidRPr="002C4C24">
        <w:rPr>
          <w:sz w:val="24"/>
          <w:u w:val="single"/>
        </w:rPr>
        <w:t xml:space="preserve">Responding to invitation to children </w:t>
      </w:r>
      <w:r>
        <w:rPr>
          <w:sz w:val="24"/>
          <w:u w:val="single"/>
        </w:rPr>
        <w:t>for</w:t>
      </w:r>
      <w:r w:rsidRPr="002C4C24">
        <w:rPr>
          <w:sz w:val="24"/>
          <w:u w:val="single"/>
        </w:rPr>
        <w:t xml:space="preserve"> web-based message testing survey</w:t>
      </w:r>
      <w:r>
        <w:rPr>
          <w:sz w:val="24"/>
        </w:rPr>
        <w:t xml:space="preserve">: </w:t>
      </w:r>
      <w:r w:rsidRPr="006314BB">
        <w:rPr>
          <w:sz w:val="24"/>
        </w:rPr>
        <w:t xml:space="preserve">Based on the assumption that the average length of the </w:t>
      </w:r>
      <w:r>
        <w:rPr>
          <w:sz w:val="24"/>
        </w:rPr>
        <w:t xml:space="preserve">invitation response process </w:t>
      </w:r>
      <w:r w:rsidRPr="006314BB">
        <w:rPr>
          <w:sz w:val="24"/>
        </w:rPr>
        <w:t xml:space="preserve">will be </w:t>
      </w:r>
      <w:r>
        <w:rPr>
          <w:sz w:val="24"/>
        </w:rPr>
        <w:t>.05 hours</w:t>
      </w:r>
      <w:r w:rsidRPr="006314BB">
        <w:rPr>
          <w:sz w:val="24"/>
        </w:rPr>
        <w:t xml:space="preserve"> per </w:t>
      </w:r>
      <w:r>
        <w:rPr>
          <w:sz w:val="24"/>
        </w:rPr>
        <w:t>child</w:t>
      </w:r>
      <w:r w:rsidRPr="006314BB">
        <w:rPr>
          <w:sz w:val="24"/>
        </w:rPr>
        <w:t xml:space="preserve">, the burden hours associated with </w:t>
      </w:r>
      <w:r>
        <w:rPr>
          <w:sz w:val="24"/>
        </w:rPr>
        <w:t>525</w:t>
      </w:r>
      <w:r w:rsidRPr="006314BB">
        <w:rPr>
          <w:sz w:val="24"/>
        </w:rPr>
        <w:t xml:space="preserve"> </w:t>
      </w:r>
      <w:r>
        <w:rPr>
          <w:sz w:val="24"/>
        </w:rPr>
        <w:t>respondents</w:t>
      </w:r>
      <w:r w:rsidRPr="006314BB">
        <w:rPr>
          <w:sz w:val="24"/>
        </w:rPr>
        <w:t xml:space="preserve"> is </w:t>
      </w:r>
      <w:r>
        <w:rPr>
          <w:sz w:val="24"/>
        </w:rPr>
        <w:t xml:space="preserve">26.25 hours </w:t>
      </w:r>
      <w:r w:rsidRPr="006314BB">
        <w:rPr>
          <w:sz w:val="24"/>
        </w:rPr>
        <w:t>(</w:t>
      </w:r>
      <w:r>
        <w:rPr>
          <w:sz w:val="24"/>
        </w:rPr>
        <w:t xml:space="preserve">.05 </w:t>
      </w:r>
      <w:r w:rsidRPr="006314BB">
        <w:rPr>
          <w:sz w:val="24"/>
        </w:rPr>
        <w:t xml:space="preserve">x </w:t>
      </w:r>
      <w:r>
        <w:rPr>
          <w:sz w:val="24"/>
        </w:rPr>
        <w:t>525</w:t>
      </w:r>
      <w:r w:rsidRPr="006314BB">
        <w:rPr>
          <w:sz w:val="24"/>
        </w:rPr>
        <w:t xml:space="preserve"> = </w:t>
      </w:r>
      <w:r>
        <w:rPr>
          <w:sz w:val="24"/>
        </w:rPr>
        <w:t xml:space="preserve">26.25 </w:t>
      </w:r>
      <w:r w:rsidRPr="006314BB">
        <w:rPr>
          <w:sz w:val="24"/>
        </w:rPr>
        <w:t>hours).</w:t>
      </w:r>
      <w:proofErr w:type="gramEnd"/>
    </w:p>
    <w:p w:rsidR="007C0F5C" w:rsidRDefault="007C0F5C" w:rsidP="00220390">
      <w:pPr>
        <w:ind w:left="360"/>
        <w:rPr>
          <w:sz w:val="24"/>
        </w:rPr>
      </w:pPr>
    </w:p>
    <w:p w:rsidR="007C0F5C" w:rsidRDefault="007C0F5C" w:rsidP="00220390">
      <w:pPr>
        <w:ind w:left="360"/>
        <w:rPr>
          <w:sz w:val="24"/>
        </w:rPr>
      </w:pPr>
      <w:r w:rsidRPr="008059A1">
        <w:rPr>
          <w:sz w:val="24"/>
          <w:u w:val="single"/>
        </w:rPr>
        <w:t xml:space="preserve">Online survey </w:t>
      </w:r>
      <w:r>
        <w:rPr>
          <w:sz w:val="24"/>
          <w:u w:val="single"/>
        </w:rPr>
        <w:t>and pre-test among children 10-13</w:t>
      </w:r>
      <w:r w:rsidRPr="00F27A25">
        <w:rPr>
          <w:sz w:val="24"/>
        </w:rPr>
        <w:t xml:space="preserve">: </w:t>
      </w:r>
      <w:r w:rsidRPr="006314BB">
        <w:rPr>
          <w:sz w:val="24"/>
        </w:rPr>
        <w:t xml:space="preserve">Based on the assumption that the average length of the </w:t>
      </w:r>
      <w:r>
        <w:rPr>
          <w:sz w:val="24"/>
        </w:rPr>
        <w:t xml:space="preserve">survey </w:t>
      </w:r>
      <w:r w:rsidRPr="006314BB">
        <w:rPr>
          <w:sz w:val="24"/>
        </w:rPr>
        <w:t xml:space="preserve">will be </w:t>
      </w:r>
      <w:r>
        <w:rPr>
          <w:sz w:val="24"/>
        </w:rPr>
        <w:t>.25 hours</w:t>
      </w:r>
      <w:r w:rsidRPr="006314BB">
        <w:rPr>
          <w:sz w:val="24"/>
        </w:rPr>
        <w:t xml:space="preserve"> per </w:t>
      </w:r>
      <w:r>
        <w:rPr>
          <w:sz w:val="24"/>
        </w:rPr>
        <w:t>child participant</w:t>
      </w:r>
      <w:r w:rsidRPr="006314BB">
        <w:rPr>
          <w:sz w:val="24"/>
        </w:rPr>
        <w:t xml:space="preserve">, the burden hours associated with </w:t>
      </w:r>
      <w:r>
        <w:rPr>
          <w:sz w:val="24"/>
        </w:rPr>
        <w:t>525</w:t>
      </w:r>
      <w:r w:rsidRPr="006314BB">
        <w:rPr>
          <w:sz w:val="24"/>
        </w:rPr>
        <w:t xml:space="preserve"> </w:t>
      </w:r>
      <w:r>
        <w:rPr>
          <w:sz w:val="24"/>
        </w:rPr>
        <w:t>respondents</w:t>
      </w:r>
      <w:r w:rsidRPr="006314BB">
        <w:rPr>
          <w:sz w:val="24"/>
        </w:rPr>
        <w:t xml:space="preserve"> is </w:t>
      </w:r>
      <w:r>
        <w:rPr>
          <w:sz w:val="24"/>
        </w:rPr>
        <w:t xml:space="preserve">131.25 hours </w:t>
      </w:r>
      <w:r w:rsidRPr="006314BB">
        <w:rPr>
          <w:sz w:val="24"/>
        </w:rPr>
        <w:t>(</w:t>
      </w:r>
      <w:r>
        <w:rPr>
          <w:sz w:val="24"/>
        </w:rPr>
        <w:t xml:space="preserve">.25 </w:t>
      </w:r>
      <w:r w:rsidRPr="006314BB">
        <w:rPr>
          <w:sz w:val="24"/>
        </w:rPr>
        <w:t xml:space="preserve">x </w:t>
      </w:r>
      <w:r>
        <w:rPr>
          <w:sz w:val="24"/>
        </w:rPr>
        <w:t>525</w:t>
      </w:r>
      <w:r w:rsidRPr="006314BB">
        <w:rPr>
          <w:sz w:val="24"/>
        </w:rPr>
        <w:t xml:space="preserve"> = </w:t>
      </w:r>
      <w:r>
        <w:rPr>
          <w:sz w:val="24"/>
        </w:rPr>
        <w:t xml:space="preserve">131.25 </w:t>
      </w:r>
      <w:r w:rsidRPr="006314BB">
        <w:rPr>
          <w:sz w:val="24"/>
        </w:rPr>
        <w:t>hours).</w:t>
      </w:r>
    </w:p>
    <w:p w:rsidR="007C0F5C" w:rsidRDefault="007C0F5C" w:rsidP="00220390">
      <w:pPr>
        <w:ind w:left="360"/>
        <w:rPr>
          <w:sz w:val="24"/>
        </w:rPr>
      </w:pPr>
    </w:p>
    <w:p w:rsidR="007C0F5C" w:rsidRDefault="007C0F5C" w:rsidP="00220390">
      <w:pPr>
        <w:ind w:left="360"/>
        <w:rPr>
          <w:sz w:val="24"/>
        </w:rPr>
      </w:pPr>
      <w:r w:rsidRPr="00EC5859">
        <w:rPr>
          <w:sz w:val="24"/>
          <w:u w:val="single"/>
        </w:rPr>
        <w:t>Parental consent</w:t>
      </w:r>
      <w:r>
        <w:rPr>
          <w:sz w:val="24"/>
        </w:rPr>
        <w:t xml:space="preserve">: </w:t>
      </w:r>
      <w:r w:rsidRPr="006314BB">
        <w:rPr>
          <w:sz w:val="24"/>
        </w:rPr>
        <w:t xml:space="preserve">Based on the assumption that the average length of the </w:t>
      </w:r>
      <w:r>
        <w:rPr>
          <w:sz w:val="24"/>
        </w:rPr>
        <w:t xml:space="preserve">parental consent process </w:t>
      </w:r>
      <w:r w:rsidRPr="006314BB">
        <w:rPr>
          <w:sz w:val="24"/>
        </w:rPr>
        <w:t xml:space="preserve">will be </w:t>
      </w:r>
      <w:r>
        <w:rPr>
          <w:sz w:val="24"/>
        </w:rPr>
        <w:t>.05 hours</w:t>
      </w:r>
      <w:r w:rsidRPr="006314BB">
        <w:rPr>
          <w:sz w:val="24"/>
        </w:rPr>
        <w:t xml:space="preserve"> per </w:t>
      </w:r>
      <w:r>
        <w:rPr>
          <w:sz w:val="24"/>
        </w:rPr>
        <w:t>parent</w:t>
      </w:r>
      <w:r w:rsidRPr="006314BB">
        <w:rPr>
          <w:sz w:val="24"/>
        </w:rPr>
        <w:t xml:space="preserve">, the burden hours associated with </w:t>
      </w:r>
      <w:r>
        <w:rPr>
          <w:sz w:val="24"/>
        </w:rPr>
        <w:t>525</w:t>
      </w:r>
      <w:r w:rsidRPr="006314BB">
        <w:rPr>
          <w:sz w:val="24"/>
        </w:rPr>
        <w:t xml:space="preserve"> </w:t>
      </w:r>
      <w:r>
        <w:rPr>
          <w:sz w:val="24"/>
        </w:rPr>
        <w:t>respondents</w:t>
      </w:r>
      <w:r w:rsidRPr="006314BB">
        <w:rPr>
          <w:sz w:val="24"/>
        </w:rPr>
        <w:t xml:space="preserve"> is </w:t>
      </w:r>
      <w:r>
        <w:rPr>
          <w:sz w:val="24"/>
        </w:rPr>
        <w:t xml:space="preserve">26.25 hours </w:t>
      </w:r>
      <w:r w:rsidRPr="006314BB">
        <w:rPr>
          <w:sz w:val="24"/>
        </w:rPr>
        <w:t>(</w:t>
      </w:r>
      <w:r>
        <w:rPr>
          <w:sz w:val="24"/>
        </w:rPr>
        <w:t xml:space="preserve">.05 </w:t>
      </w:r>
      <w:r w:rsidRPr="006314BB">
        <w:rPr>
          <w:sz w:val="24"/>
        </w:rPr>
        <w:t xml:space="preserve">x </w:t>
      </w:r>
      <w:r>
        <w:rPr>
          <w:sz w:val="24"/>
        </w:rPr>
        <w:t>525</w:t>
      </w:r>
      <w:r w:rsidRPr="006314BB">
        <w:rPr>
          <w:sz w:val="24"/>
        </w:rPr>
        <w:t xml:space="preserve"> = </w:t>
      </w:r>
      <w:r>
        <w:rPr>
          <w:sz w:val="24"/>
        </w:rPr>
        <w:t xml:space="preserve">26.25 </w:t>
      </w:r>
      <w:r w:rsidRPr="006314BB">
        <w:rPr>
          <w:sz w:val="24"/>
        </w:rPr>
        <w:t>hours).</w:t>
      </w:r>
    </w:p>
    <w:p w:rsidR="007C0F5C" w:rsidRDefault="007C0F5C" w:rsidP="00220390">
      <w:pPr>
        <w:ind w:left="360"/>
        <w:rPr>
          <w:sz w:val="24"/>
        </w:rPr>
      </w:pPr>
    </w:p>
    <w:p w:rsidR="007C0F5C" w:rsidRDefault="007C0F5C" w:rsidP="00220390">
      <w:pPr>
        <w:ind w:left="360"/>
        <w:rPr>
          <w:sz w:val="22"/>
        </w:rPr>
      </w:pPr>
      <w:r>
        <w:rPr>
          <w:sz w:val="24"/>
        </w:rPr>
        <w:t xml:space="preserve">The total burden for this project is </w:t>
      </w:r>
      <w:r>
        <w:rPr>
          <w:sz w:val="22"/>
        </w:rPr>
        <w:t xml:space="preserve">2,065 burden </w:t>
      </w:r>
      <w:r w:rsidRPr="006314BB">
        <w:rPr>
          <w:sz w:val="22"/>
        </w:rPr>
        <w:t>hours</w:t>
      </w:r>
      <w:r>
        <w:rPr>
          <w:sz w:val="22"/>
        </w:rPr>
        <w:t>.</w:t>
      </w:r>
    </w:p>
    <w:p w:rsidR="003A0343" w:rsidRDefault="003A0343" w:rsidP="00220390">
      <w:pPr>
        <w:ind w:left="360"/>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4"/>
        <w:gridCol w:w="1710"/>
        <w:gridCol w:w="1350"/>
        <w:gridCol w:w="1664"/>
      </w:tblGrid>
      <w:tr w:rsidR="007C0F5C" w:rsidRPr="006314BB">
        <w:trPr>
          <w:cantSplit/>
          <w:jc w:val="center"/>
        </w:trPr>
        <w:tc>
          <w:tcPr>
            <w:tcW w:w="8548" w:type="dxa"/>
            <w:gridSpan w:val="4"/>
          </w:tcPr>
          <w:p w:rsidR="007C0F5C" w:rsidRPr="006314BB" w:rsidRDefault="007C0F5C" w:rsidP="00E4777B">
            <w:pPr>
              <w:spacing w:before="120" w:after="120"/>
              <w:jc w:val="center"/>
              <w:rPr>
                <w:b/>
                <w:sz w:val="22"/>
              </w:rPr>
            </w:pPr>
            <w:r w:rsidRPr="006314BB">
              <w:rPr>
                <w:b/>
                <w:sz w:val="22"/>
              </w:rPr>
              <w:t xml:space="preserve">Table 1. Respondent Burden Estimate </w:t>
            </w:r>
          </w:p>
        </w:tc>
      </w:tr>
      <w:tr w:rsidR="007C0F5C" w:rsidRPr="006314BB" w:rsidTr="001E7018">
        <w:trPr>
          <w:jc w:val="center"/>
        </w:trPr>
        <w:tc>
          <w:tcPr>
            <w:tcW w:w="3824" w:type="dxa"/>
          </w:tcPr>
          <w:p w:rsidR="007C0F5C" w:rsidRPr="006314BB" w:rsidRDefault="007C0F5C" w:rsidP="00E4777B">
            <w:pPr>
              <w:spacing w:before="120" w:after="120"/>
              <w:jc w:val="center"/>
              <w:rPr>
                <w:i/>
                <w:sz w:val="22"/>
              </w:rPr>
            </w:pPr>
            <w:r w:rsidRPr="006314BB">
              <w:rPr>
                <w:i/>
                <w:sz w:val="22"/>
              </w:rPr>
              <w:t>Respondent group</w:t>
            </w:r>
          </w:p>
        </w:tc>
        <w:tc>
          <w:tcPr>
            <w:tcW w:w="1710" w:type="dxa"/>
          </w:tcPr>
          <w:p w:rsidR="007C0F5C" w:rsidRPr="006314BB" w:rsidRDefault="007C0F5C" w:rsidP="00E4777B">
            <w:pPr>
              <w:spacing w:before="120" w:after="120"/>
              <w:jc w:val="center"/>
              <w:rPr>
                <w:i/>
                <w:sz w:val="22"/>
              </w:rPr>
            </w:pPr>
            <w:r w:rsidRPr="006314BB">
              <w:rPr>
                <w:i/>
                <w:sz w:val="22"/>
              </w:rPr>
              <w:t xml:space="preserve">Estimated number of respondents </w:t>
            </w:r>
          </w:p>
        </w:tc>
        <w:tc>
          <w:tcPr>
            <w:tcW w:w="1350" w:type="dxa"/>
          </w:tcPr>
          <w:p w:rsidR="007C0F5C" w:rsidRPr="006314BB" w:rsidRDefault="007C0F5C" w:rsidP="00E4777B">
            <w:pPr>
              <w:spacing w:before="120" w:after="120"/>
              <w:jc w:val="center"/>
              <w:rPr>
                <w:i/>
                <w:sz w:val="22"/>
              </w:rPr>
            </w:pPr>
            <w:r w:rsidRPr="006314BB">
              <w:rPr>
                <w:i/>
                <w:sz w:val="22"/>
              </w:rPr>
              <w:t>Minutes per respondent</w:t>
            </w:r>
          </w:p>
        </w:tc>
        <w:tc>
          <w:tcPr>
            <w:tcW w:w="1664" w:type="dxa"/>
          </w:tcPr>
          <w:p w:rsidR="007C0F5C" w:rsidRPr="006314BB" w:rsidRDefault="007C0F5C" w:rsidP="00E4777B">
            <w:pPr>
              <w:spacing w:before="120" w:after="120"/>
              <w:jc w:val="center"/>
              <w:rPr>
                <w:i/>
                <w:sz w:val="22"/>
              </w:rPr>
            </w:pPr>
            <w:r w:rsidRPr="006314BB">
              <w:rPr>
                <w:i/>
                <w:sz w:val="22"/>
              </w:rPr>
              <w:t>Total respondent burden</w:t>
            </w:r>
          </w:p>
        </w:tc>
      </w:tr>
      <w:tr w:rsidR="007C0F5C" w:rsidRPr="006314BB" w:rsidTr="001E7018">
        <w:trPr>
          <w:jc w:val="center"/>
        </w:trPr>
        <w:tc>
          <w:tcPr>
            <w:tcW w:w="3824" w:type="dxa"/>
          </w:tcPr>
          <w:p w:rsidR="007C0F5C" w:rsidRPr="006314BB" w:rsidRDefault="007C0F5C" w:rsidP="00E4777B">
            <w:pPr>
              <w:rPr>
                <w:sz w:val="22"/>
              </w:rPr>
            </w:pPr>
            <w:r w:rsidRPr="006D4FA0">
              <w:rPr>
                <w:sz w:val="24"/>
              </w:rPr>
              <w:t xml:space="preserve">Screening* for </w:t>
            </w:r>
            <w:r>
              <w:rPr>
                <w:sz w:val="24"/>
              </w:rPr>
              <w:t xml:space="preserve">adults for </w:t>
            </w:r>
            <w:r w:rsidRPr="006D4FA0">
              <w:rPr>
                <w:sz w:val="24"/>
              </w:rPr>
              <w:t xml:space="preserve">web-based message testing </w:t>
            </w:r>
          </w:p>
        </w:tc>
        <w:tc>
          <w:tcPr>
            <w:tcW w:w="1710" w:type="dxa"/>
          </w:tcPr>
          <w:p w:rsidR="007C0F5C" w:rsidRPr="006314BB" w:rsidRDefault="007C0F5C" w:rsidP="00E4777B">
            <w:pPr>
              <w:jc w:val="center"/>
              <w:rPr>
                <w:sz w:val="22"/>
              </w:rPr>
            </w:pPr>
            <w:r>
              <w:rPr>
                <w:sz w:val="22"/>
              </w:rPr>
              <w:t>0</w:t>
            </w:r>
          </w:p>
        </w:tc>
        <w:tc>
          <w:tcPr>
            <w:tcW w:w="1350" w:type="dxa"/>
          </w:tcPr>
          <w:p w:rsidR="007C0F5C" w:rsidRPr="006314BB" w:rsidRDefault="007C0F5C" w:rsidP="00E4777B">
            <w:pPr>
              <w:jc w:val="center"/>
              <w:rPr>
                <w:sz w:val="22"/>
              </w:rPr>
            </w:pPr>
            <w:r>
              <w:rPr>
                <w:sz w:val="22"/>
              </w:rPr>
              <w:t>0</w:t>
            </w:r>
          </w:p>
        </w:tc>
        <w:tc>
          <w:tcPr>
            <w:tcW w:w="1664" w:type="dxa"/>
          </w:tcPr>
          <w:p w:rsidR="007C0F5C" w:rsidRPr="006314BB" w:rsidRDefault="007C0F5C" w:rsidP="00E4777B">
            <w:pPr>
              <w:jc w:val="center"/>
              <w:rPr>
                <w:sz w:val="22"/>
              </w:rPr>
            </w:pPr>
            <w:r>
              <w:rPr>
                <w:sz w:val="22"/>
              </w:rPr>
              <w:t>0</w:t>
            </w:r>
          </w:p>
        </w:tc>
      </w:tr>
      <w:tr w:rsidR="007C0F5C" w:rsidRPr="006314BB" w:rsidTr="001E7018">
        <w:trPr>
          <w:jc w:val="center"/>
        </w:trPr>
        <w:tc>
          <w:tcPr>
            <w:tcW w:w="3824" w:type="dxa"/>
          </w:tcPr>
          <w:p w:rsidR="007C0F5C" w:rsidRPr="006D4FA0" w:rsidRDefault="007C0F5C" w:rsidP="00E4777B">
            <w:pPr>
              <w:rPr>
                <w:sz w:val="24"/>
              </w:rPr>
            </w:pPr>
            <w:r>
              <w:rPr>
                <w:sz w:val="24"/>
              </w:rPr>
              <w:t>Responding to invitation to adults for web-based message testing survey</w:t>
            </w:r>
          </w:p>
        </w:tc>
        <w:tc>
          <w:tcPr>
            <w:tcW w:w="1710" w:type="dxa"/>
          </w:tcPr>
          <w:p w:rsidR="007C0F5C" w:rsidRDefault="007C0F5C" w:rsidP="00E4777B">
            <w:pPr>
              <w:jc w:val="center"/>
              <w:rPr>
                <w:sz w:val="22"/>
              </w:rPr>
            </w:pPr>
            <w:r>
              <w:rPr>
                <w:sz w:val="22"/>
              </w:rPr>
              <w:t>4,025</w:t>
            </w:r>
          </w:p>
        </w:tc>
        <w:tc>
          <w:tcPr>
            <w:tcW w:w="1350" w:type="dxa"/>
          </w:tcPr>
          <w:p w:rsidR="007C0F5C" w:rsidRDefault="007C0F5C" w:rsidP="00E4777B">
            <w:pPr>
              <w:jc w:val="center"/>
              <w:rPr>
                <w:sz w:val="22"/>
              </w:rPr>
            </w:pPr>
            <w:r>
              <w:rPr>
                <w:sz w:val="22"/>
              </w:rPr>
              <w:t>3</w:t>
            </w:r>
          </w:p>
        </w:tc>
        <w:tc>
          <w:tcPr>
            <w:tcW w:w="1664" w:type="dxa"/>
          </w:tcPr>
          <w:p w:rsidR="007C0F5C" w:rsidRDefault="007C0F5C" w:rsidP="00E4777B">
            <w:pPr>
              <w:jc w:val="center"/>
              <w:rPr>
                <w:sz w:val="24"/>
              </w:rPr>
            </w:pPr>
            <w:r>
              <w:rPr>
                <w:sz w:val="24"/>
              </w:rPr>
              <w:t>201.25 hours</w:t>
            </w:r>
          </w:p>
        </w:tc>
      </w:tr>
      <w:tr w:rsidR="007C0F5C" w:rsidRPr="006314BB" w:rsidTr="001E7018">
        <w:trPr>
          <w:jc w:val="center"/>
        </w:trPr>
        <w:tc>
          <w:tcPr>
            <w:tcW w:w="3824" w:type="dxa"/>
          </w:tcPr>
          <w:p w:rsidR="007C0F5C" w:rsidRDefault="007C0F5C" w:rsidP="00E4777B">
            <w:pPr>
              <w:rPr>
                <w:sz w:val="22"/>
              </w:rPr>
            </w:pPr>
            <w:r w:rsidRPr="006D4FA0">
              <w:rPr>
                <w:sz w:val="24"/>
              </w:rPr>
              <w:t xml:space="preserve">Web-based message testing </w:t>
            </w:r>
            <w:r>
              <w:rPr>
                <w:sz w:val="24"/>
              </w:rPr>
              <w:t>among adults, including pre-test</w:t>
            </w:r>
          </w:p>
        </w:tc>
        <w:tc>
          <w:tcPr>
            <w:tcW w:w="1710" w:type="dxa"/>
          </w:tcPr>
          <w:p w:rsidR="007C0F5C" w:rsidRDefault="007C0F5C" w:rsidP="00E4777B">
            <w:pPr>
              <w:jc w:val="center"/>
              <w:rPr>
                <w:sz w:val="22"/>
              </w:rPr>
            </w:pPr>
            <w:r>
              <w:rPr>
                <w:sz w:val="22"/>
              </w:rPr>
              <w:t>4,025</w:t>
            </w:r>
          </w:p>
        </w:tc>
        <w:tc>
          <w:tcPr>
            <w:tcW w:w="1350" w:type="dxa"/>
          </w:tcPr>
          <w:p w:rsidR="007C0F5C" w:rsidRPr="006314BB" w:rsidRDefault="007C0F5C" w:rsidP="00E4777B">
            <w:pPr>
              <w:jc w:val="center"/>
              <w:rPr>
                <w:sz w:val="22"/>
              </w:rPr>
            </w:pPr>
            <w:r>
              <w:rPr>
                <w:sz w:val="22"/>
              </w:rPr>
              <w:t>25</w:t>
            </w:r>
          </w:p>
        </w:tc>
        <w:tc>
          <w:tcPr>
            <w:tcW w:w="1664" w:type="dxa"/>
          </w:tcPr>
          <w:p w:rsidR="007C0F5C" w:rsidRPr="006314BB" w:rsidRDefault="007C0F5C" w:rsidP="00E4777B">
            <w:pPr>
              <w:jc w:val="center"/>
              <w:rPr>
                <w:sz w:val="22"/>
              </w:rPr>
            </w:pPr>
            <w:r>
              <w:rPr>
                <w:sz w:val="24"/>
              </w:rPr>
              <w:t xml:space="preserve">1,680 </w:t>
            </w:r>
            <w:r w:rsidRPr="006314BB">
              <w:rPr>
                <w:sz w:val="24"/>
              </w:rPr>
              <w:t>hours</w:t>
            </w:r>
          </w:p>
        </w:tc>
      </w:tr>
      <w:tr w:rsidR="007C0F5C" w:rsidRPr="006314BB" w:rsidTr="001E7018">
        <w:trPr>
          <w:jc w:val="center"/>
        </w:trPr>
        <w:tc>
          <w:tcPr>
            <w:tcW w:w="3824" w:type="dxa"/>
          </w:tcPr>
          <w:p w:rsidR="007C0F5C" w:rsidRPr="006314BB" w:rsidRDefault="007C0F5C" w:rsidP="00E4777B">
            <w:pPr>
              <w:rPr>
                <w:sz w:val="22"/>
              </w:rPr>
            </w:pPr>
            <w:r w:rsidRPr="006D4FA0">
              <w:rPr>
                <w:sz w:val="24"/>
              </w:rPr>
              <w:t xml:space="preserve">Screening* for </w:t>
            </w:r>
            <w:r>
              <w:rPr>
                <w:sz w:val="24"/>
              </w:rPr>
              <w:t xml:space="preserve">children for </w:t>
            </w:r>
            <w:r w:rsidRPr="006D4FA0">
              <w:rPr>
                <w:sz w:val="24"/>
              </w:rPr>
              <w:t xml:space="preserve">web-based message testing </w:t>
            </w:r>
          </w:p>
        </w:tc>
        <w:tc>
          <w:tcPr>
            <w:tcW w:w="1710" w:type="dxa"/>
          </w:tcPr>
          <w:p w:rsidR="007C0F5C" w:rsidRPr="006314BB" w:rsidRDefault="007C0F5C" w:rsidP="00E4777B">
            <w:pPr>
              <w:jc w:val="center"/>
              <w:rPr>
                <w:sz w:val="22"/>
              </w:rPr>
            </w:pPr>
            <w:r>
              <w:rPr>
                <w:sz w:val="22"/>
              </w:rPr>
              <w:t>0</w:t>
            </w:r>
          </w:p>
        </w:tc>
        <w:tc>
          <w:tcPr>
            <w:tcW w:w="1350" w:type="dxa"/>
          </w:tcPr>
          <w:p w:rsidR="007C0F5C" w:rsidRPr="006314BB" w:rsidRDefault="007C0F5C" w:rsidP="00E4777B">
            <w:pPr>
              <w:jc w:val="center"/>
              <w:rPr>
                <w:sz w:val="22"/>
              </w:rPr>
            </w:pPr>
            <w:r>
              <w:rPr>
                <w:sz w:val="22"/>
              </w:rPr>
              <w:t>0</w:t>
            </w:r>
          </w:p>
        </w:tc>
        <w:tc>
          <w:tcPr>
            <w:tcW w:w="1664" w:type="dxa"/>
          </w:tcPr>
          <w:p w:rsidR="007C0F5C" w:rsidRPr="006314BB" w:rsidRDefault="007C0F5C" w:rsidP="00E4777B">
            <w:pPr>
              <w:jc w:val="center"/>
              <w:rPr>
                <w:sz w:val="22"/>
              </w:rPr>
            </w:pPr>
            <w:r>
              <w:rPr>
                <w:sz w:val="22"/>
              </w:rPr>
              <w:t>0</w:t>
            </w:r>
          </w:p>
        </w:tc>
      </w:tr>
      <w:tr w:rsidR="007C0F5C" w:rsidRPr="006314BB" w:rsidTr="001E7018">
        <w:trPr>
          <w:jc w:val="center"/>
        </w:trPr>
        <w:tc>
          <w:tcPr>
            <w:tcW w:w="3824" w:type="dxa"/>
          </w:tcPr>
          <w:p w:rsidR="007C0F5C" w:rsidRPr="004A6BF8" w:rsidRDefault="007C0F5C" w:rsidP="00E4777B">
            <w:pPr>
              <w:rPr>
                <w:sz w:val="22"/>
              </w:rPr>
            </w:pPr>
            <w:r w:rsidRPr="004A6BF8">
              <w:rPr>
                <w:sz w:val="24"/>
              </w:rPr>
              <w:t>Parental consent for children ages 10-1</w:t>
            </w:r>
            <w:r>
              <w:rPr>
                <w:sz w:val="24"/>
              </w:rPr>
              <w:t>3</w:t>
            </w:r>
          </w:p>
        </w:tc>
        <w:tc>
          <w:tcPr>
            <w:tcW w:w="1710" w:type="dxa"/>
          </w:tcPr>
          <w:p w:rsidR="007C0F5C" w:rsidRPr="004A6BF8" w:rsidRDefault="007C0F5C" w:rsidP="00E4777B">
            <w:pPr>
              <w:jc w:val="center"/>
              <w:rPr>
                <w:sz w:val="22"/>
              </w:rPr>
            </w:pPr>
            <w:r>
              <w:rPr>
                <w:sz w:val="22"/>
              </w:rPr>
              <w:t>525</w:t>
            </w:r>
          </w:p>
        </w:tc>
        <w:tc>
          <w:tcPr>
            <w:tcW w:w="1350" w:type="dxa"/>
          </w:tcPr>
          <w:p w:rsidR="007C0F5C" w:rsidRPr="004A6BF8" w:rsidRDefault="007C0F5C" w:rsidP="00E4777B">
            <w:pPr>
              <w:jc w:val="center"/>
              <w:rPr>
                <w:sz w:val="22"/>
              </w:rPr>
            </w:pPr>
            <w:r w:rsidRPr="004A6BF8">
              <w:rPr>
                <w:sz w:val="22"/>
              </w:rPr>
              <w:t>3</w:t>
            </w:r>
          </w:p>
        </w:tc>
        <w:tc>
          <w:tcPr>
            <w:tcW w:w="1664" w:type="dxa"/>
          </w:tcPr>
          <w:p w:rsidR="007C0F5C" w:rsidRPr="006314BB" w:rsidRDefault="007C0F5C" w:rsidP="00E4777B">
            <w:pPr>
              <w:jc w:val="center"/>
              <w:rPr>
                <w:sz w:val="22"/>
              </w:rPr>
            </w:pPr>
            <w:r>
              <w:rPr>
                <w:sz w:val="22"/>
              </w:rPr>
              <w:t>26.25 hours</w:t>
            </w:r>
          </w:p>
        </w:tc>
      </w:tr>
      <w:tr w:rsidR="007C0F5C" w:rsidRPr="006314BB" w:rsidTr="001E7018">
        <w:trPr>
          <w:jc w:val="center"/>
        </w:trPr>
        <w:tc>
          <w:tcPr>
            <w:tcW w:w="3824" w:type="dxa"/>
          </w:tcPr>
          <w:p w:rsidR="007C0F5C" w:rsidRPr="004A6BF8" w:rsidRDefault="007C0F5C" w:rsidP="00E4777B">
            <w:pPr>
              <w:rPr>
                <w:sz w:val="22"/>
              </w:rPr>
            </w:pPr>
            <w:r>
              <w:rPr>
                <w:sz w:val="24"/>
              </w:rPr>
              <w:t>Responding to invitation to children for web-based message testing survey</w:t>
            </w:r>
          </w:p>
        </w:tc>
        <w:tc>
          <w:tcPr>
            <w:tcW w:w="1710" w:type="dxa"/>
          </w:tcPr>
          <w:p w:rsidR="007C0F5C" w:rsidRPr="004A6BF8" w:rsidRDefault="007C0F5C" w:rsidP="00E4777B">
            <w:pPr>
              <w:jc w:val="center"/>
              <w:rPr>
                <w:sz w:val="22"/>
              </w:rPr>
            </w:pPr>
            <w:r>
              <w:rPr>
                <w:sz w:val="22"/>
              </w:rPr>
              <w:t>525</w:t>
            </w:r>
          </w:p>
        </w:tc>
        <w:tc>
          <w:tcPr>
            <w:tcW w:w="1350" w:type="dxa"/>
          </w:tcPr>
          <w:p w:rsidR="007C0F5C" w:rsidRPr="004A6BF8" w:rsidRDefault="007C0F5C" w:rsidP="00E4777B">
            <w:pPr>
              <w:jc w:val="center"/>
              <w:rPr>
                <w:sz w:val="22"/>
              </w:rPr>
            </w:pPr>
            <w:r w:rsidRPr="004A6BF8">
              <w:rPr>
                <w:sz w:val="22"/>
              </w:rPr>
              <w:t>3</w:t>
            </w:r>
          </w:p>
        </w:tc>
        <w:tc>
          <w:tcPr>
            <w:tcW w:w="1664" w:type="dxa"/>
          </w:tcPr>
          <w:p w:rsidR="007C0F5C" w:rsidRPr="006314BB" w:rsidRDefault="007C0F5C" w:rsidP="00E4777B">
            <w:pPr>
              <w:jc w:val="center"/>
              <w:rPr>
                <w:sz w:val="22"/>
              </w:rPr>
            </w:pPr>
            <w:r>
              <w:rPr>
                <w:sz w:val="22"/>
              </w:rPr>
              <w:t>26.25 hours</w:t>
            </w:r>
          </w:p>
        </w:tc>
      </w:tr>
      <w:tr w:rsidR="007C0F5C" w:rsidRPr="006314BB" w:rsidTr="001E7018">
        <w:trPr>
          <w:jc w:val="center"/>
        </w:trPr>
        <w:tc>
          <w:tcPr>
            <w:tcW w:w="3824" w:type="dxa"/>
          </w:tcPr>
          <w:p w:rsidR="007C0F5C" w:rsidRDefault="007C0F5C" w:rsidP="00E4777B">
            <w:pPr>
              <w:rPr>
                <w:sz w:val="22"/>
              </w:rPr>
            </w:pPr>
            <w:r w:rsidRPr="006D4FA0">
              <w:rPr>
                <w:sz w:val="24"/>
              </w:rPr>
              <w:t>Web-based message testing</w:t>
            </w:r>
            <w:r>
              <w:rPr>
                <w:sz w:val="24"/>
              </w:rPr>
              <w:t xml:space="preserve"> among children ages 10-13, including pre-test</w:t>
            </w:r>
          </w:p>
        </w:tc>
        <w:tc>
          <w:tcPr>
            <w:tcW w:w="1710" w:type="dxa"/>
          </w:tcPr>
          <w:p w:rsidR="007C0F5C" w:rsidRDefault="007C0F5C" w:rsidP="00E4777B">
            <w:pPr>
              <w:jc w:val="center"/>
              <w:rPr>
                <w:sz w:val="22"/>
              </w:rPr>
            </w:pPr>
            <w:r>
              <w:rPr>
                <w:sz w:val="22"/>
              </w:rPr>
              <w:t>525</w:t>
            </w:r>
          </w:p>
        </w:tc>
        <w:tc>
          <w:tcPr>
            <w:tcW w:w="1350" w:type="dxa"/>
          </w:tcPr>
          <w:p w:rsidR="007C0F5C" w:rsidRPr="006314BB" w:rsidRDefault="007C0F5C" w:rsidP="00E4777B">
            <w:pPr>
              <w:jc w:val="center"/>
              <w:rPr>
                <w:sz w:val="22"/>
              </w:rPr>
            </w:pPr>
            <w:r>
              <w:rPr>
                <w:sz w:val="22"/>
              </w:rPr>
              <w:t>15</w:t>
            </w:r>
          </w:p>
        </w:tc>
        <w:tc>
          <w:tcPr>
            <w:tcW w:w="1664" w:type="dxa"/>
          </w:tcPr>
          <w:p w:rsidR="007C0F5C" w:rsidRPr="006314BB" w:rsidRDefault="007C0F5C" w:rsidP="00E4777B">
            <w:pPr>
              <w:jc w:val="center"/>
              <w:rPr>
                <w:sz w:val="22"/>
              </w:rPr>
            </w:pPr>
            <w:r>
              <w:rPr>
                <w:sz w:val="24"/>
              </w:rPr>
              <w:t xml:space="preserve">131.25 </w:t>
            </w:r>
            <w:r w:rsidRPr="006314BB">
              <w:rPr>
                <w:sz w:val="24"/>
              </w:rPr>
              <w:t>hours</w:t>
            </w:r>
          </w:p>
        </w:tc>
      </w:tr>
      <w:tr w:rsidR="007C0F5C" w:rsidRPr="006314BB" w:rsidTr="001E7018">
        <w:trPr>
          <w:jc w:val="center"/>
        </w:trPr>
        <w:tc>
          <w:tcPr>
            <w:tcW w:w="3824" w:type="dxa"/>
            <w:tcBorders>
              <w:top w:val="thinThickSmallGap" w:sz="18" w:space="0" w:color="auto"/>
            </w:tcBorders>
          </w:tcPr>
          <w:p w:rsidR="007C0F5C" w:rsidRPr="006314BB" w:rsidRDefault="007C0F5C" w:rsidP="00E4777B">
            <w:pPr>
              <w:rPr>
                <w:sz w:val="22"/>
              </w:rPr>
            </w:pPr>
            <w:r w:rsidRPr="006314BB">
              <w:rPr>
                <w:sz w:val="22"/>
              </w:rPr>
              <w:t>Total</w:t>
            </w:r>
          </w:p>
        </w:tc>
        <w:tc>
          <w:tcPr>
            <w:tcW w:w="1710" w:type="dxa"/>
            <w:tcBorders>
              <w:top w:val="thinThickSmallGap" w:sz="18" w:space="0" w:color="auto"/>
            </w:tcBorders>
          </w:tcPr>
          <w:p w:rsidR="007C0F5C" w:rsidRPr="006314BB" w:rsidRDefault="007C0F5C" w:rsidP="00E4777B">
            <w:pPr>
              <w:jc w:val="center"/>
              <w:rPr>
                <w:sz w:val="22"/>
              </w:rPr>
            </w:pPr>
            <w:r>
              <w:rPr>
                <w:sz w:val="22"/>
              </w:rPr>
              <w:t>5,075</w:t>
            </w:r>
          </w:p>
        </w:tc>
        <w:tc>
          <w:tcPr>
            <w:tcW w:w="1350" w:type="dxa"/>
            <w:tcBorders>
              <w:top w:val="thinThickSmallGap" w:sz="18" w:space="0" w:color="auto"/>
            </w:tcBorders>
          </w:tcPr>
          <w:p w:rsidR="007C0F5C" w:rsidRPr="006314BB" w:rsidRDefault="007C0F5C" w:rsidP="00E4777B">
            <w:pPr>
              <w:jc w:val="center"/>
              <w:rPr>
                <w:sz w:val="22"/>
              </w:rPr>
            </w:pPr>
            <w:r w:rsidRPr="006314BB">
              <w:rPr>
                <w:sz w:val="22"/>
              </w:rPr>
              <w:t>N/A</w:t>
            </w:r>
          </w:p>
        </w:tc>
        <w:tc>
          <w:tcPr>
            <w:tcW w:w="1664" w:type="dxa"/>
            <w:tcBorders>
              <w:top w:val="thinThickSmallGap" w:sz="18" w:space="0" w:color="auto"/>
            </w:tcBorders>
          </w:tcPr>
          <w:p w:rsidR="007C0F5C" w:rsidRPr="006314BB" w:rsidRDefault="007C0F5C" w:rsidP="00E4777B">
            <w:pPr>
              <w:jc w:val="center"/>
              <w:rPr>
                <w:sz w:val="22"/>
              </w:rPr>
            </w:pPr>
            <w:r>
              <w:rPr>
                <w:sz w:val="22"/>
              </w:rPr>
              <w:t xml:space="preserve">2,065 </w:t>
            </w:r>
            <w:r w:rsidRPr="006314BB">
              <w:rPr>
                <w:sz w:val="22"/>
              </w:rPr>
              <w:t>hours</w:t>
            </w:r>
          </w:p>
        </w:tc>
      </w:tr>
    </w:tbl>
    <w:p w:rsidR="007C0F5C" w:rsidRPr="006D4FA0" w:rsidRDefault="007C0F5C" w:rsidP="00220390">
      <w:pPr>
        <w:rPr>
          <w:sz w:val="24"/>
        </w:rPr>
      </w:pPr>
      <w:r w:rsidRPr="006D4FA0">
        <w:rPr>
          <w:sz w:val="24"/>
        </w:rPr>
        <w:t>*</w:t>
      </w:r>
      <w:r>
        <w:rPr>
          <w:sz w:val="24"/>
        </w:rPr>
        <w:t>using</w:t>
      </w:r>
      <w:r w:rsidRPr="006D4FA0">
        <w:rPr>
          <w:sz w:val="24"/>
        </w:rPr>
        <w:t xml:space="preserve"> existing web panel</w:t>
      </w:r>
      <w:r>
        <w:rPr>
          <w:sz w:val="24"/>
        </w:rPr>
        <w:t xml:space="preserve"> – eligible pool of participants is pre-identified from the database, with no screening necessary</w:t>
      </w:r>
      <w:r w:rsidRPr="006D4FA0">
        <w:rPr>
          <w:sz w:val="24"/>
        </w:rPr>
        <w:t xml:space="preserve"> </w:t>
      </w:r>
    </w:p>
    <w:p w:rsidR="007C0F5C" w:rsidRDefault="007C0F5C" w:rsidP="00220390">
      <w:pPr>
        <w:rPr>
          <w:sz w:val="24"/>
        </w:rPr>
      </w:pPr>
    </w:p>
    <w:p w:rsidR="007C0F5C" w:rsidRPr="009435C2" w:rsidRDefault="007C0F5C" w:rsidP="00220390">
      <w:pPr>
        <w:widowControl w:val="0"/>
        <w:numPr>
          <w:ilvl w:val="0"/>
          <w:numId w:val="11"/>
        </w:numPr>
        <w:tabs>
          <w:tab w:val="num" w:pos="360"/>
        </w:tabs>
        <w:overflowPunct/>
        <w:ind w:left="360"/>
        <w:textAlignment w:val="auto"/>
        <w:rPr>
          <w:sz w:val="24"/>
        </w:rPr>
      </w:pPr>
      <w:r w:rsidRPr="009435C2">
        <w:rPr>
          <w:sz w:val="24"/>
        </w:rPr>
        <w:t>Project Background, Objective, Methodology and Design, Data Analysis, and Outcome.</w:t>
      </w:r>
    </w:p>
    <w:p w:rsidR="007C0F5C" w:rsidRPr="006314BB" w:rsidRDefault="007C0F5C" w:rsidP="00220390">
      <w:pPr>
        <w:rPr>
          <w:sz w:val="24"/>
        </w:rPr>
      </w:pPr>
    </w:p>
    <w:p w:rsidR="007C0F5C" w:rsidRDefault="007C0F5C" w:rsidP="00220390">
      <w:pPr>
        <w:ind w:left="360"/>
        <w:rPr>
          <w:sz w:val="24"/>
        </w:rPr>
      </w:pPr>
      <w:r w:rsidRPr="006314BB">
        <w:rPr>
          <w:sz w:val="24"/>
          <w:u w:val="single"/>
        </w:rPr>
        <w:t>Background:</w:t>
      </w:r>
      <w:r w:rsidRPr="006314BB">
        <w:rPr>
          <w:sz w:val="24"/>
        </w:rPr>
        <w:t xml:space="preserve"> </w:t>
      </w:r>
    </w:p>
    <w:p w:rsidR="007C0F5C" w:rsidRPr="006314BB" w:rsidRDefault="007C0F5C" w:rsidP="00220390">
      <w:pPr>
        <w:ind w:left="360"/>
        <w:rPr>
          <w:sz w:val="24"/>
        </w:rPr>
      </w:pPr>
    </w:p>
    <w:p w:rsidR="007C0F5C" w:rsidRDefault="007C0F5C" w:rsidP="00220390">
      <w:pPr>
        <w:ind w:left="360"/>
        <w:rPr>
          <w:sz w:val="24"/>
        </w:rPr>
      </w:pPr>
      <w:r w:rsidRPr="00D3433E">
        <w:rPr>
          <w:bCs/>
          <w:sz w:val="24"/>
        </w:rPr>
        <w:t>Center for Nutrition Policy and Promotion</w:t>
      </w:r>
      <w:r>
        <w:rPr>
          <w:sz w:val="24"/>
        </w:rPr>
        <w:t xml:space="preserve"> (CNPP)</w:t>
      </w:r>
      <w:r w:rsidRPr="006314BB">
        <w:rPr>
          <w:sz w:val="24"/>
        </w:rPr>
        <w:t xml:space="preserve"> </w:t>
      </w:r>
      <w:r>
        <w:rPr>
          <w:sz w:val="24"/>
        </w:rPr>
        <w:t xml:space="preserve">is responsible for communicating to consumers and professionals about the Dietary Guidelines for Americans (DGA). An updated version of the DGA will be released in 2010. DGA-related nutrition concepts and messages will be communicated to consumers through </w:t>
      </w:r>
      <w:proofErr w:type="spellStart"/>
      <w:r>
        <w:rPr>
          <w:sz w:val="24"/>
        </w:rPr>
        <w:t>MyPyramid</w:t>
      </w:r>
      <w:proofErr w:type="spellEnd"/>
      <w:r>
        <w:rPr>
          <w:sz w:val="24"/>
        </w:rPr>
        <w:t xml:space="preserve"> and other nutrition education programs, tools and on-line resources. </w:t>
      </w:r>
      <w:r w:rsidRPr="006314BB">
        <w:rPr>
          <w:sz w:val="24"/>
        </w:rPr>
        <w:t>Th</w:t>
      </w:r>
      <w:r>
        <w:rPr>
          <w:sz w:val="24"/>
        </w:rPr>
        <w:t>e</w:t>
      </w:r>
      <w:r w:rsidRPr="006314BB">
        <w:rPr>
          <w:sz w:val="24"/>
        </w:rPr>
        <w:t xml:space="preserve"> proposed </w:t>
      </w:r>
      <w:r>
        <w:rPr>
          <w:sz w:val="24"/>
        </w:rPr>
        <w:t>research</w:t>
      </w:r>
      <w:r w:rsidRPr="006314BB">
        <w:rPr>
          <w:sz w:val="24"/>
        </w:rPr>
        <w:t xml:space="preserve"> is </w:t>
      </w:r>
      <w:r>
        <w:rPr>
          <w:sz w:val="24"/>
        </w:rPr>
        <w:t>intended to inform CNPP communication efforts to raise consumer understanding and application of the DGA</w:t>
      </w:r>
      <w:r w:rsidRPr="006314BB">
        <w:rPr>
          <w:sz w:val="24"/>
        </w:rPr>
        <w:t>.</w:t>
      </w:r>
      <w:r>
        <w:rPr>
          <w:sz w:val="24"/>
        </w:rPr>
        <w:t xml:space="preserve"> </w:t>
      </w:r>
    </w:p>
    <w:p w:rsidR="007C0F5C" w:rsidRDefault="007C0F5C" w:rsidP="00220390">
      <w:pPr>
        <w:ind w:left="360"/>
        <w:rPr>
          <w:sz w:val="24"/>
        </w:rPr>
      </w:pPr>
    </w:p>
    <w:p w:rsidR="007C0F5C" w:rsidRDefault="007C0F5C" w:rsidP="00AD48D9">
      <w:pPr>
        <w:ind w:left="360"/>
      </w:pPr>
      <w:r w:rsidRPr="004F6358">
        <w:rPr>
          <w:sz w:val="24"/>
        </w:rPr>
        <w:t>The messages and graphic images we are testing were informed by a series of 14 focus group sessions conducted througho</w:t>
      </w:r>
      <w:r>
        <w:rPr>
          <w:sz w:val="24"/>
        </w:rPr>
        <w:t xml:space="preserve">ut the month of October, 2010. </w:t>
      </w:r>
      <w:r w:rsidRPr="004F6358">
        <w:rPr>
          <w:sz w:val="24"/>
        </w:rPr>
        <w:t xml:space="preserve">The sessions included a total of 112 adults. </w:t>
      </w:r>
      <w:r>
        <w:rPr>
          <w:sz w:val="24"/>
        </w:rPr>
        <w:t xml:space="preserve"> T</w:t>
      </w:r>
      <w:r w:rsidRPr="004F6358">
        <w:rPr>
          <w:color w:val="000000"/>
          <w:sz w:val="24"/>
        </w:rPr>
        <w:t xml:space="preserve">he focus groups were held </w:t>
      </w:r>
      <w:r w:rsidRPr="004F6358">
        <w:rPr>
          <w:sz w:val="24"/>
        </w:rPr>
        <w:t xml:space="preserve">in four markets across the </w:t>
      </w:r>
      <w:r>
        <w:rPr>
          <w:sz w:val="24"/>
        </w:rPr>
        <w:t>U.S.</w:t>
      </w:r>
      <w:r w:rsidRPr="004F6358">
        <w:rPr>
          <w:sz w:val="24"/>
        </w:rPr>
        <w:t>: Bethesda, MD; Sacramento, CA; Chicago, IL;</w:t>
      </w:r>
      <w:r>
        <w:rPr>
          <w:sz w:val="24"/>
        </w:rPr>
        <w:t xml:space="preserve"> and Philadelphia, PA, and included adults with a diverse range of demographic factors. We tested initial draft messages and graphic images in these sessions, and made changes to them based on the feedback we received. The focus group sessions were approved under </w:t>
      </w:r>
      <w:r w:rsidRPr="006314BB">
        <w:rPr>
          <w:sz w:val="24"/>
        </w:rPr>
        <w:t xml:space="preserve">Approved Generic OMB Clearance No. </w:t>
      </w:r>
      <w:r>
        <w:rPr>
          <w:bCs/>
          <w:sz w:val="24"/>
        </w:rPr>
        <w:t>0584-0523.</w:t>
      </w:r>
    </w:p>
    <w:p w:rsidR="007C0F5C" w:rsidRDefault="007C0F5C" w:rsidP="00220390">
      <w:pPr>
        <w:ind w:left="360"/>
        <w:rPr>
          <w:sz w:val="24"/>
        </w:rPr>
      </w:pPr>
    </w:p>
    <w:p w:rsidR="007C0F5C" w:rsidRDefault="007C0F5C" w:rsidP="00220390">
      <w:pPr>
        <w:ind w:left="360"/>
        <w:rPr>
          <w:sz w:val="24"/>
          <w:u w:val="single"/>
        </w:rPr>
      </w:pPr>
      <w:bookmarkStart w:id="0" w:name="OLE_LINK3"/>
      <w:bookmarkStart w:id="1" w:name="OLE_LINK4"/>
      <w:r w:rsidRPr="00387D42">
        <w:rPr>
          <w:sz w:val="24"/>
          <w:u w:val="single"/>
        </w:rPr>
        <w:t>Objectives:</w:t>
      </w:r>
    </w:p>
    <w:p w:rsidR="007C0F5C" w:rsidRPr="006314BB" w:rsidRDefault="007C0F5C" w:rsidP="00220390">
      <w:pPr>
        <w:ind w:left="360"/>
        <w:rPr>
          <w:sz w:val="24"/>
          <w:u w:val="single"/>
        </w:rPr>
      </w:pPr>
    </w:p>
    <w:bookmarkEnd w:id="0"/>
    <w:bookmarkEnd w:id="1"/>
    <w:p w:rsidR="007C0F5C" w:rsidRPr="00E4777B" w:rsidRDefault="007C0F5C" w:rsidP="00220390">
      <w:pPr>
        <w:numPr>
          <w:ilvl w:val="0"/>
          <w:numId w:val="12"/>
        </w:numPr>
        <w:overflowPunct/>
        <w:autoSpaceDE/>
        <w:autoSpaceDN/>
        <w:adjustRightInd/>
        <w:textAlignment w:val="auto"/>
        <w:rPr>
          <w:color w:val="000000"/>
          <w:sz w:val="24"/>
        </w:rPr>
      </w:pPr>
      <w:r>
        <w:rPr>
          <w:sz w:val="24"/>
        </w:rPr>
        <w:t>T</w:t>
      </w:r>
      <w:r w:rsidRPr="00504768">
        <w:rPr>
          <w:sz w:val="24"/>
        </w:rPr>
        <w:t xml:space="preserve">est DGA messages </w:t>
      </w:r>
      <w:r>
        <w:rPr>
          <w:sz w:val="24"/>
        </w:rPr>
        <w:t xml:space="preserve">and related graphic images </w:t>
      </w:r>
      <w:r w:rsidRPr="00504768">
        <w:rPr>
          <w:sz w:val="24"/>
        </w:rPr>
        <w:t xml:space="preserve">among consumers on </w:t>
      </w:r>
      <w:r w:rsidRPr="00504768">
        <w:rPr>
          <w:color w:val="000000"/>
          <w:sz w:val="24"/>
        </w:rPr>
        <w:t xml:space="preserve">the clarity </w:t>
      </w:r>
      <w:r>
        <w:rPr>
          <w:color w:val="000000"/>
          <w:sz w:val="24"/>
        </w:rPr>
        <w:t xml:space="preserve">and effectiveness of </w:t>
      </w:r>
      <w:r w:rsidRPr="00504768">
        <w:rPr>
          <w:color w:val="000000"/>
          <w:sz w:val="24"/>
        </w:rPr>
        <w:t xml:space="preserve">messages, the </w:t>
      </w:r>
      <w:r>
        <w:rPr>
          <w:color w:val="000000"/>
          <w:sz w:val="24"/>
        </w:rPr>
        <w:t>effectiveness and appeal</w:t>
      </w:r>
      <w:r w:rsidRPr="00504768">
        <w:rPr>
          <w:color w:val="000000"/>
          <w:sz w:val="24"/>
        </w:rPr>
        <w:t xml:space="preserve"> of creative designs, and other key factors.</w:t>
      </w:r>
    </w:p>
    <w:p w:rsidR="007C0F5C" w:rsidRPr="00E4777B" w:rsidRDefault="007C0F5C" w:rsidP="00220390">
      <w:pPr>
        <w:ind w:left="360"/>
        <w:rPr>
          <w:color w:val="000000"/>
          <w:sz w:val="24"/>
          <w:u w:val="single"/>
        </w:rPr>
      </w:pPr>
    </w:p>
    <w:p w:rsidR="007C0F5C" w:rsidRPr="00E4777B" w:rsidRDefault="007C0F5C" w:rsidP="00220390">
      <w:pPr>
        <w:ind w:left="360"/>
        <w:rPr>
          <w:color w:val="000000"/>
          <w:sz w:val="24"/>
          <w:u w:val="single"/>
        </w:rPr>
      </w:pPr>
      <w:r w:rsidRPr="00E4777B">
        <w:rPr>
          <w:color w:val="000000"/>
          <w:sz w:val="24"/>
          <w:u w:val="single"/>
        </w:rPr>
        <w:t>Methodology, Design and Data Analysis:</w:t>
      </w:r>
    </w:p>
    <w:p w:rsidR="007C0F5C" w:rsidRDefault="007C0F5C" w:rsidP="00220390">
      <w:pPr>
        <w:pStyle w:val="ListParagraph"/>
        <w:numPr>
          <w:ilvl w:val="0"/>
          <w:numId w:val="0"/>
        </w:numPr>
        <w:autoSpaceDE w:val="0"/>
        <w:autoSpaceDN w:val="0"/>
        <w:adjustRightInd w:val="0"/>
        <w:ind w:left="360"/>
        <w:rPr>
          <w:color w:val="000000"/>
        </w:rPr>
      </w:pPr>
    </w:p>
    <w:p w:rsidR="007C0F5C" w:rsidRPr="00B509E9" w:rsidRDefault="007C0F5C" w:rsidP="00220390">
      <w:pPr>
        <w:pStyle w:val="ListParagraph"/>
        <w:numPr>
          <w:ilvl w:val="0"/>
          <w:numId w:val="0"/>
        </w:numPr>
        <w:autoSpaceDE w:val="0"/>
        <w:autoSpaceDN w:val="0"/>
        <w:adjustRightInd w:val="0"/>
        <w:ind w:left="360"/>
        <w:rPr>
          <w:iCs/>
        </w:rPr>
      </w:pPr>
      <w:r>
        <w:rPr>
          <w:color w:val="000000"/>
        </w:rPr>
        <w:t>W</w:t>
      </w:r>
      <w:r w:rsidRPr="00E4777B">
        <w:rPr>
          <w:color w:val="000000"/>
        </w:rPr>
        <w:t xml:space="preserve">e will conduct online testing of the “near-final” messages and creative elements for DGA 2010 to </w:t>
      </w:r>
      <w:r>
        <w:rPr>
          <w:color w:val="000000"/>
        </w:rPr>
        <w:t>test</w:t>
      </w:r>
      <w:r w:rsidRPr="00B509E9">
        <w:t xml:space="preserve"> them among a sample of </w:t>
      </w:r>
      <w:r>
        <w:t>4</w:t>
      </w:r>
      <w:r w:rsidRPr="00B509E9">
        <w:t>,0</w:t>
      </w:r>
      <w:r>
        <w:t>25</w:t>
      </w:r>
      <w:r w:rsidRPr="00B509E9">
        <w:t xml:space="preserve"> </w:t>
      </w:r>
      <w:r>
        <w:t xml:space="preserve">adult </w:t>
      </w:r>
      <w:r w:rsidRPr="00B509E9">
        <w:t>consumers</w:t>
      </w:r>
      <w:r>
        <w:t xml:space="preserve"> (including pre-test participants) and 525 children ages 10-13 (including pre-test participants)</w:t>
      </w:r>
      <w:r w:rsidRPr="00B509E9">
        <w:rPr>
          <w:i/>
          <w:iCs/>
        </w:rPr>
        <w:t xml:space="preserve">. </w:t>
      </w:r>
    </w:p>
    <w:p w:rsidR="007C0F5C" w:rsidRPr="00B509E9" w:rsidRDefault="007C0F5C" w:rsidP="00220390">
      <w:pPr>
        <w:pStyle w:val="ListParagraph"/>
        <w:numPr>
          <w:ilvl w:val="0"/>
          <w:numId w:val="0"/>
        </w:numPr>
        <w:autoSpaceDE w:val="0"/>
        <w:autoSpaceDN w:val="0"/>
        <w:adjustRightInd w:val="0"/>
        <w:ind w:left="360"/>
        <w:rPr>
          <w:iCs/>
        </w:rPr>
      </w:pPr>
    </w:p>
    <w:p w:rsidR="007C0F5C" w:rsidRPr="003E5212" w:rsidRDefault="007C0F5C" w:rsidP="00220390">
      <w:pPr>
        <w:pStyle w:val="ListParagraph"/>
        <w:numPr>
          <w:ilvl w:val="0"/>
          <w:numId w:val="0"/>
        </w:numPr>
        <w:autoSpaceDE w:val="0"/>
        <w:autoSpaceDN w:val="0"/>
        <w:adjustRightInd w:val="0"/>
        <w:ind w:left="360"/>
      </w:pPr>
      <w:r w:rsidRPr="00B509E9">
        <w:rPr>
          <w:iCs/>
        </w:rPr>
        <w:t>For the adult participants, we have developed two separate surveys containing similar messages with different wordings. We will test each version of the survey with half of the adult samples. We believe this approach will enable us to choose the wordings that reso</w:t>
      </w:r>
      <w:r w:rsidR="00DD4C2C">
        <w:rPr>
          <w:iCs/>
        </w:rPr>
        <w:t xml:space="preserve">nate best among our audiences. </w:t>
      </w:r>
      <w:r w:rsidR="00B2590A">
        <w:rPr>
          <w:iCs/>
        </w:rPr>
        <w:t xml:space="preserve">Also, the two separate versions of the adult survey contain two sets </w:t>
      </w:r>
      <w:r w:rsidR="00DD4C2C">
        <w:rPr>
          <w:iCs/>
        </w:rPr>
        <w:t>of gra</w:t>
      </w:r>
      <w:r w:rsidR="002467F8">
        <w:rPr>
          <w:iCs/>
        </w:rPr>
        <w:t>phic images that vary slightly. As with the variations in messages, w</w:t>
      </w:r>
      <w:r w:rsidR="00DD4C2C" w:rsidRPr="00B509E9">
        <w:rPr>
          <w:iCs/>
        </w:rPr>
        <w:t xml:space="preserve">e believe this approach will enable us to choose the </w:t>
      </w:r>
      <w:r w:rsidR="00DD4C2C">
        <w:rPr>
          <w:iCs/>
        </w:rPr>
        <w:t xml:space="preserve">combination of graphic elements that presents the concept of healthy eating most clearly. </w:t>
      </w:r>
    </w:p>
    <w:p w:rsidR="007C0F5C" w:rsidRDefault="007C0F5C" w:rsidP="00220390">
      <w:pPr>
        <w:ind w:left="360"/>
        <w:rPr>
          <w:sz w:val="24"/>
          <w:u w:val="single"/>
        </w:rPr>
      </w:pPr>
    </w:p>
    <w:p w:rsidR="007C0F5C" w:rsidRPr="009D631A" w:rsidRDefault="007C0F5C" w:rsidP="00220390">
      <w:pPr>
        <w:ind w:left="360"/>
        <w:rPr>
          <w:sz w:val="24"/>
          <w:u w:val="single"/>
        </w:rPr>
      </w:pPr>
      <w:r w:rsidRPr="009D631A">
        <w:rPr>
          <w:i/>
          <w:sz w:val="24"/>
        </w:rPr>
        <w:t>Procedures for Information Collection</w:t>
      </w:r>
      <w:r w:rsidRPr="009D631A">
        <w:rPr>
          <w:sz w:val="24"/>
        </w:rPr>
        <w:t>:</w:t>
      </w:r>
    </w:p>
    <w:p w:rsidR="007C0F5C" w:rsidRPr="00476CFB" w:rsidRDefault="007C0F5C" w:rsidP="00220390">
      <w:pPr>
        <w:ind w:left="360"/>
        <w:rPr>
          <w:sz w:val="24"/>
        </w:rPr>
      </w:pPr>
    </w:p>
    <w:p w:rsidR="007C0F5C" w:rsidRPr="00476CFB" w:rsidRDefault="007C0F5C" w:rsidP="00476CFB">
      <w:pPr>
        <w:ind w:left="360"/>
        <w:rPr>
          <w:sz w:val="24"/>
        </w:rPr>
      </w:pPr>
      <w:r w:rsidRPr="00476CFB">
        <w:rPr>
          <w:sz w:val="24"/>
        </w:rPr>
        <w:t>The survey will be 100% online. Participants will be selected from a pre-existing online Non-Volunteer Access Panel. The Panel consists of a sample of about 50,000 U.S. residents, ages 18 and older, including cell phone-only households. Children ages 10-13 are recruited from the households of Panel members, and their parents or legal guardians provide consent for their participation. The contractor will send an email to parents asking for their consent (see Attachment B). After consent is granted, the child will receive an email invitation to take the survey. If the child does not have an email address through which to receive the survey, the survey link will be emailed to the parent/legal guardian, who will be asked to hand off the survey to the child. The parent/legal guardian will be able to see what questions are being asked of their child.</w:t>
      </w:r>
    </w:p>
    <w:p w:rsidR="007C0F5C" w:rsidRDefault="007C0F5C" w:rsidP="00220390">
      <w:pPr>
        <w:ind w:left="360"/>
        <w:rPr>
          <w:bCs/>
          <w:i/>
          <w:sz w:val="24"/>
        </w:rPr>
      </w:pPr>
    </w:p>
    <w:p w:rsidR="007C0F5C" w:rsidRDefault="007C0F5C" w:rsidP="00220390">
      <w:pPr>
        <w:ind w:left="360"/>
        <w:rPr>
          <w:sz w:val="24"/>
        </w:rPr>
      </w:pPr>
      <w:r>
        <w:rPr>
          <w:sz w:val="24"/>
        </w:rPr>
        <w:t>The contractor has demographic information f</w:t>
      </w:r>
      <w:r w:rsidRPr="006C19AF">
        <w:rPr>
          <w:sz w:val="24"/>
        </w:rPr>
        <w:t xml:space="preserve">or all </w:t>
      </w:r>
      <w:r>
        <w:rPr>
          <w:sz w:val="24"/>
        </w:rPr>
        <w:t>P</w:t>
      </w:r>
      <w:r w:rsidRPr="006C19AF">
        <w:rPr>
          <w:sz w:val="24"/>
        </w:rPr>
        <w:t>anel members</w:t>
      </w:r>
      <w:r>
        <w:rPr>
          <w:sz w:val="24"/>
        </w:rPr>
        <w:t>, and will use this pre-existing data</w:t>
      </w:r>
      <w:r w:rsidRPr="006C19AF">
        <w:rPr>
          <w:sz w:val="24"/>
        </w:rPr>
        <w:t xml:space="preserve"> to </w:t>
      </w:r>
      <w:r>
        <w:rPr>
          <w:sz w:val="24"/>
        </w:rPr>
        <w:t xml:space="preserve">select participants </w:t>
      </w:r>
      <w:r w:rsidRPr="006C19AF">
        <w:rPr>
          <w:sz w:val="24"/>
        </w:rPr>
        <w:t xml:space="preserve">for </w:t>
      </w:r>
      <w:r>
        <w:rPr>
          <w:sz w:val="24"/>
        </w:rPr>
        <w:t xml:space="preserve">this study. </w:t>
      </w:r>
      <w:r w:rsidRPr="006C19AF">
        <w:rPr>
          <w:sz w:val="24"/>
        </w:rPr>
        <w:t xml:space="preserve"> </w:t>
      </w:r>
      <w:r>
        <w:rPr>
          <w:sz w:val="24"/>
        </w:rPr>
        <w:t xml:space="preserve">This </w:t>
      </w:r>
      <w:r w:rsidRPr="006C19AF">
        <w:rPr>
          <w:sz w:val="24"/>
        </w:rPr>
        <w:t xml:space="preserve">eliminates the need for </w:t>
      </w:r>
      <w:r>
        <w:rPr>
          <w:sz w:val="24"/>
        </w:rPr>
        <w:t>screening participants</w:t>
      </w:r>
      <w:r w:rsidRPr="006C19AF">
        <w:rPr>
          <w:sz w:val="24"/>
        </w:rPr>
        <w:t xml:space="preserve">. </w:t>
      </w:r>
      <w:r>
        <w:rPr>
          <w:sz w:val="24"/>
        </w:rPr>
        <w:t xml:space="preserve">Panel members who meet study criteria will receive a standard email invitation to participate (see Attachment A). As Panel members, they will have already received </w:t>
      </w:r>
      <w:r w:rsidRPr="009B1107">
        <w:rPr>
          <w:sz w:val="24"/>
        </w:rPr>
        <w:t>a copy of the Privacy and Term</w:t>
      </w:r>
      <w:r>
        <w:rPr>
          <w:sz w:val="24"/>
        </w:rPr>
        <w:t>s</w:t>
      </w:r>
      <w:r w:rsidRPr="009B1107">
        <w:rPr>
          <w:sz w:val="24"/>
        </w:rPr>
        <w:t xml:space="preserve"> of</w:t>
      </w:r>
      <w:r>
        <w:rPr>
          <w:sz w:val="24"/>
        </w:rPr>
        <w:t xml:space="preserve"> </w:t>
      </w:r>
      <w:r w:rsidRPr="009B1107">
        <w:rPr>
          <w:sz w:val="24"/>
        </w:rPr>
        <w:t>Use Policy</w:t>
      </w:r>
      <w:r>
        <w:rPr>
          <w:sz w:val="24"/>
        </w:rPr>
        <w:t xml:space="preserve"> (see Attachment C), which outlines </w:t>
      </w:r>
      <w:r w:rsidRPr="00FF6F6B">
        <w:rPr>
          <w:sz w:val="24"/>
        </w:rPr>
        <w:t>confidentiality, use of the data collected, voluntary participation</w:t>
      </w:r>
      <w:r>
        <w:rPr>
          <w:sz w:val="24"/>
        </w:rPr>
        <w:t>,</w:t>
      </w:r>
      <w:r w:rsidRPr="00FF6F6B">
        <w:rPr>
          <w:sz w:val="24"/>
        </w:rPr>
        <w:t xml:space="preserve"> and </w:t>
      </w:r>
      <w:r>
        <w:rPr>
          <w:sz w:val="24"/>
        </w:rPr>
        <w:t>the reassurance that there are no</w:t>
      </w:r>
      <w:r w:rsidRPr="00FF6F6B">
        <w:rPr>
          <w:sz w:val="24"/>
        </w:rPr>
        <w:t xml:space="preserve"> penalties </w:t>
      </w:r>
      <w:r>
        <w:rPr>
          <w:sz w:val="24"/>
        </w:rPr>
        <w:t>for</w:t>
      </w:r>
      <w:r w:rsidRPr="00FF6F6B">
        <w:rPr>
          <w:sz w:val="24"/>
        </w:rPr>
        <w:t xml:space="preserve"> opt</w:t>
      </w:r>
      <w:r>
        <w:rPr>
          <w:sz w:val="24"/>
        </w:rPr>
        <w:t>ing</w:t>
      </w:r>
      <w:r w:rsidRPr="00FF6F6B">
        <w:rPr>
          <w:sz w:val="24"/>
        </w:rPr>
        <w:t xml:space="preserve"> out</w:t>
      </w:r>
      <w:r>
        <w:rPr>
          <w:sz w:val="24"/>
        </w:rPr>
        <w:t xml:space="preserve"> of the survey</w:t>
      </w:r>
      <w:r w:rsidRPr="00FF6F6B">
        <w:rPr>
          <w:sz w:val="24"/>
        </w:rPr>
        <w:t xml:space="preserve">.  </w:t>
      </w:r>
    </w:p>
    <w:p w:rsidR="007C0F5C" w:rsidRDefault="007C0F5C" w:rsidP="00220390">
      <w:pPr>
        <w:ind w:left="360"/>
        <w:rPr>
          <w:sz w:val="24"/>
        </w:rPr>
      </w:pPr>
    </w:p>
    <w:p w:rsidR="007C0F5C" w:rsidRPr="00243E56" w:rsidRDefault="007C0F5C" w:rsidP="00220390">
      <w:pPr>
        <w:ind w:left="360"/>
        <w:rPr>
          <w:sz w:val="24"/>
        </w:rPr>
      </w:pPr>
      <w:r w:rsidRPr="00243E56">
        <w:rPr>
          <w:sz w:val="24"/>
          <w:u w:val="single"/>
        </w:rPr>
        <w:t>Target S</w:t>
      </w:r>
      <w:r>
        <w:rPr>
          <w:sz w:val="24"/>
          <w:u w:val="single"/>
        </w:rPr>
        <w:t>ub-G</w:t>
      </w:r>
      <w:r w:rsidRPr="00243E56">
        <w:rPr>
          <w:sz w:val="24"/>
          <w:u w:val="single"/>
        </w:rPr>
        <w:t>roups</w:t>
      </w:r>
      <w:r w:rsidRPr="00243E56">
        <w:rPr>
          <w:sz w:val="24"/>
        </w:rPr>
        <w:t>:</w:t>
      </w:r>
    </w:p>
    <w:p w:rsidR="007C0F5C" w:rsidRDefault="007C0F5C" w:rsidP="00220390">
      <w:pPr>
        <w:ind w:left="360"/>
        <w:rPr>
          <w:sz w:val="24"/>
        </w:rPr>
      </w:pPr>
    </w:p>
    <w:p w:rsidR="007C0F5C" w:rsidRDefault="007C0F5C" w:rsidP="00243E56">
      <w:pPr>
        <w:widowControl w:val="0"/>
        <w:numPr>
          <w:ilvl w:val="0"/>
          <w:numId w:val="11"/>
        </w:numPr>
        <w:tabs>
          <w:tab w:val="num" w:pos="360"/>
        </w:tabs>
        <w:overflowPunct/>
        <w:ind w:left="360"/>
        <w:textAlignment w:val="auto"/>
        <w:rPr>
          <w:sz w:val="24"/>
        </w:rPr>
      </w:pPr>
      <w:r w:rsidRPr="001362D5">
        <w:rPr>
          <w:sz w:val="24"/>
        </w:rPr>
        <w:t xml:space="preserve">As the DGA is intended for “healthy Americans two years of age and older,” we are including a </w:t>
      </w:r>
      <w:r>
        <w:rPr>
          <w:sz w:val="24"/>
        </w:rPr>
        <w:t xml:space="preserve">general </w:t>
      </w:r>
      <w:r w:rsidRPr="001362D5">
        <w:rPr>
          <w:sz w:val="24"/>
        </w:rPr>
        <w:t>sample of 2,000 adults, which will include</w:t>
      </w:r>
      <w:r>
        <w:rPr>
          <w:sz w:val="24"/>
        </w:rPr>
        <w:t xml:space="preserve"> a diverse mix of demographic factors. We also want to be certain that the DGA consumer messages resonate among adults with lower education levels and lower income levels. Therefore, we have included a sample of 1,000 adults with less than a high school degree, and 1,000 adults under 185% of the federal poverty level (FPL).</w:t>
      </w:r>
      <w:r>
        <w:rPr>
          <w:rStyle w:val="FootnoteReference"/>
          <w:sz w:val="24"/>
        </w:rPr>
        <w:footnoteReference w:id="2"/>
      </w:r>
      <w:r>
        <w:rPr>
          <w:sz w:val="24"/>
        </w:rPr>
        <w:t xml:space="preserve"> In addition, we have included a sample of 500 children ages 10-13, as we believe this age range represents a critical time when children are beginning to make their own food choices independent of their parents. The Panel is well-suited to meet the needs of the study, as </w:t>
      </w:r>
      <w:r w:rsidRPr="00BB78DD">
        <w:rPr>
          <w:sz w:val="24"/>
        </w:rPr>
        <w:t>it reduces reporting burden on the U.S. public by re-using previously consent</w:t>
      </w:r>
      <w:r>
        <w:rPr>
          <w:sz w:val="24"/>
        </w:rPr>
        <w:t>ed</w:t>
      </w:r>
      <w:r w:rsidRPr="00BB78DD">
        <w:rPr>
          <w:sz w:val="24"/>
        </w:rPr>
        <w:t xml:space="preserve"> sample and by elimination of re-asking previously asked survey questions</w:t>
      </w:r>
      <w:r>
        <w:rPr>
          <w:sz w:val="24"/>
        </w:rPr>
        <w:t xml:space="preserve">. The Panel also supports the targeting of populations that can be more difficult to reach, such as low-education adults, and </w:t>
      </w:r>
      <w:r w:rsidRPr="00511939">
        <w:rPr>
          <w:sz w:val="24"/>
        </w:rPr>
        <w:t>it includes sample coverage of non-Internet households.</w:t>
      </w:r>
      <w:r>
        <w:rPr>
          <w:sz w:val="24"/>
        </w:rPr>
        <w:t xml:space="preserve"> </w:t>
      </w:r>
      <w:r w:rsidRPr="001362D5">
        <w:rPr>
          <w:sz w:val="24"/>
        </w:rPr>
        <w:t xml:space="preserve"> </w:t>
      </w:r>
      <w:r w:rsidRPr="001362D5">
        <w:rPr>
          <w:rFonts w:ascii="Arial" w:hAnsi="Arial" w:cs="Arial"/>
          <w:sz w:val="24"/>
        </w:rPr>
        <w:t xml:space="preserve"> </w:t>
      </w:r>
      <w:r w:rsidRPr="001362D5">
        <w:rPr>
          <w:sz w:val="24"/>
        </w:rPr>
        <w:t xml:space="preserve"> </w:t>
      </w:r>
    </w:p>
    <w:p w:rsidR="007C0F5C" w:rsidRDefault="007C0F5C" w:rsidP="00243E56">
      <w:pPr>
        <w:pStyle w:val="ListParagraph"/>
        <w:numPr>
          <w:ilvl w:val="0"/>
          <w:numId w:val="0"/>
        </w:numPr>
        <w:ind w:left="360"/>
      </w:pPr>
    </w:p>
    <w:p w:rsidR="007C0F5C" w:rsidRPr="0034573E" w:rsidRDefault="007C0F5C" w:rsidP="0034573E">
      <w:pPr>
        <w:overflowPunct/>
        <w:autoSpaceDE/>
        <w:autoSpaceDN/>
        <w:adjustRightInd/>
        <w:ind w:left="360"/>
        <w:textAlignment w:val="auto"/>
        <w:rPr>
          <w:sz w:val="24"/>
        </w:rPr>
      </w:pPr>
      <w:r w:rsidRPr="0034573E">
        <w:rPr>
          <w:sz w:val="24"/>
        </w:rPr>
        <w:t>A separate data tabulation and summary will be developed for each of the following segments:</w:t>
      </w:r>
    </w:p>
    <w:p w:rsidR="007C0F5C" w:rsidRPr="0034573E" w:rsidRDefault="007C0F5C" w:rsidP="006F5CD2">
      <w:pPr>
        <w:pStyle w:val="ListParagraph"/>
        <w:numPr>
          <w:ilvl w:val="0"/>
          <w:numId w:val="24"/>
        </w:numPr>
      </w:pPr>
      <w:r w:rsidRPr="0034573E">
        <w:t>General adult population ages 18+</w:t>
      </w:r>
    </w:p>
    <w:p w:rsidR="007C0F5C" w:rsidRPr="0034573E" w:rsidRDefault="007C0F5C" w:rsidP="006F5CD2">
      <w:pPr>
        <w:pStyle w:val="ListParagraph"/>
        <w:numPr>
          <w:ilvl w:val="0"/>
          <w:numId w:val="24"/>
        </w:numPr>
      </w:pPr>
      <w:r w:rsidRPr="0034573E">
        <w:t>Adults under 185% of the federal poverty level</w:t>
      </w:r>
    </w:p>
    <w:p w:rsidR="007C0F5C" w:rsidRPr="0034573E" w:rsidRDefault="007C0F5C" w:rsidP="006F5CD2">
      <w:pPr>
        <w:pStyle w:val="ListParagraph"/>
        <w:numPr>
          <w:ilvl w:val="0"/>
          <w:numId w:val="24"/>
        </w:numPr>
        <w:rPr>
          <w:bCs/>
        </w:rPr>
      </w:pPr>
      <w:r w:rsidRPr="0034573E">
        <w:rPr>
          <w:bCs/>
        </w:rPr>
        <w:t>Adults with less than high school graduate education</w:t>
      </w:r>
    </w:p>
    <w:p w:rsidR="007C0F5C" w:rsidRPr="0034573E" w:rsidRDefault="007C0F5C" w:rsidP="006F5CD2">
      <w:pPr>
        <w:pStyle w:val="ListParagraph"/>
        <w:numPr>
          <w:ilvl w:val="0"/>
          <w:numId w:val="24"/>
        </w:numPr>
      </w:pPr>
      <w:r w:rsidRPr="0034573E">
        <w:rPr>
          <w:bCs/>
        </w:rPr>
        <w:t>Children ages 10-13</w:t>
      </w:r>
    </w:p>
    <w:p w:rsidR="007C0F5C" w:rsidRPr="00FF6F6B" w:rsidRDefault="007C0F5C" w:rsidP="00220390">
      <w:pPr>
        <w:ind w:left="360"/>
        <w:rPr>
          <w:sz w:val="24"/>
        </w:rPr>
      </w:pPr>
    </w:p>
    <w:p w:rsidR="007C0F5C" w:rsidRPr="00814B15" w:rsidRDefault="007C0F5C" w:rsidP="00220390">
      <w:pPr>
        <w:autoSpaceDE/>
        <w:autoSpaceDN/>
        <w:adjustRightInd/>
        <w:ind w:left="360"/>
        <w:rPr>
          <w:sz w:val="24"/>
        </w:rPr>
      </w:pPr>
      <w:r w:rsidRPr="00814B15">
        <w:rPr>
          <w:i/>
          <w:sz w:val="24"/>
        </w:rPr>
        <w:t>Response Rate</w:t>
      </w:r>
      <w:r w:rsidRPr="00814B15">
        <w:rPr>
          <w:sz w:val="24"/>
        </w:rPr>
        <w:t>:</w:t>
      </w:r>
    </w:p>
    <w:p w:rsidR="007C0F5C" w:rsidRPr="002F1E18" w:rsidRDefault="007C0F5C" w:rsidP="00220390">
      <w:pPr>
        <w:ind w:left="360"/>
        <w:rPr>
          <w:sz w:val="24"/>
        </w:rPr>
      </w:pPr>
    </w:p>
    <w:p w:rsidR="007C0F5C" w:rsidRPr="002F1E18" w:rsidRDefault="007C0F5C" w:rsidP="002F1E18">
      <w:pPr>
        <w:ind w:left="360"/>
        <w:rPr>
          <w:sz w:val="24"/>
        </w:rPr>
      </w:pPr>
      <w:r>
        <w:rPr>
          <w:sz w:val="24"/>
        </w:rPr>
        <w:t>The vendor’s</w:t>
      </w:r>
      <w:r w:rsidRPr="002F1E18">
        <w:rPr>
          <w:sz w:val="24"/>
        </w:rPr>
        <w:t xml:space="preserve"> best practices for maximizing the within-panel survey cooperation rate will be employed to yield a survey completion rate of 75% or higher.</w:t>
      </w:r>
    </w:p>
    <w:p w:rsidR="007C0F5C" w:rsidRPr="002F1E18" w:rsidRDefault="007C0F5C" w:rsidP="002F1E18">
      <w:pPr>
        <w:numPr>
          <w:ilvl w:val="1"/>
          <w:numId w:val="18"/>
        </w:numPr>
        <w:overflowPunct/>
        <w:autoSpaceDE/>
        <w:autoSpaceDN/>
        <w:adjustRightInd/>
        <w:textAlignment w:val="auto"/>
        <w:rPr>
          <w:sz w:val="24"/>
        </w:rPr>
      </w:pPr>
      <w:r w:rsidRPr="002F1E18">
        <w:rPr>
          <w:sz w:val="24"/>
        </w:rPr>
        <w:t>Pre-notification email sent to sampled respondents 2-3 days before sending the actual survey invitation;</w:t>
      </w:r>
    </w:p>
    <w:p w:rsidR="007C0F5C" w:rsidRPr="002F1E18" w:rsidRDefault="007C0F5C" w:rsidP="002F1E18">
      <w:pPr>
        <w:numPr>
          <w:ilvl w:val="1"/>
          <w:numId w:val="18"/>
        </w:numPr>
        <w:overflowPunct/>
        <w:autoSpaceDE/>
        <w:autoSpaceDN/>
        <w:adjustRightInd/>
        <w:textAlignment w:val="auto"/>
        <w:rPr>
          <w:sz w:val="24"/>
        </w:rPr>
      </w:pPr>
      <w:r w:rsidRPr="002F1E18">
        <w:rPr>
          <w:sz w:val="24"/>
        </w:rPr>
        <w:t>Two to three weeks of survey data collection field period;</w:t>
      </w:r>
    </w:p>
    <w:p w:rsidR="007C0F5C" w:rsidRDefault="007C0F5C" w:rsidP="002F1E18">
      <w:pPr>
        <w:numPr>
          <w:ilvl w:val="1"/>
          <w:numId w:val="18"/>
        </w:numPr>
        <w:overflowPunct/>
        <w:autoSpaceDE/>
        <w:autoSpaceDN/>
        <w:adjustRightInd/>
        <w:textAlignment w:val="auto"/>
        <w:rPr>
          <w:sz w:val="24"/>
        </w:rPr>
      </w:pPr>
      <w:r w:rsidRPr="002F1E18">
        <w:rPr>
          <w:sz w:val="24"/>
        </w:rPr>
        <w:t>Include cash-equivalent incentives of $5 for longer surveys (25 minutes or longer);</w:t>
      </w:r>
      <w:r>
        <w:rPr>
          <w:sz w:val="24"/>
        </w:rPr>
        <w:t xml:space="preserve"> and</w:t>
      </w:r>
      <w:r w:rsidRPr="002F1E18">
        <w:rPr>
          <w:sz w:val="24"/>
        </w:rPr>
        <w:t xml:space="preserve">  </w:t>
      </w:r>
    </w:p>
    <w:p w:rsidR="007C0F5C" w:rsidRDefault="007C0F5C" w:rsidP="00EF1497">
      <w:pPr>
        <w:numPr>
          <w:ilvl w:val="1"/>
          <w:numId w:val="18"/>
        </w:numPr>
        <w:overflowPunct/>
        <w:autoSpaceDE/>
        <w:autoSpaceDN/>
        <w:adjustRightInd/>
        <w:textAlignment w:val="auto"/>
        <w:rPr>
          <w:sz w:val="24"/>
        </w:rPr>
      </w:pPr>
      <w:r w:rsidRPr="002F1E18">
        <w:rPr>
          <w:sz w:val="24"/>
        </w:rPr>
        <w:t>Use of email reminders and telephone-based reminder calls for non-responders</w:t>
      </w:r>
      <w:r>
        <w:rPr>
          <w:sz w:val="24"/>
        </w:rPr>
        <w:t>.</w:t>
      </w:r>
    </w:p>
    <w:p w:rsidR="007C0F5C" w:rsidRDefault="007C0F5C" w:rsidP="00EF1497">
      <w:pPr>
        <w:overflowPunct/>
        <w:autoSpaceDE/>
        <w:autoSpaceDN/>
        <w:adjustRightInd/>
        <w:textAlignment w:val="auto"/>
        <w:rPr>
          <w:sz w:val="24"/>
        </w:rPr>
      </w:pPr>
    </w:p>
    <w:p w:rsidR="007C0F5C" w:rsidRPr="00EF1497" w:rsidRDefault="007C0F5C" w:rsidP="00D770CC">
      <w:pPr>
        <w:overflowPunct/>
        <w:autoSpaceDE/>
        <w:autoSpaceDN/>
        <w:adjustRightInd/>
        <w:ind w:left="720"/>
        <w:textAlignment w:val="auto"/>
        <w:rPr>
          <w:sz w:val="24"/>
        </w:rPr>
      </w:pPr>
      <w:r w:rsidRPr="00EF1497">
        <w:rPr>
          <w:sz w:val="24"/>
        </w:rPr>
        <w:t xml:space="preserve">As reported in </w:t>
      </w:r>
      <w:r w:rsidRPr="00EF1497">
        <w:rPr>
          <w:i/>
          <w:sz w:val="24"/>
        </w:rPr>
        <w:t>Public Opinion Quarterly</w:t>
      </w:r>
      <w:r w:rsidRPr="00EF1497">
        <w:rPr>
          <w:sz w:val="24"/>
        </w:rPr>
        <w:t xml:space="preserve"> in the </w:t>
      </w:r>
      <w:proofErr w:type="spellStart"/>
      <w:r w:rsidRPr="00EF1497">
        <w:rPr>
          <w:sz w:val="24"/>
        </w:rPr>
        <w:t>Callegaro</w:t>
      </w:r>
      <w:proofErr w:type="spellEnd"/>
      <w:r w:rsidRPr="00EF1497">
        <w:rPr>
          <w:sz w:val="24"/>
        </w:rPr>
        <w:t xml:space="preserve"> and </w:t>
      </w:r>
      <w:proofErr w:type="spellStart"/>
      <w:r w:rsidRPr="00EF1497">
        <w:rPr>
          <w:sz w:val="24"/>
        </w:rPr>
        <w:t>DiSogra</w:t>
      </w:r>
      <w:proofErr w:type="spellEnd"/>
      <w:r w:rsidRPr="00EF1497">
        <w:rPr>
          <w:sz w:val="24"/>
        </w:rPr>
        <w:t xml:space="preserve"> (2008) article</w:t>
      </w:r>
      <w:r>
        <w:rPr>
          <w:rStyle w:val="FootnoteReference"/>
          <w:sz w:val="24"/>
        </w:rPr>
        <w:footnoteReference w:id="3"/>
      </w:r>
      <w:r w:rsidRPr="00EF1497">
        <w:rPr>
          <w:sz w:val="24"/>
        </w:rPr>
        <w:t>, the AAPOR cumulative response taking into account all phases of panel recruitment, profiling, and survey participation is approximately 10%.  The covered population for the panel recruitment is approximately 97% of the U.S. population as a result o</w:t>
      </w:r>
      <w:r>
        <w:rPr>
          <w:sz w:val="24"/>
        </w:rPr>
        <w:t>f the use of the ABS sampling. </w:t>
      </w:r>
      <w:r w:rsidRPr="00EF1497">
        <w:rPr>
          <w:sz w:val="24"/>
        </w:rPr>
        <w:t>The uncovered population consists of person</w:t>
      </w:r>
      <w:r>
        <w:rPr>
          <w:sz w:val="24"/>
        </w:rPr>
        <w:t>s</w:t>
      </w:r>
      <w:r w:rsidRPr="00EF1497">
        <w:rPr>
          <w:sz w:val="24"/>
        </w:rPr>
        <w:t xml:space="preserve"> with post office boxes and rural route addresses; business and institutional addresses (i.e., dormitories, nursing homes, group homes, jails, etc.); military housing; and multi-dwelling residential structures that have only a single address (called a drop point address) and for which there is no unit-level identifying information (mail is internally distributed).  </w:t>
      </w:r>
    </w:p>
    <w:p w:rsidR="007C0F5C" w:rsidRPr="002F1E18" w:rsidRDefault="007C0F5C" w:rsidP="002F1E18">
      <w:pPr>
        <w:ind w:left="360"/>
        <w:rPr>
          <w:sz w:val="24"/>
        </w:rPr>
      </w:pPr>
    </w:p>
    <w:p w:rsidR="007C0F5C" w:rsidRDefault="007C0F5C" w:rsidP="00220390">
      <w:pPr>
        <w:ind w:left="360"/>
        <w:rPr>
          <w:bCs/>
          <w:i/>
          <w:sz w:val="24"/>
        </w:rPr>
      </w:pPr>
      <w:r w:rsidRPr="00DA32CE">
        <w:rPr>
          <w:bCs/>
          <w:i/>
          <w:sz w:val="24"/>
        </w:rPr>
        <w:t>Incentives for Participants and Burden:</w:t>
      </w:r>
    </w:p>
    <w:p w:rsidR="007C0F5C" w:rsidRPr="00DA32CE" w:rsidRDefault="007C0F5C" w:rsidP="00220390">
      <w:pPr>
        <w:ind w:left="360"/>
        <w:rPr>
          <w:bCs/>
          <w:i/>
          <w:sz w:val="24"/>
        </w:rPr>
      </w:pPr>
    </w:p>
    <w:p w:rsidR="007C0F5C" w:rsidRPr="00B02F1C" w:rsidRDefault="007C0F5C" w:rsidP="00B02F1C">
      <w:pPr>
        <w:pStyle w:val="CommentText"/>
        <w:ind w:left="360"/>
        <w:rPr>
          <w:sz w:val="24"/>
        </w:rPr>
      </w:pPr>
      <w:r w:rsidRPr="00B02F1C">
        <w:rPr>
          <w:sz w:val="24"/>
        </w:rPr>
        <w:t xml:space="preserve">Participants receive an incentive for participating in the panel. In addition, toward the end of the field period, an email will be sent to the remaining non-responders promising a $5 cash-equivalent incentive for survey participation, in order to maximize the survey cooperation rate. The parent or legal guardian that is a member of the KN panel and related to the child study participant will be given </w:t>
      </w:r>
      <w:proofErr w:type="gramStart"/>
      <w:r w:rsidRPr="00B02F1C">
        <w:rPr>
          <w:sz w:val="24"/>
        </w:rPr>
        <w:t>points</w:t>
      </w:r>
      <w:proofErr w:type="gramEnd"/>
      <w:r>
        <w:rPr>
          <w:sz w:val="24"/>
        </w:rPr>
        <w:t xml:space="preserve"> </w:t>
      </w:r>
      <w:r w:rsidRPr="00B02F1C">
        <w:rPr>
          <w:sz w:val="24"/>
        </w:rPr>
        <w:t>equiva</w:t>
      </w:r>
      <w:r>
        <w:rPr>
          <w:sz w:val="24"/>
        </w:rPr>
        <w:t>lent to five dollars in value. </w:t>
      </w:r>
      <w:r w:rsidRPr="00B02F1C">
        <w:rPr>
          <w:sz w:val="24"/>
        </w:rPr>
        <w:t>These points can be later redeemed by the panelists for cash or various other incentive choices.</w:t>
      </w:r>
    </w:p>
    <w:p w:rsidR="007C0F5C" w:rsidRDefault="007C0F5C" w:rsidP="00220390">
      <w:pPr>
        <w:ind w:left="360"/>
        <w:rPr>
          <w:sz w:val="24"/>
        </w:rPr>
      </w:pPr>
      <w:r>
        <w:rPr>
          <w:sz w:val="24"/>
        </w:rPr>
        <w:t xml:space="preserve"> </w:t>
      </w:r>
    </w:p>
    <w:p w:rsidR="007C0F5C" w:rsidRDefault="007C0F5C" w:rsidP="008E282C">
      <w:pPr>
        <w:ind w:left="360"/>
        <w:rPr>
          <w:sz w:val="24"/>
        </w:rPr>
      </w:pPr>
      <w:r w:rsidRPr="00DA32CE">
        <w:rPr>
          <w:sz w:val="24"/>
        </w:rPr>
        <w:t>Steps are taken to ensure that panel members are not overburdened with survey requests.</w:t>
      </w:r>
      <w:r>
        <w:rPr>
          <w:sz w:val="24"/>
        </w:rPr>
        <w:t xml:space="preserve"> </w:t>
      </w:r>
      <w:r w:rsidRPr="00DA32CE">
        <w:rPr>
          <w:sz w:val="24"/>
        </w:rPr>
        <w:t xml:space="preserve">The primary sampling rule is to assign no more than one survey </w:t>
      </w:r>
      <w:r>
        <w:rPr>
          <w:sz w:val="24"/>
        </w:rPr>
        <w:t xml:space="preserve">per week to members. </w:t>
      </w:r>
      <w:r w:rsidRPr="00DA32CE">
        <w:rPr>
          <w:sz w:val="24"/>
        </w:rPr>
        <w:t>This level</w:t>
      </w:r>
      <w:r>
        <w:rPr>
          <w:sz w:val="24"/>
        </w:rPr>
        <w:t xml:space="preserve"> </w:t>
      </w:r>
      <w:r w:rsidRPr="00DA32CE">
        <w:rPr>
          <w:sz w:val="24"/>
        </w:rPr>
        <w:t xml:space="preserve">of survey frequency helps to keep panelists engaged as part of the panel. </w:t>
      </w:r>
    </w:p>
    <w:p w:rsidR="007C0F5C" w:rsidRDefault="007C0F5C" w:rsidP="008E282C">
      <w:pPr>
        <w:ind w:left="360"/>
        <w:rPr>
          <w:bCs/>
          <w:i/>
          <w:sz w:val="24"/>
        </w:rPr>
      </w:pPr>
    </w:p>
    <w:p w:rsidR="007C0F5C" w:rsidRPr="008E282C" w:rsidRDefault="007C0F5C" w:rsidP="008E282C">
      <w:pPr>
        <w:ind w:left="360"/>
        <w:rPr>
          <w:sz w:val="24"/>
        </w:rPr>
      </w:pPr>
      <w:r>
        <w:rPr>
          <w:bCs/>
          <w:i/>
          <w:sz w:val="24"/>
        </w:rPr>
        <w:t xml:space="preserve">Non-response Analysis: </w:t>
      </w:r>
    </w:p>
    <w:p w:rsidR="007C0F5C" w:rsidRDefault="007C0F5C" w:rsidP="00220390">
      <w:pPr>
        <w:ind w:left="360"/>
        <w:rPr>
          <w:i/>
          <w:sz w:val="24"/>
        </w:rPr>
      </w:pPr>
    </w:p>
    <w:p w:rsidR="007C0F5C" w:rsidRPr="00FE75E8" w:rsidRDefault="007C0F5C" w:rsidP="00FE75E8">
      <w:pPr>
        <w:overflowPunct/>
        <w:autoSpaceDE/>
        <w:autoSpaceDN/>
        <w:adjustRightInd/>
        <w:ind w:firstLine="360"/>
        <w:textAlignment w:val="auto"/>
        <w:rPr>
          <w:sz w:val="24"/>
        </w:rPr>
      </w:pPr>
      <w:r w:rsidRPr="00FE75E8">
        <w:rPr>
          <w:sz w:val="24"/>
        </w:rPr>
        <w:t>The vendor’s non-response bias measurement includes:</w:t>
      </w:r>
    </w:p>
    <w:p w:rsidR="007C0F5C" w:rsidRPr="00FE75E8" w:rsidRDefault="007C0F5C" w:rsidP="00FE75E8">
      <w:pPr>
        <w:numPr>
          <w:ilvl w:val="0"/>
          <w:numId w:val="18"/>
        </w:numPr>
        <w:overflowPunct/>
        <w:autoSpaceDE/>
        <w:autoSpaceDN/>
        <w:adjustRightInd/>
        <w:textAlignment w:val="auto"/>
        <w:rPr>
          <w:sz w:val="24"/>
        </w:rPr>
      </w:pPr>
      <w:r w:rsidRPr="00FE75E8">
        <w:rPr>
          <w:sz w:val="24"/>
        </w:rPr>
        <w:t xml:space="preserve">Statistical comparison of demographic and household characteristics </w:t>
      </w:r>
      <w:r>
        <w:rPr>
          <w:sz w:val="24"/>
        </w:rPr>
        <w:t>in two groups: </w:t>
      </w:r>
      <w:r w:rsidRPr="00FE75E8">
        <w:rPr>
          <w:sz w:val="24"/>
        </w:rPr>
        <w:t>the sample frame from which the panel recruitment sample was sourced; and actual survey participants, using ancillary data on person-level and household-level characteristics that are available for units from the sample frame</w:t>
      </w:r>
      <w:r>
        <w:rPr>
          <w:sz w:val="24"/>
        </w:rPr>
        <w:t xml:space="preserve"> (for the general sample of 2,000 adults)</w:t>
      </w:r>
      <w:r w:rsidRPr="00FE75E8">
        <w:rPr>
          <w:sz w:val="24"/>
        </w:rPr>
        <w:t>.</w:t>
      </w:r>
    </w:p>
    <w:p w:rsidR="007C0F5C" w:rsidRPr="00FE75E8" w:rsidRDefault="007C0F5C" w:rsidP="00FE75E8">
      <w:pPr>
        <w:numPr>
          <w:ilvl w:val="0"/>
          <w:numId w:val="18"/>
        </w:numPr>
        <w:overflowPunct/>
        <w:autoSpaceDE/>
        <w:autoSpaceDN/>
        <w:adjustRightInd/>
        <w:textAlignment w:val="auto"/>
        <w:rPr>
          <w:sz w:val="24"/>
        </w:rPr>
      </w:pPr>
      <w:r w:rsidRPr="00FE75E8">
        <w:rPr>
          <w:sz w:val="24"/>
        </w:rPr>
        <w:t>Statistical comparison of demographic and household characteristics of the panelists participating in the survey versus the non-responders to identify any systematic within-panel self-selection effects.</w:t>
      </w:r>
    </w:p>
    <w:p w:rsidR="007C0F5C" w:rsidRPr="00FE75E8" w:rsidRDefault="007C0F5C" w:rsidP="00FE75E8">
      <w:pPr>
        <w:numPr>
          <w:ilvl w:val="0"/>
          <w:numId w:val="18"/>
        </w:numPr>
        <w:overflowPunct/>
        <w:autoSpaceDE/>
        <w:autoSpaceDN/>
        <w:adjustRightInd/>
        <w:textAlignment w:val="auto"/>
        <w:rPr>
          <w:sz w:val="24"/>
        </w:rPr>
      </w:pPr>
      <w:r w:rsidRPr="00FE75E8">
        <w:rPr>
          <w:sz w:val="24"/>
        </w:rPr>
        <w:t xml:space="preserve">Benchmarking panel survey estimates by placing benchmarking survey questions on the panel survey instrument, and comparing the survey estimates to benchmarks from gold-standard surveys (e.g., NHIS, GSS, SIPP, etc); the selection of the survey questions should be informed by a theory that the survey measures are related to the study topics of interest (e.g., political ideology measure in a study on attitudes towards an government regulation of an environmental good).    </w:t>
      </w:r>
    </w:p>
    <w:p w:rsidR="007C0F5C" w:rsidRDefault="007C0F5C" w:rsidP="00220390">
      <w:pPr>
        <w:ind w:left="360"/>
        <w:rPr>
          <w:i/>
          <w:sz w:val="24"/>
        </w:rPr>
      </w:pPr>
    </w:p>
    <w:p w:rsidR="007C0F5C" w:rsidRDefault="007C0F5C" w:rsidP="00220390">
      <w:pPr>
        <w:ind w:left="360"/>
        <w:rPr>
          <w:sz w:val="24"/>
        </w:rPr>
      </w:pPr>
      <w:r w:rsidRPr="009B1107">
        <w:rPr>
          <w:i/>
          <w:sz w:val="24"/>
        </w:rPr>
        <w:t>Confidentiality</w:t>
      </w:r>
      <w:r>
        <w:rPr>
          <w:i/>
          <w:sz w:val="24"/>
        </w:rPr>
        <w:t>, Privacy and Opt-In Details</w:t>
      </w:r>
      <w:r>
        <w:rPr>
          <w:sz w:val="24"/>
        </w:rPr>
        <w:t>:</w:t>
      </w:r>
    </w:p>
    <w:p w:rsidR="007C0F5C" w:rsidRDefault="007C0F5C" w:rsidP="00220390">
      <w:pPr>
        <w:ind w:left="360"/>
        <w:rPr>
          <w:sz w:val="24"/>
        </w:rPr>
      </w:pPr>
    </w:p>
    <w:p w:rsidR="007C0F5C" w:rsidRDefault="007C0F5C" w:rsidP="00220390">
      <w:pPr>
        <w:ind w:left="360"/>
        <w:rPr>
          <w:sz w:val="24"/>
        </w:rPr>
      </w:pPr>
      <w:r w:rsidRPr="009B1107">
        <w:rPr>
          <w:sz w:val="24"/>
        </w:rPr>
        <w:t>Participation in research</w:t>
      </w:r>
      <w:r>
        <w:rPr>
          <w:sz w:val="24"/>
        </w:rPr>
        <w:t xml:space="preserve"> </w:t>
      </w:r>
      <w:r w:rsidRPr="009B1107">
        <w:rPr>
          <w:sz w:val="24"/>
        </w:rPr>
        <w:t xml:space="preserve">is voluntary at the time that respondents are asked to join the panel, </w:t>
      </w:r>
      <w:r>
        <w:rPr>
          <w:sz w:val="24"/>
        </w:rPr>
        <w:t>a</w:t>
      </w:r>
      <w:r w:rsidRPr="009B1107">
        <w:rPr>
          <w:sz w:val="24"/>
        </w:rPr>
        <w:t>t the time they</w:t>
      </w:r>
      <w:r>
        <w:rPr>
          <w:sz w:val="24"/>
        </w:rPr>
        <w:t xml:space="preserve"> </w:t>
      </w:r>
      <w:r w:rsidRPr="009B1107">
        <w:rPr>
          <w:sz w:val="24"/>
        </w:rPr>
        <w:t>are asked to participate in a survey, and at the time they answer any given</w:t>
      </w:r>
      <w:r>
        <w:rPr>
          <w:sz w:val="24"/>
        </w:rPr>
        <w:t xml:space="preserve"> </w:t>
      </w:r>
      <w:r w:rsidRPr="009B1107">
        <w:rPr>
          <w:sz w:val="24"/>
        </w:rPr>
        <w:t xml:space="preserve">question in a survey. </w:t>
      </w:r>
      <w:r>
        <w:rPr>
          <w:sz w:val="24"/>
        </w:rPr>
        <w:t>P</w:t>
      </w:r>
      <w:r w:rsidRPr="009B1107">
        <w:rPr>
          <w:sz w:val="24"/>
        </w:rPr>
        <w:t>anelists are not coerced to participate in any research and</w:t>
      </w:r>
      <w:r>
        <w:rPr>
          <w:sz w:val="24"/>
        </w:rPr>
        <w:t xml:space="preserve"> </w:t>
      </w:r>
      <w:r w:rsidRPr="009B1107">
        <w:rPr>
          <w:sz w:val="24"/>
        </w:rPr>
        <w:t>are not removed from the panel as a result of failure to participate in any particular</w:t>
      </w:r>
      <w:r>
        <w:rPr>
          <w:sz w:val="24"/>
        </w:rPr>
        <w:t xml:space="preserve"> </w:t>
      </w:r>
      <w:r w:rsidRPr="009B1107">
        <w:rPr>
          <w:sz w:val="24"/>
        </w:rPr>
        <w:t xml:space="preserve">survey project or program of studies. </w:t>
      </w:r>
      <w:r>
        <w:rPr>
          <w:sz w:val="24"/>
        </w:rPr>
        <w:t>P</w:t>
      </w:r>
      <w:r w:rsidRPr="009B1107">
        <w:rPr>
          <w:sz w:val="24"/>
        </w:rPr>
        <w:t>anelists have the option to ‘opt-out’ of the</w:t>
      </w:r>
      <w:r>
        <w:rPr>
          <w:sz w:val="24"/>
        </w:rPr>
        <w:t xml:space="preserve"> </w:t>
      </w:r>
      <w:r w:rsidRPr="009B1107">
        <w:rPr>
          <w:sz w:val="24"/>
        </w:rPr>
        <w:t xml:space="preserve">panel at any time by notifying </w:t>
      </w:r>
      <w:r>
        <w:rPr>
          <w:sz w:val="24"/>
        </w:rPr>
        <w:t>the contractor</w:t>
      </w:r>
      <w:r w:rsidRPr="009B1107">
        <w:rPr>
          <w:sz w:val="24"/>
        </w:rPr>
        <w:t xml:space="preserve">. </w:t>
      </w:r>
      <w:r>
        <w:rPr>
          <w:sz w:val="24"/>
        </w:rPr>
        <w:t>The contractor</w:t>
      </w:r>
      <w:r w:rsidRPr="009B1107">
        <w:rPr>
          <w:sz w:val="24"/>
        </w:rPr>
        <w:t xml:space="preserve"> maintains a</w:t>
      </w:r>
      <w:r>
        <w:rPr>
          <w:sz w:val="24"/>
        </w:rPr>
        <w:t xml:space="preserve"> </w:t>
      </w:r>
      <w:r w:rsidRPr="009B1107">
        <w:rPr>
          <w:sz w:val="24"/>
        </w:rPr>
        <w:t>toll-free phone number and its own call-center panel management facility to receive</w:t>
      </w:r>
      <w:r>
        <w:rPr>
          <w:sz w:val="24"/>
        </w:rPr>
        <w:t xml:space="preserve"> </w:t>
      </w:r>
      <w:r w:rsidRPr="009B1107">
        <w:rPr>
          <w:sz w:val="24"/>
        </w:rPr>
        <w:t>requests for information and action from panelists.</w:t>
      </w:r>
    </w:p>
    <w:p w:rsidR="007C0F5C" w:rsidRDefault="007C0F5C" w:rsidP="00220390">
      <w:pPr>
        <w:ind w:left="360"/>
        <w:rPr>
          <w:sz w:val="24"/>
        </w:rPr>
      </w:pPr>
    </w:p>
    <w:p w:rsidR="007C0F5C" w:rsidRPr="009B1107" w:rsidRDefault="007C0F5C" w:rsidP="00220390">
      <w:pPr>
        <w:ind w:left="360"/>
        <w:rPr>
          <w:sz w:val="24"/>
        </w:rPr>
      </w:pPr>
      <w:r w:rsidRPr="00593700">
        <w:rPr>
          <w:sz w:val="24"/>
        </w:rPr>
        <w:t xml:space="preserve">The survey data are </w:t>
      </w:r>
      <w:proofErr w:type="spellStart"/>
      <w:r w:rsidRPr="00593700">
        <w:rPr>
          <w:sz w:val="24"/>
        </w:rPr>
        <w:t>anonymized</w:t>
      </w:r>
      <w:proofErr w:type="spellEnd"/>
      <w:r w:rsidRPr="00593700">
        <w:rPr>
          <w:sz w:val="24"/>
        </w:rPr>
        <w:t xml:space="preserve"> </w:t>
      </w:r>
      <w:r>
        <w:rPr>
          <w:sz w:val="24"/>
        </w:rPr>
        <w:t>prior</w:t>
      </w:r>
      <w:r w:rsidRPr="00593700">
        <w:rPr>
          <w:sz w:val="24"/>
        </w:rPr>
        <w:t xml:space="preserve"> to the actual collection of the survey data.  The survey data and personally identifying information are never </w:t>
      </w:r>
      <w:r w:rsidR="0002455A">
        <w:rPr>
          <w:sz w:val="24"/>
        </w:rPr>
        <w:t>matched or collected simultaneously</w:t>
      </w:r>
      <w:r w:rsidRPr="00593700">
        <w:rPr>
          <w:sz w:val="24"/>
        </w:rPr>
        <w:t xml:space="preserve">.  The project research </w:t>
      </w:r>
      <w:proofErr w:type="gramStart"/>
      <w:r w:rsidRPr="00593700">
        <w:rPr>
          <w:sz w:val="24"/>
        </w:rPr>
        <w:t>staff at Knowledge Networks do</w:t>
      </w:r>
      <w:proofErr w:type="gramEnd"/>
      <w:r w:rsidRPr="00593700">
        <w:rPr>
          <w:sz w:val="24"/>
        </w:rPr>
        <w:t xml:space="preserve"> not have access to the PII of KN panelists.</w:t>
      </w:r>
      <w:r w:rsidRPr="009B1107">
        <w:rPr>
          <w:sz w:val="24"/>
        </w:rPr>
        <w:t xml:space="preserve"> Surveys are self-administered and accessible any time of day for a</w:t>
      </w:r>
      <w:r>
        <w:rPr>
          <w:sz w:val="24"/>
        </w:rPr>
        <w:t xml:space="preserve"> </w:t>
      </w:r>
      <w:r w:rsidRPr="009B1107">
        <w:rPr>
          <w:sz w:val="24"/>
        </w:rPr>
        <w:t>designated period. Participants can complete a survey only once. Members may</w:t>
      </w:r>
      <w:r>
        <w:rPr>
          <w:sz w:val="24"/>
        </w:rPr>
        <w:t xml:space="preserve"> </w:t>
      </w:r>
      <w:r w:rsidRPr="009B1107">
        <w:rPr>
          <w:sz w:val="24"/>
        </w:rPr>
        <w:t>leave the panel at any time.</w:t>
      </w:r>
      <w:r>
        <w:rPr>
          <w:sz w:val="24"/>
        </w:rPr>
        <w:t xml:space="preserve"> </w:t>
      </w:r>
      <w:r w:rsidRPr="009B1107">
        <w:rPr>
          <w:sz w:val="24"/>
        </w:rPr>
        <w:t xml:space="preserve">All </w:t>
      </w:r>
      <w:r>
        <w:rPr>
          <w:sz w:val="24"/>
        </w:rPr>
        <w:t>P</w:t>
      </w:r>
      <w:r w:rsidRPr="009B1107">
        <w:rPr>
          <w:sz w:val="24"/>
        </w:rPr>
        <w:t>anelists, when joining the panel, are given a copy of the Privacy and Term of</w:t>
      </w:r>
      <w:r>
        <w:rPr>
          <w:sz w:val="24"/>
        </w:rPr>
        <w:t xml:space="preserve"> </w:t>
      </w:r>
      <w:r w:rsidRPr="009B1107">
        <w:rPr>
          <w:sz w:val="24"/>
        </w:rPr>
        <w:t>Use Policy</w:t>
      </w:r>
      <w:r>
        <w:rPr>
          <w:sz w:val="24"/>
        </w:rPr>
        <w:t xml:space="preserve"> (see Attachment C)</w:t>
      </w:r>
      <w:r w:rsidRPr="009B1107">
        <w:rPr>
          <w:sz w:val="24"/>
        </w:rPr>
        <w:t>. The privacy terms are also available electronically at all times to panelists</w:t>
      </w:r>
      <w:r>
        <w:rPr>
          <w:sz w:val="24"/>
        </w:rPr>
        <w:t xml:space="preserve"> </w:t>
      </w:r>
      <w:r w:rsidRPr="009B1107">
        <w:rPr>
          <w:sz w:val="24"/>
        </w:rPr>
        <w:t xml:space="preserve">via the Panel Member website. </w:t>
      </w:r>
    </w:p>
    <w:p w:rsidR="007C0F5C" w:rsidRDefault="007C0F5C" w:rsidP="00220390">
      <w:pPr>
        <w:rPr>
          <w:b/>
          <w:bCs/>
          <w:sz w:val="22"/>
        </w:rPr>
      </w:pPr>
    </w:p>
    <w:p w:rsidR="007C0F5C" w:rsidRPr="00DD30B5" w:rsidRDefault="007C0F5C" w:rsidP="00220390">
      <w:pPr>
        <w:ind w:left="360"/>
        <w:rPr>
          <w:b/>
          <w:sz w:val="24"/>
        </w:rPr>
      </w:pPr>
      <w:r w:rsidRPr="00DD30B5">
        <w:rPr>
          <w:sz w:val="24"/>
        </w:rPr>
        <w:t xml:space="preserve">For surveys conducted among children ages 10-13, </w:t>
      </w:r>
      <w:r>
        <w:rPr>
          <w:sz w:val="24"/>
        </w:rPr>
        <w:t>the contractor</w:t>
      </w:r>
      <w:r w:rsidRPr="00DD30B5">
        <w:rPr>
          <w:sz w:val="24"/>
        </w:rPr>
        <w:t xml:space="preserve"> obtains informed consent forms from parents or legal guardians</w:t>
      </w:r>
      <w:r>
        <w:rPr>
          <w:sz w:val="24"/>
        </w:rPr>
        <w:t xml:space="preserve"> (see Attachment B)</w:t>
      </w:r>
      <w:r w:rsidRPr="00DD30B5">
        <w:rPr>
          <w:sz w:val="24"/>
        </w:rPr>
        <w:t xml:space="preserve">. </w:t>
      </w:r>
    </w:p>
    <w:p w:rsidR="007C0F5C" w:rsidRDefault="007C0F5C" w:rsidP="00220390">
      <w:pPr>
        <w:rPr>
          <w:b/>
          <w:bCs/>
          <w:sz w:val="22"/>
        </w:rPr>
      </w:pPr>
    </w:p>
    <w:p w:rsidR="007C0F5C" w:rsidRPr="00FD37F0" w:rsidRDefault="007C0F5C" w:rsidP="00FD37F0">
      <w:pPr>
        <w:ind w:left="360"/>
        <w:rPr>
          <w:sz w:val="24"/>
        </w:rPr>
      </w:pPr>
      <w:r w:rsidRPr="00B02F1C">
        <w:rPr>
          <w:i/>
          <w:sz w:val="24"/>
        </w:rPr>
        <w:t>Test of procedures</w:t>
      </w:r>
      <w:r w:rsidRPr="00B02F1C">
        <w:rPr>
          <w:sz w:val="24"/>
        </w:rPr>
        <w:t xml:space="preserve">: For the consumer survey, the contractor will conduct a pre-test among 25 adult Panel participants and 25 child participants using the approved survey instrument. The pretest will field the survey to research subjects and collect feedback on any questions or confusions the respondent wants to report regarding the survey instrument. The vendor collects that information via open-ended questions at the end of the online pretest interview (Attachment F). We will refine the </w:t>
      </w:r>
      <w:r>
        <w:rPr>
          <w:sz w:val="24"/>
        </w:rPr>
        <w:t xml:space="preserve">survey </w:t>
      </w:r>
      <w:r w:rsidRPr="00B02F1C">
        <w:rPr>
          <w:sz w:val="24"/>
        </w:rPr>
        <w:t>questionnaire</w:t>
      </w:r>
      <w:r>
        <w:rPr>
          <w:sz w:val="24"/>
        </w:rPr>
        <w:t>s</w:t>
      </w:r>
      <w:r w:rsidRPr="00B02F1C">
        <w:rPr>
          <w:sz w:val="24"/>
        </w:rPr>
        <w:t xml:space="preserve"> as needed based on this feedback.</w:t>
      </w:r>
      <w:r>
        <w:rPr>
          <w:sz w:val="24"/>
        </w:rPr>
        <w:t xml:space="preserve"> After a successful pre-test, the contractor</w:t>
      </w:r>
      <w:r w:rsidRPr="00010F6B">
        <w:rPr>
          <w:sz w:val="24"/>
        </w:rPr>
        <w:t xml:space="preserve"> will field the survey over approximately a two-week period</w:t>
      </w:r>
      <w:r>
        <w:rPr>
          <w:sz w:val="24"/>
        </w:rPr>
        <w:t xml:space="preserve"> among participants. </w:t>
      </w:r>
    </w:p>
    <w:p w:rsidR="00E814FF" w:rsidRDefault="00E814FF" w:rsidP="00E814FF">
      <w:pPr>
        <w:rPr>
          <w:i/>
          <w:sz w:val="24"/>
        </w:rPr>
      </w:pPr>
    </w:p>
    <w:p w:rsidR="007C0F5C" w:rsidRPr="00707A84" w:rsidRDefault="007C0F5C" w:rsidP="00E814FF">
      <w:pPr>
        <w:ind w:firstLine="360"/>
        <w:rPr>
          <w:i/>
          <w:sz w:val="24"/>
        </w:rPr>
      </w:pPr>
      <w:r w:rsidRPr="00707A84">
        <w:rPr>
          <w:i/>
          <w:sz w:val="24"/>
        </w:rPr>
        <w:t>Consultant for Statistical Aspects of the Survey:</w:t>
      </w:r>
    </w:p>
    <w:p w:rsidR="007C0F5C" w:rsidRPr="00707A84" w:rsidRDefault="007C0F5C" w:rsidP="00220390">
      <w:pPr>
        <w:ind w:left="360"/>
        <w:rPr>
          <w:sz w:val="24"/>
        </w:rPr>
      </w:pPr>
      <w:r>
        <w:rPr>
          <w:sz w:val="24"/>
        </w:rPr>
        <w:t>The contractor</w:t>
      </w:r>
      <w:r w:rsidRPr="00707A84">
        <w:rPr>
          <w:sz w:val="24"/>
        </w:rPr>
        <w:t xml:space="preserve"> will perform all statistical analysis of the survey responses and provide banner tables as a summary of the research. The </w:t>
      </w:r>
      <w:r>
        <w:rPr>
          <w:sz w:val="24"/>
        </w:rPr>
        <w:t xml:space="preserve">contractor </w:t>
      </w:r>
      <w:r w:rsidRPr="00707A84">
        <w:rPr>
          <w:sz w:val="24"/>
        </w:rPr>
        <w:t>project lead will be J. Michael Dennis, Ph.D., and he will be assisted by Joe Garrett:</w:t>
      </w:r>
    </w:p>
    <w:p w:rsidR="007C0F5C" w:rsidRDefault="007C0F5C" w:rsidP="00220390">
      <w:pPr>
        <w:ind w:left="360"/>
        <w:rPr>
          <w:sz w:val="24"/>
        </w:rPr>
      </w:pPr>
    </w:p>
    <w:p w:rsidR="007C0F5C" w:rsidRPr="009F7D73" w:rsidRDefault="007C0F5C" w:rsidP="00220390">
      <w:pPr>
        <w:ind w:left="360"/>
        <w:rPr>
          <w:sz w:val="24"/>
          <w:lang w:val="de-DE"/>
        </w:rPr>
      </w:pPr>
      <w:r w:rsidRPr="009F7D73">
        <w:rPr>
          <w:sz w:val="24"/>
          <w:lang w:val="de-DE"/>
        </w:rPr>
        <w:t>J. Michael Dennis, Ph.D.</w:t>
      </w:r>
    </w:p>
    <w:p w:rsidR="007C0F5C" w:rsidRPr="009F7D73" w:rsidRDefault="007C0F5C" w:rsidP="00220390">
      <w:pPr>
        <w:ind w:left="360"/>
        <w:rPr>
          <w:sz w:val="24"/>
        </w:rPr>
      </w:pPr>
      <w:r w:rsidRPr="009F7D73">
        <w:rPr>
          <w:sz w:val="24"/>
        </w:rPr>
        <w:t>Senior Vice President, Government &amp; Academic Research</w:t>
      </w:r>
    </w:p>
    <w:p w:rsidR="007C0F5C" w:rsidRPr="009F7D73" w:rsidRDefault="007C0F5C" w:rsidP="00220390">
      <w:pPr>
        <w:ind w:left="360"/>
        <w:rPr>
          <w:sz w:val="24"/>
        </w:rPr>
      </w:pPr>
      <w:r w:rsidRPr="009F7D73">
        <w:rPr>
          <w:sz w:val="24"/>
        </w:rPr>
        <w:t>Knowledge Networks, Inc.</w:t>
      </w:r>
    </w:p>
    <w:p w:rsidR="007C0F5C" w:rsidRPr="009F7D73" w:rsidRDefault="007C0F5C" w:rsidP="00220390">
      <w:pPr>
        <w:ind w:left="360"/>
        <w:rPr>
          <w:sz w:val="24"/>
        </w:rPr>
      </w:pPr>
      <w:r w:rsidRPr="009F7D73">
        <w:rPr>
          <w:sz w:val="24"/>
        </w:rPr>
        <w:t>1350 Willow Road, Suite 102</w:t>
      </w:r>
    </w:p>
    <w:p w:rsidR="007C0F5C" w:rsidRPr="009F7D73" w:rsidRDefault="007C0F5C" w:rsidP="00220390">
      <w:pPr>
        <w:ind w:left="360"/>
        <w:rPr>
          <w:sz w:val="24"/>
        </w:rPr>
      </w:pPr>
      <w:r w:rsidRPr="009F7D73">
        <w:rPr>
          <w:sz w:val="24"/>
        </w:rPr>
        <w:t>Menlo Park, California 94025-1516</w:t>
      </w:r>
    </w:p>
    <w:p w:rsidR="007C0F5C" w:rsidRPr="009F7D73" w:rsidRDefault="007C0F5C" w:rsidP="00220390">
      <w:pPr>
        <w:ind w:left="360"/>
        <w:rPr>
          <w:sz w:val="24"/>
        </w:rPr>
      </w:pPr>
      <w:r w:rsidRPr="009F7D73">
        <w:rPr>
          <w:sz w:val="24"/>
        </w:rPr>
        <w:t>(650) 289-2160</w:t>
      </w:r>
    </w:p>
    <w:p w:rsidR="007C0F5C" w:rsidRPr="009F7D73" w:rsidRDefault="007C0F5C" w:rsidP="00220390">
      <w:pPr>
        <w:ind w:left="360"/>
        <w:rPr>
          <w:sz w:val="24"/>
        </w:rPr>
      </w:pPr>
      <w:r w:rsidRPr="009F7D73">
        <w:rPr>
          <w:sz w:val="24"/>
        </w:rPr>
        <w:t>(650) 289-2001</w:t>
      </w:r>
    </w:p>
    <w:p w:rsidR="007C0F5C" w:rsidRPr="009F7D73" w:rsidRDefault="007C0F5C" w:rsidP="00220390">
      <w:pPr>
        <w:ind w:left="360"/>
        <w:rPr>
          <w:sz w:val="24"/>
        </w:rPr>
      </w:pPr>
    </w:p>
    <w:p w:rsidR="007C0F5C" w:rsidRPr="009F7D73" w:rsidRDefault="007C0F5C" w:rsidP="00220390">
      <w:pPr>
        <w:ind w:left="360"/>
        <w:rPr>
          <w:sz w:val="24"/>
        </w:rPr>
      </w:pPr>
      <w:r w:rsidRPr="009F7D73">
        <w:rPr>
          <w:sz w:val="24"/>
        </w:rPr>
        <w:t xml:space="preserve">J. Michael Dennis, the Senior Vice President for Government &amp; Academic Research at KN, has completed human subjects training from the NIH, University of California (Irvine), and Stanford University. </w:t>
      </w:r>
    </w:p>
    <w:p w:rsidR="007C0F5C" w:rsidRPr="009F7D73" w:rsidRDefault="007C0F5C" w:rsidP="00220390">
      <w:pPr>
        <w:ind w:left="360"/>
        <w:rPr>
          <w:sz w:val="24"/>
        </w:rPr>
      </w:pPr>
    </w:p>
    <w:p w:rsidR="007C0F5C" w:rsidRPr="009F7D73" w:rsidRDefault="007C0F5C" w:rsidP="00220390">
      <w:pPr>
        <w:ind w:left="360"/>
        <w:rPr>
          <w:sz w:val="24"/>
        </w:rPr>
      </w:pPr>
      <w:r w:rsidRPr="009F7D73">
        <w:rPr>
          <w:sz w:val="24"/>
        </w:rPr>
        <w:t>Joe Garrett</w:t>
      </w:r>
    </w:p>
    <w:p w:rsidR="007C0F5C" w:rsidRPr="009F7D73" w:rsidRDefault="007C0F5C" w:rsidP="00220390">
      <w:pPr>
        <w:ind w:left="360"/>
        <w:rPr>
          <w:bCs/>
          <w:spacing w:val="6"/>
          <w:sz w:val="24"/>
        </w:rPr>
      </w:pPr>
      <w:r w:rsidRPr="009F7D73">
        <w:rPr>
          <w:bCs/>
          <w:spacing w:val="6"/>
          <w:sz w:val="24"/>
        </w:rPr>
        <w:t>Vice President, Government and Academic Research</w:t>
      </w:r>
    </w:p>
    <w:p w:rsidR="007C0F5C" w:rsidRPr="009F7D73" w:rsidRDefault="007C0F5C" w:rsidP="00220390">
      <w:pPr>
        <w:ind w:left="360"/>
        <w:rPr>
          <w:sz w:val="24"/>
        </w:rPr>
      </w:pPr>
      <w:r w:rsidRPr="009F7D73">
        <w:rPr>
          <w:sz w:val="24"/>
        </w:rPr>
        <w:t>Knowledge Networks, Inc.</w:t>
      </w:r>
    </w:p>
    <w:p w:rsidR="007C0F5C" w:rsidRPr="009F7D73" w:rsidRDefault="007C0F5C" w:rsidP="00220390">
      <w:pPr>
        <w:ind w:left="360"/>
        <w:rPr>
          <w:bCs/>
          <w:spacing w:val="6"/>
          <w:sz w:val="24"/>
        </w:rPr>
      </w:pPr>
      <w:r w:rsidRPr="009F7D73">
        <w:rPr>
          <w:bCs/>
          <w:spacing w:val="6"/>
          <w:sz w:val="24"/>
        </w:rPr>
        <w:t>12070 Rose Hall Drive</w:t>
      </w:r>
    </w:p>
    <w:p w:rsidR="007C0F5C" w:rsidRPr="009F7D73" w:rsidRDefault="007C0F5C" w:rsidP="00220390">
      <w:pPr>
        <w:ind w:left="360"/>
        <w:rPr>
          <w:bCs/>
          <w:spacing w:val="6"/>
          <w:sz w:val="24"/>
        </w:rPr>
      </w:pPr>
      <w:r w:rsidRPr="009F7D73">
        <w:rPr>
          <w:bCs/>
          <w:spacing w:val="6"/>
          <w:sz w:val="24"/>
        </w:rPr>
        <w:t>Clifton, VA 20124</w:t>
      </w:r>
    </w:p>
    <w:p w:rsidR="007C0F5C" w:rsidRPr="009F7D73" w:rsidRDefault="007C0F5C" w:rsidP="00220390">
      <w:pPr>
        <w:ind w:left="360"/>
        <w:rPr>
          <w:bCs/>
          <w:spacing w:val="6"/>
          <w:sz w:val="24"/>
        </w:rPr>
      </w:pPr>
      <w:r w:rsidRPr="009F7D73">
        <w:rPr>
          <w:bCs/>
          <w:spacing w:val="6"/>
          <w:sz w:val="24"/>
        </w:rPr>
        <w:t xml:space="preserve">Office: 703-830-0613    </w:t>
      </w:r>
    </w:p>
    <w:p w:rsidR="007C0F5C" w:rsidRPr="009F7D73" w:rsidRDefault="007C0F5C" w:rsidP="00220390">
      <w:pPr>
        <w:ind w:left="360"/>
        <w:rPr>
          <w:bCs/>
          <w:spacing w:val="6"/>
          <w:sz w:val="24"/>
        </w:rPr>
      </w:pPr>
      <w:r w:rsidRPr="009F7D73">
        <w:rPr>
          <w:bCs/>
          <w:spacing w:val="6"/>
          <w:sz w:val="24"/>
        </w:rPr>
        <w:t>Cell: 703-371-9327</w:t>
      </w:r>
    </w:p>
    <w:p w:rsidR="007C0F5C" w:rsidRDefault="007C0F5C" w:rsidP="00220390">
      <w:pPr>
        <w:ind w:left="360"/>
        <w:rPr>
          <w:sz w:val="24"/>
        </w:rPr>
      </w:pPr>
    </w:p>
    <w:p w:rsidR="007C0F5C" w:rsidRPr="006314BB" w:rsidRDefault="007C0F5C" w:rsidP="00220390">
      <w:pPr>
        <w:ind w:left="360"/>
        <w:rPr>
          <w:sz w:val="24"/>
        </w:rPr>
      </w:pPr>
      <w:r w:rsidRPr="006314BB">
        <w:rPr>
          <w:sz w:val="24"/>
          <w:u w:val="single"/>
        </w:rPr>
        <w:t>Outcome:</w:t>
      </w:r>
      <w:r w:rsidRPr="006314BB">
        <w:rPr>
          <w:sz w:val="24"/>
        </w:rPr>
        <w:t xml:space="preserve"> </w:t>
      </w:r>
    </w:p>
    <w:p w:rsidR="007C0F5C" w:rsidRDefault="007C0F5C" w:rsidP="00220390">
      <w:pPr>
        <w:pStyle w:val="BodyTextIndent3"/>
        <w:spacing w:after="0"/>
        <w:rPr>
          <w:sz w:val="24"/>
        </w:rPr>
      </w:pPr>
    </w:p>
    <w:p w:rsidR="007C0F5C" w:rsidRDefault="007C0F5C" w:rsidP="00220390">
      <w:pPr>
        <w:pStyle w:val="BodyTextIndent3"/>
        <w:spacing w:after="0"/>
        <w:rPr>
          <w:sz w:val="24"/>
        </w:rPr>
      </w:pPr>
      <w:r>
        <w:rPr>
          <w:sz w:val="24"/>
        </w:rPr>
        <w:t xml:space="preserve">Preliminary and final summary reports will be provided for all research components. </w:t>
      </w:r>
      <w:r w:rsidRPr="006314BB">
        <w:rPr>
          <w:sz w:val="24"/>
        </w:rPr>
        <w:t>A final summary report o</w:t>
      </w:r>
      <w:r>
        <w:rPr>
          <w:sz w:val="24"/>
        </w:rPr>
        <w:t xml:space="preserve">f </w:t>
      </w:r>
      <w:r w:rsidRPr="006314BB">
        <w:rPr>
          <w:sz w:val="24"/>
        </w:rPr>
        <w:t xml:space="preserve">the </w:t>
      </w:r>
      <w:r>
        <w:rPr>
          <w:sz w:val="24"/>
        </w:rPr>
        <w:t xml:space="preserve">surveys </w:t>
      </w:r>
      <w:r w:rsidRPr="006314BB">
        <w:rPr>
          <w:sz w:val="24"/>
        </w:rPr>
        <w:t>will be both descriptive and quantitative in nature</w:t>
      </w:r>
      <w:r>
        <w:rPr>
          <w:sz w:val="24"/>
        </w:rPr>
        <w:t xml:space="preserve"> and will discuss the limitations of the study design</w:t>
      </w:r>
      <w:r w:rsidRPr="006314BB">
        <w:rPr>
          <w:sz w:val="24"/>
        </w:rPr>
        <w:t xml:space="preserve">. </w:t>
      </w:r>
      <w:r>
        <w:rPr>
          <w:sz w:val="24"/>
        </w:rPr>
        <w:t xml:space="preserve"> We will provide OMB with a copy of the preliminary and final reports.  </w:t>
      </w:r>
    </w:p>
    <w:p w:rsidR="007C0F5C" w:rsidRDefault="007C0F5C" w:rsidP="00220390">
      <w:pPr>
        <w:pStyle w:val="BodyTextIndent3"/>
        <w:spacing w:after="0"/>
        <w:rPr>
          <w:sz w:val="24"/>
        </w:rPr>
      </w:pPr>
    </w:p>
    <w:p w:rsidR="007C0F5C" w:rsidRDefault="007C0F5C" w:rsidP="00113818">
      <w:pPr>
        <w:pStyle w:val="BodyTextIndent3"/>
        <w:rPr>
          <w:sz w:val="24"/>
        </w:rPr>
      </w:pPr>
      <w:r w:rsidRPr="006314BB">
        <w:rPr>
          <w:sz w:val="24"/>
        </w:rPr>
        <w:t xml:space="preserve">Findings will be used to modify </w:t>
      </w:r>
      <w:r>
        <w:rPr>
          <w:sz w:val="24"/>
        </w:rPr>
        <w:t>messages and graphic images.</w:t>
      </w:r>
      <w:r w:rsidRPr="006314BB">
        <w:rPr>
          <w:sz w:val="24"/>
        </w:rPr>
        <w:t xml:space="preserve"> </w:t>
      </w:r>
      <w:r w:rsidRPr="00113818">
        <w:rPr>
          <w:sz w:val="24"/>
        </w:rPr>
        <w:t xml:space="preserve">Although the Agency does not intend to publish its findings, the Agency may receive requests to release the information (e.g., Congressional inquiry, Freedom of Information Act).  The Agency will disseminate the findings when appropriate, strictly following the Agency's "Guidelines for Ensuring the Quality of Information Disseminated to the Public", and will include specific discussion </w:t>
      </w:r>
      <w:r>
        <w:rPr>
          <w:sz w:val="24"/>
        </w:rPr>
        <w:t xml:space="preserve">that the estimates are not </w:t>
      </w:r>
      <w:r w:rsidRPr="00113818">
        <w:rPr>
          <w:sz w:val="24"/>
        </w:rPr>
        <w:t>nationally representative or statistically valid.</w:t>
      </w:r>
    </w:p>
    <w:p w:rsidR="007C0F5C" w:rsidRDefault="007C0F5C" w:rsidP="00220390">
      <w:pPr>
        <w:pStyle w:val="BodyTextIndent3"/>
        <w:spacing w:after="0"/>
        <w:rPr>
          <w:sz w:val="24"/>
        </w:rPr>
      </w:pPr>
    </w:p>
    <w:p w:rsidR="007C0F5C" w:rsidRPr="001B665B" w:rsidRDefault="007C0F5C" w:rsidP="00220390">
      <w:pPr>
        <w:widowControl w:val="0"/>
        <w:numPr>
          <w:ilvl w:val="0"/>
          <w:numId w:val="11"/>
        </w:numPr>
        <w:tabs>
          <w:tab w:val="num" w:pos="360"/>
        </w:tabs>
        <w:overflowPunct/>
        <w:ind w:left="360"/>
        <w:textAlignment w:val="auto"/>
        <w:rPr>
          <w:sz w:val="24"/>
        </w:rPr>
      </w:pPr>
      <w:r w:rsidRPr="001B665B">
        <w:rPr>
          <w:sz w:val="24"/>
        </w:rPr>
        <w:t>Federal Costs: $311,748.22</w:t>
      </w:r>
    </w:p>
    <w:p w:rsidR="007C0F5C" w:rsidRPr="006314BB" w:rsidRDefault="007C0F5C" w:rsidP="00220390">
      <w:pPr>
        <w:ind w:left="1080"/>
        <w:rPr>
          <w:sz w:val="24"/>
        </w:rPr>
      </w:pPr>
    </w:p>
    <w:p w:rsidR="007C0F5C" w:rsidRPr="00851792" w:rsidRDefault="007C0F5C" w:rsidP="00220390">
      <w:pPr>
        <w:pStyle w:val="BodyText2"/>
        <w:widowControl w:val="0"/>
        <w:numPr>
          <w:ilvl w:val="0"/>
          <w:numId w:val="11"/>
        </w:numPr>
        <w:tabs>
          <w:tab w:val="num" w:pos="360"/>
        </w:tabs>
        <w:overflowPunct/>
        <w:spacing w:after="0" w:line="240" w:lineRule="auto"/>
        <w:ind w:left="360"/>
        <w:textAlignment w:val="auto"/>
        <w:rPr>
          <w:sz w:val="24"/>
        </w:rPr>
      </w:pPr>
      <w:r w:rsidRPr="00851792">
        <w:rPr>
          <w:sz w:val="24"/>
        </w:rPr>
        <w:t>Study Start Date:  November 22, 2010</w:t>
      </w:r>
    </w:p>
    <w:p w:rsidR="007C0F5C" w:rsidRPr="00851792" w:rsidRDefault="007C0F5C" w:rsidP="00220390">
      <w:pPr>
        <w:pStyle w:val="BodyText2"/>
        <w:spacing w:line="240" w:lineRule="auto"/>
        <w:rPr>
          <w:sz w:val="24"/>
        </w:rPr>
      </w:pPr>
    </w:p>
    <w:p w:rsidR="007C0F5C" w:rsidRPr="00851792" w:rsidRDefault="007C0F5C" w:rsidP="00220390">
      <w:pPr>
        <w:widowControl w:val="0"/>
        <w:numPr>
          <w:ilvl w:val="0"/>
          <w:numId w:val="11"/>
        </w:numPr>
        <w:tabs>
          <w:tab w:val="num" w:pos="360"/>
        </w:tabs>
        <w:overflowPunct/>
        <w:ind w:left="360"/>
        <w:textAlignment w:val="auto"/>
        <w:rPr>
          <w:sz w:val="24"/>
        </w:rPr>
      </w:pPr>
      <w:r w:rsidRPr="00851792">
        <w:rPr>
          <w:sz w:val="24"/>
        </w:rPr>
        <w:t>Formative Research Tools:</w:t>
      </w:r>
    </w:p>
    <w:p w:rsidR="007C0F5C" w:rsidRPr="00851792" w:rsidRDefault="007C0F5C" w:rsidP="00220390">
      <w:pPr>
        <w:widowControl w:val="0"/>
        <w:numPr>
          <w:ilvl w:val="1"/>
          <w:numId w:val="11"/>
        </w:numPr>
        <w:tabs>
          <w:tab w:val="num" w:pos="1080"/>
        </w:tabs>
        <w:overflowPunct/>
        <w:ind w:left="1080"/>
        <w:textAlignment w:val="auto"/>
        <w:rPr>
          <w:sz w:val="24"/>
        </w:rPr>
      </w:pPr>
      <w:r w:rsidRPr="00851792">
        <w:rPr>
          <w:sz w:val="24"/>
        </w:rPr>
        <w:t>Appendix A – Sample invitation to take the survey (attached)</w:t>
      </w:r>
    </w:p>
    <w:p w:rsidR="007C0F5C" w:rsidRPr="00851792" w:rsidRDefault="007C0F5C" w:rsidP="00220390">
      <w:pPr>
        <w:widowControl w:val="0"/>
        <w:numPr>
          <w:ilvl w:val="1"/>
          <w:numId w:val="11"/>
        </w:numPr>
        <w:tabs>
          <w:tab w:val="num" w:pos="1080"/>
        </w:tabs>
        <w:overflowPunct/>
        <w:ind w:left="1080"/>
        <w:textAlignment w:val="auto"/>
        <w:rPr>
          <w:sz w:val="24"/>
        </w:rPr>
      </w:pPr>
      <w:r w:rsidRPr="00851792">
        <w:rPr>
          <w:sz w:val="24"/>
        </w:rPr>
        <w:t>Appendix B – Informed Consent Parental Permission form for minors (attached)</w:t>
      </w:r>
    </w:p>
    <w:p w:rsidR="007C0F5C" w:rsidRPr="00851792" w:rsidRDefault="007C0F5C" w:rsidP="00220390">
      <w:pPr>
        <w:widowControl w:val="0"/>
        <w:numPr>
          <w:ilvl w:val="1"/>
          <w:numId w:val="11"/>
        </w:numPr>
        <w:tabs>
          <w:tab w:val="num" w:pos="1080"/>
        </w:tabs>
        <w:overflowPunct/>
        <w:ind w:left="1080"/>
        <w:textAlignment w:val="auto"/>
        <w:rPr>
          <w:sz w:val="24"/>
        </w:rPr>
      </w:pPr>
      <w:r w:rsidRPr="00851792">
        <w:rPr>
          <w:sz w:val="24"/>
        </w:rPr>
        <w:t>Appendix C – Privacy Statement for Participants (attached)</w:t>
      </w:r>
    </w:p>
    <w:p w:rsidR="007C0F5C" w:rsidRPr="00851792" w:rsidRDefault="007C0F5C" w:rsidP="00220390">
      <w:pPr>
        <w:widowControl w:val="0"/>
        <w:numPr>
          <w:ilvl w:val="1"/>
          <w:numId w:val="11"/>
        </w:numPr>
        <w:tabs>
          <w:tab w:val="clear" w:pos="1440"/>
          <w:tab w:val="num" w:pos="1080"/>
        </w:tabs>
        <w:overflowPunct/>
        <w:ind w:left="1080"/>
        <w:textAlignment w:val="auto"/>
        <w:rPr>
          <w:sz w:val="24"/>
        </w:rPr>
      </w:pPr>
      <w:r w:rsidRPr="00851792">
        <w:rPr>
          <w:sz w:val="24"/>
        </w:rPr>
        <w:t>Appendix D v1 –  Questionnaire for adults (attached)</w:t>
      </w:r>
      <w:bookmarkStart w:id="2" w:name="OLE_LINK5"/>
      <w:bookmarkStart w:id="3" w:name="OLE_LINK6"/>
      <w:r w:rsidRPr="00851792">
        <w:rPr>
          <w:sz w:val="24"/>
        </w:rPr>
        <w:t xml:space="preserve"> </w:t>
      </w:r>
      <w:bookmarkEnd w:id="2"/>
      <w:bookmarkEnd w:id="3"/>
    </w:p>
    <w:p w:rsidR="007C0F5C" w:rsidRPr="00851792" w:rsidRDefault="007C0F5C" w:rsidP="003E5212">
      <w:pPr>
        <w:widowControl w:val="0"/>
        <w:overflowPunct/>
        <w:ind w:left="1080"/>
        <w:textAlignment w:val="auto"/>
        <w:rPr>
          <w:sz w:val="24"/>
        </w:rPr>
      </w:pPr>
      <w:r w:rsidRPr="00851792">
        <w:rPr>
          <w:sz w:val="24"/>
        </w:rPr>
        <w:t xml:space="preserve">Appendix D v2 </w:t>
      </w:r>
      <w:proofErr w:type="gramStart"/>
      <w:r w:rsidRPr="00851792">
        <w:rPr>
          <w:sz w:val="24"/>
        </w:rPr>
        <w:t>–  Questionnaire</w:t>
      </w:r>
      <w:proofErr w:type="gramEnd"/>
      <w:r w:rsidRPr="00851792">
        <w:rPr>
          <w:sz w:val="24"/>
        </w:rPr>
        <w:t xml:space="preserve"> for adults (attached)</w:t>
      </w:r>
    </w:p>
    <w:p w:rsidR="007C0F5C" w:rsidRPr="00851792" w:rsidRDefault="007C0F5C" w:rsidP="00220390">
      <w:pPr>
        <w:widowControl w:val="0"/>
        <w:numPr>
          <w:ilvl w:val="1"/>
          <w:numId w:val="11"/>
        </w:numPr>
        <w:tabs>
          <w:tab w:val="num" w:pos="1080"/>
        </w:tabs>
        <w:overflowPunct/>
        <w:ind w:left="1080"/>
        <w:textAlignment w:val="auto"/>
        <w:rPr>
          <w:sz w:val="24"/>
        </w:rPr>
      </w:pPr>
      <w:r w:rsidRPr="00851792">
        <w:rPr>
          <w:sz w:val="24"/>
        </w:rPr>
        <w:t>Appendix E –  Questionnaire for children (attached)</w:t>
      </w:r>
    </w:p>
    <w:p w:rsidR="007C0F5C" w:rsidRPr="00851792" w:rsidRDefault="007C0F5C" w:rsidP="00220390">
      <w:pPr>
        <w:widowControl w:val="0"/>
        <w:numPr>
          <w:ilvl w:val="1"/>
          <w:numId w:val="11"/>
        </w:numPr>
        <w:tabs>
          <w:tab w:val="num" w:pos="1080"/>
        </w:tabs>
        <w:overflowPunct/>
        <w:ind w:left="1080"/>
        <w:textAlignment w:val="auto"/>
        <w:rPr>
          <w:sz w:val="24"/>
        </w:rPr>
      </w:pPr>
      <w:r w:rsidRPr="00851792">
        <w:rPr>
          <w:sz w:val="24"/>
        </w:rPr>
        <w:t>Appendix F – Pretest questions at end of survey (attached)</w:t>
      </w:r>
    </w:p>
    <w:p w:rsidR="007C0F5C" w:rsidRPr="00851792" w:rsidRDefault="007C0F5C" w:rsidP="00583A57">
      <w:pPr>
        <w:rPr>
          <w:sz w:val="24"/>
        </w:rPr>
      </w:pPr>
    </w:p>
    <w:sectPr w:rsidR="007C0F5C" w:rsidRPr="00851792" w:rsidSect="003A0343">
      <w:headerReference w:type="default" r:id="rId8"/>
      <w:footerReference w:type="default" r:id="rId9"/>
      <w:pgSz w:w="12240" w:h="15840" w:code="1"/>
      <w:pgMar w:top="1354" w:right="1800" w:bottom="1440" w:left="1800" w:header="720" w:footer="14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F5C" w:rsidRDefault="007C0F5C">
      <w:r>
        <w:separator/>
      </w:r>
    </w:p>
  </w:endnote>
  <w:endnote w:type="continuationSeparator" w:id="0">
    <w:p w:rsidR="007C0F5C" w:rsidRDefault="007C0F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F5C" w:rsidRDefault="007C0F5C">
    <w:pPr>
      <w:pStyle w:val="Footer"/>
      <w:rPr>
        <w:rFonts w:ascii="Univers" w:hAnsi="Univers"/>
        <w:sz w:val="16"/>
      </w:rPr>
    </w:pPr>
  </w:p>
  <w:p w:rsidR="007C0F5C" w:rsidRDefault="007C0F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F5C" w:rsidRDefault="007C0F5C">
      <w:r>
        <w:separator/>
      </w:r>
    </w:p>
  </w:footnote>
  <w:footnote w:type="continuationSeparator" w:id="0">
    <w:p w:rsidR="007C0F5C" w:rsidRDefault="007C0F5C">
      <w:r>
        <w:continuationSeparator/>
      </w:r>
    </w:p>
  </w:footnote>
  <w:footnote w:id="1">
    <w:p w:rsidR="005A1E33" w:rsidRDefault="007C0F5C">
      <w:pPr>
        <w:pStyle w:val="FootnoteText"/>
      </w:pPr>
      <w:r>
        <w:rPr>
          <w:rStyle w:val="FootnoteReference"/>
        </w:rPr>
        <w:footnoteRef/>
      </w:r>
      <w:r>
        <w:t xml:space="preserve"> </w:t>
      </w:r>
      <w:r>
        <w:rPr>
          <w:sz w:val="24"/>
        </w:rPr>
        <w:t xml:space="preserve">185% of the federal poverty level for a family of four is $40,792.50. </w:t>
      </w:r>
    </w:p>
  </w:footnote>
  <w:footnote w:id="2">
    <w:p w:rsidR="005A1E33" w:rsidRDefault="007C0F5C" w:rsidP="00243E56">
      <w:pPr>
        <w:pStyle w:val="FootnoteText"/>
      </w:pPr>
      <w:r>
        <w:rPr>
          <w:rStyle w:val="FootnoteReference"/>
        </w:rPr>
        <w:footnoteRef/>
      </w:r>
      <w:r>
        <w:t xml:space="preserve"> </w:t>
      </w:r>
      <w:r>
        <w:rPr>
          <w:sz w:val="24"/>
        </w:rPr>
        <w:t xml:space="preserve">185% of the federal poverty level for a family of four is $40,792.50. </w:t>
      </w:r>
    </w:p>
  </w:footnote>
  <w:footnote w:id="3">
    <w:p w:rsidR="007C0F5C" w:rsidRPr="00EF1497" w:rsidRDefault="007C0F5C" w:rsidP="00EF1497">
      <w:pPr>
        <w:pStyle w:val="FootnoteText"/>
        <w:rPr>
          <w:sz w:val="24"/>
        </w:rPr>
      </w:pPr>
      <w:r>
        <w:rPr>
          <w:rStyle w:val="FootnoteReference"/>
        </w:rPr>
        <w:footnoteRef/>
      </w:r>
      <w:r>
        <w:t xml:space="preserve"> </w:t>
      </w:r>
      <w:proofErr w:type="spellStart"/>
      <w:proofErr w:type="gramStart"/>
      <w:r w:rsidRPr="00EF1497">
        <w:rPr>
          <w:sz w:val="24"/>
        </w:rPr>
        <w:t>Callegaro</w:t>
      </w:r>
      <w:proofErr w:type="spellEnd"/>
      <w:r w:rsidRPr="00EF1497">
        <w:rPr>
          <w:sz w:val="24"/>
        </w:rPr>
        <w:t xml:space="preserve">, Mario </w:t>
      </w:r>
      <w:r>
        <w:rPr>
          <w:sz w:val="24"/>
        </w:rPr>
        <w:t>and</w:t>
      </w:r>
      <w:r w:rsidRPr="00EF1497">
        <w:rPr>
          <w:sz w:val="24"/>
        </w:rPr>
        <w:t xml:space="preserve"> </w:t>
      </w:r>
      <w:r>
        <w:rPr>
          <w:sz w:val="24"/>
        </w:rPr>
        <w:t xml:space="preserve">Charles </w:t>
      </w:r>
      <w:proofErr w:type="spellStart"/>
      <w:r w:rsidRPr="00EF1497">
        <w:rPr>
          <w:sz w:val="24"/>
        </w:rPr>
        <w:t>Disogra</w:t>
      </w:r>
      <w:proofErr w:type="spellEnd"/>
      <w:r w:rsidRPr="00EF1497">
        <w:rPr>
          <w:sz w:val="24"/>
        </w:rPr>
        <w:t xml:space="preserve"> (2008).</w:t>
      </w:r>
      <w:proofErr w:type="gramEnd"/>
      <w:r w:rsidRPr="00EF1497">
        <w:rPr>
          <w:sz w:val="24"/>
        </w:rPr>
        <w:t xml:space="preserve"> </w:t>
      </w:r>
      <w:proofErr w:type="gramStart"/>
      <w:r w:rsidRPr="00EF1497">
        <w:rPr>
          <w:sz w:val="24"/>
        </w:rPr>
        <w:t>Computing Response Metrics for Online Panels.</w:t>
      </w:r>
      <w:proofErr w:type="gramEnd"/>
      <w:r w:rsidRPr="00EF1497">
        <w:rPr>
          <w:i/>
          <w:iCs/>
          <w:sz w:val="24"/>
        </w:rPr>
        <w:t xml:space="preserve"> </w:t>
      </w:r>
      <w:proofErr w:type="gramStart"/>
      <w:r w:rsidRPr="00EF1497">
        <w:rPr>
          <w:i/>
          <w:iCs/>
          <w:sz w:val="24"/>
        </w:rPr>
        <w:t>Public Opinion Quarterly</w:t>
      </w:r>
      <w:r w:rsidRPr="00EF1497">
        <w:rPr>
          <w:sz w:val="24"/>
        </w:rPr>
        <w:t>.</w:t>
      </w:r>
      <w:proofErr w:type="gramEnd"/>
      <w:r w:rsidRPr="00EF1497">
        <w:rPr>
          <w:sz w:val="24"/>
        </w:rPr>
        <w:t xml:space="preserve"> 72(5) pp. 1008-1031.   </w:t>
      </w:r>
    </w:p>
    <w:p w:rsidR="005A1E33" w:rsidRDefault="005A1E33" w:rsidP="00EF1497">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F5C" w:rsidRDefault="007C0F5C">
    <w:pPr>
      <w:pStyle w:val="Header"/>
    </w:pPr>
  </w:p>
  <w:p w:rsidR="007C0F5C" w:rsidRDefault="007C0F5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220FB"/>
    <w:multiLevelType w:val="multilevel"/>
    <w:tmpl w:val="F5068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92699D"/>
    <w:multiLevelType w:val="hybridMultilevel"/>
    <w:tmpl w:val="A5041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586C84"/>
    <w:multiLevelType w:val="hybridMultilevel"/>
    <w:tmpl w:val="C1D21642"/>
    <w:lvl w:ilvl="0" w:tplc="C5500446">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447D2F"/>
    <w:multiLevelType w:val="multilevel"/>
    <w:tmpl w:val="73A4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80784F"/>
    <w:multiLevelType w:val="multilevel"/>
    <w:tmpl w:val="87E83A14"/>
    <w:lvl w:ilvl="0">
      <w:start w:val="1"/>
      <w:numFmt w:val="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nsid w:val="230079A7"/>
    <w:multiLevelType w:val="hybridMultilevel"/>
    <w:tmpl w:val="41A6D484"/>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2C847213"/>
    <w:multiLevelType w:val="multilevel"/>
    <w:tmpl w:val="20CC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AB61FDD"/>
    <w:multiLevelType w:val="hybridMultilevel"/>
    <w:tmpl w:val="0FA6D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nsid w:val="3B2B1067"/>
    <w:multiLevelType w:val="hybridMultilevel"/>
    <w:tmpl w:val="E4E84F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E9C28A8"/>
    <w:multiLevelType w:val="hybridMultilevel"/>
    <w:tmpl w:val="137CF894"/>
    <w:lvl w:ilvl="0" w:tplc="E4B235E0">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162CD0"/>
    <w:multiLevelType w:val="hybridMultilevel"/>
    <w:tmpl w:val="BB380A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38328CC"/>
    <w:multiLevelType w:val="multilevel"/>
    <w:tmpl w:val="B51E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AE166EC"/>
    <w:multiLevelType w:val="hybridMultilevel"/>
    <w:tmpl w:val="87E83A14"/>
    <w:lvl w:ilvl="0" w:tplc="6C3EF7DA">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ED7183F"/>
    <w:multiLevelType w:val="multilevel"/>
    <w:tmpl w:val="87E83A14"/>
    <w:lvl w:ilvl="0">
      <w:start w:val="1"/>
      <w:numFmt w:val="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4">
    <w:nsid w:val="67E332F4"/>
    <w:multiLevelType w:val="hybridMultilevel"/>
    <w:tmpl w:val="998C22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DE94115"/>
    <w:multiLevelType w:val="hybridMultilevel"/>
    <w:tmpl w:val="D6BEDEE6"/>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6EF63118"/>
    <w:multiLevelType w:val="multilevel"/>
    <w:tmpl w:val="61B49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FE60E64"/>
    <w:multiLevelType w:val="hybridMultilevel"/>
    <w:tmpl w:val="684ED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7DD3D18"/>
    <w:multiLevelType w:val="hybridMultilevel"/>
    <w:tmpl w:val="00E0F9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92D7815"/>
    <w:multiLevelType w:val="hybridMultilevel"/>
    <w:tmpl w:val="6CF0D0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B745B60"/>
    <w:multiLevelType w:val="multilevel"/>
    <w:tmpl w:val="6F6E4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C3F5759"/>
    <w:multiLevelType w:val="hybridMultilevel"/>
    <w:tmpl w:val="E4B215C0"/>
    <w:lvl w:ilvl="0" w:tplc="04090001">
      <w:start w:val="1"/>
      <w:numFmt w:val="bullet"/>
      <w:lvlText w:val=""/>
      <w:lvlJc w:val="left"/>
      <w:pPr>
        <w:tabs>
          <w:tab w:val="num" w:pos="720"/>
        </w:tabs>
        <w:ind w:left="720" w:hanging="360"/>
      </w:pPr>
      <w:rPr>
        <w:rFonts w:ascii="Symbol" w:hAnsi="Symbol" w:hint="default"/>
      </w:rPr>
    </w:lvl>
    <w:lvl w:ilvl="1" w:tplc="8646A298">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F6C1B64"/>
    <w:multiLevelType w:val="multilevel"/>
    <w:tmpl w:val="F518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6"/>
  </w:num>
  <w:num w:numId="3">
    <w:abstractNumId w:val="3"/>
  </w:num>
  <w:num w:numId="4">
    <w:abstractNumId w:val="20"/>
  </w:num>
  <w:num w:numId="5">
    <w:abstractNumId w:val="11"/>
  </w:num>
  <w:num w:numId="6">
    <w:abstractNumId w:val="22"/>
  </w:num>
  <w:num w:numId="7">
    <w:abstractNumId w:val="6"/>
  </w:num>
  <w:num w:numId="8">
    <w:abstractNumId w:val="18"/>
  </w:num>
  <w:num w:numId="9">
    <w:abstractNumId w:val="14"/>
  </w:num>
  <w:num w:numId="10">
    <w:abstractNumId w:val="19"/>
  </w:num>
  <w:num w:numId="11">
    <w:abstractNumId w:val="21"/>
  </w:num>
  <w:num w:numId="12">
    <w:abstractNumId w:val="2"/>
  </w:num>
  <w:num w:numId="13">
    <w:abstractNumId w:val="9"/>
  </w:num>
  <w:num w:numId="14">
    <w:abstractNumId w:val="1"/>
  </w:num>
  <w:num w:numId="15">
    <w:abstractNumId w:val="8"/>
  </w:num>
  <w:num w:numId="16">
    <w:abstractNumId w:val="12"/>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5"/>
  </w:num>
  <w:num w:numId="22">
    <w:abstractNumId w:val="17"/>
  </w:num>
  <w:num w:numId="23">
    <w:abstractNumId w:val="4"/>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701"/>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
  <w:rsids>
    <w:rsidRoot w:val="00A33456"/>
    <w:rsid w:val="000006A4"/>
    <w:rsid w:val="00001AF1"/>
    <w:rsid w:val="000056E3"/>
    <w:rsid w:val="00010B53"/>
    <w:rsid w:val="00010F6B"/>
    <w:rsid w:val="00011F55"/>
    <w:rsid w:val="0002455A"/>
    <w:rsid w:val="000250CF"/>
    <w:rsid w:val="00047055"/>
    <w:rsid w:val="00052440"/>
    <w:rsid w:val="00064FFA"/>
    <w:rsid w:val="00075D0C"/>
    <w:rsid w:val="000A4A7D"/>
    <w:rsid w:val="000B14F0"/>
    <w:rsid w:val="000D7E4A"/>
    <w:rsid w:val="000F49E4"/>
    <w:rsid w:val="00103CD4"/>
    <w:rsid w:val="00113818"/>
    <w:rsid w:val="001362D5"/>
    <w:rsid w:val="001402F6"/>
    <w:rsid w:val="00174DA0"/>
    <w:rsid w:val="00181FDF"/>
    <w:rsid w:val="00190FA9"/>
    <w:rsid w:val="001A3880"/>
    <w:rsid w:val="001B665B"/>
    <w:rsid w:val="001C5981"/>
    <w:rsid w:val="001E4BF3"/>
    <w:rsid w:val="001E7018"/>
    <w:rsid w:val="001F2C6B"/>
    <w:rsid w:val="001F5221"/>
    <w:rsid w:val="00201E63"/>
    <w:rsid w:val="00220390"/>
    <w:rsid w:val="002229EC"/>
    <w:rsid w:val="0023766F"/>
    <w:rsid w:val="00243E56"/>
    <w:rsid w:val="002467F8"/>
    <w:rsid w:val="00284DDD"/>
    <w:rsid w:val="0028591A"/>
    <w:rsid w:val="00287657"/>
    <w:rsid w:val="0029124D"/>
    <w:rsid w:val="002B17AF"/>
    <w:rsid w:val="002B6C4E"/>
    <w:rsid w:val="002C3F60"/>
    <w:rsid w:val="002C4C24"/>
    <w:rsid w:val="002F1E18"/>
    <w:rsid w:val="002F599D"/>
    <w:rsid w:val="002F685C"/>
    <w:rsid w:val="00305C5C"/>
    <w:rsid w:val="0032590F"/>
    <w:rsid w:val="00340F2F"/>
    <w:rsid w:val="0034573E"/>
    <w:rsid w:val="00365CA5"/>
    <w:rsid w:val="003816AB"/>
    <w:rsid w:val="00387D42"/>
    <w:rsid w:val="003923BE"/>
    <w:rsid w:val="003A0343"/>
    <w:rsid w:val="003D3179"/>
    <w:rsid w:val="003E5212"/>
    <w:rsid w:val="003E6980"/>
    <w:rsid w:val="003F78D0"/>
    <w:rsid w:val="00411412"/>
    <w:rsid w:val="00435B78"/>
    <w:rsid w:val="00442A61"/>
    <w:rsid w:val="0044632E"/>
    <w:rsid w:val="004514DA"/>
    <w:rsid w:val="00460025"/>
    <w:rsid w:val="00476CFB"/>
    <w:rsid w:val="004941FB"/>
    <w:rsid w:val="004A6BF8"/>
    <w:rsid w:val="004B708E"/>
    <w:rsid w:val="004F6358"/>
    <w:rsid w:val="00504768"/>
    <w:rsid w:val="00511939"/>
    <w:rsid w:val="00514EAF"/>
    <w:rsid w:val="00567DD5"/>
    <w:rsid w:val="00583A57"/>
    <w:rsid w:val="0058674F"/>
    <w:rsid w:val="00590B06"/>
    <w:rsid w:val="00592DF8"/>
    <w:rsid w:val="00593700"/>
    <w:rsid w:val="005A1E33"/>
    <w:rsid w:val="005A4B7E"/>
    <w:rsid w:val="005A738D"/>
    <w:rsid w:val="005D2C74"/>
    <w:rsid w:val="005D6341"/>
    <w:rsid w:val="00610D8D"/>
    <w:rsid w:val="00611AAE"/>
    <w:rsid w:val="00622A56"/>
    <w:rsid w:val="006270BE"/>
    <w:rsid w:val="006314BB"/>
    <w:rsid w:val="00654C80"/>
    <w:rsid w:val="00663457"/>
    <w:rsid w:val="00686C50"/>
    <w:rsid w:val="006B0FAE"/>
    <w:rsid w:val="006C19AF"/>
    <w:rsid w:val="006D4FA0"/>
    <w:rsid w:val="006D5BB0"/>
    <w:rsid w:val="006F5CD2"/>
    <w:rsid w:val="00702447"/>
    <w:rsid w:val="00707A84"/>
    <w:rsid w:val="00715160"/>
    <w:rsid w:val="007318D9"/>
    <w:rsid w:val="00777CC0"/>
    <w:rsid w:val="007A01A5"/>
    <w:rsid w:val="007A0E53"/>
    <w:rsid w:val="007A3CB8"/>
    <w:rsid w:val="007B042F"/>
    <w:rsid w:val="007C0F5C"/>
    <w:rsid w:val="008059A1"/>
    <w:rsid w:val="00814B15"/>
    <w:rsid w:val="00851792"/>
    <w:rsid w:val="00857BC5"/>
    <w:rsid w:val="00864E07"/>
    <w:rsid w:val="00877585"/>
    <w:rsid w:val="00881267"/>
    <w:rsid w:val="00890E95"/>
    <w:rsid w:val="008C04CB"/>
    <w:rsid w:val="008E282C"/>
    <w:rsid w:val="00940666"/>
    <w:rsid w:val="009435C2"/>
    <w:rsid w:val="00966721"/>
    <w:rsid w:val="0099416C"/>
    <w:rsid w:val="009B1107"/>
    <w:rsid w:val="009B2EA6"/>
    <w:rsid w:val="009B5EA8"/>
    <w:rsid w:val="009C55CB"/>
    <w:rsid w:val="009D631A"/>
    <w:rsid w:val="009E0FF9"/>
    <w:rsid w:val="009E5ACB"/>
    <w:rsid w:val="009F13EF"/>
    <w:rsid w:val="009F7C8B"/>
    <w:rsid w:val="009F7D73"/>
    <w:rsid w:val="00A203C6"/>
    <w:rsid w:val="00A33456"/>
    <w:rsid w:val="00A7567A"/>
    <w:rsid w:val="00AC040F"/>
    <w:rsid w:val="00AC2BF6"/>
    <w:rsid w:val="00AC36FC"/>
    <w:rsid w:val="00AD427D"/>
    <w:rsid w:val="00AD48D9"/>
    <w:rsid w:val="00B02F1C"/>
    <w:rsid w:val="00B058BA"/>
    <w:rsid w:val="00B1241D"/>
    <w:rsid w:val="00B12F1D"/>
    <w:rsid w:val="00B2590A"/>
    <w:rsid w:val="00B409FB"/>
    <w:rsid w:val="00B509E9"/>
    <w:rsid w:val="00B6623E"/>
    <w:rsid w:val="00B6670F"/>
    <w:rsid w:val="00B80A41"/>
    <w:rsid w:val="00B81F6F"/>
    <w:rsid w:val="00B8321E"/>
    <w:rsid w:val="00B84126"/>
    <w:rsid w:val="00B853D3"/>
    <w:rsid w:val="00B96C79"/>
    <w:rsid w:val="00BA6289"/>
    <w:rsid w:val="00BB4946"/>
    <w:rsid w:val="00BB78DD"/>
    <w:rsid w:val="00BE0161"/>
    <w:rsid w:val="00C04602"/>
    <w:rsid w:val="00C075D0"/>
    <w:rsid w:val="00C16A07"/>
    <w:rsid w:val="00C271FA"/>
    <w:rsid w:val="00C35CFA"/>
    <w:rsid w:val="00C60AF6"/>
    <w:rsid w:val="00C73389"/>
    <w:rsid w:val="00C760FE"/>
    <w:rsid w:val="00CA65A8"/>
    <w:rsid w:val="00CB7617"/>
    <w:rsid w:val="00CF0EC1"/>
    <w:rsid w:val="00CF15FB"/>
    <w:rsid w:val="00D258A8"/>
    <w:rsid w:val="00D3433E"/>
    <w:rsid w:val="00D70727"/>
    <w:rsid w:val="00D770CC"/>
    <w:rsid w:val="00D978F8"/>
    <w:rsid w:val="00DA32CE"/>
    <w:rsid w:val="00DD30B5"/>
    <w:rsid w:val="00DD4C2C"/>
    <w:rsid w:val="00E054D3"/>
    <w:rsid w:val="00E11891"/>
    <w:rsid w:val="00E2740F"/>
    <w:rsid w:val="00E4777B"/>
    <w:rsid w:val="00E47933"/>
    <w:rsid w:val="00E814FF"/>
    <w:rsid w:val="00EC5859"/>
    <w:rsid w:val="00EF1497"/>
    <w:rsid w:val="00EF1A42"/>
    <w:rsid w:val="00F03ED8"/>
    <w:rsid w:val="00F12C4E"/>
    <w:rsid w:val="00F12FA0"/>
    <w:rsid w:val="00F27A25"/>
    <w:rsid w:val="00F527F6"/>
    <w:rsid w:val="00F74AC4"/>
    <w:rsid w:val="00F85807"/>
    <w:rsid w:val="00FA34CD"/>
    <w:rsid w:val="00FB68B9"/>
    <w:rsid w:val="00FD37F0"/>
    <w:rsid w:val="00FE75E8"/>
    <w:rsid w:val="00FF6F6B"/>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endnote reference" w:unhideWhenUsed="0"/>
    <w:lsdException w:name="endnote tex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3"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617"/>
    <w:pPr>
      <w:overflowPunct w:val="0"/>
      <w:autoSpaceDE w:val="0"/>
      <w:autoSpaceDN w:val="0"/>
      <w:adjustRightInd w:val="0"/>
      <w:textAlignment w:val="baseline"/>
    </w:pPr>
  </w:style>
  <w:style w:type="paragraph" w:styleId="Heading1">
    <w:name w:val="heading 1"/>
    <w:basedOn w:val="Normal"/>
    <w:next w:val="Normal"/>
    <w:link w:val="Heading1Char"/>
    <w:uiPriority w:val="99"/>
    <w:qFormat/>
    <w:rsid w:val="00CB7617"/>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CB7617"/>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75D0"/>
    <w:rPr>
      <w:rFonts w:ascii="Calibri" w:hAnsi="Calibri" w:cs="Times New Roman"/>
      <w:b/>
      <w:bCs/>
      <w:kern w:val="32"/>
      <w:sz w:val="32"/>
    </w:rPr>
  </w:style>
  <w:style w:type="character" w:customStyle="1" w:styleId="Heading2Char">
    <w:name w:val="Heading 2 Char"/>
    <w:basedOn w:val="DefaultParagraphFont"/>
    <w:link w:val="Heading2"/>
    <w:uiPriority w:val="99"/>
    <w:semiHidden/>
    <w:locked/>
    <w:rsid w:val="00C075D0"/>
    <w:rPr>
      <w:rFonts w:ascii="Calibri" w:hAnsi="Calibri" w:cs="Times New Roman"/>
      <w:b/>
      <w:bCs/>
      <w:i/>
      <w:iCs/>
      <w:sz w:val="28"/>
    </w:rPr>
  </w:style>
  <w:style w:type="paragraph" w:styleId="Header">
    <w:name w:val="header"/>
    <w:basedOn w:val="Normal"/>
    <w:link w:val="HeaderChar"/>
    <w:uiPriority w:val="99"/>
    <w:rsid w:val="00CB7617"/>
    <w:pPr>
      <w:tabs>
        <w:tab w:val="center" w:pos="4320"/>
        <w:tab w:val="right" w:pos="8640"/>
      </w:tabs>
    </w:pPr>
  </w:style>
  <w:style w:type="character" w:customStyle="1" w:styleId="HeaderChar">
    <w:name w:val="Header Char"/>
    <w:basedOn w:val="DefaultParagraphFont"/>
    <w:link w:val="Header"/>
    <w:uiPriority w:val="99"/>
    <w:locked/>
    <w:rsid w:val="00A7567A"/>
    <w:rPr>
      <w:rFonts w:cs="Times New Roman"/>
    </w:rPr>
  </w:style>
  <w:style w:type="paragraph" w:styleId="Footer">
    <w:name w:val="footer"/>
    <w:basedOn w:val="Normal"/>
    <w:link w:val="FooterChar"/>
    <w:uiPriority w:val="99"/>
    <w:semiHidden/>
    <w:rsid w:val="00CB7617"/>
    <w:pPr>
      <w:tabs>
        <w:tab w:val="center" w:pos="4320"/>
        <w:tab w:val="right" w:pos="8640"/>
      </w:tabs>
    </w:pPr>
  </w:style>
  <w:style w:type="character" w:customStyle="1" w:styleId="FooterChar">
    <w:name w:val="Footer Char"/>
    <w:basedOn w:val="DefaultParagraphFont"/>
    <w:link w:val="Footer"/>
    <w:uiPriority w:val="99"/>
    <w:semiHidden/>
    <w:locked/>
    <w:rsid w:val="00C075D0"/>
    <w:rPr>
      <w:rFonts w:cs="Times New Roman"/>
    </w:rPr>
  </w:style>
  <w:style w:type="paragraph" w:styleId="BodyText">
    <w:name w:val="Body Text"/>
    <w:basedOn w:val="Normal"/>
    <w:link w:val="BodyTextChar"/>
    <w:uiPriority w:val="99"/>
    <w:rsid w:val="00CB7617"/>
    <w:pPr>
      <w:spacing w:after="120"/>
    </w:pPr>
  </w:style>
  <w:style w:type="character" w:customStyle="1" w:styleId="BodyTextChar">
    <w:name w:val="Body Text Char"/>
    <w:basedOn w:val="DefaultParagraphFont"/>
    <w:link w:val="BodyText"/>
    <w:uiPriority w:val="99"/>
    <w:semiHidden/>
    <w:locked/>
    <w:rsid w:val="00C075D0"/>
    <w:rPr>
      <w:rFonts w:cs="Times New Roman"/>
    </w:rPr>
  </w:style>
  <w:style w:type="character" w:customStyle="1" w:styleId="hdrblackbold1">
    <w:name w:val="hdrblackbold1"/>
    <w:basedOn w:val="DefaultParagraphFont"/>
    <w:uiPriority w:val="99"/>
    <w:rsid w:val="00E054D3"/>
    <w:rPr>
      <w:rFonts w:ascii="Verdana" w:hAnsi="Verdana" w:cs="Times New Roman"/>
      <w:b/>
      <w:bCs/>
      <w:color w:val="000000"/>
      <w:sz w:val="20"/>
    </w:rPr>
  </w:style>
  <w:style w:type="character" w:styleId="Hyperlink">
    <w:name w:val="Hyperlink"/>
    <w:basedOn w:val="DefaultParagraphFont"/>
    <w:uiPriority w:val="99"/>
    <w:rsid w:val="00E054D3"/>
    <w:rPr>
      <w:rFonts w:cs="Times New Roman"/>
      <w:color w:val="000099"/>
      <w:u w:val="none"/>
      <w:effect w:val="none"/>
    </w:rPr>
  </w:style>
  <w:style w:type="character" w:customStyle="1" w:styleId="tblheadtextblack1">
    <w:name w:val="tblheadtextblack1"/>
    <w:basedOn w:val="DefaultParagraphFont"/>
    <w:uiPriority w:val="99"/>
    <w:rsid w:val="00E054D3"/>
    <w:rPr>
      <w:rFonts w:ascii="Verdana" w:hAnsi="Verdana" w:cs="Times New Roman"/>
      <w:b/>
      <w:bCs/>
      <w:color w:val="000000"/>
      <w:sz w:val="18"/>
    </w:rPr>
  </w:style>
  <w:style w:type="character" w:styleId="FollowedHyperlink">
    <w:name w:val="FollowedHyperlink"/>
    <w:basedOn w:val="DefaultParagraphFont"/>
    <w:uiPriority w:val="99"/>
    <w:rsid w:val="00777CC0"/>
    <w:rPr>
      <w:rFonts w:cs="Times New Roman"/>
      <w:color w:val="800080"/>
      <w:u w:val="single"/>
    </w:rPr>
  </w:style>
  <w:style w:type="paragraph" w:styleId="BodyText2">
    <w:name w:val="Body Text 2"/>
    <w:basedOn w:val="Normal"/>
    <w:link w:val="BodyText2Char"/>
    <w:uiPriority w:val="99"/>
    <w:rsid w:val="00220390"/>
    <w:pPr>
      <w:spacing w:after="120" w:line="480" w:lineRule="auto"/>
    </w:pPr>
  </w:style>
  <w:style w:type="character" w:customStyle="1" w:styleId="BodyText2Char">
    <w:name w:val="Body Text 2 Char"/>
    <w:basedOn w:val="DefaultParagraphFont"/>
    <w:link w:val="BodyText2"/>
    <w:uiPriority w:val="99"/>
    <w:locked/>
    <w:rsid w:val="00220390"/>
    <w:rPr>
      <w:rFonts w:cs="Times New Roman"/>
    </w:rPr>
  </w:style>
  <w:style w:type="table" w:styleId="TableGrid">
    <w:name w:val="Table Grid"/>
    <w:basedOn w:val="TableNormal"/>
    <w:uiPriority w:val="99"/>
    <w:rsid w:val="0022039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rsid w:val="00220390"/>
    <w:pPr>
      <w:widowControl w:val="0"/>
      <w:overflowPunct/>
      <w:spacing w:after="120"/>
      <w:ind w:left="360"/>
      <w:textAlignment w:val="auto"/>
    </w:pPr>
    <w:rPr>
      <w:sz w:val="16"/>
      <w:szCs w:val="16"/>
    </w:rPr>
  </w:style>
  <w:style w:type="character" w:customStyle="1" w:styleId="BodyTextIndent3Char">
    <w:name w:val="Body Text Indent 3 Char"/>
    <w:basedOn w:val="DefaultParagraphFont"/>
    <w:link w:val="BodyTextIndent3"/>
    <w:uiPriority w:val="99"/>
    <w:locked/>
    <w:rsid w:val="00220390"/>
    <w:rPr>
      <w:rFonts w:cs="Times New Roman"/>
      <w:sz w:val="16"/>
    </w:rPr>
  </w:style>
  <w:style w:type="paragraph" w:styleId="ListParagraph">
    <w:name w:val="List Paragraph"/>
    <w:basedOn w:val="Normal"/>
    <w:uiPriority w:val="99"/>
    <w:qFormat/>
    <w:rsid w:val="00220390"/>
    <w:pPr>
      <w:numPr>
        <w:numId w:val="13"/>
      </w:numPr>
      <w:overflowPunct/>
      <w:autoSpaceDE/>
      <w:autoSpaceDN/>
      <w:adjustRightInd/>
      <w:contextualSpacing/>
      <w:textAlignment w:val="auto"/>
    </w:pPr>
    <w:rPr>
      <w:sz w:val="24"/>
      <w:szCs w:val="24"/>
    </w:rPr>
  </w:style>
  <w:style w:type="paragraph" w:styleId="BalloonText">
    <w:name w:val="Balloon Text"/>
    <w:basedOn w:val="Normal"/>
    <w:link w:val="BalloonTextChar"/>
    <w:uiPriority w:val="99"/>
    <w:semiHidden/>
    <w:rsid w:val="00E4777B"/>
    <w:rPr>
      <w:rFonts w:ascii="Tahoma" w:hAnsi="Tahoma" w:cs="Tahoma"/>
      <w:sz w:val="16"/>
      <w:szCs w:val="16"/>
    </w:rPr>
  </w:style>
  <w:style w:type="character" w:customStyle="1" w:styleId="BalloonTextChar">
    <w:name w:val="Balloon Text Char"/>
    <w:basedOn w:val="DefaultParagraphFont"/>
    <w:link w:val="BalloonText"/>
    <w:uiPriority w:val="99"/>
    <w:locked/>
    <w:rsid w:val="00E4777B"/>
    <w:rPr>
      <w:rFonts w:ascii="Tahoma" w:hAnsi="Tahoma" w:cs="Tahoma"/>
      <w:sz w:val="16"/>
    </w:rPr>
  </w:style>
  <w:style w:type="character" w:styleId="CommentReference">
    <w:name w:val="annotation reference"/>
    <w:basedOn w:val="DefaultParagraphFont"/>
    <w:uiPriority w:val="99"/>
    <w:semiHidden/>
    <w:rsid w:val="00E4777B"/>
    <w:rPr>
      <w:rFonts w:cs="Times New Roman"/>
      <w:sz w:val="16"/>
    </w:rPr>
  </w:style>
  <w:style w:type="paragraph" w:styleId="CommentText">
    <w:name w:val="annotation text"/>
    <w:basedOn w:val="Normal"/>
    <w:link w:val="CommentTextChar"/>
    <w:uiPriority w:val="99"/>
    <w:semiHidden/>
    <w:rsid w:val="00E4777B"/>
  </w:style>
  <w:style w:type="character" w:customStyle="1" w:styleId="CommentTextChar">
    <w:name w:val="Comment Text Char"/>
    <w:basedOn w:val="DefaultParagraphFont"/>
    <w:link w:val="CommentText"/>
    <w:uiPriority w:val="99"/>
    <w:locked/>
    <w:rsid w:val="00E4777B"/>
    <w:rPr>
      <w:rFonts w:cs="Times New Roman"/>
    </w:rPr>
  </w:style>
  <w:style w:type="paragraph" w:styleId="CommentSubject">
    <w:name w:val="annotation subject"/>
    <w:basedOn w:val="CommentText"/>
    <w:next w:val="CommentText"/>
    <w:link w:val="CommentSubjectChar"/>
    <w:uiPriority w:val="99"/>
    <w:semiHidden/>
    <w:rsid w:val="00E4777B"/>
    <w:rPr>
      <w:b/>
      <w:bCs/>
    </w:rPr>
  </w:style>
  <w:style w:type="character" w:customStyle="1" w:styleId="CommentSubjectChar">
    <w:name w:val="Comment Subject Char"/>
    <w:basedOn w:val="CommentTextChar"/>
    <w:link w:val="CommentSubject"/>
    <w:uiPriority w:val="99"/>
    <w:locked/>
    <w:rsid w:val="00E4777B"/>
    <w:rPr>
      <w:b/>
      <w:bCs/>
    </w:rPr>
  </w:style>
  <w:style w:type="paragraph" w:styleId="EndnoteText">
    <w:name w:val="endnote text"/>
    <w:basedOn w:val="Normal"/>
    <w:link w:val="EndnoteTextChar"/>
    <w:uiPriority w:val="99"/>
    <w:semiHidden/>
    <w:rsid w:val="00A7567A"/>
  </w:style>
  <w:style w:type="character" w:customStyle="1" w:styleId="EndnoteTextChar">
    <w:name w:val="Endnote Text Char"/>
    <w:basedOn w:val="DefaultParagraphFont"/>
    <w:link w:val="EndnoteText"/>
    <w:uiPriority w:val="99"/>
    <w:locked/>
    <w:rsid w:val="00A7567A"/>
    <w:rPr>
      <w:rFonts w:cs="Times New Roman"/>
    </w:rPr>
  </w:style>
  <w:style w:type="character" w:styleId="EndnoteReference">
    <w:name w:val="endnote reference"/>
    <w:basedOn w:val="DefaultParagraphFont"/>
    <w:uiPriority w:val="99"/>
    <w:semiHidden/>
    <w:rsid w:val="00A7567A"/>
    <w:rPr>
      <w:rFonts w:cs="Times New Roman"/>
      <w:vertAlign w:val="superscript"/>
    </w:rPr>
  </w:style>
  <w:style w:type="paragraph" w:styleId="FootnoteText">
    <w:name w:val="footnote text"/>
    <w:basedOn w:val="Normal"/>
    <w:link w:val="FootnoteTextChar"/>
    <w:uiPriority w:val="99"/>
    <w:semiHidden/>
    <w:rsid w:val="00A7567A"/>
  </w:style>
  <w:style w:type="character" w:customStyle="1" w:styleId="FootnoteTextChar">
    <w:name w:val="Footnote Text Char"/>
    <w:basedOn w:val="DefaultParagraphFont"/>
    <w:link w:val="FootnoteText"/>
    <w:uiPriority w:val="99"/>
    <w:locked/>
    <w:rsid w:val="00A7567A"/>
    <w:rPr>
      <w:rFonts w:cs="Times New Roman"/>
    </w:rPr>
  </w:style>
  <w:style w:type="character" w:styleId="FootnoteReference">
    <w:name w:val="footnote reference"/>
    <w:basedOn w:val="DefaultParagraphFont"/>
    <w:uiPriority w:val="99"/>
    <w:semiHidden/>
    <w:rsid w:val="00A7567A"/>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2750</Words>
  <Characters>15400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dbailey</cp:lastModifiedBy>
  <cp:revision>2</cp:revision>
  <cp:lastPrinted>2010-12-02T13:35:00Z</cp:lastPrinted>
  <dcterms:created xsi:type="dcterms:W3CDTF">2010-12-02T21:55:00Z</dcterms:created>
  <dcterms:modified xsi:type="dcterms:W3CDTF">2010-12-02T21:55:00Z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