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9C55CB" w:rsidRDefault="009C55CB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9C55CB" w:rsidRDefault="009C55CB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9C55CB" w:rsidRDefault="009C55CB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58674F" w:rsidRDefault="0058674F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58674F" w:rsidRDefault="0058674F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58674F" w:rsidRDefault="0058674F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58674F" w:rsidRDefault="0058674F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58674F" w:rsidRDefault="0058674F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58674F" w:rsidRDefault="0058674F">
      <w:pPr>
        <w:framePr w:w="1378" w:hSpace="180" w:wrap="around" w:vAnchor="text" w:hAnchor="page" w:x="496" w:y="152"/>
        <w:ind w:left="-720" w:firstLine="720"/>
        <w:rPr>
          <w:rFonts w:ascii="Univers" w:hAnsi="Univers"/>
        </w:rPr>
      </w:pP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CF0EC1" w:rsidRDefault="00CF0EC1">
      <w:pPr>
        <w:framePr w:w="1378" w:hSpace="180" w:wrap="around" w:vAnchor="text" w:hAnchor="page" w:x="496" w:y="152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CF0EC1" w:rsidRDefault="00CF0EC1">
      <w:pPr>
        <w:framePr w:w="1378" w:hSpace="180" w:wrap="around" w:vAnchor="text" w:hAnchor="page" w:x="496" w:y="152"/>
        <w:ind w:left="-720" w:firstLine="720"/>
      </w:pP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for</w:t>
      </w: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Nutrition Policy</w:t>
      </w: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&amp; Promotion  </w:t>
      </w: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CF0EC1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CF0EC1">
      <w:pPr>
        <w:framePr w:w="1378" w:hSpace="180" w:wrap="around" w:vAnchor="text" w:hAnchor="page" w:x="496" w:y="152"/>
        <w:ind w:left="-720" w:firstLine="720"/>
        <w:rPr>
          <w:rFonts w:ascii="Univers" w:hAnsi="Univers"/>
          <w:sz w:val="24"/>
          <w:szCs w:val="24"/>
        </w:rPr>
      </w:pPr>
    </w:p>
    <w:p w:rsidR="00CF0EC1" w:rsidRPr="009C55CB" w:rsidRDefault="005A4B7E" w:rsidP="009C55CB">
      <w:pPr>
        <w:framePr w:hSpace="180" w:wrap="around" w:vAnchor="text" w:hAnchor="page" w:x="2182" w:y="-330"/>
        <w:rPr>
          <w:sz w:val="24"/>
          <w:szCs w:val="24"/>
        </w:rPr>
      </w:pPr>
      <w:r w:rsidRPr="005A4B7E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5pt;height:49.05pt">
            <v:imagedata r:id="rId8" o:title=""/>
          </v:shape>
        </w:pict>
      </w:r>
    </w:p>
    <w:p w:rsidR="00CF0EC1" w:rsidRDefault="00CF0EC1">
      <w:pPr>
        <w:rPr>
          <w:sz w:val="24"/>
          <w:szCs w:val="24"/>
        </w:rPr>
      </w:pPr>
    </w:p>
    <w:p w:rsidR="009C55CB" w:rsidRPr="009C55CB" w:rsidRDefault="009C55CB">
      <w:pPr>
        <w:rPr>
          <w:sz w:val="24"/>
          <w:szCs w:val="24"/>
        </w:rPr>
      </w:pPr>
    </w:p>
    <w:p w:rsidR="00CF0EC1" w:rsidRPr="009C55CB" w:rsidRDefault="00CF0EC1">
      <w:pPr>
        <w:rPr>
          <w:sz w:val="24"/>
          <w:szCs w:val="24"/>
        </w:rPr>
      </w:pPr>
    </w:p>
    <w:p w:rsidR="00A33456" w:rsidRPr="009C55CB" w:rsidRDefault="00A33456">
      <w:pPr>
        <w:rPr>
          <w:sz w:val="24"/>
          <w:szCs w:val="24"/>
        </w:rPr>
      </w:pPr>
      <w:r w:rsidRPr="009C55CB">
        <w:rPr>
          <w:sz w:val="24"/>
          <w:szCs w:val="24"/>
        </w:rPr>
        <w:t xml:space="preserve">                                                                                                 </w:t>
      </w:r>
    </w:p>
    <w:p w:rsidR="00220390" w:rsidRPr="002F685C" w:rsidRDefault="00220390" w:rsidP="00220390">
      <w:pPr>
        <w:rPr>
          <w:b/>
          <w:bCs/>
          <w:sz w:val="24"/>
        </w:rPr>
      </w:pPr>
      <w:r w:rsidRPr="002F685C">
        <w:rPr>
          <w:b/>
          <w:bCs/>
          <w:sz w:val="24"/>
        </w:rPr>
        <w:t>Memorandum</w:t>
      </w:r>
    </w:p>
    <w:p w:rsidR="00220390" w:rsidRPr="002F685C" w:rsidRDefault="00220390" w:rsidP="00220390">
      <w:pPr>
        <w:rPr>
          <w:b/>
          <w:bCs/>
          <w:sz w:val="24"/>
        </w:rPr>
      </w:pPr>
    </w:p>
    <w:p w:rsidR="00220390" w:rsidRPr="006314BB" w:rsidRDefault="00220390" w:rsidP="00220390">
      <w:pPr>
        <w:rPr>
          <w:b/>
          <w:bCs/>
          <w:sz w:val="24"/>
        </w:rPr>
      </w:pPr>
      <w:r w:rsidRPr="006314BB">
        <w:rPr>
          <w:b/>
          <w:bCs/>
          <w:sz w:val="24"/>
        </w:rPr>
        <w:t>To:</w:t>
      </w:r>
      <w:r w:rsidRPr="006314BB">
        <w:rPr>
          <w:b/>
          <w:bCs/>
          <w:sz w:val="24"/>
        </w:rPr>
        <w:tab/>
      </w:r>
      <w:r w:rsidRPr="006314BB">
        <w:rPr>
          <w:b/>
          <w:bCs/>
          <w:sz w:val="24"/>
        </w:rPr>
        <w:tab/>
      </w:r>
      <w:r>
        <w:rPr>
          <w:b/>
          <w:bCs/>
          <w:sz w:val="24"/>
        </w:rPr>
        <w:t xml:space="preserve">Julie Wise, </w:t>
      </w:r>
      <w:r w:rsidRPr="006314BB">
        <w:rPr>
          <w:b/>
          <w:bCs/>
          <w:sz w:val="24"/>
        </w:rPr>
        <w:t>OMB Desk Officer</w:t>
      </w:r>
      <w:r>
        <w:rPr>
          <w:b/>
          <w:bCs/>
          <w:sz w:val="24"/>
        </w:rPr>
        <w:t>, Office of Management and Budget</w:t>
      </w:r>
    </w:p>
    <w:p w:rsidR="00220390" w:rsidRDefault="00220390" w:rsidP="00220390">
      <w:pPr>
        <w:rPr>
          <w:b/>
          <w:bCs/>
          <w:sz w:val="24"/>
        </w:rPr>
      </w:pPr>
    </w:p>
    <w:p w:rsidR="00220390" w:rsidRDefault="00220390" w:rsidP="0023766F">
      <w:pPr>
        <w:ind w:left="3600" w:hanging="1440"/>
        <w:rPr>
          <w:b/>
          <w:bCs/>
          <w:sz w:val="24"/>
        </w:rPr>
      </w:pPr>
      <w:r>
        <w:rPr>
          <w:b/>
          <w:bCs/>
          <w:sz w:val="24"/>
        </w:rPr>
        <w:t>Through:</w:t>
      </w:r>
      <w:r>
        <w:rPr>
          <w:b/>
          <w:bCs/>
          <w:sz w:val="24"/>
        </w:rPr>
        <w:tab/>
        <w:t>Rachelle Ragland Greene, FNS Information Clearance Officer and Ruth Brown, OCIO Desk Officer</w:t>
      </w:r>
    </w:p>
    <w:p w:rsidR="00220390" w:rsidRPr="006314BB" w:rsidRDefault="00220390" w:rsidP="00220390">
      <w:pPr>
        <w:rPr>
          <w:b/>
          <w:bCs/>
          <w:sz w:val="24"/>
        </w:rPr>
      </w:pPr>
    </w:p>
    <w:p w:rsidR="00220390" w:rsidRDefault="00220390" w:rsidP="00220390">
      <w:pPr>
        <w:rPr>
          <w:b/>
          <w:bCs/>
          <w:sz w:val="24"/>
        </w:rPr>
      </w:pPr>
      <w:r w:rsidRPr="006314BB">
        <w:rPr>
          <w:b/>
          <w:bCs/>
          <w:sz w:val="24"/>
        </w:rPr>
        <w:t xml:space="preserve">From:  </w:t>
      </w:r>
      <w:r>
        <w:rPr>
          <w:b/>
          <w:bCs/>
          <w:sz w:val="24"/>
        </w:rPr>
        <w:tab/>
        <w:t>Robert Post, Deputy Director</w:t>
      </w:r>
    </w:p>
    <w:p w:rsidR="00220390" w:rsidRPr="006314BB" w:rsidRDefault="00220390" w:rsidP="00220390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USDA – Center for Nutrition Policy and Promotion</w:t>
      </w:r>
    </w:p>
    <w:p w:rsidR="00220390" w:rsidRPr="006314BB" w:rsidRDefault="00220390" w:rsidP="00220390">
      <w:pPr>
        <w:rPr>
          <w:b/>
          <w:bCs/>
          <w:sz w:val="24"/>
        </w:rPr>
      </w:pPr>
    </w:p>
    <w:p w:rsidR="00220390" w:rsidRPr="006314BB" w:rsidRDefault="00220390" w:rsidP="00220390">
      <w:pPr>
        <w:ind w:left="1440" w:hanging="1440"/>
        <w:rPr>
          <w:b/>
          <w:bCs/>
          <w:sz w:val="24"/>
        </w:rPr>
      </w:pPr>
      <w:r>
        <w:rPr>
          <w:b/>
          <w:bCs/>
          <w:sz w:val="24"/>
        </w:rPr>
        <w:t>Re:</w:t>
      </w:r>
      <w:r>
        <w:rPr>
          <w:b/>
          <w:bCs/>
          <w:sz w:val="24"/>
        </w:rPr>
        <w:tab/>
      </w:r>
      <w:r w:rsidRPr="006314BB">
        <w:rPr>
          <w:b/>
          <w:bCs/>
          <w:sz w:val="24"/>
        </w:rPr>
        <w:t xml:space="preserve">Under Approved Generic OMB Clearance No. </w:t>
      </w:r>
      <w:r>
        <w:rPr>
          <w:b/>
          <w:bCs/>
          <w:sz w:val="24"/>
        </w:rPr>
        <w:t>0584-0523</w:t>
      </w:r>
    </w:p>
    <w:p w:rsidR="00220390" w:rsidRPr="006314BB" w:rsidRDefault="00220390" w:rsidP="00220390">
      <w:pPr>
        <w:ind w:left="1440"/>
        <w:rPr>
          <w:b/>
          <w:bCs/>
          <w:sz w:val="24"/>
        </w:rPr>
      </w:pPr>
      <w:r w:rsidRPr="006314BB">
        <w:rPr>
          <w:b/>
          <w:bCs/>
          <w:sz w:val="24"/>
        </w:rPr>
        <w:t>Request Approval t</w:t>
      </w:r>
      <w:r>
        <w:rPr>
          <w:b/>
          <w:bCs/>
          <w:sz w:val="24"/>
        </w:rPr>
        <w:t xml:space="preserve">o Perform </w:t>
      </w:r>
      <w:r w:rsidR="00287657">
        <w:rPr>
          <w:b/>
          <w:bCs/>
          <w:sz w:val="24"/>
        </w:rPr>
        <w:t>Quantitative</w:t>
      </w:r>
      <w:r>
        <w:rPr>
          <w:b/>
          <w:bCs/>
          <w:sz w:val="24"/>
        </w:rPr>
        <w:t xml:space="preserve"> to Inform Public Communication about the 2010 Dietary Guidelines for Americans (DGA)</w:t>
      </w:r>
      <w:r w:rsidRPr="00FB68B9">
        <w:rPr>
          <w:b/>
          <w:bCs/>
          <w:sz w:val="24"/>
        </w:rPr>
        <w:t xml:space="preserve"> </w:t>
      </w:r>
    </w:p>
    <w:p w:rsidR="00220390" w:rsidRPr="006314BB" w:rsidRDefault="00220390" w:rsidP="00220390">
      <w:pPr>
        <w:rPr>
          <w:b/>
          <w:bCs/>
          <w:sz w:val="24"/>
        </w:rPr>
      </w:pPr>
      <w:r w:rsidRPr="006314BB">
        <w:rPr>
          <w:b/>
          <w:bCs/>
          <w:sz w:val="24"/>
        </w:rPr>
        <w:t>_____________________________________________________________________</w:t>
      </w:r>
    </w:p>
    <w:p w:rsidR="00220390" w:rsidRPr="006314BB" w:rsidRDefault="00220390" w:rsidP="00220390">
      <w:pPr>
        <w:rPr>
          <w:b/>
          <w:bCs/>
          <w:sz w:val="24"/>
        </w:rPr>
      </w:pPr>
    </w:p>
    <w:p w:rsidR="00220390" w:rsidRPr="00C73389" w:rsidRDefault="00220390" w:rsidP="00220390">
      <w:pPr>
        <w:rPr>
          <w:bCs/>
          <w:sz w:val="24"/>
        </w:rPr>
      </w:pPr>
      <w:r w:rsidRPr="006314BB">
        <w:rPr>
          <w:sz w:val="24"/>
        </w:rPr>
        <w:t xml:space="preserve">The </w:t>
      </w:r>
      <w:r w:rsidRPr="00AC040F">
        <w:rPr>
          <w:bCs/>
          <w:sz w:val="24"/>
        </w:rPr>
        <w:t>Center for Nutrition Policy and Promotion</w:t>
      </w:r>
      <w:r w:rsidRPr="006314BB">
        <w:rPr>
          <w:sz w:val="24"/>
        </w:rPr>
        <w:t xml:space="preserve"> of the USDA is requesting approval for formative </w:t>
      </w:r>
      <w:r>
        <w:rPr>
          <w:sz w:val="24"/>
        </w:rPr>
        <w:t>r</w:t>
      </w:r>
      <w:r w:rsidRPr="006314BB">
        <w:rPr>
          <w:sz w:val="24"/>
        </w:rPr>
        <w:t xml:space="preserve">esearch under Approved Generic OMB Clearance No. </w:t>
      </w:r>
      <w:r>
        <w:rPr>
          <w:bCs/>
          <w:sz w:val="24"/>
        </w:rPr>
        <w:t>0584-0523</w:t>
      </w:r>
    </w:p>
    <w:p w:rsidR="00220390" w:rsidRPr="00C73389" w:rsidRDefault="00220390" w:rsidP="00220390">
      <w:pPr>
        <w:rPr>
          <w:sz w:val="24"/>
        </w:rPr>
      </w:pPr>
    </w:p>
    <w:p w:rsidR="00220390" w:rsidRPr="006314BB" w:rsidRDefault="00220390" w:rsidP="00220390">
      <w:pPr>
        <w:rPr>
          <w:sz w:val="24"/>
        </w:rPr>
      </w:pPr>
      <w:r w:rsidRPr="006314BB">
        <w:rPr>
          <w:sz w:val="24"/>
        </w:rPr>
        <w:t>The following information is provided for your review:</w:t>
      </w:r>
    </w:p>
    <w:p w:rsidR="00220390" w:rsidRPr="006314BB" w:rsidRDefault="00220390" w:rsidP="00220390">
      <w:pPr>
        <w:rPr>
          <w:sz w:val="24"/>
        </w:rPr>
      </w:pPr>
    </w:p>
    <w:p w:rsidR="00220390" w:rsidRPr="00E11891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 w:rsidRPr="00E11891">
        <w:rPr>
          <w:sz w:val="24"/>
        </w:rPr>
        <w:t xml:space="preserve">Title of Project: </w:t>
      </w:r>
      <w:r w:rsidRPr="00E11891">
        <w:rPr>
          <w:bCs/>
          <w:sz w:val="24"/>
        </w:rPr>
        <w:t xml:space="preserve">Formative Research to Inform </w:t>
      </w:r>
      <w:r>
        <w:rPr>
          <w:bCs/>
          <w:sz w:val="24"/>
        </w:rPr>
        <w:t>Public</w:t>
      </w:r>
      <w:r w:rsidRPr="00E11891">
        <w:rPr>
          <w:bCs/>
          <w:sz w:val="24"/>
        </w:rPr>
        <w:t xml:space="preserve"> </w:t>
      </w:r>
      <w:r>
        <w:rPr>
          <w:bCs/>
          <w:sz w:val="24"/>
        </w:rPr>
        <w:t>Communication</w:t>
      </w:r>
      <w:r w:rsidRPr="00E11891">
        <w:rPr>
          <w:bCs/>
          <w:sz w:val="24"/>
        </w:rPr>
        <w:t xml:space="preserve"> about the 2010 Dietary Guidelines for Americans (DGA)</w:t>
      </w:r>
      <w:r>
        <w:rPr>
          <w:bCs/>
          <w:sz w:val="24"/>
        </w:rPr>
        <w:t xml:space="preserve"> </w:t>
      </w:r>
    </w:p>
    <w:p w:rsidR="00220390" w:rsidRDefault="00220390" w:rsidP="00220390">
      <w:pPr>
        <w:rPr>
          <w:sz w:val="24"/>
        </w:rPr>
      </w:pPr>
    </w:p>
    <w:p w:rsidR="00220390" w:rsidRDefault="00220390" w:rsidP="00220390">
      <w:pPr>
        <w:ind w:left="360"/>
        <w:rPr>
          <w:sz w:val="24"/>
        </w:rPr>
      </w:pPr>
      <w:r>
        <w:rPr>
          <w:sz w:val="24"/>
        </w:rPr>
        <w:t>The research for Task 1 includes an on</w:t>
      </w:r>
      <w:r w:rsidRPr="00E11891">
        <w:rPr>
          <w:sz w:val="24"/>
        </w:rPr>
        <w:t xml:space="preserve">line survey among consumers to test messages and </w:t>
      </w:r>
      <w:r>
        <w:rPr>
          <w:sz w:val="24"/>
        </w:rPr>
        <w:t xml:space="preserve">graphic images pertaining to the </w:t>
      </w:r>
      <w:r w:rsidRPr="00E11891">
        <w:rPr>
          <w:sz w:val="24"/>
        </w:rPr>
        <w:t>DGA</w:t>
      </w:r>
      <w:r>
        <w:rPr>
          <w:sz w:val="24"/>
        </w:rPr>
        <w:t xml:space="preserve">. </w:t>
      </w:r>
    </w:p>
    <w:p w:rsidR="00220390" w:rsidRPr="006314BB" w:rsidRDefault="00220390" w:rsidP="00220390">
      <w:pPr>
        <w:ind w:left="360"/>
        <w:rPr>
          <w:sz w:val="24"/>
        </w:rPr>
      </w:pPr>
    </w:p>
    <w:p w:rsidR="00220390" w:rsidRPr="006314BB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>
        <w:rPr>
          <w:sz w:val="24"/>
        </w:rPr>
        <w:t xml:space="preserve">OMB </w:t>
      </w:r>
      <w:r w:rsidRPr="006314BB">
        <w:rPr>
          <w:sz w:val="24"/>
        </w:rPr>
        <w:t xml:space="preserve">Control Number:  </w:t>
      </w:r>
      <w:r>
        <w:rPr>
          <w:bCs/>
          <w:sz w:val="24"/>
        </w:rPr>
        <w:t>0584-0523,</w:t>
      </w:r>
      <w:r w:rsidRPr="0032590F">
        <w:rPr>
          <w:sz w:val="24"/>
        </w:rPr>
        <w:t xml:space="preserve"> </w:t>
      </w:r>
      <w:r>
        <w:rPr>
          <w:sz w:val="24"/>
        </w:rPr>
        <w:t>expiration date</w:t>
      </w:r>
      <w:r w:rsidRPr="00864E07">
        <w:rPr>
          <w:sz w:val="24"/>
        </w:rPr>
        <w:t xml:space="preserve"> 07/31/2012.</w:t>
      </w:r>
    </w:p>
    <w:p w:rsidR="00220390" w:rsidRPr="006314BB" w:rsidRDefault="00220390" w:rsidP="00220390">
      <w:pPr>
        <w:rPr>
          <w:sz w:val="24"/>
        </w:rPr>
      </w:pPr>
    </w:p>
    <w:p w:rsidR="00220390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 w:rsidRPr="006314BB">
        <w:rPr>
          <w:sz w:val="24"/>
        </w:rPr>
        <w:t xml:space="preserve">Public affected by this </w:t>
      </w:r>
      <w:r>
        <w:rPr>
          <w:sz w:val="24"/>
        </w:rPr>
        <w:t>p</w:t>
      </w:r>
      <w:r w:rsidRPr="006314BB">
        <w:rPr>
          <w:sz w:val="24"/>
        </w:rPr>
        <w:t xml:space="preserve">roject: </w:t>
      </w:r>
      <w:r>
        <w:rPr>
          <w:sz w:val="24"/>
        </w:rPr>
        <w:t xml:space="preserve">Individuals/Households.  </w:t>
      </w:r>
      <w:r w:rsidRPr="006314BB">
        <w:rPr>
          <w:sz w:val="24"/>
        </w:rPr>
        <w:t xml:space="preserve">Respondent universe includes </w:t>
      </w:r>
      <w:r>
        <w:rPr>
          <w:sz w:val="24"/>
        </w:rPr>
        <w:t>adult consumers and children ages 10-13. The samples are outlined as follows:</w:t>
      </w:r>
    </w:p>
    <w:p w:rsidR="00220390" w:rsidRPr="00171AD5" w:rsidRDefault="00220390" w:rsidP="00220390">
      <w:pPr>
        <w:rPr>
          <w:sz w:val="24"/>
        </w:rPr>
      </w:pPr>
    </w:p>
    <w:p w:rsidR="00220390" w:rsidRPr="00702447" w:rsidDel="00702447" w:rsidRDefault="00220390" w:rsidP="00220390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1232"/>
      </w:tblGrid>
      <w:tr w:rsidR="00220390" w:rsidRPr="00702447" w:rsidTr="00220390">
        <w:tc>
          <w:tcPr>
            <w:tcW w:w="4698" w:type="dxa"/>
          </w:tcPr>
          <w:p w:rsidR="00220390" w:rsidRPr="00702447" w:rsidRDefault="00220390" w:rsidP="00EB4A8C">
            <w:r w:rsidRPr="00702447">
              <w:t>General adult population ages 18+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702447">
              <w:t>2,000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702447" w:rsidRDefault="00220390" w:rsidP="00EB4A8C">
            <w:r w:rsidRPr="00220390">
              <w:rPr>
                <w:bCs/>
              </w:rPr>
              <w:t>Low income adults (less than $30KHousehold Income (HHI))</w:t>
            </w:r>
            <w:r w:rsidRPr="00702447">
              <w:t xml:space="preserve"> 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702447">
              <w:t>750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220390" w:rsidRDefault="00220390" w:rsidP="00EB4A8C">
            <w:pPr>
              <w:rPr>
                <w:bCs/>
              </w:rPr>
            </w:pPr>
            <w:r w:rsidRPr="00702447">
              <w:t xml:space="preserve">Low income </w:t>
            </w:r>
            <w:r w:rsidRPr="00220390">
              <w:rPr>
                <w:bCs/>
              </w:rPr>
              <w:t>adults</w:t>
            </w:r>
            <w:r w:rsidRPr="00702447">
              <w:t xml:space="preserve"> ($</w:t>
            </w:r>
            <w:r w:rsidRPr="00220390">
              <w:rPr>
                <w:bCs/>
              </w:rPr>
              <w:t>30K-$40K HHI)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220390">
              <w:rPr>
                <w:bCs/>
              </w:rPr>
              <w:t>250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220390" w:rsidRDefault="00220390" w:rsidP="00EB4A8C">
            <w:pPr>
              <w:rPr>
                <w:bCs/>
              </w:rPr>
            </w:pPr>
            <w:r w:rsidRPr="00220390">
              <w:rPr>
                <w:bCs/>
              </w:rPr>
              <w:t>Low literacy adults (less than high school education)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220390">
              <w:rPr>
                <w:bCs/>
              </w:rPr>
              <w:t>1,000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220390" w:rsidRDefault="00220390" w:rsidP="00EB4A8C">
            <w:pPr>
              <w:rPr>
                <w:bCs/>
              </w:rPr>
            </w:pPr>
            <w:r w:rsidRPr="00220390">
              <w:rPr>
                <w:bCs/>
              </w:rPr>
              <w:t>Pretest among adults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220390">
              <w:rPr>
                <w:bCs/>
              </w:rPr>
              <w:t>25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220390" w:rsidRDefault="00220390" w:rsidP="00EB4A8C">
            <w:pPr>
              <w:rPr>
                <w:bCs/>
              </w:rPr>
            </w:pPr>
            <w:r w:rsidRPr="00220390">
              <w:rPr>
                <w:bCs/>
              </w:rPr>
              <w:t>Children ages 10-13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220390">
              <w:rPr>
                <w:bCs/>
              </w:rPr>
              <w:t>500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220390" w:rsidRDefault="00220390" w:rsidP="00EB4A8C">
            <w:pPr>
              <w:rPr>
                <w:bCs/>
              </w:rPr>
            </w:pPr>
            <w:r w:rsidRPr="00220390">
              <w:rPr>
                <w:bCs/>
              </w:rPr>
              <w:t>Pretest among children 10-13</w:t>
            </w:r>
          </w:p>
        </w:tc>
        <w:tc>
          <w:tcPr>
            <w:tcW w:w="1232" w:type="dxa"/>
          </w:tcPr>
          <w:p w:rsidR="00220390" w:rsidRPr="00702447" w:rsidRDefault="00220390" w:rsidP="00EB4A8C">
            <w:r w:rsidRPr="00220390">
              <w:rPr>
                <w:bCs/>
              </w:rPr>
              <w:t>25</w:t>
            </w:r>
          </w:p>
        </w:tc>
      </w:tr>
      <w:tr w:rsidR="00220390" w:rsidRPr="00220390" w:rsidTr="00220390">
        <w:tc>
          <w:tcPr>
            <w:tcW w:w="4698" w:type="dxa"/>
          </w:tcPr>
          <w:p w:rsidR="00220390" w:rsidRPr="00702447" w:rsidRDefault="00220390" w:rsidP="00EB4A8C">
            <w:r w:rsidRPr="00702447">
              <w:t>Parental consent for ages 10-13</w:t>
            </w:r>
          </w:p>
        </w:tc>
        <w:tc>
          <w:tcPr>
            <w:tcW w:w="1232" w:type="dxa"/>
          </w:tcPr>
          <w:p w:rsidR="00220390" w:rsidRPr="00220390" w:rsidRDefault="00220390" w:rsidP="00EB4A8C">
            <w:pPr>
              <w:rPr>
                <w:u w:val="single"/>
              </w:rPr>
            </w:pPr>
            <w:r w:rsidRPr="00220390">
              <w:rPr>
                <w:u w:val="single"/>
              </w:rPr>
              <w:t>525</w:t>
            </w:r>
          </w:p>
        </w:tc>
      </w:tr>
      <w:tr w:rsidR="00220390" w:rsidRPr="00702447" w:rsidTr="00220390">
        <w:tc>
          <w:tcPr>
            <w:tcW w:w="4698" w:type="dxa"/>
          </w:tcPr>
          <w:p w:rsidR="00220390" w:rsidRPr="00220390" w:rsidRDefault="00220390" w:rsidP="00EB4A8C">
            <w:pPr>
              <w:rPr>
                <w:bCs/>
              </w:rPr>
            </w:pPr>
            <w:r w:rsidRPr="00220390">
              <w:rPr>
                <w:bCs/>
              </w:rPr>
              <w:t xml:space="preserve">Total Respondent:  </w:t>
            </w:r>
          </w:p>
        </w:tc>
        <w:tc>
          <w:tcPr>
            <w:tcW w:w="1232" w:type="dxa"/>
          </w:tcPr>
          <w:p w:rsidR="00220390" w:rsidRPr="00220390" w:rsidRDefault="00220390" w:rsidP="00EB4A8C">
            <w:pPr>
              <w:rPr>
                <w:bCs/>
              </w:rPr>
            </w:pPr>
            <w:r w:rsidRPr="00220390">
              <w:rPr>
                <w:bCs/>
              </w:rPr>
              <w:t>5,075</w:t>
            </w:r>
          </w:p>
        </w:tc>
      </w:tr>
    </w:tbl>
    <w:p w:rsidR="00220390" w:rsidRDefault="00220390" w:rsidP="00220390">
      <w:pPr>
        <w:rPr>
          <w:sz w:val="24"/>
        </w:rPr>
      </w:pPr>
    </w:p>
    <w:p w:rsidR="00220390" w:rsidRDefault="00220390" w:rsidP="00220390">
      <w:pPr>
        <w:autoSpaceDE/>
        <w:autoSpaceDN/>
        <w:adjustRightInd/>
        <w:rPr>
          <w:sz w:val="24"/>
        </w:rPr>
      </w:pPr>
      <w:r>
        <w:rPr>
          <w:sz w:val="24"/>
        </w:rPr>
        <w:br w:type="page"/>
      </w:r>
    </w:p>
    <w:p w:rsidR="00220390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 w:rsidRPr="006314BB">
        <w:rPr>
          <w:sz w:val="24"/>
        </w:rPr>
        <w:t xml:space="preserve">Time needed per Response: </w:t>
      </w:r>
    </w:p>
    <w:p w:rsidR="00220390" w:rsidRDefault="00220390" w:rsidP="00220390">
      <w:pPr>
        <w:ind w:left="360"/>
        <w:rPr>
          <w:sz w:val="24"/>
          <w:u w:val="single"/>
        </w:rPr>
      </w:pPr>
    </w:p>
    <w:p w:rsidR="00220390" w:rsidRDefault="00220390" w:rsidP="00220390">
      <w:pPr>
        <w:ind w:left="360"/>
        <w:rPr>
          <w:sz w:val="24"/>
        </w:rPr>
      </w:pPr>
      <w:r w:rsidRPr="008059A1">
        <w:rPr>
          <w:sz w:val="24"/>
          <w:u w:val="single"/>
        </w:rPr>
        <w:t xml:space="preserve">Online survey among </w:t>
      </w:r>
      <w:r>
        <w:rPr>
          <w:sz w:val="24"/>
          <w:u w:val="single"/>
        </w:rPr>
        <w:t xml:space="preserve">adult </w:t>
      </w:r>
      <w:r w:rsidRPr="008059A1">
        <w:rPr>
          <w:sz w:val="24"/>
          <w:u w:val="single"/>
        </w:rPr>
        <w:t>consumers</w:t>
      </w:r>
      <w:r>
        <w:rPr>
          <w:sz w:val="24"/>
          <w:u w:val="single"/>
        </w:rPr>
        <w:t xml:space="preserve"> (general population, low-income and low-literacy adults, and pre-test)</w:t>
      </w:r>
      <w:r>
        <w:rPr>
          <w:sz w:val="24"/>
        </w:rPr>
        <w:t xml:space="preserve">: </w:t>
      </w:r>
      <w:r w:rsidRPr="006314BB">
        <w:rPr>
          <w:sz w:val="24"/>
        </w:rPr>
        <w:t xml:space="preserve">Based on the assumption that the average length of the </w:t>
      </w:r>
      <w:r>
        <w:rPr>
          <w:sz w:val="24"/>
        </w:rPr>
        <w:t xml:space="preserve">survey </w:t>
      </w:r>
      <w:r w:rsidRPr="006314BB">
        <w:rPr>
          <w:sz w:val="24"/>
        </w:rPr>
        <w:t xml:space="preserve">will </w:t>
      </w:r>
      <w:r w:rsidRPr="003F78D0">
        <w:rPr>
          <w:sz w:val="24"/>
        </w:rPr>
        <w:t>be .4175 hours per</w:t>
      </w:r>
      <w:r w:rsidRPr="006314BB">
        <w:rPr>
          <w:sz w:val="24"/>
        </w:rPr>
        <w:t xml:space="preserve"> </w:t>
      </w:r>
      <w:r>
        <w:rPr>
          <w:sz w:val="24"/>
        </w:rPr>
        <w:t>adult participant</w:t>
      </w:r>
      <w:r w:rsidRPr="006314BB">
        <w:rPr>
          <w:sz w:val="24"/>
        </w:rPr>
        <w:t xml:space="preserve">, the burden hours associated with </w:t>
      </w:r>
      <w:r>
        <w:rPr>
          <w:sz w:val="24"/>
        </w:rPr>
        <w:t>4,025</w:t>
      </w:r>
      <w:r w:rsidRPr="006314BB">
        <w:rPr>
          <w:sz w:val="24"/>
        </w:rPr>
        <w:t xml:space="preserve"> </w:t>
      </w:r>
      <w:r>
        <w:rPr>
          <w:sz w:val="24"/>
        </w:rPr>
        <w:t>respondents</w:t>
      </w:r>
      <w:r w:rsidRPr="006314BB">
        <w:rPr>
          <w:sz w:val="24"/>
        </w:rPr>
        <w:t xml:space="preserve"> is </w:t>
      </w:r>
      <w:r>
        <w:rPr>
          <w:sz w:val="24"/>
        </w:rPr>
        <w:t xml:space="preserve">1,680 hours </w:t>
      </w:r>
      <w:r w:rsidRPr="006314BB">
        <w:rPr>
          <w:sz w:val="24"/>
        </w:rPr>
        <w:t>(</w:t>
      </w:r>
      <w:r>
        <w:rPr>
          <w:sz w:val="24"/>
        </w:rPr>
        <w:t xml:space="preserve">.4175 </w:t>
      </w:r>
      <w:r w:rsidRPr="006314BB">
        <w:rPr>
          <w:sz w:val="24"/>
        </w:rPr>
        <w:t xml:space="preserve">x </w:t>
      </w:r>
      <w:r>
        <w:rPr>
          <w:sz w:val="24"/>
        </w:rPr>
        <w:t>4,025</w:t>
      </w:r>
      <w:r w:rsidRPr="006314BB">
        <w:rPr>
          <w:sz w:val="24"/>
        </w:rPr>
        <w:t xml:space="preserve"> = </w:t>
      </w:r>
      <w:r>
        <w:rPr>
          <w:sz w:val="24"/>
        </w:rPr>
        <w:t xml:space="preserve">1,680 </w:t>
      </w:r>
      <w:r w:rsidRPr="006314BB">
        <w:rPr>
          <w:sz w:val="24"/>
        </w:rPr>
        <w:t>hours).</w:t>
      </w:r>
    </w:p>
    <w:p w:rsidR="00220390" w:rsidRDefault="00220390" w:rsidP="00220390">
      <w:pPr>
        <w:ind w:left="360"/>
        <w:rPr>
          <w:sz w:val="24"/>
        </w:rPr>
      </w:pPr>
    </w:p>
    <w:p w:rsidR="00220390" w:rsidRDefault="00220390" w:rsidP="00220390">
      <w:pPr>
        <w:ind w:left="360"/>
        <w:rPr>
          <w:sz w:val="24"/>
        </w:rPr>
      </w:pPr>
      <w:proofErr w:type="gramStart"/>
      <w:r w:rsidRPr="002C4C24">
        <w:rPr>
          <w:sz w:val="24"/>
          <w:u w:val="single"/>
        </w:rPr>
        <w:t>Responding to invitation</w:t>
      </w:r>
      <w:r>
        <w:rPr>
          <w:sz w:val="24"/>
          <w:u w:val="single"/>
        </w:rPr>
        <w:t xml:space="preserve"> to adults</w:t>
      </w:r>
      <w:r w:rsidRPr="002C4C24">
        <w:rPr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 w:rsidRPr="002C4C24">
        <w:rPr>
          <w:sz w:val="24"/>
          <w:u w:val="single"/>
        </w:rPr>
        <w:t xml:space="preserve"> web-based message testing survey</w:t>
      </w:r>
      <w:r>
        <w:rPr>
          <w:sz w:val="24"/>
        </w:rPr>
        <w:t xml:space="preserve">: </w:t>
      </w:r>
      <w:r w:rsidRPr="006314BB">
        <w:rPr>
          <w:sz w:val="24"/>
        </w:rPr>
        <w:t xml:space="preserve">Based on the assumption that the average length of the </w:t>
      </w:r>
      <w:r>
        <w:rPr>
          <w:sz w:val="24"/>
        </w:rPr>
        <w:t xml:space="preserve">invitation response process </w:t>
      </w:r>
      <w:r w:rsidRPr="006314BB">
        <w:rPr>
          <w:sz w:val="24"/>
        </w:rPr>
        <w:t>will be</w:t>
      </w:r>
      <w:r w:rsidRPr="002C4C24">
        <w:rPr>
          <w:sz w:val="24"/>
        </w:rPr>
        <w:t xml:space="preserve"> </w:t>
      </w:r>
      <w:r>
        <w:rPr>
          <w:sz w:val="24"/>
        </w:rPr>
        <w:t>.05 hours</w:t>
      </w:r>
      <w:r w:rsidRPr="006314BB">
        <w:rPr>
          <w:sz w:val="24"/>
        </w:rPr>
        <w:t xml:space="preserve"> per </w:t>
      </w:r>
      <w:r>
        <w:rPr>
          <w:sz w:val="24"/>
        </w:rPr>
        <w:t>adult participant</w:t>
      </w:r>
      <w:r w:rsidRPr="006314BB">
        <w:rPr>
          <w:sz w:val="24"/>
        </w:rPr>
        <w:t xml:space="preserve">, the burden hours associated with </w:t>
      </w:r>
      <w:r>
        <w:rPr>
          <w:sz w:val="24"/>
        </w:rPr>
        <w:t>4,025</w:t>
      </w:r>
      <w:r w:rsidRPr="006314BB">
        <w:rPr>
          <w:sz w:val="24"/>
        </w:rPr>
        <w:t xml:space="preserve"> </w:t>
      </w:r>
      <w:r>
        <w:rPr>
          <w:sz w:val="24"/>
        </w:rPr>
        <w:t>respondents</w:t>
      </w:r>
      <w:r w:rsidRPr="006314BB">
        <w:rPr>
          <w:sz w:val="24"/>
        </w:rPr>
        <w:t xml:space="preserve"> is </w:t>
      </w:r>
      <w:r>
        <w:rPr>
          <w:sz w:val="24"/>
        </w:rPr>
        <w:t>201.25 hours</w:t>
      </w:r>
      <w:r w:rsidDel="002C4C24">
        <w:rPr>
          <w:sz w:val="24"/>
        </w:rPr>
        <w:t xml:space="preserve"> </w:t>
      </w:r>
      <w:r w:rsidRPr="006314BB">
        <w:rPr>
          <w:sz w:val="24"/>
        </w:rPr>
        <w:t>(</w:t>
      </w:r>
      <w:r>
        <w:rPr>
          <w:sz w:val="24"/>
        </w:rPr>
        <w:t xml:space="preserve">.05 </w:t>
      </w:r>
      <w:r w:rsidRPr="006314BB">
        <w:rPr>
          <w:sz w:val="24"/>
        </w:rPr>
        <w:t xml:space="preserve">x </w:t>
      </w:r>
      <w:r>
        <w:rPr>
          <w:sz w:val="24"/>
        </w:rPr>
        <w:t>4,025</w:t>
      </w:r>
      <w:r w:rsidRPr="006314BB">
        <w:rPr>
          <w:sz w:val="24"/>
        </w:rPr>
        <w:t xml:space="preserve"> = </w:t>
      </w:r>
      <w:r>
        <w:rPr>
          <w:sz w:val="24"/>
        </w:rPr>
        <w:t>201.25 hours</w:t>
      </w:r>
      <w:r w:rsidRPr="006314BB">
        <w:rPr>
          <w:sz w:val="24"/>
        </w:rPr>
        <w:t>).</w:t>
      </w:r>
      <w:proofErr w:type="gramEnd"/>
    </w:p>
    <w:p w:rsidR="00220390" w:rsidRDefault="00220390" w:rsidP="00220390">
      <w:pPr>
        <w:ind w:left="360"/>
        <w:rPr>
          <w:sz w:val="24"/>
        </w:rPr>
      </w:pPr>
    </w:p>
    <w:p w:rsidR="00220390" w:rsidRDefault="00220390" w:rsidP="00220390">
      <w:pPr>
        <w:ind w:left="360"/>
        <w:rPr>
          <w:sz w:val="24"/>
        </w:rPr>
      </w:pPr>
      <w:proofErr w:type="gramStart"/>
      <w:r w:rsidRPr="002C4C24">
        <w:rPr>
          <w:sz w:val="24"/>
          <w:u w:val="single"/>
        </w:rPr>
        <w:t xml:space="preserve">Responding to invitation to children </w:t>
      </w:r>
      <w:r>
        <w:rPr>
          <w:sz w:val="24"/>
          <w:u w:val="single"/>
        </w:rPr>
        <w:t>for</w:t>
      </w:r>
      <w:r w:rsidRPr="002C4C24">
        <w:rPr>
          <w:sz w:val="24"/>
          <w:u w:val="single"/>
        </w:rPr>
        <w:t xml:space="preserve"> web-based message testing survey</w:t>
      </w:r>
      <w:r>
        <w:rPr>
          <w:sz w:val="24"/>
        </w:rPr>
        <w:t xml:space="preserve">: </w:t>
      </w:r>
      <w:r w:rsidRPr="006314BB">
        <w:rPr>
          <w:sz w:val="24"/>
        </w:rPr>
        <w:t xml:space="preserve">Based on the assumption that the average length of the </w:t>
      </w:r>
      <w:r>
        <w:rPr>
          <w:sz w:val="24"/>
        </w:rPr>
        <w:t xml:space="preserve">invitation response process </w:t>
      </w:r>
      <w:r w:rsidRPr="006314BB">
        <w:rPr>
          <w:sz w:val="24"/>
        </w:rPr>
        <w:t xml:space="preserve">will be </w:t>
      </w:r>
      <w:r>
        <w:rPr>
          <w:sz w:val="24"/>
        </w:rPr>
        <w:t>.05 hours</w:t>
      </w:r>
      <w:r w:rsidRPr="006314BB">
        <w:rPr>
          <w:sz w:val="24"/>
        </w:rPr>
        <w:t xml:space="preserve"> per </w:t>
      </w:r>
      <w:r>
        <w:rPr>
          <w:sz w:val="24"/>
        </w:rPr>
        <w:t>child</w:t>
      </w:r>
      <w:r w:rsidRPr="006314BB">
        <w:rPr>
          <w:sz w:val="24"/>
        </w:rPr>
        <w:t xml:space="preserve">, the burden hours associated with </w:t>
      </w:r>
      <w:r>
        <w:rPr>
          <w:sz w:val="24"/>
        </w:rPr>
        <w:t>525</w:t>
      </w:r>
      <w:r w:rsidRPr="006314BB">
        <w:rPr>
          <w:sz w:val="24"/>
        </w:rPr>
        <w:t xml:space="preserve"> </w:t>
      </w:r>
      <w:r>
        <w:rPr>
          <w:sz w:val="24"/>
        </w:rPr>
        <w:t>respondents</w:t>
      </w:r>
      <w:r w:rsidRPr="006314BB">
        <w:rPr>
          <w:sz w:val="24"/>
        </w:rPr>
        <w:t xml:space="preserve"> is </w:t>
      </w:r>
      <w:r>
        <w:rPr>
          <w:sz w:val="24"/>
        </w:rPr>
        <w:t xml:space="preserve">26.25 hours </w:t>
      </w:r>
      <w:r w:rsidRPr="006314BB">
        <w:rPr>
          <w:sz w:val="24"/>
        </w:rPr>
        <w:t>(</w:t>
      </w:r>
      <w:r>
        <w:rPr>
          <w:sz w:val="24"/>
        </w:rPr>
        <w:t xml:space="preserve">.05 </w:t>
      </w:r>
      <w:r w:rsidRPr="006314BB">
        <w:rPr>
          <w:sz w:val="24"/>
        </w:rPr>
        <w:t xml:space="preserve">x </w:t>
      </w:r>
      <w:r>
        <w:rPr>
          <w:sz w:val="24"/>
        </w:rPr>
        <w:t>525</w:t>
      </w:r>
      <w:r w:rsidRPr="006314BB">
        <w:rPr>
          <w:sz w:val="24"/>
        </w:rPr>
        <w:t xml:space="preserve"> = </w:t>
      </w:r>
      <w:r>
        <w:rPr>
          <w:sz w:val="24"/>
        </w:rPr>
        <w:t xml:space="preserve">26.25 </w:t>
      </w:r>
      <w:r w:rsidRPr="006314BB">
        <w:rPr>
          <w:sz w:val="24"/>
        </w:rPr>
        <w:t>hours).</w:t>
      </w:r>
      <w:proofErr w:type="gramEnd"/>
    </w:p>
    <w:p w:rsidR="00220390" w:rsidRDefault="00220390" w:rsidP="00220390">
      <w:pPr>
        <w:ind w:left="360"/>
        <w:rPr>
          <w:sz w:val="24"/>
        </w:rPr>
      </w:pPr>
    </w:p>
    <w:p w:rsidR="00220390" w:rsidRDefault="00220390" w:rsidP="00220390">
      <w:pPr>
        <w:ind w:left="360"/>
        <w:rPr>
          <w:sz w:val="24"/>
        </w:rPr>
      </w:pPr>
      <w:r w:rsidRPr="008059A1">
        <w:rPr>
          <w:sz w:val="24"/>
          <w:u w:val="single"/>
        </w:rPr>
        <w:t xml:space="preserve">Online survey </w:t>
      </w:r>
      <w:r>
        <w:rPr>
          <w:sz w:val="24"/>
          <w:u w:val="single"/>
        </w:rPr>
        <w:t>and pre-test among children 10-13</w:t>
      </w:r>
      <w:r w:rsidRPr="00F27A25">
        <w:rPr>
          <w:sz w:val="24"/>
        </w:rPr>
        <w:t xml:space="preserve">: </w:t>
      </w:r>
      <w:r w:rsidRPr="006314BB">
        <w:rPr>
          <w:sz w:val="24"/>
        </w:rPr>
        <w:t xml:space="preserve">Based on the assumption that the average length of the </w:t>
      </w:r>
      <w:r>
        <w:rPr>
          <w:sz w:val="24"/>
        </w:rPr>
        <w:t xml:space="preserve">survey </w:t>
      </w:r>
      <w:r w:rsidRPr="006314BB">
        <w:rPr>
          <w:sz w:val="24"/>
        </w:rPr>
        <w:t xml:space="preserve">will be </w:t>
      </w:r>
      <w:r>
        <w:rPr>
          <w:sz w:val="24"/>
        </w:rPr>
        <w:t>.25 hours</w:t>
      </w:r>
      <w:r w:rsidRPr="006314BB">
        <w:rPr>
          <w:sz w:val="24"/>
        </w:rPr>
        <w:t xml:space="preserve"> per </w:t>
      </w:r>
      <w:r>
        <w:rPr>
          <w:sz w:val="24"/>
        </w:rPr>
        <w:t>child participant</w:t>
      </w:r>
      <w:r w:rsidRPr="006314BB">
        <w:rPr>
          <w:sz w:val="24"/>
        </w:rPr>
        <w:t xml:space="preserve">, the burden hours associated with </w:t>
      </w:r>
      <w:r>
        <w:rPr>
          <w:sz w:val="24"/>
        </w:rPr>
        <w:t>525</w:t>
      </w:r>
      <w:r w:rsidRPr="006314BB">
        <w:rPr>
          <w:sz w:val="24"/>
        </w:rPr>
        <w:t xml:space="preserve"> </w:t>
      </w:r>
      <w:r>
        <w:rPr>
          <w:sz w:val="24"/>
        </w:rPr>
        <w:t>respondents</w:t>
      </w:r>
      <w:r w:rsidRPr="006314BB">
        <w:rPr>
          <w:sz w:val="24"/>
        </w:rPr>
        <w:t xml:space="preserve"> is </w:t>
      </w:r>
      <w:r>
        <w:rPr>
          <w:sz w:val="24"/>
        </w:rPr>
        <w:t xml:space="preserve">131.25 hours </w:t>
      </w:r>
      <w:r w:rsidRPr="006314BB">
        <w:rPr>
          <w:sz w:val="24"/>
        </w:rPr>
        <w:t>(</w:t>
      </w:r>
      <w:r>
        <w:rPr>
          <w:sz w:val="24"/>
        </w:rPr>
        <w:t xml:space="preserve">.25 </w:t>
      </w:r>
      <w:r w:rsidRPr="006314BB">
        <w:rPr>
          <w:sz w:val="24"/>
        </w:rPr>
        <w:t xml:space="preserve">x </w:t>
      </w:r>
      <w:r>
        <w:rPr>
          <w:sz w:val="24"/>
        </w:rPr>
        <w:t>525</w:t>
      </w:r>
      <w:r w:rsidRPr="006314BB">
        <w:rPr>
          <w:sz w:val="24"/>
        </w:rPr>
        <w:t xml:space="preserve"> = </w:t>
      </w:r>
      <w:r>
        <w:rPr>
          <w:sz w:val="24"/>
        </w:rPr>
        <w:t xml:space="preserve">131.25 </w:t>
      </w:r>
      <w:r w:rsidRPr="006314BB">
        <w:rPr>
          <w:sz w:val="24"/>
        </w:rPr>
        <w:t>hours).</w:t>
      </w:r>
    </w:p>
    <w:p w:rsidR="00220390" w:rsidRDefault="00220390" w:rsidP="00220390">
      <w:pPr>
        <w:ind w:left="360"/>
        <w:rPr>
          <w:sz w:val="24"/>
        </w:rPr>
      </w:pPr>
    </w:p>
    <w:p w:rsidR="00220390" w:rsidRDefault="00220390" w:rsidP="00220390">
      <w:pPr>
        <w:ind w:left="360"/>
        <w:rPr>
          <w:sz w:val="24"/>
        </w:rPr>
      </w:pPr>
      <w:r w:rsidRPr="00EC5859">
        <w:rPr>
          <w:sz w:val="24"/>
          <w:u w:val="single"/>
        </w:rPr>
        <w:t>Parental consent</w:t>
      </w:r>
      <w:r>
        <w:rPr>
          <w:sz w:val="24"/>
        </w:rPr>
        <w:t xml:space="preserve">: </w:t>
      </w:r>
      <w:r w:rsidRPr="006314BB">
        <w:rPr>
          <w:sz w:val="24"/>
        </w:rPr>
        <w:t xml:space="preserve">Based on the assumption that the average length of the </w:t>
      </w:r>
      <w:r>
        <w:rPr>
          <w:sz w:val="24"/>
        </w:rPr>
        <w:t xml:space="preserve">parental consent process </w:t>
      </w:r>
      <w:r w:rsidRPr="006314BB">
        <w:rPr>
          <w:sz w:val="24"/>
        </w:rPr>
        <w:t xml:space="preserve">will be </w:t>
      </w:r>
      <w:r>
        <w:rPr>
          <w:sz w:val="24"/>
        </w:rPr>
        <w:t>.05 hours</w:t>
      </w:r>
      <w:r w:rsidRPr="006314BB">
        <w:rPr>
          <w:sz w:val="24"/>
        </w:rPr>
        <w:t xml:space="preserve"> per </w:t>
      </w:r>
      <w:r>
        <w:rPr>
          <w:sz w:val="24"/>
        </w:rPr>
        <w:t>parent</w:t>
      </w:r>
      <w:r w:rsidRPr="006314BB">
        <w:rPr>
          <w:sz w:val="24"/>
        </w:rPr>
        <w:t xml:space="preserve">, the burden hours associated with </w:t>
      </w:r>
      <w:r>
        <w:rPr>
          <w:sz w:val="24"/>
        </w:rPr>
        <w:t>525</w:t>
      </w:r>
      <w:r w:rsidRPr="006314BB">
        <w:rPr>
          <w:sz w:val="24"/>
        </w:rPr>
        <w:t xml:space="preserve"> </w:t>
      </w:r>
      <w:r>
        <w:rPr>
          <w:sz w:val="24"/>
        </w:rPr>
        <w:t>respondents</w:t>
      </w:r>
      <w:r w:rsidRPr="006314BB">
        <w:rPr>
          <w:sz w:val="24"/>
        </w:rPr>
        <w:t xml:space="preserve"> is </w:t>
      </w:r>
      <w:r>
        <w:rPr>
          <w:sz w:val="24"/>
        </w:rPr>
        <w:t xml:space="preserve">26.25 hours </w:t>
      </w:r>
      <w:r w:rsidRPr="006314BB">
        <w:rPr>
          <w:sz w:val="24"/>
        </w:rPr>
        <w:t>(</w:t>
      </w:r>
      <w:r>
        <w:rPr>
          <w:sz w:val="24"/>
        </w:rPr>
        <w:t xml:space="preserve">.05 </w:t>
      </w:r>
      <w:r w:rsidRPr="006314BB">
        <w:rPr>
          <w:sz w:val="24"/>
        </w:rPr>
        <w:t xml:space="preserve">x </w:t>
      </w:r>
      <w:r>
        <w:rPr>
          <w:sz w:val="24"/>
        </w:rPr>
        <w:t>525</w:t>
      </w:r>
      <w:r w:rsidRPr="006314BB">
        <w:rPr>
          <w:sz w:val="24"/>
        </w:rPr>
        <w:t xml:space="preserve"> = </w:t>
      </w:r>
      <w:r>
        <w:rPr>
          <w:sz w:val="24"/>
        </w:rPr>
        <w:t xml:space="preserve">26.25 </w:t>
      </w:r>
      <w:r w:rsidRPr="006314BB">
        <w:rPr>
          <w:sz w:val="24"/>
        </w:rPr>
        <w:t>hours).</w:t>
      </w:r>
    </w:p>
    <w:p w:rsidR="00220390" w:rsidRDefault="00220390" w:rsidP="00220390">
      <w:pPr>
        <w:ind w:left="360"/>
        <w:rPr>
          <w:sz w:val="24"/>
        </w:rPr>
      </w:pPr>
    </w:p>
    <w:p w:rsidR="00220390" w:rsidRDefault="00220390" w:rsidP="00220390">
      <w:pPr>
        <w:ind w:left="360"/>
        <w:rPr>
          <w:sz w:val="22"/>
          <w:szCs w:val="22"/>
        </w:rPr>
      </w:pPr>
      <w:r>
        <w:rPr>
          <w:sz w:val="24"/>
        </w:rPr>
        <w:t xml:space="preserve">The total burden for this project is </w:t>
      </w:r>
      <w:r>
        <w:rPr>
          <w:sz w:val="22"/>
          <w:szCs w:val="22"/>
        </w:rPr>
        <w:t xml:space="preserve">2,065 burden </w:t>
      </w:r>
      <w:r w:rsidRPr="006314BB">
        <w:rPr>
          <w:sz w:val="22"/>
          <w:szCs w:val="22"/>
        </w:rPr>
        <w:t>hours</w:t>
      </w:r>
      <w:r>
        <w:rPr>
          <w:sz w:val="22"/>
          <w:szCs w:val="22"/>
        </w:rPr>
        <w:t>.</w:t>
      </w:r>
    </w:p>
    <w:p w:rsidR="00220390" w:rsidRDefault="00220390" w:rsidP="00220390">
      <w:pPr>
        <w:ind w:left="36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38"/>
        <w:gridCol w:w="1890"/>
        <w:gridCol w:w="1440"/>
        <w:gridCol w:w="1980"/>
      </w:tblGrid>
      <w:tr w:rsidR="00220390" w:rsidRPr="006314BB" w:rsidTr="00EB4A8C">
        <w:trPr>
          <w:cantSplit/>
          <w:jc w:val="center"/>
        </w:trPr>
        <w:tc>
          <w:tcPr>
            <w:tcW w:w="8548" w:type="dxa"/>
            <w:gridSpan w:val="4"/>
          </w:tcPr>
          <w:p w:rsidR="00220390" w:rsidRPr="006314BB" w:rsidRDefault="00220390" w:rsidP="00EB4A8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314BB">
              <w:rPr>
                <w:b/>
                <w:sz w:val="22"/>
                <w:szCs w:val="22"/>
              </w:rPr>
              <w:t xml:space="preserve">Table 1. Respondent Burden Estimate 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Pr="006314BB" w:rsidRDefault="00220390" w:rsidP="00EB4A8C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314BB">
              <w:rPr>
                <w:i/>
                <w:sz w:val="22"/>
                <w:szCs w:val="22"/>
              </w:rPr>
              <w:t>Respondent group</w:t>
            </w:r>
          </w:p>
        </w:tc>
        <w:tc>
          <w:tcPr>
            <w:tcW w:w="1890" w:type="dxa"/>
          </w:tcPr>
          <w:p w:rsidR="00220390" w:rsidRPr="006314BB" w:rsidRDefault="00220390" w:rsidP="00EB4A8C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314BB">
              <w:rPr>
                <w:i/>
                <w:sz w:val="22"/>
                <w:szCs w:val="22"/>
              </w:rPr>
              <w:t xml:space="preserve">Estimated number of respondents </w:t>
            </w:r>
          </w:p>
        </w:tc>
        <w:tc>
          <w:tcPr>
            <w:tcW w:w="1440" w:type="dxa"/>
          </w:tcPr>
          <w:p w:rsidR="00220390" w:rsidRPr="006314BB" w:rsidRDefault="00220390" w:rsidP="00EB4A8C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314BB">
              <w:rPr>
                <w:i/>
                <w:sz w:val="22"/>
                <w:szCs w:val="22"/>
              </w:rPr>
              <w:t>Minutes per respondent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6314BB">
              <w:rPr>
                <w:i/>
                <w:sz w:val="22"/>
                <w:szCs w:val="22"/>
              </w:rPr>
              <w:t>Total respondent burden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Pr="006314BB" w:rsidRDefault="00220390" w:rsidP="00EB4A8C">
            <w:pPr>
              <w:rPr>
                <w:sz w:val="22"/>
                <w:szCs w:val="22"/>
              </w:rPr>
            </w:pPr>
            <w:r w:rsidRPr="006D4FA0">
              <w:rPr>
                <w:sz w:val="24"/>
              </w:rPr>
              <w:t xml:space="preserve">Screening* for </w:t>
            </w:r>
            <w:r>
              <w:rPr>
                <w:sz w:val="24"/>
              </w:rPr>
              <w:t xml:space="preserve">adults for </w:t>
            </w:r>
            <w:r w:rsidRPr="006D4FA0">
              <w:rPr>
                <w:sz w:val="24"/>
              </w:rPr>
              <w:t xml:space="preserve">web-based message testing </w:t>
            </w:r>
          </w:p>
        </w:tc>
        <w:tc>
          <w:tcPr>
            <w:tcW w:w="189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Pr="006D4FA0" w:rsidRDefault="00220390" w:rsidP="00EB4A8C">
            <w:pPr>
              <w:rPr>
                <w:sz w:val="24"/>
              </w:rPr>
            </w:pPr>
            <w:r>
              <w:rPr>
                <w:sz w:val="24"/>
              </w:rPr>
              <w:t>Responding to invitation to adults for web-based message testing survey</w:t>
            </w:r>
          </w:p>
        </w:tc>
        <w:tc>
          <w:tcPr>
            <w:tcW w:w="1890" w:type="dxa"/>
          </w:tcPr>
          <w:p w:rsidR="00220390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4,025</w:t>
            </w:r>
          </w:p>
        </w:tc>
        <w:tc>
          <w:tcPr>
            <w:tcW w:w="1440" w:type="dxa"/>
          </w:tcPr>
          <w:p w:rsidR="00220390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220390" w:rsidRDefault="00220390" w:rsidP="00EB4A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201.25 hours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Default="00220390" w:rsidP="00EB4A8C">
            <w:pPr>
              <w:rPr>
                <w:sz w:val="22"/>
                <w:szCs w:val="22"/>
              </w:rPr>
            </w:pPr>
            <w:r w:rsidRPr="006D4FA0">
              <w:rPr>
                <w:sz w:val="24"/>
              </w:rPr>
              <w:t xml:space="preserve">Web-based message testing </w:t>
            </w:r>
            <w:r>
              <w:rPr>
                <w:sz w:val="24"/>
              </w:rPr>
              <w:t>among adults, including pre-test</w:t>
            </w:r>
          </w:p>
        </w:tc>
        <w:tc>
          <w:tcPr>
            <w:tcW w:w="1890" w:type="dxa"/>
          </w:tcPr>
          <w:p w:rsidR="00220390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4,025</w:t>
            </w:r>
          </w:p>
        </w:tc>
        <w:tc>
          <w:tcPr>
            <w:tcW w:w="144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1,680 </w:t>
            </w:r>
            <w:r w:rsidRPr="006314BB">
              <w:rPr>
                <w:sz w:val="24"/>
              </w:rPr>
              <w:t>hours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Pr="006314BB" w:rsidRDefault="00220390" w:rsidP="00EB4A8C">
            <w:pPr>
              <w:rPr>
                <w:sz w:val="22"/>
                <w:szCs w:val="22"/>
              </w:rPr>
            </w:pPr>
            <w:r w:rsidRPr="006D4FA0">
              <w:rPr>
                <w:sz w:val="24"/>
              </w:rPr>
              <w:t xml:space="preserve">Screening* for </w:t>
            </w:r>
            <w:r>
              <w:rPr>
                <w:sz w:val="24"/>
              </w:rPr>
              <w:t xml:space="preserve">children for </w:t>
            </w:r>
            <w:r w:rsidRPr="006D4FA0">
              <w:rPr>
                <w:sz w:val="24"/>
              </w:rPr>
              <w:t xml:space="preserve">web-based message testing </w:t>
            </w:r>
          </w:p>
        </w:tc>
        <w:tc>
          <w:tcPr>
            <w:tcW w:w="189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Pr="004A6BF8" w:rsidRDefault="00220390" w:rsidP="00EB4A8C">
            <w:pPr>
              <w:rPr>
                <w:sz w:val="22"/>
                <w:szCs w:val="22"/>
              </w:rPr>
            </w:pPr>
            <w:r w:rsidRPr="004A6BF8">
              <w:rPr>
                <w:sz w:val="24"/>
              </w:rPr>
              <w:t>Parental consent for children ages 10-1</w:t>
            </w:r>
            <w:r>
              <w:rPr>
                <w:sz w:val="24"/>
              </w:rPr>
              <w:t>3</w:t>
            </w:r>
          </w:p>
        </w:tc>
        <w:tc>
          <w:tcPr>
            <w:tcW w:w="1890" w:type="dxa"/>
          </w:tcPr>
          <w:p w:rsidR="00220390" w:rsidRPr="004A6BF8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440" w:type="dxa"/>
          </w:tcPr>
          <w:p w:rsidR="00220390" w:rsidRPr="004A6BF8" w:rsidRDefault="00220390" w:rsidP="00EB4A8C">
            <w:pPr>
              <w:jc w:val="center"/>
              <w:rPr>
                <w:sz w:val="22"/>
                <w:szCs w:val="22"/>
              </w:rPr>
            </w:pPr>
            <w:r w:rsidRPr="004A6BF8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26.25 hours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Pr="004A6BF8" w:rsidRDefault="00220390" w:rsidP="00EB4A8C">
            <w:pPr>
              <w:rPr>
                <w:sz w:val="22"/>
                <w:szCs w:val="22"/>
              </w:rPr>
            </w:pPr>
            <w:r>
              <w:rPr>
                <w:sz w:val="24"/>
              </w:rPr>
              <w:t>Responding to invitation to children for web-based message testing survey</w:t>
            </w:r>
          </w:p>
        </w:tc>
        <w:tc>
          <w:tcPr>
            <w:tcW w:w="1890" w:type="dxa"/>
          </w:tcPr>
          <w:p w:rsidR="00220390" w:rsidRPr="004A6BF8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440" w:type="dxa"/>
          </w:tcPr>
          <w:p w:rsidR="00220390" w:rsidRPr="004A6BF8" w:rsidRDefault="00220390" w:rsidP="00EB4A8C">
            <w:pPr>
              <w:jc w:val="center"/>
              <w:rPr>
                <w:sz w:val="22"/>
                <w:szCs w:val="22"/>
              </w:rPr>
            </w:pPr>
            <w:r w:rsidRPr="004A6BF8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26.25 hours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</w:tcPr>
          <w:p w:rsidR="00220390" w:rsidRDefault="00220390" w:rsidP="00EB4A8C">
            <w:pPr>
              <w:rPr>
                <w:sz w:val="22"/>
                <w:szCs w:val="22"/>
              </w:rPr>
            </w:pPr>
            <w:r w:rsidRPr="006D4FA0">
              <w:rPr>
                <w:sz w:val="24"/>
              </w:rPr>
              <w:t>Web-based message testing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among children ages 10-13, including pre-test</w:t>
            </w:r>
          </w:p>
        </w:tc>
        <w:tc>
          <w:tcPr>
            <w:tcW w:w="1890" w:type="dxa"/>
          </w:tcPr>
          <w:p w:rsidR="00220390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525</w:t>
            </w:r>
          </w:p>
        </w:tc>
        <w:tc>
          <w:tcPr>
            <w:tcW w:w="144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0" w:type="dxa"/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131.25 </w:t>
            </w:r>
            <w:r w:rsidRPr="006314BB">
              <w:rPr>
                <w:sz w:val="24"/>
              </w:rPr>
              <w:t>hours</w:t>
            </w:r>
          </w:p>
        </w:tc>
      </w:tr>
      <w:tr w:rsidR="00220390" w:rsidRPr="006314BB" w:rsidTr="00EB4A8C">
        <w:trPr>
          <w:jc w:val="center"/>
        </w:trPr>
        <w:tc>
          <w:tcPr>
            <w:tcW w:w="3238" w:type="dxa"/>
            <w:tcBorders>
              <w:top w:val="thinThickSmallGap" w:sz="18" w:space="0" w:color="auto"/>
            </w:tcBorders>
          </w:tcPr>
          <w:p w:rsidR="00220390" w:rsidRPr="006314BB" w:rsidRDefault="00220390" w:rsidP="00EB4A8C">
            <w:pPr>
              <w:rPr>
                <w:sz w:val="22"/>
                <w:szCs w:val="22"/>
              </w:rPr>
            </w:pPr>
            <w:r w:rsidRPr="006314BB">
              <w:rPr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890" w:type="dxa"/>
            <w:tcBorders>
              <w:top w:val="thinThickSmallGap" w:sz="18" w:space="0" w:color="auto"/>
            </w:tcBorders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5,075</w:t>
            </w:r>
          </w:p>
        </w:tc>
        <w:tc>
          <w:tcPr>
            <w:tcW w:w="1440" w:type="dxa"/>
            <w:tcBorders>
              <w:top w:val="thinThickSmallGap" w:sz="18" w:space="0" w:color="auto"/>
            </w:tcBorders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 w:rsidRPr="006314BB">
              <w:rPr>
                <w:sz w:val="22"/>
                <w:szCs w:val="22"/>
              </w:rPr>
              <w:t>N/A</w:t>
            </w:r>
          </w:p>
        </w:tc>
        <w:tc>
          <w:tcPr>
            <w:tcW w:w="1980" w:type="dxa"/>
            <w:tcBorders>
              <w:top w:val="thinThickSmallGap" w:sz="18" w:space="0" w:color="auto"/>
            </w:tcBorders>
          </w:tcPr>
          <w:p w:rsidR="00220390" w:rsidRPr="006314BB" w:rsidRDefault="00220390" w:rsidP="00EB4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2,065 </w:t>
            </w:r>
            <w:r w:rsidRPr="006314BB">
              <w:rPr>
                <w:sz w:val="22"/>
                <w:szCs w:val="22"/>
              </w:rPr>
              <w:t>hours</w:t>
            </w:r>
          </w:p>
        </w:tc>
      </w:tr>
    </w:tbl>
    <w:p w:rsidR="00220390" w:rsidRPr="006D4FA0" w:rsidRDefault="00220390" w:rsidP="00220390">
      <w:pPr>
        <w:rPr>
          <w:sz w:val="24"/>
        </w:rPr>
      </w:pPr>
      <w:r w:rsidRPr="006D4FA0">
        <w:rPr>
          <w:sz w:val="24"/>
        </w:rPr>
        <w:t>*</w:t>
      </w:r>
      <w:r>
        <w:rPr>
          <w:sz w:val="24"/>
        </w:rPr>
        <w:t>using</w:t>
      </w:r>
      <w:r w:rsidRPr="006D4FA0">
        <w:rPr>
          <w:sz w:val="24"/>
        </w:rPr>
        <w:t xml:space="preserve"> existing web panel</w:t>
      </w:r>
      <w:r>
        <w:rPr>
          <w:sz w:val="24"/>
        </w:rPr>
        <w:t xml:space="preserve"> – eligible pool of participants is pre-identified from the database, with no screening necessary</w:t>
      </w:r>
      <w:r w:rsidRPr="006D4FA0">
        <w:rPr>
          <w:sz w:val="24"/>
        </w:rPr>
        <w:t xml:space="preserve"> </w:t>
      </w:r>
    </w:p>
    <w:p w:rsidR="00220390" w:rsidRDefault="00220390" w:rsidP="00220390">
      <w:pPr>
        <w:rPr>
          <w:sz w:val="24"/>
        </w:rPr>
      </w:pPr>
    </w:p>
    <w:p w:rsidR="00220390" w:rsidRPr="009435C2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 w:rsidRPr="009435C2">
        <w:rPr>
          <w:sz w:val="24"/>
        </w:rPr>
        <w:t>Project Background, Objective, Methodology and Design, Data Analysis, and Outcome.</w:t>
      </w:r>
    </w:p>
    <w:p w:rsidR="00220390" w:rsidRPr="006314BB" w:rsidRDefault="00220390" w:rsidP="00220390">
      <w:pPr>
        <w:rPr>
          <w:sz w:val="24"/>
        </w:rPr>
      </w:pPr>
    </w:p>
    <w:p w:rsidR="00220390" w:rsidRPr="006314BB" w:rsidRDefault="00220390" w:rsidP="00220390">
      <w:pPr>
        <w:ind w:left="360"/>
        <w:rPr>
          <w:sz w:val="24"/>
        </w:rPr>
      </w:pPr>
      <w:r w:rsidRPr="006314BB">
        <w:rPr>
          <w:sz w:val="24"/>
          <w:u w:val="single"/>
        </w:rPr>
        <w:t>Background:</w:t>
      </w:r>
      <w:r w:rsidRPr="006314BB">
        <w:rPr>
          <w:sz w:val="24"/>
        </w:rPr>
        <w:t xml:space="preserve"> </w:t>
      </w:r>
    </w:p>
    <w:p w:rsidR="00220390" w:rsidRPr="00E704F8" w:rsidRDefault="00220390" w:rsidP="00220390">
      <w:pPr>
        <w:ind w:left="360"/>
        <w:rPr>
          <w:sz w:val="24"/>
        </w:rPr>
      </w:pPr>
      <w:r w:rsidRPr="00D3433E">
        <w:rPr>
          <w:bCs/>
          <w:sz w:val="24"/>
        </w:rPr>
        <w:t>Center for Nutrition Policy and Promotion</w:t>
      </w:r>
      <w:r>
        <w:rPr>
          <w:sz w:val="24"/>
        </w:rPr>
        <w:t xml:space="preserve"> (CNPP)</w:t>
      </w:r>
      <w:r w:rsidRPr="006314BB">
        <w:rPr>
          <w:sz w:val="24"/>
        </w:rPr>
        <w:t xml:space="preserve"> </w:t>
      </w:r>
      <w:r>
        <w:rPr>
          <w:sz w:val="24"/>
        </w:rPr>
        <w:t xml:space="preserve">is responsible for communicating to consumers and professionals about the Dietary Guidelines for Americans (DGA). An updated version of the DGA will be released in 2010. DGA-related nutrition concepts and messages will be communicated to consumers through </w:t>
      </w:r>
      <w:proofErr w:type="spellStart"/>
      <w:r>
        <w:rPr>
          <w:sz w:val="24"/>
        </w:rPr>
        <w:t>MyPyramid</w:t>
      </w:r>
      <w:proofErr w:type="spellEnd"/>
      <w:r>
        <w:rPr>
          <w:sz w:val="24"/>
        </w:rPr>
        <w:t xml:space="preserve"> and </w:t>
      </w:r>
      <w:r w:rsidR="0023766F">
        <w:rPr>
          <w:sz w:val="24"/>
        </w:rPr>
        <w:t>other nutrition education programs, tools and on-line resources</w:t>
      </w:r>
      <w:r>
        <w:rPr>
          <w:sz w:val="24"/>
        </w:rPr>
        <w:t xml:space="preserve">. </w:t>
      </w:r>
      <w:r w:rsidRPr="006314BB">
        <w:rPr>
          <w:sz w:val="24"/>
        </w:rPr>
        <w:t>Th</w:t>
      </w:r>
      <w:r>
        <w:rPr>
          <w:sz w:val="24"/>
        </w:rPr>
        <w:t>e</w:t>
      </w:r>
      <w:r w:rsidRPr="006314BB">
        <w:rPr>
          <w:sz w:val="24"/>
        </w:rPr>
        <w:t xml:space="preserve"> proposed </w:t>
      </w:r>
      <w:r>
        <w:rPr>
          <w:sz w:val="24"/>
        </w:rPr>
        <w:t>research</w:t>
      </w:r>
      <w:r w:rsidRPr="006314BB">
        <w:rPr>
          <w:sz w:val="24"/>
        </w:rPr>
        <w:t xml:space="preserve"> is </w:t>
      </w:r>
      <w:r>
        <w:rPr>
          <w:sz w:val="24"/>
        </w:rPr>
        <w:t>intended to inform CNPP communication efforts to raise consumer understanding and application of the DGA</w:t>
      </w:r>
      <w:r w:rsidRPr="006314BB">
        <w:rPr>
          <w:sz w:val="24"/>
        </w:rPr>
        <w:t>.</w:t>
      </w:r>
      <w:r>
        <w:rPr>
          <w:sz w:val="24"/>
        </w:rPr>
        <w:t xml:space="preserve"> </w:t>
      </w:r>
    </w:p>
    <w:p w:rsidR="00220390" w:rsidRDefault="00220390" w:rsidP="00220390">
      <w:pPr>
        <w:ind w:left="360"/>
        <w:rPr>
          <w:sz w:val="24"/>
          <w:u w:val="single"/>
        </w:rPr>
      </w:pPr>
      <w:bookmarkStart w:id="0" w:name="OLE_LINK3"/>
      <w:bookmarkStart w:id="1" w:name="OLE_LINK4"/>
    </w:p>
    <w:p w:rsidR="00220390" w:rsidRPr="006314BB" w:rsidRDefault="00220390" w:rsidP="00220390">
      <w:pPr>
        <w:ind w:left="360"/>
        <w:rPr>
          <w:sz w:val="24"/>
          <w:u w:val="single"/>
        </w:rPr>
      </w:pPr>
      <w:r w:rsidRPr="00387D42">
        <w:rPr>
          <w:sz w:val="24"/>
          <w:u w:val="single"/>
        </w:rPr>
        <w:t>Objectives:</w:t>
      </w:r>
    </w:p>
    <w:bookmarkEnd w:id="0"/>
    <w:bookmarkEnd w:id="1"/>
    <w:p w:rsidR="00220390" w:rsidRPr="00504768" w:rsidRDefault="00220390" w:rsidP="00220390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</w:rPr>
      </w:pPr>
      <w:r w:rsidRPr="00504768">
        <w:rPr>
          <w:sz w:val="24"/>
        </w:rPr>
        <w:t xml:space="preserve">Quantitatively test DGA messages </w:t>
      </w:r>
      <w:r>
        <w:rPr>
          <w:sz w:val="24"/>
        </w:rPr>
        <w:t xml:space="preserve">and related graphic images </w:t>
      </w:r>
      <w:r w:rsidRPr="00504768">
        <w:rPr>
          <w:sz w:val="24"/>
        </w:rPr>
        <w:t xml:space="preserve">among consumers on </w:t>
      </w:r>
      <w:r w:rsidRPr="00504768">
        <w:rPr>
          <w:color w:val="000000"/>
          <w:sz w:val="24"/>
        </w:rPr>
        <w:t xml:space="preserve">the clarity </w:t>
      </w:r>
      <w:r>
        <w:rPr>
          <w:color w:val="000000"/>
          <w:sz w:val="24"/>
        </w:rPr>
        <w:t xml:space="preserve">and effectiveness of </w:t>
      </w:r>
      <w:r w:rsidRPr="00504768">
        <w:rPr>
          <w:color w:val="000000"/>
          <w:sz w:val="24"/>
        </w:rPr>
        <w:t xml:space="preserve">messages, the </w:t>
      </w:r>
      <w:r>
        <w:rPr>
          <w:color w:val="000000"/>
          <w:sz w:val="24"/>
        </w:rPr>
        <w:t>effectiveness and appeal</w:t>
      </w:r>
      <w:r w:rsidRPr="00504768">
        <w:rPr>
          <w:color w:val="000000"/>
          <w:sz w:val="24"/>
        </w:rPr>
        <w:t xml:space="preserve"> of creative designs, and other key factors.</w:t>
      </w:r>
    </w:p>
    <w:p w:rsidR="00220390" w:rsidRPr="00504768" w:rsidRDefault="00220390" w:rsidP="00220390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sz w:val="24"/>
        </w:rPr>
      </w:pPr>
      <w:r>
        <w:rPr>
          <w:color w:val="000000"/>
          <w:sz w:val="24"/>
        </w:rPr>
        <w:t xml:space="preserve">Validate near-final </w:t>
      </w:r>
      <w:r w:rsidRPr="00504768">
        <w:rPr>
          <w:color w:val="000000"/>
          <w:sz w:val="24"/>
        </w:rPr>
        <w:t>messages and materials among a statistically representative sample of U.S. consumers.</w:t>
      </w:r>
    </w:p>
    <w:p w:rsidR="00220390" w:rsidRDefault="00220390" w:rsidP="00220390">
      <w:pPr>
        <w:ind w:left="360"/>
        <w:rPr>
          <w:sz w:val="24"/>
          <w:u w:val="single"/>
        </w:rPr>
      </w:pPr>
    </w:p>
    <w:p w:rsidR="00220390" w:rsidRPr="006314BB" w:rsidRDefault="00220390" w:rsidP="00220390">
      <w:pPr>
        <w:ind w:left="360"/>
        <w:rPr>
          <w:sz w:val="24"/>
          <w:u w:val="single"/>
        </w:rPr>
      </w:pPr>
      <w:r w:rsidRPr="006314BB">
        <w:rPr>
          <w:sz w:val="24"/>
          <w:u w:val="single"/>
        </w:rPr>
        <w:t>Methodology</w:t>
      </w:r>
      <w:r>
        <w:rPr>
          <w:sz w:val="24"/>
          <w:u w:val="single"/>
        </w:rPr>
        <w:t>, Design and Data Analysis</w:t>
      </w:r>
      <w:r w:rsidRPr="006314BB">
        <w:rPr>
          <w:sz w:val="24"/>
          <w:u w:val="single"/>
        </w:rPr>
        <w:t>:</w:t>
      </w:r>
    </w:p>
    <w:p w:rsidR="00220390" w:rsidRPr="00B509E9" w:rsidRDefault="00220390" w:rsidP="00220390">
      <w:pPr>
        <w:pStyle w:val="ListParagraph"/>
        <w:numPr>
          <w:ilvl w:val="0"/>
          <w:numId w:val="0"/>
        </w:numPr>
        <w:autoSpaceDE w:val="0"/>
        <w:autoSpaceDN w:val="0"/>
        <w:adjustRightInd w:val="0"/>
        <w:ind w:left="360"/>
      </w:pPr>
      <w:r w:rsidRPr="00B509E9">
        <w:t xml:space="preserve">As a final step in our consumer research, we will conduct online quantitative testing of the “near-final” messages and creative elements </w:t>
      </w:r>
      <w:r>
        <w:t xml:space="preserve">for DGA 2010 </w:t>
      </w:r>
      <w:r w:rsidRPr="00B509E9">
        <w:t xml:space="preserve">to validate them among a sample of </w:t>
      </w:r>
      <w:r>
        <w:t>4</w:t>
      </w:r>
      <w:r w:rsidRPr="00B509E9">
        <w:t>,0</w:t>
      </w:r>
      <w:r>
        <w:t>25</w:t>
      </w:r>
      <w:r w:rsidRPr="00B509E9">
        <w:t xml:space="preserve"> </w:t>
      </w:r>
      <w:r>
        <w:t xml:space="preserve">adult </w:t>
      </w:r>
      <w:r w:rsidRPr="00B509E9">
        <w:t>consumers</w:t>
      </w:r>
      <w:r>
        <w:t xml:space="preserve"> (including pre-test participants) and 525 children ages 10-13 (including pre-test participants)</w:t>
      </w:r>
      <w:r w:rsidRPr="00B509E9">
        <w:rPr>
          <w:i/>
          <w:iCs/>
        </w:rPr>
        <w:t xml:space="preserve">. </w:t>
      </w:r>
    </w:p>
    <w:p w:rsidR="00220390" w:rsidRDefault="00220390" w:rsidP="00220390">
      <w:pPr>
        <w:ind w:left="360"/>
        <w:rPr>
          <w:sz w:val="24"/>
          <w:u w:val="single"/>
        </w:rPr>
      </w:pPr>
    </w:p>
    <w:p w:rsidR="00220390" w:rsidRPr="009D631A" w:rsidRDefault="00220390" w:rsidP="00220390">
      <w:pPr>
        <w:ind w:left="360"/>
        <w:rPr>
          <w:sz w:val="24"/>
          <w:u w:val="single"/>
        </w:rPr>
      </w:pPr>
      <w:r w:rsidRPr="009D631A">
        <w:rPr>
          <w:i/>
          <w:sz w:val="24"/>
        </w:rPr>
        <w:t>Procedures for Information Collection</w:t>
      </w:r>
      <w:r w:rsidRPr="009D631A">
        <w:rPr>
          <w:sz w:val="24"/>
        </w:rPr>
        <w:t>:</w:t>
      </w:r>
    </w:p>
    <w:p w:rsidR="00220390" w:rsidRDefault="00220390" w:rsidP="00220390">
      <w:pPr>
        <w:ind w:left="360"/>
        <w:rPr>
          <w:sz w:val="24"/>
        </w:rPr>
      </w:pPr>
      <w:r>
        <w:rPr>
          <w:sz w:val="24"/>
        </w:rPr>
        <w:t xml:space="preserve">The survey will be 100% online. </w:t>
      </w:r>
      <w:r w:rsidRPr="006C19AF">
        <w:rPr>
          <w:sz w:val="24"/>
        </w:rPr>
        <w:t xml:space="preserve">Participants will be </w:t>
      </w:r>
      <w:r>
        <w:rPr>
          <w:sz w:val="24"/>
        </w:rPr>
        <w:t>selected</w:t>
      </w:r>
      <w:r w:rsidRPr="006C19AF">
        <w:rPr>
          <w:sz w:val="24"/>
        </w:rPr>
        <w:t xml:space="preserve"> from a</w:t>
      </w:r>
      <w:r>
        <w:rPr>
          <w:sz w:val="24"/>
        </w:rPr>
        <w:t xml:space="preserve"> pre-existing</w:t>
      </w:r>
      <w:r w:rsidRPr="006C19AF">
        <w:rPr>
          <w:sz w:val="24"/>
        </w:rPr>
        <w:t xml:space="preserve"> online Non-Volunteer Access Panel,</w:t>
      </w:r>
      <w:r>
        <w:rPr>
          <w:sz w:val="24"/>
        </w:rPr>
        <w:t xml:space="preserve"> </w:t>
      </w:r>
      <w:r w:rsidRPr="006C19AF">
        <w:rPr>
          <w:sz w:val="24"/>
        </w:rPr>
        <w:t xml:space="preserve">in which potential panel members are chosen via a statistically valid sampling method that </w:t>
      </w:r>
      <w:proofErr w:type="gramStart"/>
      <w:r w:rsidRPr="006C19AF">
        <w:rPr>
          <w:sz w:val="24"/>
        </w:rPr>
        <w:t>cover</w:t>
      </w:r>
      <w:proofErr w:type="gramEnd"/>
      <w:r w:rsidRPr="006C19AF">
        <w:rPr>
          <w:sz w:val="24"/>
        </w:rPr>
        <w:t xml:space="preserve"> 99% of the U.S. population. Sampled non-internet</w:t>
      </w:r>
      <w:r>
        <w:rPr>
          <w:sz w:val="24"/>
        </w:rPr>
        <w:t xml:space="preserve"> </w:t>
      </w:r>
      <w:r w:rsidRPr="006C19AF">
        <w:rPr>
          <w:sz w:val="24"/>
        </w:rPr>
        <w:t xml:space="preserve">households are provided a laptop computer and free internet service. </w:t>
      </w:r>
      <w:r>
        <w:rPr>
          <w:sz w:val="24"/>
        </w:rPr>
        <w:t xml:space="preserve">The </w:t>
      </w:r>
      <w:r w:rsidRPr="006C19AF">
        <w:rPr>
          <w:sz w:val="24"/>
        </w:rPr>
        <w:t>Panel consists</w:t>
      </w:r>
      <w:r>
        <w:rPr>
          <w:sz w:val="24"/>
        </w:rPr>
        <w:t xml:space="preserve"> </w:t>
      </w:r>
      <w:r w:rsidRPr="006C19AF">
        <w:rPr>
          <w:sz w:val="24"/>
        </w:rPr>
        <w:t xml:space="preserve">of </w:t>
      </w:r>
      <w:r>
        <w:rPr>
          <w:sz w:val="24"/>
        </w:rPr>
        <w:t xml:space="preserve">a probability sample of </w:t>
      </w:r>
      <w:r w:rsidRPr="006C19AF">
        <w:rPr>
          <w:sz w:val="24"/>
        </w:rPr>
        <w:t xml:space="preserve">about 50,000 U.S. residents, age 18 and older, including cell phone-only households. </w:t>
      </w:r>
      <w:r>
        <w:rPr>
          <w:sz w:val="24"/>
        </w:rPr>
        <w:t xml:space="preserve">Children ages 10-13 are recruited from the households of Panel members, and their parents or legal guardians provide consent for their participation (see Attachment B). </w:t>
      </w:r>
    </w:p>
    <w:p w:rsidR="00220390" w:rsidRDefault="00220390" w:rsidP="00220390">
      <w:pPr>
        <w:ind w:left="360"/>
        <w:rPr>
          <w:bCs/>
          <w:i/>
          <w:sz w:val="24"/>
        </w:rPr>
      </w:pPr>
    </w:p>
    <w:p w:rsidR="00220390" w:rsidRPr="00FF6F6B" w:rsidRDefault="00220390" w:rsidP="00220390">
      <w:pPr>
        <w:ind w:left="360"/>
        <w:rPr>
          <w:sz w:val="24"/>
        </w:rPr>
      </w:pPr>
      <w:r>
        <w:rPr>
          <w:sz w:val="24"/>
        </w:rPr>
        <w:t>The contractor has demographic information f</w:t>
      </w:r>
      <w:r w:rsidRPr="006C19AF">
        <w:rPr>
          <w:sz w:val="24"/>
        </w:rPr>
        <w:t xml:space="preserve">or all </w:t>
      </w:r>
      <w:r>
        <w:rPr>
          <w:sz w:val="24"/>
        </w:rPr>
        <w:t>P</w:t>
      </w:r>
      <w:r w:rsidRPr="006C19AF">
        <w:rPr>
          <w:sz w:val="24"/>
        </w:rPr>
        <w:t>anel members</w:t>
      </w:r>
      <w:r>
        <w:rPr>
          <w:sz w:val="24"/>
        </w:rPr>
        <w:t>, and will use this pre-existing data</w:t>
      </w:r>
      <w:r w:rsidRPr="006C19AF">
        <w:rPr>
          <w:sz w:val="24"/>
        </w:rPr>
        <w:t xml:space="preserve"> to </w:t>
      </w:r>
      <w:r>
        <w:rPr>
          <w:sz w:val="24"/>
        </w:rPr>
        <w:t xml:space="preserve">select participants </w:t>
      </w:r>
      <w:r w:rsidRPr="006C19AF">
        <w:rPr>
          <w:sz w:val="24"/>
        </w:rPr>
        <w:t xml:space="preserve">for </w:t>
      </w:r>
      <w:r>
        <w:rPr>
          <w:sz w:val="24"/>
        </w:rPr>
        <w:t xml:space="preserve">this study. </w:t>
      </w:r>
      <w:r w:rsidRPr="006C19AF">
        <w:rPr>
          <w:sz w:val="24"/>
        </w:rPr>
        <w:t xml:space="preserve"> </w:t>
      </w:r>
      <w:r>
        <w:rPr>
          <w:sz w:val="24"/>
        </w:rPr>
        <w:t xml:space="preserve">This </w:t>
      </w:r>
      <w:r w:rsidRPr="006C19AF">
        <w:rPr>
          <w:sz w:val="24"/>
        </w:rPr>
        <w:t xml:space="preserve">eliminates the need for </w:t>
      </w:r>
      <w:r>
        <w:rPr>
          <w:sz w:val="24"/>
        </w:rPr>
        <w:t>screening participants</w:t>
      </w:r>
      <w:r w:rsidRPr="006C19AF">
        <w:rPr>
          <w:sz w:val="24"/>
        </w:rPr>
        <w:t xml:space="preserve">. </w:t>
      </w:r>
      <w:r>
        <w:rPr>
          <w:sz w:val="24"/>
        </w:rPr>
        <w:t xml:space="preserve">Panel members who meet study criteria will receive a standard email invitation to participate (see Attachment A). As Panel members, they will have already received </w:t>
      </w:r>
      <w:r w:rsidRPr="009B1107">
        <w:rPr>
          <w:sz w:val="24"/>
        </w:rPr>
        <w:t>a copy of the Privacy and Term</w:t>
      </w:r>
      <w:r>
        <w:rPr>
          <w:sz w:val="24"/>
        </w:rPr>
        <w:t>s</w:t>
      </w:r>
      <w:r w:rsidRPr="009B1107">
        <w:rPr>
          <w:sz w:val="24"/>
        </w:rPr>
        <w:t xml:space="preserve"> of</w:t>
      </w:r>
      <w:r>
        <w:rPr>
          <w:sz w:val="24"/>
        </w:rPr>
        <w:t xml:space="preserve"> </w:t>
      </w:r>
      <w:r w:rsidRPr="009B1107">
        <w:rPr>
          <w:sz w:val="24"/>
        </w:rPr>
        <w:t>Use Policy</w:t>
      </w:r>
      <w:r>
        <w:rPr>
          <w:sz w:val="24"/>
        </w:rPr>
        <w:t xml:space="preserve"> (see Attachment C), which outlines </w:t>
      </w:r>
      <w:r w:rsidRPr="00FF6F6B">
        <w:rPr>
          <w:sz w:val="24"/>
        </w:rPr>
        <w:t>confidentiality, use of the data collected, voluntary participation</w:t>
      </w:r>
      <w:r>
        <w:rPr>
          <w:sz w:val="24"/>
        </w:rPr>
        <w:t>,</w:t>
      </w:r>
      <w:r w:rsidRPr="00FF6F6B">
        <w:rPr>
          <w:sz w:val="24"/>
        </w:rPr>
        <w:t xml:space="preserve"> and </w:t>
      </w:r>
      <w:r>
        <w:rPr>
          <w:sz w:val="24"/>
        </w:rPr>
        <w:t>the reassurance that there are no</w:t>
      </w:r>
      <w:r w:rsidRPr="00FF6F6B">
        <w:rPr>
          <w:sz w:val="24"/>
        </w:rPr>
        <w:t xml:space="preserve"> penalties </w:t>
      </w:r>
      <w:r>
        <w:rPr>
          <w:sz w:val="24"/>
        </w:rPr>
        <w:t>for</w:t>
      </w:r>
      <w:r w:rsidRPr="00FF6F6B">
        <w:rPr>
          <w:sz w:val="24"/>
        </w:rPr>
        <w:t xml:space="preserve"> opt</w:t>
      </w:r>
      <w:r>
        <w:rPr>
          <w:sz w:val="24"/>
        </w:rPr>
        <w:t>ing</w:t>
      </w:r>
      <w:r w:rsidRPr="00FF6F6B">
        <w:rPr>
          <w:sz w:val="24"/>
        </w:rPr>
        <w:t xml:space="preserve"> out</w:t>
      </w:r>
      <w:r>
        <w:rPr>
          <w:sz w:val="24"/>
        </w:rPr>
        <w:t xml:space="preserve"> of the survey</w:t>
      </w:r>
      <w:r w:rsidRPr="00FF6F6B">
        <w:rPr>
          <w:sz w:val="24"/>
        </w:rPr>
        <w:t xml:space="preserve">.  </w:t>
      </w:r>
    </w:p>
    <w:p w:rsidR="00220390" w:rsidRDefault="00220390" w:rsidP="00220390">
      <w:pPr>
        <w:rPr>
          <w:b/>
          <w:bCs/>
          <w:sz w:val="22"/>
          <w:szCs w:val="22"/>
        </w:rPr>
      </w:pPr>
    </w:p>
    <w:p w:rsidR="00220390" w:rsidRPr="00814B15" w:rsidRDefault="00220390" w:rsidP="00220390">
      <w:pPr>
        <w:autoSpaceDE/>
        <w:autoSpaceDN/>
        <w:adjustRightInd/>
        <w:ind w:left="360"/>
        <w:rPr>
          <w:sz w:val="24"/>
        </w:rPr>
      </w:pPr>
      <w:r w:rsidRPr="00814B15">
        <w:rPr>
          <w:i/>
          <w:sz w:val="24"/>
        </w:rPr>
        <w:lastRenderedPageBreak/>
        <w:t>Response Rate and Degree of Accuracy</w:t>
      </w:r>
      <w:r w:rsidRPr="00814B15">
        <w:rPr>
          <w:sz w:val="24"/>
        </w:rPr>
        <w:t>:</w:t>
      </w:r>
    </w:p>
    <w:p w:rsidR="00220390" w:rsidRDefault="00220390" w:rsidP="00220390">
      <w:pPr>
        <w:ind w:left="360"/>
        <w:rPr>
          <w:sz w:val="24"/>
        </w:rPr>
      </w:pPr>
      <w:r w:rsidRPr="00814B15">
        <w:rPr>
          <w:sz w:val="24"/>
        </w:rPr>
        <w:t xml:space="preserve">We anticipate a 75% response rate for this survey from among </w:t>
      </w:r>
      <w:r>
        <w:rPr>
          <w:sz w:val="24"/>
        </w:rPr>
        <w:t xml:space="preserve">invited </w:t>
      </w:r>
      <w:r w:rsidRPr="00814B15">
        <w:rPr>
          <w:sz w:val="24"/>
        </w:rPr>
        <w:t xml:space="preserve">participants in the Panel.  </w:t>
      </w:r>
    </w:p>
    <w:p w:rsidR="00220390" w:rsidRDefault="00220390" w:rsidP="00220390">
      <w:pPr>
        <w:ind w:left="360"/>
        <w:rPr>
          <w:sz w:val="24"/>
        </w:rPr>
      </w:pPr>
    </w:p>
    <w:p w:rsidR="00220390" w:rsidRPr="00DA32CE" w:rsidRDefault="00220390" w:rsidP="00220390">
      <w:pPr>
        <w:ind w:left="360"/>
        <w:rPr>
          <w:bCs/>
          <w:i/>
          <w:sz w:val="24"/>
        </w:rPr>
      </w:pPr>
      <w:r w:rsidRPr="00DA32CE">
        <w:rPr>
          <w:bCs/>
          <w:i/>
          <w:sz w:val="24"/>
        </w:rPr>
        <w:t>Incentives for Participants and Burden:</w:t>
      </w:r>
    </w:p>
    <w:p w:rsidR="00220390" w:rsidRDefault="00220390" w:rsidP="00220390">
      <w:pPr>
        <w:ind w:left="360"/>
        <w:rPr>
          <w:sz w:val="24"/>
        </w:rPr>
      </w:pPr>
      <w:r w:rsidRPr="00DA32CE">
        <w:rPr>
          <w:sz w:val="24"/>
        </w:rPr>
        <w:t>The survey</w:t>
      </w:r>
      <w:r>
        <w:rPr>
          <w:sz w:val="24"/>
        </w:rPr>
        <w:t>s</w:t>
      </w:r>
      <w:r w:rsidRPr="00DA32CE">
        <w:rPr>
          <w:sz w:val="24"/>
        </w:rPr>
        <w:t xml:space="preserve"> we are proposing will not exceed 2</w:t>
      </w:r>
      <w:r>
        <w:rPr>
          <w:sz w:val="24"/>
        </w:rPr>
        <w:t>5</w:t>
      </w:r>
      <w:r w:rsidRPr="00DA32CE">
        <w:rPr>
          <w:sz w:val="24"/>
        </w:rPr>
        <w:t xml:space="preserve"> minutes, and participants will be offered </w:t>
      </w:r>
      <w:r>
        <w:rPr>
          <w:sz w:val="24"/>
        </w:rPr>
        <w:t xml:space="preserve">a small incentive, </w:t>
      </w:r>
      <w:r w:rsidRPr="00DA32CE">
        <w:rPr>
          <w:sz w:val="24"/>
        </w:rPr>
        <w:t>approximately $3</w:t>
      </w:r>
      <w:r>
        <w:rPr>
          <w:sz w:val="24"/>
        </w:rPr>
        <w:t>-$5</w:t>
      </w:r>
      <w:r w:rsidRPr="00DA32CE">
        <w:rPr>
          <w:sz w:val="24"/>
        </w:rPr>
        <w:t xml:space="preserve"> each. </w:t>
      </w:r>
      <w:r>
        <w:rPr>
          <w:sz w:val="24"/>
        </w:rPr>
        <w:t xml:space="preserve">Children do not earn monetary incentives for any particular survey, but instead earn points that lead to various incentive choices once a specific point level is achieved.  </w:t>
      </w:r>
      <w:r w:rsidRPr="00DA32CE">
        <w:rPr>
          <w:sz w:val="24"/>
        </w:rPr>
        <w:t>Steps are taken to ensure that panel members are not overburdened with survey requests.</w:t>
      </w:r>
      <w:r>
        <w:rPr>
          <w:sz w:val="24"/>
        </w:rPr>
        <w:t xml:space="preserve"> </w:t>
      </w:r>
      <w:r w:rsidRPr="00DA32CE">
        <w:rPr>
          <w:sz w:val="24"/>
        </w:rPr>
        <w:t>The primary sampling rule is to assign no more than one survey per week to members. This level</w:t>
      </w:r>
      <w:r>
        <w:rPr>
          <w:sz w:val="24"/>
        </w:rPr>
        <w:t xml:space="preserve"> </w:t>
      </w:r>
      <w:r w:rsidRPr="00DA32CE">
        <w:rPr>
          <w:sz w:val="24"/>
        </w:rPr>
        <w:t xml:space="preserve">of survey frequency helps to keep panelists engaged as part of the panel. </w:t>
      </w:r>
    </w:p>
    <w:p w:rsidR="00220390" w:rsidRDefault="00220390" w:rsidP="00220390">
      <w:pPr>
        <w:ind w:left="360"/>
        <w:rPr>
          <w:sz w:val="24"/>
        </w:rPr>
      </w:pPr>
    </w:p>
    <w:p w:rsidR="00220390" w:rsidRDefault="00220390" w:rsidP="00220390">
      <w:pPr>
        <w:ind w:left="360"/>
        <w:rPr>
          <w:bCs/>
          <w:i/>
          <w:sz w:val="24"/>
        </w:rPr>
      </w:pPr>
      <w:r w:rsidRPr="00384D10">
        <w:rPr>
          <w:bCs/>
          <w:i/>
          <w:sz w:val="24"/>
        </w:rPr>
        <w:t>Statistical Weighting</w:t>
      </w:r>
      <w:r>
        <w:rPr>
          <w:bCs/>
          <w:i/>
          <w:sz w:val="24"/>
        </w:rPr>
        <w:t xml:space="preserve">: </w:t>
      </w:r>
    </w:p>
    <w:p w:rsidR="00220390" w:rsidRDefault="00220390" w:rsidP="00220390">
      <w:pPr>
        <w:ind w:left="360"/>
        <w:rPr>
          <w:sz w:val="24"/>
        </w:rPr>
      </w:pPr>
      <w:r>
        <w:rPr>
          <w:sz w:val="24"/>
        </w:rPr>
        <w:t>The Panel</w:t>
      </w:r>
      <w:r w:rsidRPr="00384D10">
        <w:rPr>
          <w:sz w:val="24"/>
        </w:rPr>
        <w:t xml:space="preserve"> sample begins as an equal probability sample that is self-weighting with</w:t>
      </w:r>
      <w:r>
        <w:rPr>
          <w:sz w:val="24"/>
        </w:rPr>
        <w:t xml:space="preserve"> </w:t>
      </w:r>
      <w:r w:rsidRPr="00384D10">
        <w:rPr>
          <w:sz w:val="24"/>
        </w:rPr>
        <w:t>several enhancements incorporated to improve efficiency. Since any alteration in the selection</w:t>
      </w:r>
      <w:r>
        <w:rPr>
          <w:sz w:val="24"/>
        </w:rPr>
        <w:t xml:space="preserve"> </w:t>
      </w:r>
      <w:r w:rsidRPr="00384D10">
        <w:rPr>
          <w:sz w:val="24"/>
        </w:rPr>
        <w:t>process is a deviation from a pure equal probability sample design, statistical weighting</w:t>
      </w:r>
      <w:r>
        <w:rPr>
          <w:sz w:val="24"/>
        </w:rPr>
        <w:t xml:space="preserve"> </w:t>
      </w:r>
      <w:r w:rsidRPr="00384D10">
        <w:rPr>
          <w:sz w:val="24"/>
        </w:rPr>
        <w:t>adjustments are made to the data to offset known selection deviations. These adjustments are</w:t>
      </w:r>
      <w:r>
        <w:rPr>
          <w:sz w:val="24"/>
        </w:rPr>
        <w:t xml:space="preserve"> </w:t>
      </w:r>
      <w:r w:rsidRPr="00384D10">
        <w:rPr>
          <w:sz w:val="24"/>
        </w:rPr>
        <w:t>incorporated in the sample’s base weight.</w:t>
      </w:r>
      <w:r>
        <w:rPr>
          <w:sz w:val="24"/>
        </w:rPr>
        <w:t xml:space="preserve"> </w:t>
      </w:r>
      <w:r w:rsidRPr="00384D10">
        <w:rPr>
          <w:sz w:val="24"/>
        </w:rPr>
        <w:t>There are also several sources of survey error that are an inherent part of any survey process, such</w:t>
      </w:r>
      <w:r>
        <w:rPr>
          <w:sz w:val="24"/>
        </w:rPr>
        <w:t xml:space="preserve"> </w:t>
      </w:r>
      <w:r w:rsidRPr="00384D10">
        <w:rPr>
          <w:sz w:val="24"/>
        </w:rPr>
        <w:t>as non-coverage and non-response due to panel recruitment methods and to inevitable pane</w:t>
      </w:r>
      <w:r>
        <w:rPr>
          <w:sz w:val="24"/>
        </w:rPr>
        <w:t xml:space="preserve">l </w:t>
      </w:r>
      <w:r w:rsidRPr="00384D10">
        <w:rPr>
          <w:sz w:val="24"/>
        </w:rPr>
        <w:t>attrition. These sources of sampling and non-sampling error are addressed using a panel</w:t>
      </w:r>
      <w:r>
        <w:rPr>
          <w:sz w:val="24"/>
        </w:rPr>
        <w:t xml:space="preserve"> </w:t>
      </w:r>
      <w:r w:rsidRPr="00384D10">
        <w:rPr>
          <w:sz w:val="24"/>
        </w:rPr>
        <w:t>demographic post-stratification weight as an additional adjustment.</w:t>
      </w:r>
      <w:r>
        <w:rPr>
          <w:sz w:val="24"/>
        </w:rPr>
        <w:t xml:space="preserve"> </w:t>
      </w:r>
    </w:p>
    <w:p w:rsidR="00220390" w:rsidRDefault="00220390" w:rsidP="00220390">
      <w:pPr>
        <w:ind w:left="360"/>
        <w:rPr>
          <w:i/>
          <w:sz w:val="24"/>
        </w:rPr>
      </w:pPr>
    </w:p>
    <w:p w:rsidR="00220390" w:rsidRDefault="00220390" w:rsidP="00220390">
      <w:pPr>
        <w:ind w:left="360"/>
        <w:rPr>
          <w:sz w:val="24"/>
        </w:rPr>
      </w:pPr>
      <w:r w:rsidRPr="009B1107">
        <w:rPr>
          <w:i/>
          <w:sz w:val="24"/>
        </w:rPr>
        <w:t>Confidentiality</w:t>
      </w:r>
      <w:r>
        <w:rPr>
          <w:i/>
          <w:sz w:val="24"/>
        </w:rPr>
        <w:t>, Privacy and Opt-In Details</w:t>
      </w:r>
      <w:r>
        <w:rPr>
          <w:sz w:val="24"/>
        </w:rPr>
        <w:t>:</w:t>
      </w:r>
    </w:p>
    <w:p w:rsidR="00220390" w:rsidRDefault="00220390" w:rsidP="00220390">
      <w:pPr>
        <w:ind w:left="360"/>
        <w:rPr>
          <w:sz w:val="24"/>
        </w:rPr>
      </w:pPr>
      <w:r w:rsidRPr="009B1107">
        <w:rPr>
          <w:sz w:val="24"/>
        </w:rPr>
        <w:t>Participation in research</w:t>
      </w:r>
      <w:r>
        <w:rPr>
          <w:sz w:val="24"/>
        </w:rPr>
        <w:t xml:space="preserve"> </w:t>
      </w:r>
      <w:r w:rsidRPr="009B1107">
        <w:rPr>
          <w:sz w:val="24"/>
        </w:rPr>
        <w:t xml:space="preserve">is voluntary at the time that respondents are asked to join the panel, </w:t>
      </w:r>
      <w:r>
        <w:rPr>
          <w:sz w:val="24"/>
        </w:rPr>
        <w:t>a</w:t>
      </w:r>
      <w:r w:rsidRPr="009B1107">
        <w:rPr>
          <w:sz w:val="24"/>
        </w:rPr>
        <w:t>t the time they</w:t>
      </w:r>
      <w:r>
        <w:rPr>
          <w:sz w:val="24"/>
        </w:rPr>
        <w:t xml:space="preserve"> </w:t>
      </w:r>
      <w:r w:rsidRPr="009B1107">
        <w:rPr>
          <w:sz w:val="24"/>
        </w:rPr>
        <w:t>are asked to participate in a survey, and at the time they answer any given</w:t>
      </w:r>
      <w:r>
        <w:rPr>
          <w:sz w:val="24"/>
        </w:rPr>
        <w:t xml:space="preserve"> </w:t>
      </w:r>
      <w:r w:rsidRPr="009B1107">
        <w:rPr>
          <w:sz w:val="24"/>
        </w:rPr>
        <w:t xml:space="preserve">question in a survey. </w:t>
      </w:r>
      <w:r>
        <w:rPr>
          <w:sz w:val="24"/>
        </w:rPr>
        <w:t>P</w:t>
      </w:r>
      <w:r w:rsidRPr="009B1107">
        <w:rPr>
          <w:sz w:val="24"/>
        </w:rPr>
        <w:t>anelists are not coerced to participate in any research and</w:t>
      </w:r>
      <w:r>
        <w:rPr>
          <w:sz w:val="24"/>
        </w:rPr>
        <w:t xml:space="preserve"> </w:t>
      </w:r>
      <w:r w:rsidRPr="009B1107">
        <w:rPr>
          <w:sz w:val="24"/>
        </w:rPr>
        <w:t>are not removed from the panel as a result of failure to participate in any particular</w:t>
      </w:r>
      <w:r>
        <w:rPr>
          <w:sz w:val="24"/>
        </w:rPr>
        <w:t xml:space="preserve"> </w:t>
      </w:r>
      <w:r w:rsidRPr="009B1107">
        <w:rPr>
          <w:sz w:val="24"/>
        </w:rPr>
        <w:t xml:space="preserve">survey project or program of studies. </w:t>
      </w:r>
      <w:r>
        <w:rPr>
          <w:sz w:val="24"/>
        </w:rPr>
        <w:t>P</w:t>
      </w:r>
      <w:r w:rsidRPr="009B1107">
        <w:rPr>
          <w:sz w:val="24"/>
        </w:rPr>
        <w:t>anelists have the option to ‘opt-out’ of the</w:t>
      </w:r>
      <w:r>
        <w:rPr>
          <w:sz w:val="24"/>
        </w:rPr>
        <w:t xml:space="preserve"> </w:t>
      </w:r>
      <w:r w:rsidRPr="009B1107">
        <w:rPr>
          <w:sz w:val="24"/>
        </w:rPr>
        <w:t xml:space="preserve">panel at any time by notifying </w:t>
      </w:r>
      <w:r>
        <w:rPr>
          <w:sz w:val="24"/>
        </w:rPr>
        <w:t>the contractor</w:t>
      </w:r>
      <w:r w:rsidRPr="009B1107">
        <w:rPr>
          <w:sz w:val="24"/>
        </w:rPr>
        <w:t xml:space="preserve">. </w:t>
      </w:r>
      <w:r>
        <w:rPr>
          <w:sz w:val="24"/>
        </w:rPr>
        <w:t>The contractor</w:t>
      </w:r>
      <w:r w:rsidRPr="009B1107">
        <w:rPr>
          <w:sz w:val="24"/>
        </w:rPr>
        <w:t xml:space="preserve"> maintains a</w:t>
      </w:r>
      <w:r>
        <w:rPr>
          <w:sz w:val="24"/>
        </w:rPr>
        <w:t xml:space="preserve"> </w:t>
      </w:r>
      <w:r w:rsidRPr="009B1107">
        <w:rPr>
          <w:sz w:val="24"/>
        </w:rPr>
        <w:t>toll-free phone number and its own call-center panel management facility to receive</w:t>
      </w:r>
      <w:r>
        <w:rPr>
          <w:sz w:val="24"/>
        </w:rPr>
        <w:t xml:space="preserve"> </w:t>
      </w:r>
      <w:r w:rsidRPr="009B1107">
        <w:rPr>
          <w:sz w:val="24"/>
        </w:rPr>
        <w:t>requests for information and action from panelists.</w:t>
      </w:r>
    </w:p>
    <w:p w:rsidR="00220390" w:rsidRDefault="00220390" w:rsidP="00220390">
      <w:pPr>
        <w:ind w:left="360"/>
        <w:rPr>
          <w:sz w:val="24"/>
        </w:rPr>
      </w:pPr>
    </w:p>
    <w:p w:rsidR="00220390" w:rsidRPr="009B1107" w:rsidRDefault="00220390" w:rsidP="00220390">
      <w:pPr>
        <w:ind w:left="360"/>
        <w:rPr>
          <w:sz w:val="24"/>
        </w:rPr>
      </w:pPr>
      <w:r w:rsidRPr="009B1107">
        <w:rPr>
          <w:sz w:val="24"/>
        </w:rPr>
        <w:t>Survey responses are confidential,</w:t>
      </w:r>
      <w:r>
        <w:rPr>
          <w:sz w:val="24"/>
        </w:rPr>
        <w:t xml:space="preserve"> and will not be shared with anyone outside this study, except as otherwise required by law.  All personally</w:t>
      </w:r>
      <w:r w:rsidRPr="009B1107">
        <w:rPr>
          <w:sz w:val="24"/>
        </w:rPr>
        <w:t xml:space="preserve"> identifying information </w:t>
      </w:r>
      <w:r>
        <w:rPr>
          <w:sz w:val="24"/>
        </w:rPr>
        <w:t>will not be</w:t>
      </w:r>
      <w:r w:rsidRPr="009B1107">
        <w:rPr>
          <w:sz w:val="24"/>
        </w:rPr>
        <w:t xml:space="preserve"> revealed without</w:t>
      </w:r>
      <w:r>
        <w:rPr>
          <w:sz w:val="24"/>
        </w:rPr>
        <w:t xml:space="preserve"> </w:t>
      </w:r>
      <w:r w:rsidRPr="009B1107">
        <w:rPr>
          <w:sz w:val="24"/>
        </w:rPr>
        <w:t>respondent approval. Surveys are self-administered and accessible any time of day for a</w:t>
      </w:r>
      <w:r>
        <w:rPr>
          <w:sz w:val="24"/>
        </w:rPr>
        <w:t xml:space="preserve"> </w:t>
      </w:r>
      <w:r w:rsidRPr="009B1107">
        <w:rPr>
          <w:sz w:val="24"/>
        </w:rPr>
        <w:t>designated period. Participants can complete a survey only once. Members may</w:t>
      </w:r>
      <w:r>
        <w:rPr>
          <w:sz w:val="24"/>
        </w:rPr>
        <w:t xml:space="preserve"> </w:t>
      </w:r>
      <w:r w:rsidRPr="009B1107">
        <w:rPr>
          <w:sz w:val="24"/>
        </w:rPr>
        <w:t>leave the panel at any time.</w:t>
      </w:r>
      <w:r>
        <w:rPr>
          <w:sz w:val="24"/>
        </w:rPr>
        <w:t xml:space="preserve"> </w:t>
      </w:r>
      <w:r w:rsidRPr="009B1107">
        <w:rPr>
          <w:sz w:val="24"/>
        </w:rPr>
        <w:t xml:space="preserve">All </w:t>
      </w:r>
      <w:r>
        <w:rPr>
          <w:sz w:val="24"/>
        </w:rPr>
        <w:t>P</w:t>
      </w:r>
      <w:r w:rsidRPr="009B1107">
        <w:rPr>
          <w:sz w:val="24"/>
        </w:rPr>
        <w:t>anelists, when joining the panel, are given a copy of the Privacy and Term of</w:t>
      </w:r>
      <w:r>
        <w:rPr>
          <w:sz w:val="24"/>
        </w:rPr>
        <w:t xml:space="preserve"> </w:t>
      </w:r>
      <w:r w:rsidRPr="009B1107">
        <w:rPr>
          <w:sz w:val="24"/>
        </w:rPr>
        <w:t>Use Policy</w:t>
      </w:r>
      <w:r>
        <w:rPr>
          <w:sz w:val="24"/>
        </w:rPr>
        <w:t xml:space="preserve"> (see Attachment C)</w:t>
      </w:r>
      <w:r w:rsidRPr="009B1107">
        <w:rPr>
          <w:sz w:val="24"/>
        </w:rPr>
        <w:t>. The privacy terms are also available electronically at all times to panelists</w:t>
      </w:r>
      <w:r>
        <w:rPr>
          <w:sz w:val="24"/>
        </w:rPr>
        <w:t xml:space="preserve"> </w:t>
      </w:r>
      <w:r w:rsidRPr="009B1107">
        <w:rPr>
          <w:sz w:val="24"/>
        </w:rPr>
        <w:t xml:space="preserve">via the Panel Member website. </w:t>
      </w:r>
    </w:p>
    <w:p w:rsidR="00220390" w:rsidRDefault="00220390" w:rsidP="00220390">
      <w:pPr>
        <w:rPr>
          <w:b/>
          <w:bCs/>
          <w:sz w:val="22"/>
          <w:szCs w:val="22"/>
        </w:rPr>
      </w:pPr>
    </w:p>
    <w:p w:rsidR="00220390" w:rsidRPr="00DD30B5" w:rsidRDefault="00220390" w:rsidP="00220390">
      <w:pPr>
        <w:ind w:left="360"/>
        <w:rPr>
          <w:b/>
          <w:sz w:val="24"/>
        </w:rPr>
      </w:pPr>
      <w:r w:rsidRPr="00DD30B5">
        <w:rPr>
          <w:sz w:val="24"/>
        </w:rPr>
        <w:t xml:space="preserve">For surveys conducted among children ages 10-13, </w:t>
      </w:r>
      <w:r>
        <w:rPr>
          <w:sz w:val="24"/>
        </w:rPr>
        <w:t>the contractor</w:t>
      </w:r>
      <w:r w:rsidRPr="00DD30B5">
        <w:rPr>
          <w:sz w:val="24"/>
        </w:rPr>
        <w:t xml:space="preserve"> obtains informed consent forms from parents or legal guardians</w:t>
      </w:r>
      <w:r>
        <w:rPr>
          <w:sz w:val="24"/>
        </w:rPr>
        <w:t xml:space="preserve"> (see Attachment B)</w:t>
      </w:r>
      <w:r w:rsidRPr="00DD30B5">
        <w:rPr>
          <w:sz w:val="24"/>
        </w:rPr>
        <w:t xml:space="preserve">. </w:t>
      </w:r>
    </w:p>
    <w:p w:rsidR="00220390" w:rsidRDefault="00220390" w:rsidP="00220390">
      <w:pPr>
        <w:rPr>
          <w:b/>
          <w:bCs/>
          <w:sz w:val="22"/>
          <w:szCs w:val="22"/>
        </w:rPr>
      </w:pPr>
    </w:p>
    <w:p w:rsidR="00220390" w:rsidRDefault="00220390" w:rsidP="00220390">
      <w:pPr>
        <w:ind w:left="360"/>
        <w:rPr>
          <w:sz w:val="24"/>
        </w:rPr>
      </w:pPr>
      <w:r w:rsidRPr="00384D10">
        <w:rPr>
          <w:i/>
          <w:sz w:val="24"/>
        </w:rPr>
        <w:t>Test of procedures</w:t>
      </w:r>
      <w:r>
        <w:rPr>
          <w:sz w:val="24"/>
        </w:rPr>
        <w:t xml:space="preserve">: For the consumer survey, the contractor </w:t>
      </w:r>
      <w:r w:rsidRPr="00010F6B">
        <w:rPr>
          <w:sz w:val="24"/>
        </w:rPr>
        <w:t xml:space="preserve">will conduct a pre-test among 25 </w:t>
      </w:r>
      <w:r>
        <w:rPr>
          <w:sz w:val="24"/>
        </w:rPr>
        <w:t xml:space="preserve">adult Panel </w:t>
      </w:r>
      <w:r w:rsidRPr="00010F6B">
        <w:rPr>
          <w:sz w:val="24"/>
        </w:rPr>
        <w:t xml:space="preserve">participants </w:t>
      </w:r>
      <w:r>
        <w:rPr>
          <w:sz w:val="24"/>
        </w:rPr>
        <w:t xml:space="preserve">and 25 child participants </w:t>
      </w:r>
      <w:r w:rsidRPr="00010F6B">
        <w:rPr>
          <w:sz w:val="24"/>
        </w:rPr>
        <w:t xml:space="preserve">using the approved survey </w:t>
      </w:r>
      <w:r w:rsidRPr="00010F6B">
        <w:rPr>
          <w:sz w:val="24"/>
        </w:rPr>
        <w:lastRenderedPageBreak/>
        <w:t>instrument</w:t>
      </w:r>
      <w:r>
        <w:rPr>
          <w:sz w:val="24"/>
        </w:rPr>
        <w:t>. After a successful pre-test, the contractor</w:t>
      </w:r>
      <w:r w:rsidRPr="00010F6B">
        <w:rPr>
          <w:sz w:val="24"/>
        </w:rPr>
        <w:t xml:space="preserve"> will field the survey over approximately a two-week period</w:t>
      </w:r>
      <w:r>
        <w:rPr>
          <w:sz w:val="24"/>
        </w:rPr>
        <w:t xml:space="preserve"> among participants. </w:t>
      </w:r>
    </w:p>
    <w:p w:rsidR="00220390" w:rsidRDefault="00220390" w:rsidP="00220390">
      <w:pPr>
        <w:ind w:left="360"/>
        <w:rPr>
          <w:sz w:val="24"/>
        </w:rPr>
      </w:pPr>
    </w:p>
    <w:p w:rsidR="00220390" w:rsidRPr="00707A84" w:rsidRDefault="00220390" w:rsidP="00220390">
      <w:pPr>
        <w:ind w:left="360"/>
        <w:rPr>
          <w:i/>
          <w:sz w:val="24"/>
        </w:rPr>
      </w:pPr>
      <w:r w:rsidRPr="00707A84">
        <w:rPr>
          <w:i/>
          <w:sz w:val="24"/>
        </w:rPr>
        <w:t>Consultant for Statistical Aspects of the Survey:</w:t>
      </w:r>
    </w:p>
    <w:p w:rsidR="00220390" w:rsidRPr="00707A84" w:rsidRDefault="00220390" w:rsidP="00220390">
      <w:pPr>
        <w:ind w:left="360"/>
        <w:rPr>
          <w:sz w:val="24"/>
        </w:rPr>
      </w:pPr>
      <w:r>
        <w:rPr>
          <w:sz w:val="24"/>
        </w:rPr>
        <w:t>The contractor</w:t>
      </w:r>
      <w:r w:rsidRPr="00707A84">
        <w:rPr>
          <w:sz w:val="24"/>
        </w:rPr>
        <w:t xml:space="preserve"> will perform all statistical analysis of the survey responses and provide banner tables as a summary of the research. The </w:t>
      </w:r>
      <w:r>
        <w:rPr>
          <w:sz w:val="24"/>
        </w:rPr>
        <w:t xml:space="preserve">contractor </w:t>
      </w:r>
      <w:r w:rsidRPr="00707A84">
        <w:rPr>
          <w:sz w:val="24"/>
        </w:rPr>
        <w:t>project lead will be J. Michael Dennis, Ph.D., and he will be assisted by Joe Garrett:</w:t>
      </w:r>
    </w:p>
    <w:p w:rsidR="00220390" w:rsidRDefault="00220390" w:rsidP="00220390">
      <w:pPr>
        <w:ind w:left="360"/>
        <w:rPr>
          <w:sz w:val="24"/>
        </w:rPr>
      </w:pPr>
    </w:p>
    <w:p w:rsidR="00220390" w:rsidRPr="009F7D73" w:rsidRDefault="00220390" w:rsidP="00220390">
      <w:pPr>
        <w:ind w:left="360"/>
        <w:rPr>
          <w:sz w:val="24"/>
          <w:lang w:val="de-DE"/>
        </w:rPr>
      </w:pPr>
      <w:r w:rsidRPr="009F7D73">
        <w:rPr>
          <w:sz w:val="24"/>
          <w:lang w:val="de-DE"/>
        </w:rPr>
        <w:t>J. Michael Dennis, Ph.D.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Senior Vice President, Government &amp; Academic Research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Knowledge Networks, Inc.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1350 Willow Road, Suite 102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Menlo Park, California 94025-1516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(650) 289-2160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(650) 289-2001</w:t>
      </w:r>
    </w:p>
    <w:p w:rsidR="00220390" w:rsidRPr="009F7D73" w:rsidRDefault="00220390" w:rsidP="00220390">
      <w:pPr>
        <w:ind w:left="360"/>
        <w:rPr>
          <w:sz w:val="24"/>
        </w:rPr>
      </w:pP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 xml:space="preserve">J. Michael Dennis, the Senior Vice President for Government &amp; Academic Research at KN, has completed human subjects training from the NIH, University of California (Irvine), and Stanford University. </w:t>
      </w:r>
    </w:p>
    <w:p w:rsidR="00220390" w:rsidRPr="009F7D73" w:rsidRDefault="00220390" w:rsidP="00220390">
      <w:pPr>
        <w:ind w:left="360"/>
        <w:rPr>
          <w:sz w:val="24"/>
        </w:rPr>
      </w:pP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Joe Garrett</w:t>
      </w:r>
    </w:p>
    <w:p w:rsidR="00220390" w:rsidRPr="009F7D73" w:rsidRDefault="00220390" w:rsidP="00220390">
      <w:pPr>
        <w:ind w:left="360"/>
        <w:rPr>
          <w:bCs/>
          <w:spacing w:val="6"/>
          <w:sz w:val="24"/>
        </w:rPr>
      </w:pPr>
      <w:r w:rsidRPr="009F7D73">
        <w:rPr>
          <w:bCs/>
          <w:spacing w:val="6"/>
          <w:sz w:val="24"/>
        </w:rPr>
        <w:t>Vice President, Government and Academic Research</w:t>
      </w:r>
    </w:p>
    <w:p w:rsidR="00220390" w:rsidRPr="009F7D73" w:rsidRDefault="00220390" w:rsidP="00220390">
      <w:pPr>
        <w:ind w:left="360"/>
        <w:rPr>
          <w:sz w:val="24"/>
        </w:rPr>
      </w:pPr>
      <w:r w:rsidRPr="009F7D73">
        <w:rPr>
          <w:sz w:val="24"/>
        </w:rPr>
        <w:t>Knowledge Networks, Inc.</w:t>
      </w:r>
    </w:p>
    <w:p w:rsidR="00220390" w:rsidRPr="009F7D73" w:rsidRDefault="00220390" w:rsidP="00220390">
      <w:pPr>
        <w:ind w:left="360"/>
        <w:rPr>
          <w:bCs/>
          <w:spacing w:val="6"/>
          <w:sz w:val="24"/>
        </w:rPr>
      </w:pPr>
      <w:r w:rsidRPr="009F7D73">
        <w:rPr>
          <w:bCs/>
          <w:spacing w:val="6"/>
          <w:sz w:val="24"/>
        </w:rPr>
        <w:t>12070 Rose Hall Drive</w:t>
      </w:r>
    </w:p>
    <w:p w:rsidR="00220390" w:rsidRPr="009F7D73" w:rsidRDefault="00220390" w:rsidP="00220390">
      <w:pPr>
        <w:ind w:left="360"/>
        <w:rPr>
          <w:bCs/>
          <w:spacing w:val="6"/>
          <w:sz w:val="24"/>
        </w:rPr>
      </w:pPr>
      <w:r w:rsidRPr="009F7D73">
        <w:rPr>
          <w:bCs/>
          <w:spacing w:val="6"/>
          <w:sz w:val="24"/>
        </w:rPr>
        <w:t>Clifton, VA 20124</w:t>
      </w:r>
    </w:p>
    <w:p w:rsidR="00220390" w:rsidRPr="009F7D73" w:rsidRDefault="00220390" w:rsidP="00220390">
      <w:pPr>
        <w:ind w:left="360"/>
        <w:rPr>
          <w:bCs/>
          <w:spacing w:val="6"/>
          <w:sz w:val="24"/>
        </w:rPr>
      </w:pPr>
      <w:r w:rsidRPr="009F7D73">
        <w:rPr>
          <w:bCs/>
          <w:spacing w:val="6"/>
          <w:sz w:val="24"/>
        </w:rPr>
        <w:t xml:space="preserve">Office: 703-830-0613    </w:t>
      </w:r>
    </w:p>
    <w:p w:rsidR="00220390" w:rsidRPr="009F7D73" w:rsidRDefault="00220390" w:rsidP="00220390">
      <w:pPr>
        <w:ind w:left="360"/>
        <w:rPr>
          <w:bCs/>
          <w:spacing w:val="6"/>
          <w:sz w:val="24"/>
        </w:rPr>
      </w:pPr>
      <w:r w:rsidRPr="009F7D73">
        <w:rPr>
          <w:bCs/>
          <w:spacing w:val="6"/>
          <w:sz w:val="24"/>
        </w:rPr>
        <w:t>Cell: 703-371-9327</w:t>
      </w:r>
    </w:p>
    <w:p w:rsidR="00220390" w:rsidRDefault="00220390" w:rsidP="00220390">
      <w:pPr>
        <w:ind w:left="360"/>
        <w:rPr>
          <w:sz w:val="24"/>
        </w:rPr>
      </w:pPr>
    </w:p>
    <w:p w:rsidR="00220390" w:rsidRPr="006314BB" w:rsidRDefault="00220390" w:rsidP="00220390">
      <w:pPr>
        <w:ind w:left="360"/>
        <w:rPr>
          <w:sz w:val="24"/>
        </w:rPr>
      </w:pPr>
      <w:r w:rsidRPr="006314BB">
        <w:rPr>
          <w:sz w:val="24"/>
          <w:u w:val="single"/>
        </w:rPr>
        <w:t>Outcome:</w:t>
      </w:r>
      <w:r w:rsidRPr="006314BB">
        <w:rPr>
          <w:sz w:val="24"/>
        </w:rPr>
        <w:t xml:space="preserve"> </w:t>
      </w:r>
    </w:p>
    <w:p w:rsidR="00220390" w:rsidRDefault="00220390" w:rsidP="00220390">
      <w:pPr>
        <w:pStyle w:val="BodyTextIndent3"/>
        <w:spacing w:after="0"/>
        <w:rPr>
          <w:sz w:val="24"/>
        </w:rPr>
      </w:pPr>
      <w:r>
        <w:rPr>
          <w:sz w:val="24"/>
          <w:szCs w:val="24"/>
        </w:rPr>
        <w:t xml:space="preserve">Preliminary and final summary reports will be provided for all research components. </w:t>
      </w:r>
      <w:r w:rsidRPr="006314BB">
        <w:rPr>
          <w:sz w:val="24"/>
          <w:szCs w:val="24"/>
        </w:rPr>
        <w:t>A final summary report o</w:t>
      </w:r>
      <w:r>
        <w:rPr>
          <w:sz w:val="24"/>
          <w:szCs w:val="24"/>
        </w:rPr>
        <w:t xml:space="preserve">f </w:t>
      </w:r>
      <w:r w:rsidRPr="006314B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surveys </w:t>
      </w:r>
      <w:r w:rsidRPr="006314BB">
        <w:rPr>
          <w:sz w:val="24"/>
          <w:szCs w:val="24"/>
        </w:rPr>
        <w:t xml:space="preserve">will be both descriptive and quantitative in nature. Findings will be used to </w:t>
      </w:r>
      <w:r w:rsidRPr="006314BB">
        <w:rPr>
          <w:sz w:val="24"/>
        </w:rPr>
        <w:t xml:space="preserve">modify </w:t>
      </w:r>
      <w:r>
        <w:rPr>
          <w:sz w:val="24"/>
        </w:rPr>
        <w:t>messages and graphic images</w:t>
      </w:r>
      <w:r w:rsidRPr="006314BB">
        <w:rPr>
          <w:sz w:val="24"/>
        </w:rPr>
        <w:t xml:space="preserve"> if necessary to respond to the needs of the </w:t>
      </w:r>
      <w:r>
        <w:rPr>
          <w:sz w:val="24"/>
        </w:rPr>
        <w:t>CNPP</w:t>
      </w:r>
      <w:r w:rsidRPr="006314BB">
        <w:rPr>
          <w:sz w:val="24"/>
        </w:rPr>
        <w:t xml:space="preserve"> constituencies. </w:t>
      </w:r>
    </w:p>
    <w:p w:rsidR="00220390" w:rsidRDefault="00220390" w:rsidP="00220390">
      <w:pPr>
        <w:pStyle w:val="BodyTextIndent3"/>
        <w:spacing w:after="0"/>
        <w:rPr>
          <w:sz w:val="24"/>
        </w:rPr>
      </w:pPr>
    </w:p>
    <w:p w:rsidR="00220390" w:rsidRPr="001B665B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 w:rsidRPr="001B665B">
        <w:rPr>
          <w:sz w:val="24"/>
        </w:rPr>
        <w:t>Federal Costs: $311,748.22</w:t>
      </w:r>
    </w:p>
    <w:p w:rsidR="00220390" w:rsidRPr="006314BB" w:rsidRDefault="00220390" w:rsidP="00220390">
      <w:pPr>
        <w:ind w:left="1080"/>
        <w:rPr>
          <w:sz w:val="24"/>
        </w:rPr>
      </w:pPr>
    </w:p>
    <w:p w:rsidR="00220390" w:rsidRPr="009A6C9F" w:rsidRDefault="00220390" w:rsidP="00220390">
      <w:pPr>
        <w:pStyle w:val="BodyText2"/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spacing w:after="0" w:line="240" w:lineRule="auto"/>
        <w:ind w:left="360"/>
        <w:textAlignment w:val="auto"/>
      </w:pPr>
      <w:r>
        <w:t>Study Start Date</w:t>
      </w:r>
      <w:r w:rsidRPr="009A6C9F">
        <w:t xml:space="preserve">:  </w:t>
      </w:r>
      <w:r>
        <w:t>November 22</w:t>
      </w:r>
      <w:r w:rsidRPr="009A6C9F">
        <w:t>, 20</w:t>
      </w:r>
      <w:r>
        <w:t>10</w:t>
      </w:r>
    </w:p>
    <w:p w:rsidR="00220390" w:rsidRPr="006314BB" w:rsidRDefault="00220390" w:rsidP="00220390">
      <w:pPr>
        <w:pStyle w:val="BodyText2"/>
        <w:spacing w:line="240" w:lineRule="auto"/>
      </w:pPr>
    </w:p>
    <w:p w:rsidR="00220390" w:rsidRPr="006314BB" w:rsidRDefault="00220390" w:rsidP="00220390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overflowPunct/>
        <w:ind w:left="360"/>
        <w:textAlignment w:val="auto"/>
        <w:rPr>
          <w:sz w:val="24"/>
        </w:rPr>
      </w:pPr>
      <w:r w:rsidRPr="006314BB">
        <w:rPr>
          <w:sz w:val="24"/>
        </w:rPr>
        <w:t>Formative Research Tools:</w:t>
      </w:r>
    </w:p>
    <w:p w:rsidR="00220390" w:rsidRDefault="00220390" w:rsidP="00220390">
      <w:pPr>
        <w:widowControl w:val="0"/>
        <w:numPr>
          <w:ilvl w:val="1"/>
          <w:numId w:val="11"/>
        </w:numPr>
        <w:tabs>
          <w:tab w:val="clear" w:pos="1440"/>
          <w:tab w:val="num" w:pos="1080"/>
        </w:tabs>
        <w:overflowPunct/>
        <w:ind w:left="1080"/>
        <w:textAlignment w:val="auto"/>
        <w:rPr>
          <w:sz w:val="24"/>
        </w:rPr>
      </w:pPr>
      <w:r>
        <w:rPr>
          <w:sz w:val="24"/>
        </w:rPr>
        <w:t xml:space="preserve">Appendix A – Sample invitation to take the survey </w:t>
      </w:r>
      <w:r w:rsidRPr="005149B5">
        <w:rPr>
          <w:sz w:val="24"/>
        </w:rPr>
        <w:t>(attached)</w:t>
      </w:r>
    </w:p>
    <w:p w:rsidR="00220390" w:rsidRDefault="00220390" w:rsidP="00220390">
      <w:pPr>
        <w:widowControl w:val="0"/>
        <w:numPr>
          <w:ilvl w:val="1"/>
          <w:numId w:val="11"/>
        </w:numPr>
        <w:tabs>
          <w:tab w:val="clear" w:pos="1440"/>
          <w:tab w:val="num" w:pos="1080"/>
        </w:tabs>
        <w:overflowPunct/>
        <w:ind w:left="1080"/>
        <w:textAlignment w:val="auto"/>
        <w:rPr>
          <w:sz w:val="24"/>
        </w:rPr>
      </w:pPr>
      <w:r>
        <w:rPr>
          <w:sz w:val="24"/>
        </w:rPr>
        <w:t xml:space="preserve">Appendix B – </w:t>
      </w:r>
      <w:r w:rsidRPr="00ED25B9">
        <w:rPr>
          <w:sz w:val="24"/>
        </w:rPr>
        <w:t>Informed Consent Parental Permission form for minors (attached)</w:t>
      </w:r>
    </w:p>
    <w:p w:rsidR="00220390" w:rsidRPr="00ED25B9" w:rsidRDefault="00220390" w:rsidP="00220390">
      <w:pPr>
        <w:widowControl w:val="0"/>
        <w:numPr>
          <w:ilvl w:val="1"/>
          <w:numId w:val="11"/>
        </w:numPr>
        <w:tabs>
          <w:tab w:val="clear" w:pos="1440"/>
          <w:tab w:val="num" w:pos="1080"/>
        </w:tabs>
        <w:overflowPunct/>
        <w:ind w:left="1080"/>
        <w:textAlignment w:val="auto"/>
        <w:rPr>
          <w:sz w:val="24"/>
        </w:rPr>
      </w:pPr>
      <w:r>
        <w:rPr>
          <w:sz w:val="24"/>
        </w:rPr>
        <w:t>Appendix C – Privacy Statement for Participants (attached)</w:t>
      </w:r>
    </w:p>
    <w:p w:rsidR="00220390" w:rsidRDefault="00220390" w:rsidP="00220390">
      <w:pPr>
        <w:widowControl w:val="0"/>
        <w:numPr>
          <w:ilvl w:val="1"/>
          <w:numId w:val="11"/>
        </w:numPr>
        <w:tabs>
          <w:tab w:val="clear" w:pos="1440"/>
          <w:tab w:val="num" w:pos="1080"/>
        </w:tabs>
        <w:overflowPunct/>
        <w:ind w:left="1080"/>
        <w:textAlignment w:val="auto"/>
        <w:rPr>
          <w:sz w:val="24"/>
        </w:rPr>
      </w:pPr>
      <w:r>
        <w:rPr>
          <w:sz w:val="24"/>
        </w:rPr>
        <w:t>Appendix D –  Questionnaire for adults</w:t>
      </w:r>
      <w:r w:rsidRPr="005149B5">
        <w:rPr>
          <w:sz w:val="24"/>
        </w:rPr>
        <w:t xml:space="preserve"> (attached)</w:t>
      </w:r>
      <w:bookmarkStart w:id="2" w:name="OLE_LINK5"/>
      <w:bookmarkStart w:id="3" w:name="OLE_LINK6"/>
      <w:r>
        <w:rPr>
          <w:sz w:val="24"/>
        </w:rPr>
        <w:t xml:space="preserve"> </w:t>
      </w:r>
      <w:bookmarkEnd w:id="2"/>
      <w:bookmarkEnd w:id="3"/>
    </w:p>
    <w:p w:rsidR="00220390" w:rsidRPr="006D17BF" w:rsidRDefault="00220390" w:rsidP="00220390">
      <w:pPr>
        <w:widowControl w:val="0"/>
        <w:numPr>
          <w:ilvl w:val="1"/>
          <w:numId w:val="11"/>
        </w:numPr>
        <w:tabs>
          <w:tab w:val="clear" w:pos="1440"/>
          <w:tab w:val="num" w:pos="1080"/>
        </w:tabs>
        <w:overflowPunct/>
        <w:ind w:left="1080"/>
        <w:textAlignment w:val="auto"/>
        <w:rPr>
          <w:sz w:val="24"/>
        </w:rPr>
      </w:pPr>
      <w:r>
        <w:rPr>
          <w:sz w:val="24"/>
        </w:rPr>
        <w:t xml:space="preserve">Appendix E –  Questionnaire for children </w:t>
      </w:r>
      <w:r w:rsidRPr="005149B5">
        <w:rPr>
          <w:sz w:val="24"/>
        </w:rPr>
        <w:t>(attached)</w:t>
      </w:r>
    </w:p>
    <w:p w:rsidR="00590B06" w:rsidRDefault="00590B06" w:rsidP="00583A57">
      <w:pPr>
        <w:rPr>
          <w:sz w:val="24"/>
          <w:szCs w:val="24"/>
        </w:rPr>
      </w:pPr>
    </w:p>
    <w:sectPr w:rsidR="00590B06" w:rsidSect="00CB7617">
      <w:footerReference w:type="default" r:id="rId9"/>
      <w:pgSz w:w="12240" w:h="15840" w:code="1"/>
      <w:pgMar w:top="1350" w:right="1800" w:bottom="9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CA5" w:rsidRDefault="00365CA5">
      <w:r>
        <w:separator/>
      </w:r>
    </w:p>
  </w:endnote>
  <w:endnote w:type="continuationSeparator" w:id="0">
    <w:p w:rsidR="00365CA5" w:rsidRDefault="0036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C4" w:rsidRDefault="00F74AC4">
    <w:pPr>
      <w:pStyle w:val="Footer"/>
      <w:rPr>
        <w:rFonts w:ascii="Univers" w:hAnsi="Univers"/>
        <w:sz w:val="16"/>
      </w:rPr>
    </w:pPr>
  </w:p>
  <w:p w:rsidR="00F74AC4" w:rsidRDefault="00F74A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CA5" w:rsidRDefault="00365CA5">
      <w:r>
        <w:separator/>
      </w:r>
    </w:p>
  </w:footnote>
  <w:footnote w:type="continuationSeparator" w:id="0">
    <w:p w:rsidR="00365CA5" w:rsidRDefault="00365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20FB"/>
    <w:multiLevelType w:val="multilevel"/>
    <w:tmpl w:val="F506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586C84"/>
    <w:multiLevelType w:val="hybridMultilevel"/>
    <w:tmpl w:val="C1D21642"/>
    <w:lvl w:ilvl="0" w:tplc="C55004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47D2F"/>
    <w:multiLevelType w:val="multilevel"/>
    <w:tmpl w:val="73A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847213"/>
    <w:multiLevelType w:val="multilevel"/>
    <w:tmpl w:val="20C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9C28A8"/>
    <w:multiLevelType w:val="hybridMultilevel"/>
    <w:tmpl w:val="137CF894"/>
    <w:lvl w:ilvl="0" w:tplc="E4B235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328CC"/>
    <w:multiLevelType w:val="multilevel"/>
    <w:tmpl w:val="B51E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E332F4"/>
    <w:multiLevelType w:val="hybridMultilevel"/>
    <w:tmpl w:val="998C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F63118"/>
    <w:multiLevelType w:val="multilevel"/>
    <w:tmpl w:val="61B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7DD3D18"/>
    <w:multiLevelType w:val="hybridMultilevel"/>
    <w:tmpl w:val="00E0F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2D7815"/>
    <w:multiLevelType w:val="hybridMultilevel"/>
    <w:tmpl w:val="6CF0D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745B60"/>
    <w:multiLevelType w:val="multilevel"/>
    <w:tmpl w:val="6F6E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3F5759"/>
    <w:multiLevelType w:val="hybridMultilevel"/>
    <w:tmpl w:val="92FC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6A2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6C1B64"/>
    <w:multiLevelType w:val="multilevel"/>
    <w:tmpl w:val="F51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456"/>
    <w:rsid w:val="00011F55"/>
    <w:rsid w:val="00064FFA"/>
    <w:rsid w:val="00075D0C"/>
    <w:rsid w:val="000D7E4A"/>
    <w:rsid w:val="00174DA0"/>
    <w:rsid w:val="00190FA9"/>
    <w:rsid w:val="001C5981"/>
    <w:rsid w:val="001E4BF3"/>
    <w:rsid w:val="001F2C6B"/>
    <w:rsid w:val="001F5221"/>
    <w:rsid w:val="00201E63"/>
    <w:rsid w:val="00220390"/>
    <w:rsid w:val="0023766F"/>
    <w:rsid w:val="00284DDD"/>
    <w:rsid w:val="00287657"/>
    <w:rsid w:val="0029124D"/>
    <w:rsid w:val="002C3F60"/>
    <w:rsid w:val="00365CA5"/>
    <w:rsid w:val="003816AB"/>
    <w:rsid w:val="003923BE"/>
    <w:rsid w:val="003D3179"/>
    <w:rsid w:val="003E6980"/>
    <w:rsid w:val="00411412"/>
    <w:rsid w:val="00442A61"/>
    <w:rsid w:val="004514DA"/>
    <w:rsid w:val="00514EAF"/>
    <w:rsid w:val="00583A57"/>
    <w:rsid w:val="0058674F"/>
    <w:rsid w:val="00590B06"/>
    <w:rsid w:val="005A4B7E"/>
    <w:rsid w:val="00686C50"/>
    <w:rsid w:val="006B0FAE"/>
    <w:rsid w:val="007318D9"/>
    <w:rsid w:val="00777CC0"/>
    <w:rsid w:val="007A01A5"/>
    <w:rsid w:val="007B042F"/>
    <w:rsid w:val="00857BC5"/>
    <w:rsid w:val="00881267"/>
    <w:rsid w:val="00890E95"/>
    <w:rsid w:val="008C04CB"/>
    <w:rsid w:val="00966721"/>
    <w:rsid w:val="0099416C"/>
    <w:rsid w:val="009B2EA6"/>
    <w:rsid w:val="009C55CB"/>
    <w:rsid w:val="009E0FF9"/>
    <w:rsid w:val="009E5ACB"/>
    <w:rsid w:val="009F13EF"/>
    <w:rsid w:val="009F7C8B"/>
    <w:rsid w:val="00A33456"/>
    <w:rsid w:val="00B12F1D"/>
    <w:rsid w:val="00B8321E"/>
    <w:rsid w:val="00B84126"/>
    <w:rsid w:val="00B96C79"/>
    <w:rsid w:val="00BA6289"/>
    <w:rsid w:val="00BB4946"/>
    <w:rsid w:val="00BE0161"/>
    <w:rsid w:val="00C04602"/>
    <w:rsid w:val="00C271FA"/>
    <w:rsid w:val="00C35CFA"/>
    <w:rsid w:val="00C760FE"/>
    <w:rsid w:val="00CB7617"/>
    <w:rsid w:val="00CF0EC1"/>
    <w:rsid w:val="00D258A8"/>
    <w:rsid w:val="00D978F8"/>
    <w:rsid w:val="00E054D3"/>
    <w:rsid w:val="00E47933"/>
    <w:rsid w:val="00EF1A42"/>
    <w:rsid w:val="00F03ED8"/>
    <w:rsid w:val="00F12FA0"/>
    <w:rsid w:val="00F527F6"/>
    <w:rsid w:val="00F74AC4"/>
    <w:rsid w:val="00F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61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CB76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B7617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76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6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B7617"/>
    <w:pPr>
      <w:spacing w:after="120"/>
    </w:pPr>
  </w:style>
  <w:style w:type="character" w:customStyle="1" w:styleId="hdrblackbold1">
    <w:name w:val="hdrblackbold1"/>
    <w:basedOn w:val="DefaultParagraphFont"/>
    <w:rsid w:val="00E054D3"/>
    <w:rPr>
      <w:rFonts w:ascii="Verdana" w:hAnsi="Verdana" w:hint="default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rsid w:val="00E054D3"/>
    <w:rPr>
      <w:b w:val="0"/>
      <w:bCs w:val="0"/>
      <w:strike w:val="0"/>
      <w:dstrike w:val="0"/>
      <w:color w:val="000099"/>
      <w:u w:val="none"/>
      <w:effect w:val="none"/>
    </w:rPr>
  </w:style>
  <w:style w:type="character" w:customStyle="1" w:styleId="tblheadtextblack1">
    <w:name w:val="tblheadtextblack1"/>
    <w:basedOn w:val="DefaultParagraphFont"/>
    <w:rsid w:val="00E054D3"/>
    <w:rPr>
      <w:rFonts w:ascii="Verdana" w:hAnsi="Verdana" w:hint="default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rsid w:val="00777CC0"/>
    <w:rPr>
      <w:color w:val="800080"/>
      <w:u w:val="single"/>
    </w:rPr>
  </w:style>
  <w:style w:type="paragraph" w:styleId="BodyText2">
    <w:name w:val="Body Text 2"/>
    <w:basedOn w:val="Normal"/>
    <w:link w:val="BodyText2Char"/>
    <w:rsid w:val="002203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0390"/>
  </w:style>
  <w:style w:type="table" w:styleId="TableGrid">
    <w:name w:val="Table Grid"/>
    <w:basedOn w:val="TableNormal"/>
    <w:uiPriority w:val="59"/>
    <w:rsid w:val="0022039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220390"/>
    <w:pPr>
      <w:widowControl w:val="0"/>
      <w:overflowPunct/>
      <w:spacing w:after="120"/>
      <w:ind w:left="360"/>
      <w:textAlignment w:val="auto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039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0390"/>
    <w:pPr>
      <w:numPr>
        <w:numId w:val="13"/>
      </w:numPr>
      <w:overflowPunct/>
      <w:autoSpaceDE/>
      <w:autoSpaceDN/>
      <w:adjustRightInd/>
      <w:contextualSpacing/>
      <w:textAlignment w:val="auto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ghtfoot\Application%20Data\Microsoft\Templates\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C780-B0BB-4F74-8CA6-0F2F0BEB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Stationery</Template>
  <TotalTime>12</TotalTime>
  <Pages>5</Pages>
  <Words>1692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 FSC</Company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rgreene</cp:lastModifiedBy>
  <cp:revision>6</cp:revision>
  <cp:lastPrinted>2010-05-18T19:53:00Z</cp:lastPrinted>
  <dcterms:created xsi:type="dcterms:W3CDTF">2010-11-12T17:05:00Z</dcterms:created>
  <dcterms:modified xsi:type="dcterms:W3CDTF">2010-11-16T19:57:00Z</dcterms:modified>
</cp:coreProperties>
</file>