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10" w:rsidRDefault="00403D10" w:rsidP="00A454BB">
      <w:pPr>
        <w:pStyle w:val="Heading1"/>
        <w:tabs>
          <w:tab w:val="left" w:pos="6840"/>
        </w:tabs>
        <w:ind w:left="540"/>
        <w:jc w:val="center"/>
      </w:pPr>
      <w:r>
        <w:t xml:space="preserve">                                                                                                              </w:t>
      </w:r>
      <w:r w:rsidR="00A454BB">
        <w:t xml:space="preserve">                           </w:t>
      </w:r>
      <w:r>
        <w:t xml:space="preserve">  U.S. Department of Homeland Security</w:t>
      </w:r>
    </w:p>
    <w:p w:rsidR="00403D10" w:rsidRDefault="00403D10" w:rsidP="00A454BB">
      <w:pPr>
        <w:pStyle w:val="Heading1"/>
        <w:tabs>
          <w:tab w:val="left" w:pos="6840"/>
        </w:tabs>
        <w:ind w:left="540"/>
      </w:pPr>
      <w:r>
        <w:t xml:space="preserve">              </w:t>
      </w:r>
      <w:r w:rsidR="00A454BB">
        <w:tab/>
      </w:r>
      <w:r>
        <w:t>Arlington, VA 20598-6028</w:t>
      </w:r>
    </w:p>
    <w:p w:rsidR="00403D10" w:rsidRDefault="00403D10" w:rsidP="00A454BB">
      <w:pPr>
        <w:pStyle w:val="NoSpacing"/>
        <w:ind w:left="540"/>
      </w:pPr>
      <w:r>
        <w:rPr>
          <w:noProof/>
        </w:rPr>
        <w:drawing>
          <wp:anchor distT="0" distB="0" distL="114300" distR="114300" simplePos="0" relativeHeight="251659264" behindDoc="0" locked="0" layoutInCell="1" allowOverlap="1">
            <wp:simplePos x="0" y="0"/>
            <wp:positionH relativeFrom="column">
              <wp:posOffset>4043680</wp:posOffset>
            </wp:positionH>
            <wp:positionV relativeFrom="paragraph">
              <wp:posOffset>53975</wp:posOffset>
            </wp:positionV>
            <wp:extent cx="1456690" cy="496570"/>
            <wp:effectExtent l="19050" t="0" r="0" b="0"/>
            <wp:wrapTight wrapText="bothSides">
              <wp:wrapPolygon edited="0">
                <wp:start x="-282" y="0"/>
                <wp:lineTo x="-282" y="20716"/>
                <wp:lineTo x="21468" y="20716"/>
                <wp:lineTo x="21468" y="0"/>
                <wp:lineTo x="-282" y="0"/>
              </wp:wrapPolygon>
            </wp:wrapTight>
            <wp:docPr id="4" name="Picture 4" descr="TSA_DHS_Sig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SA_DHS_Sig_SM"/>
                    <pic:cNvPicPr>
                      <a:picLocks noChangeAspect="1" noChangeArrowheads="1"/>
                    </pic:cNvPicPr>
                  </pic:nvPicPr>
                  <pic:blipFill>
                    <a:blip r:embed="rId4" cstate="print"/>
                    <a:srcRect/>
                    <a:stretch>
                      <a:fillRect/>
                    </a:stretch>
                  </pic:blipFill>
                  <pic:spPr bwMode="auto">
                    <a:xfrm>
                      <a:off x="0" y="0"/>
                      <a:ext cx="1456690" cy="496570"/>
                    </a:xfrm>
                    <a:prstGeom prst="rect">
                      <a:avLst/>
                    </a:prstGeom>
                    <a:noFill/>
                    <a:ln w="9525">
                      <a:noFill/>
                      <a:miter lim="800000"/>
                      <a:headEnd/>
                      <a:tailEnd/>
                    </a:ln>
                  </pic:spPr>
                </pic:pic>
              </a:graphicData>
            </a:graphic>
          </wp:anchor>
        </w:drawing>
      </w:r>
    </w:p>
    <w:p w:rsidR="00403D10" w:rsidRDefault="00403D10" w:rsidP="00A454BB">
      <w:pPr>
        <w:pStyle w:val="NoSpacing"/>
        <w:ind w:left="540"/>
      </w:pPr>
    </w:p>
    <w:p w:rsidR="00403D10" w:rsidRDefault="00403D10" w:rsidP="00A454BB">
      <w:pPr>
        <w:pStyle w:val="NoSpacing"/>
        <w:ind w:left="540"/>
        <w:rPr>
          <w:rFonts w:ascii="Times New Roman" w:hAnsi="Times New Roman"/>
        </w:rPr>
      </w:pPr>
    </w:p>
    <w:p w:rsidR="00403D10" w:rsidRDefault="00403D10" w:rsidP="00A454BB">
      <w:pPr>
        <w:pStyle w:val="NoSpacing"/>
        <w:ind w:left="540"/>
        <w:rPr>
          <w:rFonts w:ascii="Times New Roman" w:hAnsi="Times New Roman"/>
          <w:sz w:val="24"/>
          <w:szCs w:val="24"/>
        </w:rPr>
      </w:pPr>
    </w:p>
    <w:p w:rsidR="00354821" w:rsidRPr="00403D10" w:rsidRDefault="00354821" w:rsidP="00A454BB">
      <w:pPr>
        <w:pStyle w:val="NoSpacing"/>
        <w:ind w:left="540"/>
        <w:rPr>
          <w:rFonts w:ascii="Times New Roman" w:hAnsi="Times New Roman"/>
          <w:sz w:val="24"/>
          <w:szCs w:val="24"/>
        </w:rPr>
      </w:pPr>
      <w:r>
        <w:rPr>
          <w:rFonts w:ascii="Times New Roman" w:hAnsi="Times New Roman"/>
          <w:sz w:val="24"/>
          <w:szCs w:val="24"/>
        </w:rPr>
        <w:t>November 6, 2009</w:t>
      </w:r>
    </w:p>
    <w:p w:rsidR="00354821" w:rsidRDefault="00354821" w:rsidP="00A454BB">
      <w:pPr>
        <w:pStyle w:val="NoSpacing"/>
        <w:ind w:left="540"/>
        <w:rPr>
          <w:rFonts w:ascii="Times New Roman" w:hAnsi="Times New Roman"/>
          <w:sz w:val="24"/>
          <w:szCs w:val="24"/>
        </w:rPr>
      </w:pPr>
    </w:p>
    <w:p w:rsidR="00403D10" w:rsidRPr="00403D10" w:rsidRDefault="00403D10" w:rsidP="00A454BB">
      <w:pPr>
        <w:pStyle w:val="NoSpacing"/>
        <w:ind w:left="540"/>
        <w:rPr>
          <w:rFonts w:ascii="Times New Roman" w:hAnsi="Times New Roman"/>
          <w:sz w:val="24"/>
          <w:szCs w:val="24"/>
        </w:rPr>
      </w:pPr>
      <w:r w:rsidRPr="00403D10">
        <w:rPr>
          <w:rFonts w:ascii="Times New Roman" w:hAnsi="Times New Roman"/>
          <w:sz w:val="24"/>
          <w:szCs w:val="24"/>
        </w:rPr>
        <w:t>Boyd Stephenson, Manager</w:t>
      </w:r>
    </w:p>
    <w:p w:rsidR="00403D10" w:rsidRPr="00403D10" w:rsidRDefault="00403D10" w:rsidP="00A454BB">
      <w:pPr>
        <w:pStyle w:val="NoSpacing"/>
        <w:ind w:left="540"/>
        <w:rPr>
          <w:rFonts w:ascii="Times New Roman" w:hAnsi="Times New Roman"/>
          <w:sz w:val="24"/>
          <w:szCs w:val="24"/>
        </w:rPr>
      </w:pPr>
      <w:r w:rsidRPr="00403D10">
        <w:rPr>
          <w:rFonts w:ascii="Times New Roman" w:hAnsi="Times New Roman"/>
          <w:sz w:val="24"/>
          <w:szCs w:val="24"/>
        </w:rPr>
        <w:t>Security and Cross Border Operations</w:t>
      </w:r>
    </w:p>
    <w:p w:rsidR="00403D10" w:rsidRPr="00403D10" w:rsidRDefault="00403D10" w:rsidP="00A454BB">
      <w:pPr>
        <w:pStyle w:val="NoSpacing"/>
        <w:ind w:left="540"/>
        <w:rPr>
          <w:rFonts w:ascii="Times New Roman" w:hAnsi="Times New Roman"/>
          <w:sz w:val="24"/>
          <w:szCs w:val="24"/>
        </w:rPr>
      </w:pPr>
      <w:r w:rsidRPr="00403D10">
        <w:rPr>
          <w:rFonts w:ascii="Times New Roman" w:hAnsi="Times New Roman"/>
          <w:sz w:val="24"/>
          <w:szCs w:val="24"/>
        </w:rPr>
        <w:t xml:space="preserve">American Trucking Associations                                                                                                      </w:t>
      </w:r>
    </w:p>
    <w:p w:rsidR="00403D10" w:rsidRPr="00403D10" w:rsidRDefault="00403D10" w:rsidP="00A454BB">
      <w:pPr>
        <w:pStyle w:val="NoSpacing"/>
        <w:ind w:left="540"/>
        <w:rPr>
          <w:rFonts w:ascii="Times New Roman" w:hAnsi="Times New Roman"/>
          <w:sz w:val="24"/>
          <w:szCs w:val="24"/>
        </w:rPr>
      </w:pPr>
    </w:p>
    <w:p w:rsidR="00403D10" w:rsidRPr="00403D10" w:rsidRDefault="00403D10" w:rsidP="00A454BB">
      <w:pPr>
        <w:pStyle w:val="NoSpacing"/>
        <w:ind w:left="540"/>
        <w:rPr>
          <w:rFonts w:ascii="Times New Roman" w:hAnsi="Times New Roman"/>
          <w:sz w:val="24"/>
          <w:szCs w:val="24"/>
        </w:rPr>
      </w:pPr>
      <w:r w:rsidRPr="00403D10">
        <w:rPr>
          <w:rFonts w:ascii="Times New Roman" w:hAnsi="Times New Roman"/>
          <w:sz w:val="24"/>
          <w:szCs w:val="24"/>
        </w:rPr>
        <w:t>Clyde J. Hart, Jr.</w:t>
      </w:r>
    </w:p>
    <w:p w:rsidR="00403D10" w:rsidRPr="00403D10" w:rsidRDefault="00403D10" w:rsidP="00A454BB">
      <w:pPr>
        <w:pStyle w:val="NoSpacing"/>
        <w:ind w:left="540"/>
        <w:rPr>
          <w:rFonts w:ascii="Times New Roman" w:hAnsi="Times New Roman"/>
          <w:sz w:val="24"/>
          <w:szCs w:val="24"/>
        </w:rPr>
      </w:pPr>
      <w:r w:rsidRPr="00403D10">
        <w:rPr>
          <w:rFonts w:ascii="Times New Roman" w:hAnsi="Times New Roman"/>
          <w:sz w:val="24"/>
          <w:szCs w:val="24"/>
        </w:rPr>
        <w:t>Senior Vice President</w:t>
      </w:r>
    </w:p>
    <w:p w:rsidR="00403D10" w:rsidRPr="00403D10" w:rsidRDefault="00403D10" w:rsidP="00A454BB">
      <w:pPr>
        <w:pStyle w:val="NoSpacing"/>
        <w:ind w:left="540"/>
        <w:rPr>
          <w:rFonts w:ascii="Times New Roman" w:hAnsi="Times New Roman"/>
          <w:sz w:val="24"/>
          <w:szCs w:val="24"/>
        </w:rPr>
      </w:pPr>
      <w:r w:rsidRPr="00403D10">
        <w:rPr>
          <w:rFonts w:ascii="Times New Roman" w:hAnsi="Times New Roman"/>
          <w:sz w:val="24"/>
          <w:szCs w:val="24"/>
        </w:rPr>
        <w:t>Government Affairs</w:t>
      </w:r>
    </w:p>
    <w:p w:rsidR="00403D10" w:rsidRPr="00403D10" w:rsidRDefault="00403D10" w:rsidP="00A454BB">
      <w:pPr>
        <w:pStyle w:val="NoSpacing"/>
        <w:ind w:left="540"/>
        <w:rPr>
          <w:rFonts w:ascii="Times New Roman" w:hAnsi="Times New Roman"/>
          <w:sz w:val="24"/>
          <w:szCs w:val="24"/>
        </w:rPr>
      </w:pPr>
      <w:r w:rsidRPr="00403D10">
        <w:rPr>
          <w:rFonts w:ascii="Times New Roman" w:hAnsi="Times New Roman"/>
          <w:sz w:val="24"/>
          <w:szCs w:val="24"/>
        </w:rPr>
        <w:t>American Bus Association</w:t>
      </w:r>
    </w:p>
    <w:p w:rsidR="00403D10" w:rsidRPr="00403D10" w:rsidRDefault="00403D10" w:rsidP="00A454BB">
      <w:pPr>
        <w:pStyle w:val="NoSpacing"/>
        <w:ind w:left="540"/>
        <w:rPr>
          <w:rFonts w:ascii="Times New Roman" w:hAnsi="Times New Roman"/>
          <w:sz w:val="24"/>
          <w:szCs w:val="24"/>
        </w:rPr>
      </w:pPr>
    </w:p>
    <w:p w:rsidR="001D21B8" w:rsidRPr="00403D10" w:rsidRDefault="00403D10" w:rsidP="00A454BB">
      <w:pPr>
        <w:ind w:left="540"/>
        <w:rPr>
          <w:rFonts w:ascii="Times New Roman" w:hAnsi="Times New Roman"/>
          <w:sz w:val="24"/>
          <w:szCs w:val="24"/>
        </w:rPr>
      </w:pPr>
      <w:r w:rsidRPr="00403D10">
        <w:rPr>
          <w:rFonts w:ascii="Times New Roman" w:hAnsi="Times New Roman"/>
          <w:sz w:val="24"/>
          <w:szCs w:val="24"/>
        </w:rPr>
        <w:t>Gentlemen:</w:t>
      </w:r>
    </w:p>
    <w:p w:rsidR="001D21B8" w:rsidRPr="00FE3118" w:rsidRDefault="00FC4FEF" w:rsidP="00A454BB">
      <w:pPr>
        <w:spacing w:line="240" w:lineRule="auto"/>
        <w:ind w:left="540"/>
        <w:rPr>
          <w:rFonts w:ascii="Times New Roman" w:hAnsi="Times New Roman"/>
          <w:sz w:val="24"/>
          <w:szCs w:val="24"/>
        </w:rPr>
      </w:pPr>
      <w:r w:rsidRPr="00FE3118">
        <w:rPr>
          <w:rFonts w:ascii="Times New Roman" w:hAnsi="Times New Roman"/>
          <w:sz w:val="24"/>
          <w:szCs w:val="24"/>
        </w:rPr>
        <w:t>I thank you for your joint letter dated August 14, 2009</w:t>
      </w:r>
      <w:r>
        <w:rPr>
          <w:rFonts w:ascii="Times New Roman" w:hAnsi="Times New Roman"/>
          <w:sz w:val="24"/>
          <w:szCs w:val="24"/>
        </w:rPr>
        <w:t xml:space="preserve"> in which you responded </w:t>
      </w:r>
      <w:r w:rsidR="001D21B8" w:rsidRPr="00FE3118">
        <w:rPr>
          <w:rFonts w:ascii="Times New Roman" w:hAnsi="Times New Roman"/>
          <w:sz w:val="24"/>
          <w:szCs w:val="24"/>
        </w:rPr>
        <w:t>to the Federal Register Notice regarding our application for renewal of the Corporate Security Review (CSR) OMB control number</w:t>
      </w:r>
      <w:r>
        <w:rPr>
          <w:rFonts w:ascii="Times New Roman" w:hAnsi="Times New Roman"/>
          <w:sz w:val="24"/>
          <w:szCs w:val="24"/>
        </w:rPr>
        <w:t>.</w:t>
      </w:r>
      <w:r w:rsidR="001D21B8" w:rsidRPr="00FE3118">
        <w:rPr>
          <w:rFonts w:ascii="Times New Roman" w:hAnsi="Times New Roman"/>
          <w:sz w:val="24"/>
          <w:szCs w:val="24"/>
        </w:rPr>
        <w:t xml:space="preserve"> </w:t>
      </w:r>
      <w:r>
        <w:rPr>
          <w:rFonts w:ascii="Times New Roman" w:hAnsi="Times New Roman"/>
          <w:sz w:val="24"/>
          <w:szCs w:val="24"/>
        </w:rPr>
        <w:t xml:space="preserve">On behalf of TSA, I would like to respond to your comments, which I believe </w:t>
      </w:r>
      <w:r w:rsidR="001D21B8" w:rsidRPr="00FE3118">
        <w:rPr>
          <w:rFonts w:ascii="Times New Roman" w:hAnsi="Times New Roman"/>
          <w:sz w:val="24"/>
          <w:szCs w:val="24"/>
        </w:rPr>
        <w:t>are shared by many in our stakeholder community.</w:t>
      </w:r>
    </w:p>
    <w:p w:rsidR="001D21B8" w:rsidRPr="00FE3118" w:rsidRDefault="00FC4FEF" w:rsidP="00A454BB">
      <w:pPr>
        <w:spacing w:line="240" w:lineRule="auto"/>
        <w:ind w:left="540"/>
        <w:rPr>
          <w:rFonts w:ascii="Times New Roman" w:hAnsi="Times New Roman"/>
          <w:sz w:val="24"/>
          <w:szCs w:val="24"/>
        </w:rPr>
      </w:pPr>
      <w:r>
        <w:rPr>
          <w:rFonts w:ascii="Times New Roman" w:hAnsi="Times New Roman"/>
          <w:sz w:val="24"/>
          <w:szCs w:val="24"/>
        </w:rPr>
        <w:t xml:space="preserve">Since the beginning of the CSR initiative several years ago we have come to rely </w:t>
      </w:r>
      <w:r w:rsidR="001D21B8" w:rsidRPr="00FE3118">
        <w:rPr>
          <w:rFonts w:ascii="Times New Roman" w:hAnsi="Times New Roman"/>
          <w:sz w:val="24"/>
          <w:szCs w:val="24"/>
        </w:rPr>
        <w:t xml:space="preserve">on the CSR as a valuable tool for identifying stakeholder-driven efforts to address security and to identify a baseline from which we could identify security gaps and begin to address mitigation needs. </w:t>
      </w:r>
      <w:r>
        <w:rPr>
          <w:rFonts w:ascii="Times New Roman" w:hAnsi="Times New Roman"/>
          <w:sz w:val="24"/>
          <w:szCs w:val="24"/>
        </w:rPr>
        <w:t xml:space="preserve"> The extension of the program to motor carriers in 2005, which was a natural and necessary step, has further enhanced its value to TSA, specifically leading to the need for a </w:t>
      </w:r>
      <w:r w:rsidR="001D21B8" w:rsidRPr="00FE3118">
        <w:rPr>
          <w:rFonts w:ascii="Times New Roman" w:hAnsi="Times New Roman"/>
          <w:sz w:val="24"/>
          <w:szCs w:val="24"/>
        </w:rPr>
        <w:t>strategy to encourage surface transportation stakeholders to become diligent in effect</w:t>
      </w:r>
      <w:r w:rsidR="002A563F">
        <w:rPr>
          <w:rFonts w:ascii="Times New Roman" w:hAnsi="Times New Roman"/>
          <w:sz w:val="24"/>
          <w:szCs w:val="24"/>
        </w:rPr>
        <w:t xml:space="preserve">uating and maintaining security </w:t>
      </w:r>
      <w:r w:rsidR="001D21B8" w:rsidRPr="00FE3118">
        <w:rPr>
          <w:rFonts w:ascii="Times New Roman" w:hAnsi="Times New Roman"/>
          <w:sz w:val="24"/>
          <w:szCs w:val="24"/>
        </w:rPr>
        <w:t xml:space="preserve">related improvements. </w:t>
      </w:r>
    </w:p>
    <w:p w:rsidR="00FC4FEF" w:rsidRPr="00FC4FEF" w:rsidRDefault="00905B4B" w:rsidP="00A454BB">
      <w:pPr>
        <w:spacing w:line="240" w:lineRule="auto"/>
        <w:ind w:left="540"/>
        <w:rPr>
          <w:rFonts w:ascii="Times New Roman" w:eastAsia="MS Mincho" w:hAnsi="Times New Roman"/>
          <w:sz w:val="24"/>
          <w:szCs w:val="24"/>
          <w:lang w:eastAsia="ja-JP"/>
        </w:rPr>
      </w:pPr>
      <w:r>
        <w:rPr>
          <w:rFonts w:ascii="Times New Roman" w:hAnsi="Times New Roman"/>
          <w:sz w:val="24"/>
          <w:szCs w:val="24"/>
        </w:rPr>
        <w:t>Congress has given TSA s</w:t>
      </w:r>
      <w:r w:rsidR="001D21B8" w:rsidRPr="00FE3118" w:rsidDel="00FC4FEF">
        <w:rPr>
          <w:rFonts w:ascii="Times New Roman" w:hAnsi="Times New Roman"/>
          <w:sz w:val="24"/>
          <w:szCs w:val="24"/>
        </w:rPr>
        <w:t>pecific responsibilities to assume oversight and compliance on t</w:t>
      </w:r>
      <w:r>
        <w:rPr>
          <w:rFonts w:ascii="Times New Roman" w:hAnsi="Times New Roman"/>
          <w:sz w:val="24"/>
          <w:szCs w:val="24"/>
        </w:rPr>
        <w:t>ransportation security</w:t>
      </w:r>
      <w:r w:rsidR="001D21B8" w:rsidRPr="00FE3118" w:rsidDel="00FC4FEF">
        <w:rPr>
          <w:rFonts w:ascii="Times New Roman" w:hAnsi="Times New Roman"/>
          <w:sz w:val="24"/>
          <w:szCs w:val="24"/>
        </w:rPr>
        <w:t>.  As a direct result</w:t>
      </w:r>
      <w:r>
        <w:rPr>
          <w:rFonts w:ascii="Times New Roman" w:hAnsi="Times New Roman"/>
          <w:sz w:val="24"/>
          <w:szCs w:val="24"/>
        </w:rPr>
        <w:t>,</w:t>
      </w:r>
      <w:r w:rsidR="001D21B8" w:rsidRPr="00FE3118" w:rsidDel="00FC4FEF">
        <w:rPr>
          <w:rFonts w:ascii="Times New Roman" w:hAnsi="Times New Roman"/>
          <w:sz w:val="24"/>
          <w:szCs w:val="24"/>
        </w:rPr>
        <w:t xml:space="preserve"> the Department of Homeland Security (DHS) and the Department of Transportation (DOT) </w:t>
      </w:r>
      <w:r w:rsidR="00FC4FEF" w:rsidRPr="00FC4FEF">
        <w:rPr>
          <w:rFonts w:ascii="Times New Roman" w:eastAsia="MS Mincho" w:hAnsi="Times New Roman"/>
          <w:sz w:val="24"/>
          <w:szCs w:val="24"/>
          <w:lang w:eastAsia="ja-JP"/>
        </w:rPr>
        <w:t>have signed agreements with DOT and its relevant components to delineate clear lines of authority and responsibility, promote communication and efficiency, and avoid duplication of effort through cooperation and collaboration, including in the area of hazardous materials transportation security, based on existing legal authorities and core competencies.</w:t>
      </w:r>
      <w:r>
        <w:rPr>
          <w:rFonts w:ascii="Times New Roman" w:eastAsia="MS Mincho" w:hAnsi="Times New Roman"/>
          <w:sz w:val="24"/>
          <w:szCs w:val="24"/>
          <w:lang w:eastAsia="ja-JP"/>
        </w:rPr>
        <w:t xml:space="preserve"> </w:t>
      </w:r>
      <w:r w:rsidR="00FC4FEF">
        <w:rPr>
          <w:rFonts w:ascii="Times New Roman" w:hAnsi="Times New Roman"/>
          <w:sz w:val="24"/>
          <w:szCs w:val="24"/>
        </w:rPr>
        <w:t>One of these</w:t>
      </w:r>
      <w:r w:rsidR="001D21B8" w:rsidRPr="00FE3118" w:rsidDel="00FC4FEF">
        <w:rPr>
          <w:rFonts w:ascii="Times New Roman" w:hAnsi="Times New Roman"/>
          <w:sz w:val="24"/>
          <w:szCs w:val="24"/>
        </w:rPr>
        <w:t xml:space="preserve"> M</w:t>
      </w:r>
      <w:r w:rsidR="00FC4FEF">
        <w:rPr>
          <w:rFonts w:ascii="Times New Roman" w:hAnsi="Times New Roman"/>
          <w:sz w:val="24"/>
          <w:szCs w:val="24"/>
        </w:rPr>
        <w:t xml:space="preserve">emorandums of </w:t>
      </w:r>
      <w:r w:rsidR="001D21B8" w:rsidRPr="00FE3118" w:rsidDel="00FC4FEF">
        <w:rPr>
          <w:rFonts w:ascii="Times New Roman" w:hAnsi="Times New Roman"/>
          <w:sz w:val="24"/>
          <w:szCs w:val="24"/>
        </w:rPr>
        <w:t>U</w:t>
      </w:r>
      <w:r w:rsidR="00FC4FEF">
        <w:rPr>
          <w:rFonts w:ascii="Times New Roman" w:hAnsi="Times New Roman"/>
          <w:sz w:val="24"/>
          <w:szCs w:val="24"/>
        </w:rPr>
        <w:t>nderstanding</w:t>
      </w:r>
      <w:r>
        <w:rPr>
          <w:rFonts w:ascii="Times New Roman" w:hAnsi="Times New Roman"/>
          <w:sz w:val="24"/>
          <w:szCs w:val="24"/>
        </w:rPr>
        <w:t xml:space="preserve"> (MOUs)</w:t>
      </w:r>
      <w:r w:rsidR="001D21B8" w:rsidRPr="00FE3118" w:rsidDel="00FC4FEF">
        <w:rPr>
          <w:rFonts w:ascii="Times New Roman" w:hAnsi="Times New Roman"/>
          <w:sz w:val="24"/>
          <w:szCs w:val="24"/>
        </w:rPr>
        <w:t xml:space="preserve">, </w:t>
      </w:r>
      <w:r w:rsidR="00FC4FEF">
        <w:rPr>
          <w:rFonts w:ascii="Times New Roman" w:hAnsi="Times New Roman"/>
          <w:sz w:val="24"/>
          <w:szCs w:val="24"/>
        </w:rPr>
        <w:t xml:space="preserve">specifically includes </w:t>
      </w:r>
      <w:r w:rsidR="001D21B8" w:rsidRPr="00FE3118" w:rsidDel="00FC4FEF">
        <w:rPr>
          <w:rFonts w:ascii="Times New Roman" w:eastAsia="MS Mincho" w:hAnsi="Times New Roman"/>
          <w:sz w:val="24"/>
          <w:szCs w:val="24"/>
          <w:lang w:eastAsia="ja-JP"/>
        </w:rPr>
        <w:t>TSA</w:t>
      </w:r>
      <w:r w:rsidR="00FC4FEF">
        <w:rPr>
          <w:rFonts w:ascii="Times New Roman" w:eastAsia="MS Mincho" w:hAnsi="Times New Roman"/>
          <w:sz w:val="24"/>
          <w:szCs w:val="24"/>
          <w:lang w:eastAsia="ja-JP"/>
        </w:rPr>
        <w:t xml:space="preserve">’s commitment </w:t>
      </w:r>
      <w:r w:rsidR="001D21B8" w:rsidRPr="00FE3118" w:rsidDel="00FC4FEF">
        <w:rPr>
          <w:rFonts w:ascii="Times New Roman" w:eastAsia="MS Mincho" w:hAnsi="Times New Roman"/>
          <w:sz w:val="24"/>
          <w:szCs w:val="24"/>
          <w:lang w:eastAsia="ja-JP"/>
        </w:rPr>
        <w:t>to coordinating its Corporate Security Review initiative with the Federal Motor Carrier Safety Administration’s (FMCSA) Security Contact Review (SCR) program to limit duplicative security reviews of motor carriers, including those who transport</w:t>
      </w:r>
      <w:r w:rsidR="002A563F">
        <w:rPr>
          <w:rFonts w:ascii="Times New Roman" w:eastAsia="MS Mincho" w:hAnsi="Times New Roman"/>
          <w:sz w:val="24"/>
          <w:szCs w:val="24"/>
          <w:lang w:eastAsia="ja-JP"/>
        </w:rPr>
        <w:t>,</w:t>
      </w:r>
      <w:r w:rsidR="001D21B8" w:rsidRPr="00FE3118" w:rsidDel="00FC4FEF">
        <w:rPr>
          <w:rFonts w:ascii="Times New Roman" w:eastAsia="MS Mincho" w:hAnsi="Times New Roman"/>
          <w:sz w:val="24"/>
          <w:szCs w:val="24"/>
          <w:lang w:eastAsia="ja-JP"/>
        </w:rPr>
        <w:t xml:space="preserve"> or offer for transport</w:t>
      </w:r>
      <w:r w:rsidR="002A563F">
        <w:rPr>
          <w:rFonts w:ascii="Times New Roman" w:eastAsia="MS Mincho" w:hAnsi="Times New Roman"/>
          <w:sz w:val="24"/>
          <w:szCs w:val="24"/>
          <w:lang w:eastAsia="ja-JP"/>
        </w:rPr>
        <w:t>,</w:t>
      </w:r>
      <w:r w:rsidR="001D21B8" w:rsidRPr="00FE3118" w:rsidDel="00FC4FEF">
        <w:rPr>
          <w:rFonts w:ascii="Times New Roman" w:eastAsia="MS Mincho" w:hAnsi="Times New Roman"/>
          <w:sz w:val="24"/>
          <w:szCs w:val="24"/>
          <w:lang w:eastAsia="ja-JP"/>
        </w:rPr>
        <w:t xml:space="preserve"> hazardous materials.  </w:t>
      </w:r>
      <w:r w:rsidR="00FC4FEF" w:rsidRPr="00FC4FEF">
        <w:rPr>
          <w:rFonts w:ascii="Times New Roman" w:eastAsia="MS Mincho" w:hAnsi="Times New Roman"/>
          <w:sz w:val="24"/>
          <w:szCs w:val="24"/>
          <w:lang w:eastAsia="ja-JP"/>
        </w:rPr>
        <w:t>These MOUs</w:t>
      </w:r>
      <w:r w:rsidR="00FC4FEF">
        <w:rPr>
          <w:rFonts w:ascii="Times New Roman" w:eastAsia="MS Mincho" w:hAnsi="Times New Roman"/>
          <w:sz w:val="24"/>
          <w:szCs w:val="24"/>
          <w:lang w:eastAsia="ja-JP"/>
        </w:rPr>
        <w:t>, however,</w:t>
      </w:r>
      <w:r w:rsidR="00FC4FEF" w:rsidRPr="00FC4FEF">
        <w:rPr>
          <w:rFonts w:ascii="Times New Roman" w:eastAsia="MS Mincho" w:hAnsi="Times New Roman"/>
          <w:sz w:val="24"/>
          <w:szCs w:val="24"/>
          <w:lang w:eastAsia="ja-JP"/>
        </w:rPr>
        <w:t xml:space="preserve"> </w:t>
      </w:r>
      <w:r w:rsidR="00FC4FEF">
        <w:rPr>
          <w:rFonts w:ascii="Times New Roman" w:eastAsia="MS Mincho" w:hAnsi="Times New Roman"/>
          <w:sz w:val="24"/>
          <w:szCs w:val="24"/>
          <w:lang w:eastAsia="ja-JP"/>
        </w:rPr>
        <w:t xml:space="preserve">also </w:t>
      </w:r>
      <w:r w:rsidR="00FC4FEF" w:rsidRPr="00FC4FEF">
        <w:rPr>
          <w:rFonts w:ascii="Times New Roman" w:eastAsia="MS Mincho" w:hAnsi="Times New Roman"/>
          <w:sz w:val="24"/>
          <w:szCs w:val="24"/>
          <w:lang w:eastAsia="ja-JP"/>
        </w:rPr>
        <w:t>acknowledge that DHS has lead authority and primary responsibility for security activities in all modes of transportation and notes that TSA is the lead Federal entity for transportation security.</w:t>
      </w:r>
    </w:p>
    <w:p w:rsidR="00905B4B" w:rsidRDefault="001D21B8" w:rsidP="00A454BB">
      <w:pPr>
        <w:spacing w:line="240" w:lineRule="auto"/>
        <w:ind w:left="540"/>
        <w:rPr>
          <w:rFonts w:ascii="Times New Roman" w:eastAsia="MS Mincho" w:hAnsi="Times New Roman"/>
          <w:sz w:val="24"/>
          <w:szCs w:val="24"/>
          <w:lang w:eastAsia="ja-JP"/>
        </w:rPr>
      </w:pPr>
      <w:r w:rsidRPr="00FE3118">
        <w:rPr>
          <w:rFonts w:ascii="Times New Roman" w:eastAsia="MS Mincho" w:hAnsi="Times New Roman"/>
          <w:sz w:val="24"/>
          <w:szCs w:val="24"/>
          <w:lang w:eastAsia="ja-JP"/>
        </w:rPr>
        <w:lastRenderedPageBreak/>
        <w:t xml:space="preserve">TSA and FMCSA </w:t>
      </w:r>
      <w:r w:rsidR="00FC4FEF">
        <w:rPr>
          <w:rFonts w:ascii="Times New Roman" w:eastAsia="MS Mincho" w:hAnsi="Times New Roman"/>
          <w:sz w:val="24"/>
          <w:szCs w:val="24"/>
          <w:lang w:eastAsia="ja-JP"/>
        </w:rPr>
        <w:t xml:space="preserve">continue to work towards delineating each agency’s </w:t>
      </w:r>
      <w:r w:rsidRPr="00FE3118">
        <w:rPr>
          <w:rFonts w:ascii="Times New Roman" w:eastAsia="MS Mincho" w:hAnsi="Times New Roman"/>
          <w:sz w:val="24"/>
          <w:szCs w:val="24"/>
          <w:lang w:eastAsia="ja-JP"/>
        </w:rPr>
        <w:t>roles and responsibilities</w:t>
      </w:r>
      <w:r w:rsidR="00FC4FEF">
        <w:rPr>
          <w:rFonts w:ascii="Times New Roman" w:eastAsia="MS Mincho" w:hAnsi="Times New Roman"/>
          <w:sz w:val="24"/>
          <w:szCs w:val="24"/>
          <w:lang w:eastAsia="ja-JP"/>
        </w:rPr>
        <w:t>,</w:t>
      </w:r>
      <w:r w:rsidRPr="00FE3118">
        <w:rPr>
          <w:rFonts w:ascii="Times New Roman" w:eastAsia="MS Mincho" w:hAnsi="Times New Roman"/>
          <w:sz w:val="24"/>
          <w:szCs w:val="24"/>
          <w:lang w:eastAsia="ja-JP"/>
        </w:rPr>
        <w:t xml:space="preserve"> </w:t>
      </w:r>
      <w:r w:rsidR="00FC4FEF">
        <w:rPr>
          <w:rFonts w:ascii="Times New Roman" w:eastAsia="MS Mincho" w:hAnsi="Times New Roman"/>
          <w:sz w:val="24"/>
          <w:szCs w:val="24"/>
          <w:lang w:eastAsia="ja-JP"/>
        </w:rPr>
        <w:t>for both the CSRs/SCRs</w:t>
      </w:r>
      <w:r w:rsidR="002A563F">
        <w:rPr>
          <w:rFonts w:ascii="Times New Roman" w:eastAsia="MS Mincho" w:hAnsi="Times New Roman"/>
          <w:sz w:val="24"/>
          <w:szCs w:val="24"/>
          <w:lang w:eastAsia="ja-JP"/>
        </w:rPr>
        <w:t xml:space="preserve"> and other regulatory processes,</w:t>
      </w:r>
      <w:r w:rsidR="00FC4FEF">
        <w:rPr>
          <w:rFonts w:ascii="Times New Roman" w:eastAsia="MS Mincho" w:hAnsi="Times New Roman"/>
          <w:sz w:val="24"/>
          <w:szCs w:val="24"/>
          <w:lang w:eastAsia="ja-JP"/>
        </w:rPr>
        <w:t xml:space="preserve"> to </w:t>
      </w:r>
      <w:r w:rsidRPr="00FE3118">
        <w:rPr>
          <w:rFonts w:ascii="Times New Roman" w:eastAsia="MS Mincho" w:hAnsi="Times New Roman"/>
          <w:sz w:val="24"/>
          <w:szCs w:val="24"/>
          <w:lang w:eastAsia="ja-JP"/>
        </w:rPr>
        <w:t>avoid duplicati</w:t>
      </w:r>
      <w:r w:rsidR="00FC4FEF">
        <w:rPr>
          <w:rFonts w:ascii="Times New Roman" w:eastAsia="MS Mincho" w:hAnsi="Times New Roman"/>
          <w:sz w:val="24"/>
          <w:szCs w:val="24"/>
          <w:lang w:eastAsia="ja-JP"/>
        </w:rPr>
        <w:t>ng</w:t>
      </w:r>
      <w:r w:rsidRPr="00FE3118">
        <w:rPr>
          <w:rFonts w:ascii="Times New Roman" w:eastAsia="MS Mincho" w:hAnsi="Times New Roman"/>
          <w:sz w:val="24"/>
          <w:szCs w:val="24"/>
          <w:lang w:eastAsia="ja-JP"/>
        </w:rPr>
        <w:t xml:space="preserve"> inspections and enforcement activities. </w:t>
      </w:r>
      <w:r w:rsidR="00905B4B">
        <w:rPr>
          <w:rFonts w:ascii="Times New Roman" w:eastAsia="MS Mincho" w:hAnsi="Times New Roman"/>
          <w:sz w:val="24"/>
          <w:szCs w:val="24"/>
          <w:lang w:eastAsia="ja-JP"/>
        </w:rPr>
        <w:t>T</w:t>
      </w:r>
      <w:r w:rsidR="00FC4FEF" w:rsidRPr="00FC4FEF">
        <w:rPr>
          <w:rFonts w:ascii="Times New Roman" w:eastAsia="MS Mincho" w:hAnsi="Times New Roman"/>
          <w:sz w:val="24"/>
          <w:szCs w:val="24"/>
          <w:lang w:eastAsia="ja-JP"/>
        </w:rPr>
        <w:t>SA is</w:t>
      </w:r>
      <w:r w:rsidR="00FC4FEF">
        <w:rPr>
          <w:rFonts w:ascii="Times New Roman" w:eastAsia="MS Mincho" w:hAnsi="Times New Roman"/>
          <w:sz w:val="24"/>
          <w:szCs w:val="24"/>
          <w:lang w:eastAsia="ja-JP"/>
        </w:rPr>
        <w:t xml:space="preserve"> </w:t>
      </w:r>
      <w:r w:rsidR="00FC4FEF" w:rsidRPr="00FC4FEF">
        <w:rPr>
          <w:rFonts w:ascii="Times New Roman" w:eastAsia="MS Mincho" w:hAnsi="Times New Roman"/>
          <w:sz w:val="24"/>
          <w:szCs w:val="24"/>
          <w:lang w:eastAsia="ja-JP"/>
        </w:rPr>
        <w:t xml:space="preserve">sensitive to the burden on the industry from complying with requests for information </w:t>
      </w:r>
      <w:r w:rsidR="00FC4FEF">
        <w:rPr>
          <w:rFonts w:ascii="Times New Roman" w:eastAsia="MS Mincho" w:hAnsi="Times New Roman"/>
          <w:sz w:val="24"/>
          <w:szCs w:val="24"/>
          <w:lang w:eastAsia="ja-JP"/>
        </w:rPr>
        <w:t xml:space="preserve">from multiple agencies </w:t>
      </w:r>
      <w:r w:rsidR="00FC4FEF" w:rsidRPr="00FC4FEF">
        <w:rPr>
          <w:rFonts w:ascii="Times New Roman" w:eastAsia="MS Mincho" w:hAnsi="Times New Roman"/>
          <w:sz w:val="24"/>
          <w:szCs w:val="24"/>
          <w:lang w:eastAsia="ja-JP"/>
        </w:rPr>
        <w:t xml:space="preserve">and has taken appropriate steps to avoid overlap where possible.  For example, we have reviewed </w:t>
      </w:r>
      <w:r w:rsidR="00905B4B">
        <w:rPr>
          <w:rFonts w:ascii="Times New Roman" w:eastAsia="MS Mincho" w:hAnsi="Times New Roman"/>
          <w:sz w:val="24"/>
          <w:szCs w:val="24"/>
          <w:lang w:eastAsia="ja-JP"/>
        </w:rPr>
        <w:t xml:space="preserve">and used </w:t>
      </w:r>
      <w:r w:rsidR="00FC4FEF" w:rsidRPr="00FC4FEF">
        <w:rPr>
          <w:rFonts w:ascii="Times New Roman" w:eastAsia="MS Mincho" w:hAnsi="Times New Roman"/>
          <w:sz w:val="24"/>
          <w:szCs w:val="24"/>
          <w:lang w:eastAsia="ja-JP"/>
        </w:rPr>
        <w:t>information on the SCRs, to the extent it is available</w:t>
      </w:r>
      <w:r w:rsidR="00905B4B">
        <w:rPr>
          <w:rFonts w:ascii="Times New Roman" w:eastAsia="MS Mincho" w:hAnsi="Times New Roman"/>
          <w:sz w:val="24"/>
          <w:szCs w:val="24"/>
          <w:lang w:eastAsia="ja-JP"/>
        </w:rPr>
        <w:t xml:space="preserve"> and sufficient for our purposes</w:t>
      </w:r>
      <w:r w:rsidR="00FC4FEF" w:rsidRPr="00FC4FEF">
        <w:rPr>
          <w:rFonts w:ascii="Times New Roman" w:eastAsia="MS Mincho" w:hAnsi="Times New Roman"/>
          <w:sz w:val="24"/>
          <w:szCs w:val="24"/>
          <w:lang w:eastAsia="ja-JP"/>
        </w:rPr>
        <w:t xml:space="preserve">.  In addition, we </w:t>
      </w:r>
      <w:r w:rsidR="00905B4B">
        <w:rPr>
          <w:rFonts w:ascii="Times New Roman" w:eastAsia="MS Mincho" w:hAnsi="Times New Roman"/>
          <w:sz w:val="24"/>
          <w:szCs w:val="24"/>
          <w:lang w:eastAsia="ja-JP"/>
        </w:rPr>
        <w:t xml:space="preserve">have and will continue to </w:t>
      </w:r>
      <w:r w:rsidR="00FC4FEF" w:rsidRPr="00FC4FEF">
        <w:rPr>
          <w:rFonts w:ascii="Times New Roman" w:eastAsia="MS Mincho" w:hAnsi="Times New Roman"/>
          <w:sz w:val="24"/>
          <w:szCs w:val="24"/>
          <w:lang w:eastAsia="ja-JP"/>
        </w:rPr>
        <w:t>work with FMCSA to avoid requesting a CSR with motor carriers who have had a recent visit from FMCSA for the purposes of a SCR.</w:t>
      </w:r>
      <w:r w:rsidR="00905B4B">
        <w:rPr>
          <w:rFonts w:ascii="Times New Roman" w:eastAsia="MS Mincho" w:hAnsi="Times New Roman"/>
          <w:sz w:val="24"/>
          <w:szCs w:val="24"/>
          <w:lang w:eastAsia="ja-JP"/>
        </w:rPr>
        <w:t xml:space="preserve"> </w:t>
      </w:r>
    </w:p>
    <w:p w:rsidR="00FC4FEF" w:rsidRPr="00FC4FEF" w:rsidRDefault="00905B4B" w:rsidP="00A454BB">
      <w:pPr>
        <w:spacing w:line="240" w:lineRule="auto"/>
        <w:ind w:left="540"/>
        <w:rPr>
          <w:rFonts w:ascii="Times New Roman" w:hAnsi="Times New Roman"/>
          <w:sz w:val="24"/>
          <w:szCs w:val="24"/>
        </w:rPr>
      </w:pPr>
      <w:r>
        <w:rPr>
          <w:rFonts w:ascii="Times New Roman" w:hAnsi="Times New Roman"/>
          <w:sz w:val="24"/>
          <w:szCs w:val="24"/>
        </w:rPr>
        <w:t>W</w:t>
      </w:r>
      <w:r w:rsidR="003F7E3C">
        <w:rPr>
          <w:rFonts w:ascii="Times New Roman" w:hAnsi="Times New Roman"/>
          <w:sz w:val="24"/>
          <w:szCs w:val="24"/>
        </w:rPr>
        <w:t xml:space="preserve">hile recognizing the success of the Missouri Pilot, </w:t>
      </w:r>
      <w:r w:rsidR="00FC4FEF" w:rsidRPr="00FC4FEF">
        <w:rPr>
          <w:rFonts w:ascii="Times New Roman" w:hAnsi="Times New Roman"/>
          <w:sz w:val="24"/>
          <w:szCs w:val="24"/>
        </w:rPr>
        <w:t xml:space="preserve">TSA considers this use of state officers conducting CSRs as an interim measure.  </w:t>
      </w:r>
      <w:r w:rsidR="003F7E3C">
        <w:rPr>
          <w:rFonts w:ascii="Times New Roman" w:hAnsi="Times New Roman"/>
          <w:sz w:val="24"/>
          <w:szCs w:val="24"/>
        </w:rPr>
        <w:t xml:space="preserve">As you noted in your letter, it is important to have CSRs conducted by inspectors who are trained on the goals and scope of TSA’s security programs.  To that end, </w:t>
      </w:r>
      <w:r w:rsidR="00FC4FEF" w:rsidRPr="00FC4FEF">
        <w:rPr>
          <w:rFonts w:ascii="Times New Roman" w:hAnsi="Times New Roman"/>
          <w:sz w:val="24"/>
          <w:szCs w:val="24"/>
        </w:rPr>
        <w:t xml:space="preserve">TSA has been building a cadre of surface transportation inspectors with one of their duties being to conduct CSRs.  Over the last several months we have trained over 200 federal transportation inspectors who will be utilized to reduce risk </w:t>
      </w:r>
      <w:r w:rsidR="003F7E3C">
        <w:rPr>
          <w:rFonts w:ascii="Times New Roman" w:hAnsi="Times New Roman"/>
          <w:sz w:val="24"/>
          <w:szCs w:val="24"/>
        </w:rPr>
        <w:t xml:space="preserve">and build relationships with stakeholders </w:t>
      </w:r>
      <w:r w:rsidR="00FC4FEF" w:rsidRPr="00FC4FEF">
        <w:rPr>
          <w:rFonts w:ascii="Times New Roman" w:hAnsi="Times New Roman"/>
          <w:sz w:val="24"/>
          <w:szCs w:val="24"/>
        </w:rPr>
        <w:t>through several TSA surface transportation programs and initiatives, such as the CSR.</w:t>
      </w:r>
    </w:p>
    <w:p w:rsidR="001D21B8" w:rsidRPr="00FE3118" w:rsidRDefault="001D21B8" w:rsidP="00A454BB">
      <w:pPr>
        <w:spacing w:line="240" w:lineRule="auto"/>
        <w:ind w:left="540"/>
        <w:rPr>
          <w:rFonts w:ascii="Times New Roman" w:hAnsi="Times New Roman"/>
          <w:sz w:val="24"/>
          <w:szCs w:val="24"/>
        </w:rPr>
      </w:pPr>
      <w:r w:rsidRPr="00FE3118">
        <w:rPr>
          <w:rFonts w:ascii="Times New Roman" w:hAnsi="Times New Roman"/>
          <w:sz w:val="24"/>
          <w:szCs w:val="24"/>
        </w:rPr>
        <w:t xml:space="preserve">Finally, </w:t>
      </w:r>
      <w:r w:rsidR="003F7E3C" w:rsidRPr="003F7E3C">
        <w:rPr>
          <w:rFonts w:ascii="Times New Roman" w:hAnsi="Times New Roman"/>
          <w:sz w:val="24"/>
          <w:szCs w:val="24"/>
        </w:rPr>
        <w:t>TSA's authority with respect to transportation security is comprehensive and supported</w:t>
      </w:r>
      <w:r w:rsidR="00905B4B">
        <w:rPr>
          <w:rFonts w:ascii="Times New Roman" w:hAnsi="Times New Roman"/>
          <w:sz w:val="24"/>
          <w:szCs w:val="24"/>
        </w:rPr>
        <w:t>,</w:t>
      </w:r>
      <w:r w:rsidR="003F7E3C" w:rsidRPr="003F7E3C">
        <w:rPr>
          <w:rFonts w:ascii="Times New Roman" w:hAnsi="Times New Roman"/>
          <w:sz w:val="24"/>
          <w:szCs w:val="24"/>
        </w:rPr>
        <w:t xml:space="preserve"> with specific powers related to the development and enforcement of regulations, security directives (SDs), security</w:t>
      </w:r>
      <w:r w:rsidR="003F7E3C">
        <w:rPr>
          <w:rFonts w:ascii="Times New Roman" w:hAnsi="Times New Roman"/>
          <w:sz w:val="24"/>
          <w:szCs w:val="24"/>
        </w:rPr>
        <w:t xml:space="preserve"> </w:t>
      </w:r>
      <w:r w:rsidR="003F7E3C" w:rsidRPr="003F7E3C">
        <w:rPr>
          <w:rFonts w:ascii="Times New Roman" w:hAnsi="Times New Roman"/>
          <w:sz w:val="24"/>
          <w:szCs w:val="24"/>
        </w:rPr>
        <w:t xml:space="preserve">plans, and other requirements. </w:t>
      </w:r>
      <w:r w:rsidR="003F7E3C">
        <w:rPr>
          <w:rFonts w:ascii="Times New Roman" w:hAnsi="Times New Roman"/>
          <w:sz w:val="24"/>
          <w:szCs w:val="24"/>
        </w:rPr>
        <w:t xml:space="preserve">Some degree of overlap with other federal agency efforts is inevitable to the extent that there will always be a certain degree of overlap between safety and security. </w:t>
      </w:r>
      <w:r w:rsidR="00905B4B">
        <w:rPr>
          <w:rFonts w:ascii="Times New Roman" w:hAnsi="Times New Roman"/>
          <w:sz w:val="24"/>
          <w:szCs w:val="24"/>
        </w:rPr>
        <w:t>It</w:t>
      </w:r>
      <w:r w:rsidR="003F7E3C">
        <w:rPr>
          <w:rFonts w:ascii="Times New Roman" w:hAnsi="Times New Roman"/>
          <w:sz w:val="24"/>
          <w:szCs w:val="24"/>
        </w:rPr>
        <w:t xml:space="preserve"> is, however, our intent to eliminate duplication of efforts by federal agencies to the extent that it is possible.  </w:t>
      </w:r>
      <w:r w:rsidRPr="00FE3118">
        <w:rPr>
          <w:rFonts w:ascii="Times New Roman" w:hAnsi="Times New Roman"/>
          <w:sz w:val="24"/>
          <w:szCs w:val="24"/>
        </w:rPr>
        <w:t>I appreciate your expression of support and will be delighted to have you share this campaign with us.</w:t>
      </w:r>
    </w:p>
    <w:p w:rsidR="001D21B8" w:rsidRPr="00FE3118" w:rsidRDefault="001D21B8" w:rsidP="00A454BB">
      <w:pPr>
        <w:spacing w:line="240" w:lineRule="auto"/>
        <w:ind w:left="540"/>
        <w:rPr>
          <w:rFonts w:ascii="Times New Roman" w:hAnsi="Times New Roman"/>
          <w:sz w:val="24"/>
          <w:szCs w:val="24"/>
        </w:rPr>
      </w:pPr>
      <w:r w:rsidRPr="00FE3118">
        <w:rPr>
          <w:rFonts w:ascii="Times New Roman" w:hAnsi="Times New Roman"/>
          <w:sz w:val="24"/>
          <w:szCs w:val="24"/>
        </w:rPr>
        <w:t>Thank you again for your comments.</w:t>
      </w:r>
    </w:p>
    <w:p w:rsidR="001D21B8" w:rsidRPr="00FE3118" w:rsidRDefault="001D21B8" w:rsidP="00A454BB">
      <w:pPr>
        <w:ind w:left="540"/>
        <w:rPr>
          <w:rFonts w:ascii="Times New Roman" w:hAnsi="Times New Roman"/>
          <w:sz w:val="24"/>
          <w:szCs w:val="24"/>
        </w:rPr>
      </w:pPr>
      <w:r w:rsidRPr="00FE3118">
        <w:rPr>
          <w:rFonts w:ascii="Times New Roman" w:hAnsi="Times New Roman"/>
          <w:sz w:val="24"/>
          <w:szCs w:val="24"/>
        </w:rPr>
        <w:t>Sincerely,</w:t>
      </w:r>
    </w:p>
    <w:p w:rsidR="001D21B8" w:rsidRPr="00FE3118" w:rsidRDefault="001D21B8" w:rsidP="00A454BB">
      <w:pPr>
        <w:ind w:left="540"/>
        <w:rPr>
          <w:rFonts w:ascii="Times New Roman" w:hAnsi="Times New Roman"/>
          <w:sz w:val="24"/>
          <w:szCs w:val="24"/>
        </w:rPr>
      </w:pPr>
    </w:p>
    <w:p w:rsidR="001D21B8" w:rsidRPr="00FE3118" w:rsidRDefault="001D21B8" w:rsidP="00A454BB">
      <w:pPr>
        <w:spacing w:after="0" w:line="240" w:lineRule="auto"/>
        <w:ind w:left="540"/>
        <w:rPr>
          <w:rFonts w:ascii="Times New Roman" w:hAnsi="Times New Roman"/>
          <w:sz w:val="24"/>
          <w:szCs w:val="24"/>
        </w:rPr>
      </w:pPr>
      <w:r w:rsidRPr="00FE3118">
        <w:rPr>
          <w:rFonts w:ascii="Times New Roman" w:hAnsi="Times New Roman"/>
          <w:sz w:val="24"/>
          <w:szCs w:val="24"/>
        </w:rPr>
        <w:t>William H. Arrington</w:t>
      </w:r>
    </w:p>
    <w:p w:rsidR="001D21B8" w:rsidRPr="00FE3118" w:rsidRDefault="001D21B8" w:rsidP="00A454BB">
      <w:pPr>
        <w:spacing w:after="0" w:line="240" w:lineRule="auto"/>
        <w:ind w:left="540"/>
        <w:rPr>
          <w:rFonts w:ascii="Times New Roman" w:hAnsi="Times New Roman"/>
          <w:sz w:val="24"/>
          <w:szCs w:val="24"/>
        </w:rPr>
      </w:pPr>
      <w:r w:rsidRPr="00FE3118">
        <w:rPr>
          <w:rFonts w:ascii="Times New Roman" w:hAnsi="Times New Roman"/>
          <w:sz w:val="24"/>
          <w:szCs w:val="24"/>
        </w:rPr>
        <w:t>General Manager</w:t>
      </w:r>
    </w:p>
    <w:p w:rsidR="001D21B8" w:rsidRPr="00FE3118" w:rsidRDefault="001D21B8" w:rsidP="00A454BB">
      <w:pPr>
        <w:spacing w:after="0" w:line="240" w:lineRule="auto"/>
        <w:ind w:left="540"/>
        <w:rPr>
          <w:rFonts w:ascii="Times New Roman" w:hAnsi="Times New Roman"/>
          <w:sz w:val="24"/>
          <w:szCs w:val="24"/>
        </w:rPr>
      </w:pPr>
      <w:r w:rsidRPr="00FE3118">
        <w:rPr>
          <w:rFonts w:ascii="Times New Roman" w:hAnsi="Times New Roman"/>
          <w:sz w:val="24"/>
          <w:szCs w:val="24"/>
        </w:rPr>
        <w:t>Highway and Motor Carrier Division</w:t>
      </w:r>
    </w:p>
    <w:p w:rsidR="001D21B8" w:rsidRPr="00FE3118" w:rsidRDefault="001D21B8" w:rsidP="00A454BB">
      <w:pPr>
        <w:spacing w:after="0" w:line="240" w:lineRule="auto"/>
        <w:ind w:left="540"/>
        <w:rPr>
          <w:rFonts w:ascii="Times New Roman" w:hAnsi="Times New Roman"/>
          <w:sz w:val="24"/>
          <w:szCs w:val="24"/>
        </w:rPr>
      </w:pPr>
      <w:r w:rsidRPr="00FE3118">
        <w:rPr>
          <w:rFonts w:ascii="Times New Roman" w:hAnsi="Times New Roman"/>
          <w:sz w:val="24"/>
          <w:szCs w:val="24"/>
        </w:rPr>
        <w:t>Transportation Security Administration</w:t>
      </w:r>
    </w:p>
    <w:p w:rsidR="007E716F" w:rsidRDefault="007E716F" w:rsidP="00A454BB">
      <w:pPr>
        <w:ind w:left="540"/>
      </w:pPr>
    </w:p>
    <w:sectPr w:rsidR="007E716F" w:rsidSect="00A454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D21B8"/>
    <w:rsid w:val="000059D5"/>
    <w:rsid w:val="000C6DB6"/>
    <w:rsid w:val="0012625E"/>
    <w:rsid w:val="001D21B8"/>
    <w:rsid w:val="002553A7"/>
    <w:rsid w:val="00297C46"/>
    <w:rsid w:val="002A563F"/>
    <w:rsid w:val="003237EE"/>
    <w:rsid w:val="00354821"/>
    <w:rsid w:val="003F7E3C"/>
    <w:rsid w:val="00403D10"/>
    <w:rsid w:val="0041239C"/>
    <w:rsid w:val="004902DA"/>
    <w:rsid w:val="004E68EA"/>
    <w:rsid w:val="00622369"/>
    <w:rsid w:val="006835F9"/>
    <w:rsid w:val="006D577E"/>
    <w:rsid w:val="007E716F"/>
    <w:rsid w:val="008242B2"/>
    <w:rsid w:val="008A3F26"/>
    <w:rsid w:val="00905B4B"/>
    <w:rsid w:val="00A15D96"/>
    <w:rsid w:val="00A454BB"/>
    <w:rsid w:val="00BD5F18"/>
    <w:rsid w:val="00CF6E18"/>
    <w:rsid w:val="00D40774"/>
    <w:rsid w:val="00E1362D"/>
    <w:rsid w:val="00F16544"/>
    <w:rsid w:val="00F51BB2"/>
    <w:rsid w:val="00FC4FEF"/>
    <w:rsid w:val="00FE3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1B8"/>
    <w:rPr>
      <w:rFonts w:ascii="Calibri" w:eastAsia="Calibri" w:hAnsi="Calibri" w:cs="Times New Roman"/>
    </w:rPr>
  </w:style>
  <w:style w:type="paragraph" w:styleId="Heading1">
    <w:name w:val="heading 1"/>
    <w:basedOn w:val="Normal"/>
    <w:next w:val="Normal"/>
    <w:link w:val="Heading1Char"/>
    <w:qFormat/>
    <w:rsid w:val="00403D10"/>
    <w:pPr>
      <w:keepNext/>
      <w:spacing w:after="0" w:line="240" w:lineRule="auto"/>
      <w:outlineLvl w:val="0"/>
    </w:pPr>
    <w:rPr>
      <w:rFonts w:ascii="Times New Roman" w:eastAsia="Times New Roman" w:hAnsi="Times New Roman"/>
      <w:b/>
      <w:bCs/>
      <w:color w:val="002F80"/>
      <w:sz w:val="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D10"/>
    <w:rPr>
      <w:rFonts w:ascii="Times New Roman" w:eastAsia="Times New Roman" w:hAnsi="Times New Roman" w:cs="Times New Roman"/>
      <w:b/>
      <w:bCs/>
      <w:color w:val="002F80"/>
      <w:sz w:val="17"/>
      <w:szCs w:val="24"/>
    </w:rPr>
  </w:style>
  <w:style w:type="paragraph" w:styleId="NoSpacing">
    <w:name w:val="No Spacing"/>
    <w:uiPriority w:val="1"/>
    <w:qFormat/>
    <w:rsid w:val="00403D1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C4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FE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donna.darr</dc:creator>
  <cp:keywords/>
  <dc:description/>
  <cp:lastModifiedBy>joanna.johnson</cp:lastModifiedBy>
  <cp:revision>2</cp:revision>
  <dcterms:created xsi:type="dcterms:W3CDTF">2010-06-23T17:47:00Z</dcterms:created>
  <dcterms:modified xsi:type="dcterms:W3CDTF">2010-06-23T17:47:00Z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-2054506692</vt:i4>
  </property>
  <property fmtid="{D5CDD505-2E9C-101B-9397-08002B2CF9AE}" pid="3" name="_NewReviewCycle">
    <vt:lpwstr/>
  </property>
  <property fmtid="{D5CDD505-2E9C-101B-9397-08002B2CF9AE}" pid="4" name="_EmailSubject">
    <vt:lpwstr>ATA/ABA Correspondence</vt:lpwstr>
  </property>
  <property fmtid="{D5CDD505-2E9C-101B-9397-08002B2CF9AE}" pid="5" name="_AuthorEmail">
    <vt:lpwstr>Traci.Klemm@tsa.dhs.gov</vt:lpwstr>
  </property>
  <property fmtid="{D5CDD505-2E9C-101B-9397-08002B2CF9AE}" pid="6" name="_AuthorEmailDisplayName">
    <vt:lpwstr>Klemm, Traci &lt;TSA OCC&gt;</vt:lpwstr>
  </property>
  <property fmtid="{D5CDD505-2E9C-101B-9397-08002B2CF9AE}" pid="7" name="_ReviewingToolsShownOnce">
    <vt:lpwstr/>
  </property>
</Properties>
</file>