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3E" w:rsidRPr="005A1B3E" w:rsidRDefault="005A1B3E" w:rsidP="005A1B3E">
      <w:pPr>
        <w:autoSpaceDE w:val="0"/>
        <w:autoSpaceDN w:val="0"/>
        <w:adjustRightInd w:val="0"/>
        <w:spacing w:after="0" w:line="240" w:lineRule="auto"/>
        <w:jc w:val="center"/>
        <w:rPr>
          <w:rFonts w:ascii="Times New Roman" w:hAnsi="Times New Roman" w:cs="Times New Roman"/>
          <w:b/>
          <w:sz w:val="24"/>
          <w:szCs w:val="24"/>
        </w:rPr>
      </w:pPr>
      <w:r w:rsidRPr="005A1B3E">
        <w:rPr>
          <w:rFonts w:ascii="Times New Roman" w:hAnsi="Times New Roman" w:cs="Times New Roman"/>
          <w:b/>
          <w:sz w:val="24"/>
          <w:szCs w:val="24"/>
        </w:rPr>
        <w:t>Supporting Statement:</w:t>
      </w:r>
    </w:p>
    <w:p w:rsidR="005A1B3E" w:rsidRPr="005A1B3E" w:rsidRDefault="005A1B3E" w:rsidP="005A1B3E">
      <w:pPr>
        <w:autoSpaceDE w:val="0"/>
        <w:autoSpaceDN w:val="0"/>
        <w:adjustRightInd w:val="0"/>
        <w:spacing w:after="0" w:line="240" w:lineRule="auto"/>
        <w:jc w:val="center"/>
        <w:rPr>
          <w:rFonts w:ascii="Times New Roman" w:hAnsi="Times New Roman" w:cs="Times New Roman"/>
          <w:b/>
          <w:sz w:val="24"/>
          <w:szCs w:val="24"/>
        </w:rPr>
      </w:pPr>
      <w:r w:rsidRPr="005A1B3E">
        <w:rPr>
          <w:rFonts w:ascii="Times New Roman" w:hAnsi="Times New Roman" w:cs="Times New Roman"/>
          <w:b/>
          <w:sz w:val="24"/>
          <w:szCs w:val="24"/>
        </w:rPr>
        <w:t>Energy Efficiency and Conservation Block Grant Program</w:t>
      </w:r>
    </w:p>
    <w:p w:rsidR="005A1B3E" w:rsidRPr="005A1B3E" w:rsidRDefault="005A1B3E" w:rsidP="005A1B3E">
      <w:pPr>
        <w:autoSpaceDE w:val="0"/>
        <w:autoSpaceDN w:val="0"/>
        <w:adjustRightInd w:val="0"/>
        <w:spacing w:after="0" w:line="240" w:lineRule="auto"/>
        <w:jc w:val="center"/>
        <w:rPr>
          <w:rFonts w:ascii="Times New Roman" w:hAnsi="Times New Roman" w:cs="Times New Roman"/>
          <w:b/>
          <w:sz w:val="24"/>
          <w:szCs w:val="24"/>
        </w:rPr>
      </w:pPr>
      <w:r w:rsidRPr="005A1B3E">
        <w:rPr>
          <w:rFonts w:ascii="Times New Roman" w:hAnsi="Times New Roman" w:cs="Times New Roman"/>
          <w:b/>
          <w:sz w:val="24"/>
          <w:szCs w:val="24"/>
        </w:rPr>
        <w:t>OMB Control Number ___________</w:t>
      </w:r>
    </w:p>
    <w:p w:rsidR="005A1B3E" w:rsidRPr="005A1B3E" w:rsidRDefault="005A1B3E" w:rsidP="005A1B3E">
      <w:pPr>
        <w:autoSpaceDE w:val="0"/>
        <w:autoSpaceDN w:val="0"/>
        <w:adjustRightInd w:val="0"/>
        <w:spacing w:after="0" w:line="240" w:lineRule="auto"/>
        <w:jc w:val="center"/>
        <w:rPr>
          <w:rFonts w:ascii="Times New Roman" w:hAnsi="Times New Roman" w:cs="Times New Roman"/>
          <w:b/>
          <w:sz w:val="24"/>
          <w:szCs w:val="24"/>
          <w:u w:val="single"/>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5A1B3E">
        <w:rPr>
          <w:rFonts w:ascii="Times New Roman" w:hAnsi="Times New Roman" w:cs="Times New Roman"/>
          <w:b/>
          <w:sz w:val="24"/>
          <w:szCs w:val="24"/>
          <w:u w:val="single"/>
        </w:rPr>
        <w:t>1. Explain the circumstances that make the collection of information necessary.</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The Department of Energy (DOE) requires collection of information for the Energy</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Efficiency and Conservation Block Grant (EECBG) program as included in Funding</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Opportunity Announcement DE-FOA-0000013 Attachment C, the Energy Independence</w:t>
      </w:r>
      <w:r>
        <w:rPr>
          <w:rFonts w:ascii="Times New Roman" w:hAnsi="Times New Roman" w:cs="Times New Roman"/>
          <w:sz w:val="24"/>
          <w:szCs w:val="24"/>
        </w:rPr>
        <w:t xml:space="preserve"> </w:t>
      </w:r>
      <w:r w:rsidRPr="005A1B3E">
        <w:rPr>
          <w:rFonts w:ascii="Times New Roman" w:hAnsi="Times New Roman" w:cs="Times New Roman"/>
          <w:sz w:val="24"/>
          <w:szCs w:val="24"/>
        </w:rPr>
        <w:t>and Security Act of</w:t>
      </w:r>
      <w:r w:rsidR="00335EF9">
        <w:rPr>
          <w:rFonts w:ascii="Times New Roman" w:hAnsi="Times New Roman" w:cs="Times New Roman"/>
          <w:sz w:val="24"/>
          <w:szCs w:val="24"/>
        </w:rPr>
        <w:t xml:space="preserve"> </w:t>
      </w:r>
      <w:r w:rsidRPr="005A1B3E">
        <w:rPr>
          <w:rFonts w:ascii="Times New Roman" w:hAnsi="Times New Roman" w:cs="Times New Roman"/>
          <w:sz w:val="24"/>
          <w:szCs w:val="24"/>
        </w:rPr>
        <w:t xml:space="preserve">2007 </w:t>
      </w:r>
      <w:r>
        <w:rPr>
          <w:rFonts w:ascii="Times New Roman" w:hAnsi="Times New Roman" w:cs="Times New Roman"/>
          <w:sz w:val="24"/>
          <w:szCs w:val="24"/>
        </w:rPr>
        <w:t>(P</w:t>
      </w:r>
      <w:r w:rsidRPr="005A1B3E">
        <w:rPr>
          <w:rFonts w:ascii="Times New Roman" w:hAnsi="Times New Roman" w:cs="Times New Roman"/>
          <w:sz w:val="24"/>
          <w:szCs w:val="24"/>
        </w:rPr>
        <w:t>.L. 110-140),</w:t>
      </w:r>
      <w:r>
        <w:rPr>
          <w:rFonts w:ascii="Times New Roman" w:hAnsi="Times New Roman" w:cs="Times New Roman"/>
          <w:sz w:val="24"/>
          <w:szCs w:val="24"/>
        </w:rPr>
        <w:t xml:space="preserve"> and the OMB requirements for (1</w:t>
      </w:r>
      <w:r w:rsidRPr="005A1B3E">
        <w:rPr>
          <w:rFonts w:ascii="Times New Roman" w:hAnsi="Times New Roman" w:cs="Times New Roman"/>
          <w:sz w:val="24"/>
          <w:szCs w:val="24"/>
        </w:rPr>
        <w:t>) grant and</w:t>
      </w:r>
      <w:r>
        <w:rPr>
          <w:rFonts w:ascii="Times New Roman" w:hAnsi="Times New Roman" w:cs="Times New Roman"/>
          <w:sz w:val="24"/>
          <w:szCs w:val="24"/>
        </w:rPr>
        <w:t xml:space="preserve"> </w:t>
      </w:r>
      <w:r w:rsidRPr="005A1B3E">
        <w:rPr>
          <w:rFonts w:ascii="Times New Roman" w:hAnsi="Times New Roman" w:cs="Times New Roman"/>
          <w:sz w:val="24"/>
          <w:szCs w:val="24"/>
        </w:rPr>
        <w:t>financial administration, and (2) American Recovery and Reinvestment Act (ARRA)</w:t>
      </w:r>
      <w:r>
        <w:rPr>
          <w:rFonts w:ascii="Times New Roman" w:hAnsi="Times New Roman" w:cs="Times New Roman"/>
          <w:sz w:val="24"/>
          <w:szCs w:val="24"/>
        </w:rPr>
        <w:t xml:space="preserve"> </w:t>
      </w:r>
      <w:r w:rsidRPr="005A1B3E">
        <w:rPr>
          <w:rFonts w:ascii="Times New Roman" w:hAnsi="Times New Roman" w:cs="Times New Roman"/>
          <w:sz w:val="24"/>
          <w:szCs w:val="24"/>
        </w:rPr>
        <w:t>funds. DOE provides Federal financial assistance and technical support to states and</w:t>
      </w:r>
      <w:r>
        <w:rPr>
          <w:rFonts w:ascii="Times New Roman" w:hAnsi="Times New Roman" w:cs="Times New Roman"/>
          <w:sz w:val="24"/>
          <w:szCs w:val="24"/>
        </w:rPr>
        <w:t xml:space="preserve"> </w:t>
      </w:r>
      <w:r w:rsidRPr="005A1B3E">
        <w:rPr>
          <w:rFonts w:ascii="Times New Roman" w:hAnsi="Times New Roman" w:cs="Times New Roman"/>
          <w:sz w:val="24"/>
          <w:szCs w:val="24"/>
        </w:rPr>
        <w:t>local governments under the</w:t>
      </w:r>
      <w:r>
        <w:rPr>
          <w:rFonts w:ascii="Times New Roman" w:hAnsi="Times New Roman" w:cs="Times New Roman"/>
          <w:sz w:val="24"/>
          <w:szCs w:val="24"/>
        </w:rPr>
        <w:t xml:space="preserve"> EISA. Inform</w:t>
      </w:r>
      <w:r w:rsidRPr="005A1B3E">
        <w:rPr>
          <w:rFonts w:ascii="Times New Roman" w:hAnsi="Times New Roman" w:cs="Times New Roman"/>
          <w:sz w:val="24"/>
          <w:szCs w:val="24"/>
        </w:rPr>
        <w:t xml:space="preserve">ation </w:t>
      </w:r>
      <w:r>
        <w:rPr>
          <w:rFonts w:ascii="Times New Roman" w:hAnsi="Times New Roman" w:cs="Times New Roman"/>
          <w:sz w:val="24"/>
          <w:szCs w:val="24"/>
        </w:rPr>
        <w:t>gathered provides current inform</w:t>
      </w:r>
      <w:r w:rsidRPr="005A1B3E">
        <w:rPr>
          <w:rFonts w:ascii="Times New Roman" w:hAnsi="Times New Roman" w:cs="Times New Roman"/>
          <w:sz w:val="24"/>
          <w:szCs w:val="24"/>
        </w:rPr>
        <w:t>ation</w:t>
      </w:r>
      <w:r>
        <w:rPr>
          <w:rFonts w:ascii="Times New Roman" w:hAnsi="Times New Roman" w:cs="Times New Roman"/>
          <w:sz w:val="24"/>
          <w:szCs w:val="24"/>
        </w:rPr>
        <w:t xml:space="preserve"> </w:t>
      </w:r>
      <w:r w:rsidRPr="005A1B3E">
        <w:rPr>
          <w:rFonts w:ascii="Times New Roman" w:hAnsi="Times New Roman" w:cs="Times New Roman"/>
          <w:sz w:val="24"/>
          <w:szCs w:val="24"/>
        </w:rPr>
        <w:t>required to respond to OMB, congressional and consumer requests and budget</w:t>
      </w:r>
      <w:r>
        <w:rPr>
          <w:rFonts w:ascii="Times New Roman" w:hAnsi="Times New Roman" w:cs="Times New Roman"/>
          <w:sz w:val="24"/>
          <w:szCs w:val="24"/>
        </w:rPr>
        <w:t xml:space="preserve"> </w:t>
      </w:r>
      <w:r w:rsidRPr="005A1B3E">
        <w:rPr>
          <w:rFonts w:ascii="Times New Roman" w:hAnsi="Times New Roman" w:cs="Times New Roman"/>
          <w:sz w:val="24"/>
          <w:szCs w:val="24"/>
        </w:rPr>
        <w:t>preparation.</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Default="005A1B3E" w:rsidP="00716A63">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 xml:space="preserve">We </w:t>
      </w:r>
      <w:r w:rsidR="0079319B">
        <w:rPr>
          <w:rFonts w:ascii="Times New Roman" w:hAnsi="Times New Roman" w:cs="Times New Roman"/>
          <w:sz w:val="24"/>
          <w:szCs w:val="24"/>
        </w:rPr>
        <w:t xml:space="preserve">submit </w:t>
      </w:r>
      <w:r w:rsidRPr="005A1B3E">
        <w:rPr>
          <w:rFonts w:ascii="Times New Roman" w:hAnsi="Times New Roman" w:cs="Times New Roman"/>
          <w:sz w:val="24"/>
          <w:szCs w:val="24"/>
        </w:rPr>
        <w:t xml:space="preserve">an emergency request at this point </w:t>
      </w:r>
      <w:r w:rsidR="00D90CBE">
        <w:rPr>
          <w:rFonts w:ascii="Times New Roman" w:hAnsi="Times New Roman" w:cs="Times New Roman"/>
          <w:sz w:val="24"/>
          <w:szCs w:val="24"/>
        </w:rPr>
        <w:t>due the exigent need to obtain more frequent information about EECBG program execution.</w:t>
      </w:r>
      <w:r w:rsidRPr="005A1B3E">
        <w:rPr>
          <w:rFonts w:ascii="Times New Roman" w:hAnsi="Times New Roman" w:cs="Times New Roman"/>
          <w:sz w:val="24"/>
          <w:szCs w:val="24"/>
        </w:rPr>
        <w:t xml:space="preserve">  EECBG is a brand new program </w:t>
      </w:r>
      <w:r w:rsidR="00D90CBE">
        <w:rPr>
          <w:rFonts w:ascii="Times New Roman" w:hAnsi="Times New Roman" w:cs="Times New Roman"/>
          <w:sz w:val="24"/>
          <w:szCs w:val="24"/>
        </w:rPr>
        <w:t>that</w:t>
      </w:r>
      <w:r w:rsidR="00D90CBE" w:rsidRPr="005A1B3E">
        <w:rPr>
          <w:rFonts w:ascii="Times New Roman" w:hAnsi="Times New Roman" w:cs="Times New Roman"/>
          <w:sz w:val="24"/>
          <w:szCs w:val="24"/>
        </w:rPr>
        <w:t xml:space="preserve"> </w:t>
      </w:r>
      <w:r w:rsidRPr="005A1B3E">
        <w:rPr>
          <w:rFonts w:ascii="Times New Roman" w:hAnsi="Times New Roman" w:cs="Times New Roman"/>
          <w:sz w:val="24"/>
          <w:szCs w:val="24"/>
        </w:rPr>
        <w:t>has $3.2 billion under</w:t>
      </w:r>
      <w:r w:rsidR="00D90CBE">
        <w:rPr>
          <w:rFonts w:ascii="Times New Roman" w:hAnsi="Times New Roman" w:cs="Times New Roman"/>
          <w:sz w:val="24"/>
          <w:szCs w:val="24"/>
        </w:rPr>
        <w:t xml:space="preserve"> management to be expended </w:t>
      </w:r>
      <w:r w:rsidRPr="005A1B3E">
        <w:rPr>
          <w:rFonts w:ascii="Times New Roman" w:hAnsi="Times New Roman" w:cs="Times New Roman"/>
          <w:sz w:val="24"/>
          <w:szCs w:val="24"/>
        </w:rPr>
        <w:t>by March 2012.</w:t>
      </w:r>
      <w:r w:rsidR="00D90CBE">
        <w:rPr>
          <w:rFonts w:ascii="Times New Roman" w:hAnsi="Times New Roman" w:cs="Times New Roman"/>
          <w:sz w:val="24"/>
          <w:szCs w:val="24"/>
        </w:rPr>
        <w:t xml:space="preserve"> Many of the grant recipients are unfamiliar with the provisions surrounding the expenditure of federal funds and </w:t>
      </w:r>
      <w:r w:rsidR="00B95CB4">
        <w:rPr>
          <w:rFonts w:ascii="Times New Roman" w:hAnsi="Times New Roman" w:cs="Times New Roman"/>
          <w:sz w:val="24"/>
          <w:szCs w:val="24"/>
        </w:rPr>
        <w:t>the</w:t>
      </w:r>
      <w:r w:rsidR="00D90CBE">
        <w:rPr>
          <w:rFonts w:ascii="Times New Roman" w:hAnsi="Times New Roman" w:cs="Times New Roman"/>
          <w:sz w:val="24"/>
          <w:szCs w:val="24"/>
        </w:rPr>
        <w:t xml:space="preserve"> vast </w:t>
      </w:r>
      <w:r w:rsidR="00B95CB4">
        <w:rPr>
          <w:rFonts w:ascii="Times New Roman" w:hAnsi="Times New Roman" w:cs="Times New Roman"/>
          <w:sz w:val="24"/>
          <w:szCs w:val="24"/>
        </w:rPr>
        <w:t>majority does</w:t>
      </w:r>
      <w:r w:rsidR="00D90CBE">
        <w:rPr>
          <w:rFonts w:ascii="Times New Roman" w:hAnsi="Times New Roman" w:cs="Times New Roman"/>
          <w:sz w:val="24"/>
          <w:szCs w:val="24"/>
        </w:rPr>
        <w:t xml:space="preserve"> not have </w:t>
      </w:r>
      <w:r w:rsidR="00B95CB4">
        <w:rPr>
          <w:rFonts w:ascii="Times New Roman" w:hAnsi="Times New Roman" w:cs="Times New Roman"/>
          <w:sz w:val="24"/>
          <w:szCs w:val="24"/>
        </w:rPr>
        <w:t xml:space="preserve">a </w:t>
      </w:r>
      <w:r w:rsidR="00716A63">
        <w:rPr>
          <w:rFonts w:ascii="Times New Roman" w:hAnsi="Times New Roman" w:cs="Times New Roman"/>
          <w:sz w:val="24"/>
          <w:szCs w:val="24"/>
        </w:rPr>
        <w:t>pre-exi</w:t>
      </w:r>
      <w:r w:rsidR="00B95CB4">
        <w:rPr>
          <w:rFonts w:ascii="Times New Roman" w:hAnsi="Times New Roman" w:cs="Times New Roman"/>
          <w:sz w:val="24"/>
          <w:szCs w:val="24"/>
        </w:rPr>
        <w:t>sting professional relationship</w:t>
      </w:r>
      <w:r w:rsidR="00716A63">
        <w:rPr>
          <w:rFonts w:ascii="Times New Roman" w:hAnsi="Times New Roman" w:cs="Times New Roman"/>
          <w:sz w:val="24"/>
          <w:szCs w:val="24"/>
        </w:rPr>
        <w:t xml:space="preserve"> with DOE.</w:t>
      </w:r>
      <w:r w:rsidR="00B95CB4">
        <w:rPr>
          <w:rFonts w:ascii="Times New Roman" w:hAnsi="Times New Roman" w:cs="Times New Roman"/>
          <w:sz w:val="24"/>
          <w:szCs w:val="24"/>
        </w:rPr>
        <w:t xml:space="preserve"> </w:t>
      </w:r>
      <w:r w:rsidR="00716A63">
        <w:rPr>
          <w:rFonts w:ascii="Times New Roman" w:hAnsi="Times New Roman" w:cs="Times New Roman"/>
          <w:sz w:val="24"/>
          <w:szCs w:val="24"/>
        </w:rPr>
        <w:t xml:space="preserve">The size and </w:t>
      </w:r>
      <w:r w:rsidR="0036648E">
        <w:rPr>
          <w:rFonts w:ascii="Times New Roman" w:hAnsi="Times New Roman" w:cs="Times New Roman"/>
          <w:sz w:val="24"/>
          <w:szCs w:val="24"/>
        </w:rPr>
        <w:t xml:space="preserve">pace </w:t>
      </w:r>
      <w:r w:rsidR="00716A63">
        <w:rPr>
          <w:rFonts w:ascii="Times New Roman" w:hAnsi="Times New Roman" w:cs="Times New Roman"/>
          <w:sz w:val="24"/>
          <w:szCs w:val="24"/>
        </w:rPr>
        <w:t xml:space="preserve">of EECBG program execution </w:t>
      </w:r>
      <w:r w:rsidR="0036648E">
        <w:rPr>
          <w:rFonts w:ascii="Times New Roman" w:hAnsi="Times New Roman" w:cs="Times New Roman"/>
          <w:sz w:val="24"/>
          <w:szCs w:val="24"/>
        </w:rPr>
        <w:t xml:space="preserve">create an urgent need for </w:t>
      </w:r>
      <w:r w:rsidR="00716A63">
        <w:rPr>
          <w:rFonts w:ascii="Times New Roman" w:hAnsi="Times New Roman" w:cs="Times New Roman"/>
          <w:sz w:val="24"/>
          <w:szCs w:val="24"/>
        </w:rPr>
        <w:t xml:space="preserve">DOE </w:t>
      </w:r>
      <w:r w:rsidR="0036648E">
        <w:rPr>
          <w:rFonts w:ascii="Times New Roman" w:hAnsi="Times New Roman" w:cs="Times New Roman"/>
          <w:sz w:val="24"/>
          <w:szCs w:val="24"/>
        </w:rPr>
        <w:t xml:space="preserve">to </w:t>
      </w:r>
      <w:r w:rsidR="00716A63">
        <w:rPr>
          <w:rFonts w:ascii="Times New Roman" w:hAnsi="Times New Roman" w:cs="Times New Roman"/>
          <w:sz w:val="24"/>
          <w:szCs w:val="24"/>
        </w:rPr>
        <w:t>collect certain information on a monthly basis in order to adequately monitor, report, and ensure transparency and accountability.</w:t>
      </w:r>
      <w:r w:rsidR="0079319B">
        <w:rPr>
          <w:rFonts w:ascii="Times New Roman" w:hAnsi="Times New Roman" w:cs="Times New Roman"/>
          <w:sz w:val="24"/>
          <w:szCs w:val="24"/>
        </w:rPr>
        <w:t xml:space="preserve"> However, acknowledging the administrative burden imposed </w:t>
      </w:r>
      <w:r w:rsidR="00716A63">
        <w:rPr>
          <w:rFonts w:ascii="Times New Roman" w:hAnsi="Times New Roman" w:cs="Times New Roman"/>
          <w:sz w:val="24"/>
          <w:szCs w:val="24"/>
        </w:rPr>
        <w:t xml:space="preserve">by monthly reporting, DOE will </w:t>
      </w:r>
      <w:r w:rsidR="0079319B">
        <w:rPr>
          <w:rFonts w:ascii="Times New Roman" w:hAnsi="Times New Roman" w:cs="Times New Roman"/>
          <w:sz w:val="24"/>
          <w:szCs w:val="24"/>
        </w:rPr>
        <w:t>only require monthly reporting for EECBG recipients with formula allocations &gt; $2M. This means that 294 of a potential 2359 recipients (12.5%) will be required to report monthly. By aggregate funding, these recipients represent $1.9B of the available $2.7B (70.0%) in formula funding.</w:t>
      </w:r>
    </w:p>
    <w:p w:rsidR="0079319B" w:rsidRDefault="0079319B" w:rsidP="005A1B3E">
      <w:pPr>
        <w:autoSpaceDE w:val="0"/>
        <w:autoSpaceDN w:val="0"/>
        <w:adjustRightInd w:val="0"/>
        <w:spacing w:after="0" w:line="240" w:lineRule="auto"/>
        <w:ind w:right="720"/>
        <w:rPr>
          <w:rFonts w:ascii="Times New Roman" w:hAnsi="Times New Roman" w:cs="Times New Roman"/>
          <w:sz w:val="24"/>
          <w:szCs w:val="24"/>
        </w:rPr>
      </w:pPr>
    </w:p>
    <w:p w:rsidR="0079319B" w:rsidRPr="00B95CB4" w:rsidRDefault="00B95CB4" w:rsidP="005A1B3E">
      <w:pPr>
        <w:autoSpaceDE w:val="0"/>
        <w:autoSpaceDN w:val="0"/>
        <w:adjustRightInd w:val="0"/>
        <w:spacing w:after="0" w:line="240" w:lineRule="auto"/>
        <w:ind w:right="720"/>
        <w:rPr>
          <w:rFonts w:ascii="Times New Roman" w:hAnsi="Times New Roman" w:cs="Times New Roman"/>
          <w:sz w:val="24"/>
          <w:szCs w:val="24"/>
        </w:rPr>
      </w:pPr>
      <w:r w:rsidRPr="00B95CB4">
        <w:rPr>
          <w:rFonts w:ascii="Times New Roman" w:hAnsi="Times New Roman" w:cs="Times New Roman"/>
          <w:sz w:val="24"/>
          <w:szCs w:val="24"/>
        </w:rPr>
        <w:t>If DOE seeks renewal of these emergency monthly collections (</w:t>
      </w:r>
      <w:r w:rsidR="00DD4291">
        <w:rPr>
          <w:rFonts w:ascii="Times New Roman" w:hAnsi="Times New Roman" w:cs="Times New Roman"/>
          <w:sz w:val="24"/>
          <w:szCs w:val="24"/>
        </w:rPr>
        <w:t xml:space="preserve">including but not limited to OWIP collections for the Energy Efficiency and Conservation Block Grant (EECBG), Weatherization Assistance Program (WAP) and State Energy Program (SEP)), </w:t>
      </w:r>
      <w:r w:rsidRPr="00B95CB4">
        <w:rPr>
          <w:rFonts w:ascii="Times New Roman" w:hAnsi="Times New Roman" w:cs="Times New Roman"/>
          <w:sz w:val="24"/>
          <w:szCs w:val="24"/>
        </w:rPr>
        <w:t>it will engage OMB 4 months after approval date to begin a dialogue on burden impact and introducing a risk-tiered model where selected recipients could return to quarterly reporting. In most cases, monthly data (</w:t>
      </w:r>
      <w:r w:rsidR="00DD4291">
        <w:rPr>
          <w:rFonts w:ascii="Times New Roman" w:hAnsi="Times New Roman" w:cs="Times New Roman"/>
          <w:sz w:val="24"/>
          <w:szCs w:val="24"/>
        </w:rPr>
        <w:t>including but not limited to monthly data from OWIP collections for the Energy Efficiency and Conservation Block Grant (EECBG) program, Weatherization Assistance Program (WAP) and State Energy Program (SEP))</w:t>
      </w:r>
      <w:r w:rsidRPr="00B95CB4">
        <w:rPr>
          <w:rFonts w:ascii="Times New Roman" w:hAnsi="Times New Roman" w:cs="Times New Roman"/>
          <w:sz w:val="24"/>
          <w:szCs w:val="24"/>
        </w:rPr>
        <w:t>, will be used internally for managerial purposes only, but where DOE does intend to publicize monthly data, it will clearly indicate it to be "preliminary/informal and subject to change".</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5A1B3E">
        <w:rPr>
          <w:rFonts w:ascii="Times New Roman" w:hAnsi="Times New Roman" w:cs="Times New Roman"/>
          <w:b/>
          <w:sz w:val="24"/>
          <w:szCs w:val="24"/>
          <w:u w:val="single"/>
        </w:rPr>
        <w:t>2. Indicate how, by whom. and for what purpose the information is to be used.</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The inform</w:t>
      </w:r>
      <w:r w:rsidRPr="005A1B3E">
        <w:rPr>
          <w:rFonts w:ascii="Times New Roman" w:hAnsi="Times New Roman" w:cs="Times New Roman"/>
          <w:sz w:val="24"/>
          <w:szCs w:val="24"/>
        </w:rPr>
        <w:t>ation collected is used by program staff to track the recipients' activities, their</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progress in achieving scheduled milestones, and funds expended (including expenditure</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rates). The inform</w:t>
      </w:r>
      <w:r w:rsidRPr="005A1B3E">
        <w:rPr>
          <w:rFonts w:ascii="Times New Roman" w:hAnsi="Times New Roman" w:cs="Times New Roman"/>
          <w:sz w:val="24"/>
          <w:szCs w:val="24"/>
        </w:rPr>
        <w:t>ation also enables program staff to provide required or requested</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information on program activities to OMB, Congress and the public.</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Pr>
          <w:rFonts w:ascii="Times New Roman" w:hAnsi="Times New Roman" w:cs="Times New Roman"/>
          <w:b/>
          <w:sz w:val="24"/>
          <w:szCs w:val="24"/>
          <w:u w:val="single"/>
        </w:rPr>
        <w:t xml:space="preserve">3. Describe whether, and to what extent, </w:t>
      </w:r>
      <w:r w:rsidRPr="005A1B3E">
        <w:rPr>
          <w:rFonts w:ascii="Times New Roman" w:hAnsi="Times New Roman" w:cs="Times New Roman"/>
          <w:b/>
          <w:sz w:val="24"/>
          <w:szCs w:val="24"/>
          <w:u w:val="single"/>
        </w:rPr>
        <w:t>the collection of information involves the</w:t>
      </w: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5A1B3E">
        <w:rPr>
          <w:rFonts w:ascii="Times New Roman" w:hAnsi="Times New Roman" w:cs="Times New Roman"/>
          <w:b/>
          <w:sz w:val="24"/>
          <w:szCs w:val="24"/>
          <w:u w:val="single"/>
        </w:rPr>
        <w:t>use of automated. electronic,</w:t>
      </w:r>
      <w:r>
        <w:rPr>
          <w:rFonts w:ascii="Times New Roman" w:hAnsi="Times New Roman" w:cs="Times New Roman"/>
          <w:b/>
          <w:sz w:val="24"/>
          <w:szCs w:val="24"/>
          <w:u w:val="single"/>
        </w:rPr>
        <w:t xml:space="preserve"> mechanical, or other technolog</w:t>
      </w:r>
      <w:r w:rsidRPr="005A1B3E">
        <w:rPr>
          <w:rFonts w:ascii="Times New Roman" w:hAnsi="Times New Roman" w:cs="Times New Roman"/>
          <w:b/>
          <w:sz w:val="24"/>
          <w:szCs w:val="24"/>
          <w:u w:val="single"/>
        </w:rPr>
        <w:t>ical collection</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b/>
          <w:sz w:val="24"/>
          <w:szCs w:val="24"/>
          <w:u w:val="single"/>
        </w:rPr>
        <w:t>techniques or other forms of information technology</w:t>
      </w:r>
      <w:r w:rsidRPr="005A1B3E">
        <w:rPr>
          <w:rFonts w:ascii="Times New Roman" w:hAnsi="Times New Roman" w:cs="Times New Roman"/>
          <w:sz w:val="24"/>
          <w:szCs w:val="24"/>
        </w:rPr>
        <w:t>.</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The collection of</w:t>
      </w:r>
      <w:r>
        <w:rPr>
          <w:rFonts w:ascii="Times New Roman" w:hAnsi="Times New Roman" w:cs="Times New Roman"/>
          <w:sz w:val="24"/>
          <w:szCs w:val="24"/>
        </w:rPr>
        <w:t xml:space="preserve"> </w:t>
      </w:r>
      <w:r w:rsidRPr="005A1B3E">
        <w:rPr>
          <w:rFonts w:ascii="Times New Roman" w:hAnsi="Times New Roman" w:cs="Times New Roman"/>
          <w:sz w:val="24"/>
          <w:szCs w:val="24"/>
        </w:rPr>
        <w:t>the information has been standardized to provide database collection</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 xml:space="preserve">and retrieval of program </w:t>
      </w:r>
      <w:r>
        <w:rPr>
          <w:rFonts w:ascii="Times New Roman" w:hAnsi="Times New Roman" w:cs="Times New Roman"/>
          <w:sz w:val="24"/>
          <w:szCs w:val="24"/>
        </w:rPr>
        <w:t>information</w:t>
      </w:r>
      <w:r w:rsidRPr="005A1B3E">
        <w:rPr>
          <w:rFonts w:ascii="Times New Roman" w:hAnsi="Times New Roman" w:cs="Times New Roman"/>
          <w:sz w:val="24"/>
          <w:szCs w:val="24"/>
        </w:rPr>
        <w:t xml:space="preserve"> through Performance and Accountability for Grants</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in Energy (PAGE). PAGE is an EECBG program specific system that interfaces with</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DOE financial systems, the EERE Project Management Center, DOE Headquarters and</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state and local grantees. Electronic submission of reports will result in greater efficiency,</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timely reporting and a reduced paperwork burden for grantees and DOE program staff. It</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will allow grantees to update and modify prior year plans, eliminating the need to retype</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information on continuing activities.</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5A1B3E">
        <w:rPr>
          <w:rFonts w:ascii="Times New Roman" w:hAnsi="Times New Roman" w:cs="Times New Roman"/>
          <w:b/>
          <w:sz w:val="24"/>
          <w:szCs w:val="24"/>
          <w:u w:val="single"/>
        </w:rPr>
        <w:t>4. Describe efforts to identify duplication.</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EECBG is a newly established program authorized by the Energy Independence and</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Security Act of </w:t>
      </w:r>
      <w:r w:rsidRPr="005A1B3E">
        <w:rPr>
          <w:rFonts w:ascii="Times New Roman" w:hAnsi="Times New Roman" w:cs="Times New Roman"/>
          <w:sz w:val="24"/>
          <w:szCs w:val="24"/>
        </w:rPr>
        <w:t>2007 (</w:t>
      </w:r>
      <w:r>
        <w:rPr>
          <w:rFonts w:ascii="Times New Roman" w:hAnsi="Times New Roman" w:cs="Times New Roman"/>
          <w:sz w:val="24"/>
          <w:szCs w:val="24"/>
        </w:rPr>
        <w:t>P.L.</w:t>
      </w:r>
      <w:r w:rsidRPr="005A1B3E">
        <w:rPr>
          <w:rFonts w:ascii="Times New Roman" w:hAnsi="Times New Roman" w:cs="Times New Roman"/>
          <w:sz w:val="24"/>
          <w:szCs w:val="24"/>
        </w:rPr>
        <w:t xml:space="preserve"> 110-140) and funded under ARRA. To ease the reporting</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burden on the recipients, DOE has matched the program's reporting metrics and formats</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as much as possible with the State Energy Program, a similar program which provides</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formula grants to the states for energy efficiency and renewable energy activities. Under</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the provisions of ARRA recipients w</w:t>
      </w:r>
      <w:r>
        <w:rPr>
          <w:rFonts w:ascii="Times New Roman" w:hAnsi="Times New Roman" w:cs="Times New Roman"/>
          <w:sz w:val="24"/>
          <w:szCs w:val="24"/>
        </w:rPr>
        <w:t>ill be required to report to OMB</w:t>
      </w:r>
      <w:r w:rsidRPr="005A1B3E">
        <w:rPr>
          <w:rFonts w:ascii="Times New Roman" w:hAnsi="Times New Roman" w:cs="Times New Roman"/>
          <w:sz w:val="24"/>
          <w:szCs w:val="24"/>
        </w:rPr>
        <w:t xml:space="preserve"> as well as DOE.</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5A1B3E">
        <w:rPr>
          <w:rFonts w:ascii="Times New Roman" w:hAnsi="Times New Roman" w:cs="Times New Roman"/>
          <w:b/>
          <w:sz w:val="24"/>
          <w:szCs w:val="24"/>
          <w:u w:val="single"/>
        </w:rPr>
        <w:t>5. If the collection of information impacts small businesses or other small entities,</w:t>
      </w: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5A1B3E">
        <w:rPr>
          <w:rFonts w:ascii="Times New Roman" w:hAnsi="Times New Roman" w:cs="Times New Roman"/>
          <w:b/>
          <w:sz w:val="24"/>
          <w:szCs w:val="24"/>
          <w:u w:val="single"/>
        </w:rPr>
        <w:t>describe any methods used to minimize burden.</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Small businesses are not impacted by these requirements. Small local governments and</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tribal entities are subject to the reporting requirements. While the web-based system</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should not pose a problem for the local governments, certain tribal entities may have</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technical difficulties. DOE will provide technical assistance to these tribal entities and</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has worked closely with their tribal councils and the Bureau of Indian Affairs to ensure</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that they can comply and will not be penalized for delays due to any technical difficulties</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they experience.</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5A1B3E">
        <w:rPr>
          <w:rFonts w:ascii="Times New Roman" w:hAnsi="Times New Roman" w:cs="Times New Roman"/>
          <w:b/>
          <w:sz w:val="24"/>
          <w:szCs w:val="24"/>
          <w:u w:val="single"/>
        </w:rPr>
        <w:t>6. Describe the consequence to Federal program or policy activities if the collection</w:t>
      </w: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5A1B3E">
        <w:rPr>
          <w:rFonts w:ascii="Times New Roman" w:hAnsi="Times New Roman" w:cs="Times New Roman"/>
          <w:b/>
          <w:sz w:val="24"/>
          <w:szCs w:val="24"/>
          <w:u w:val="single"/>
        </w:rPr>
        <w:t>is not conducted or is conducted less frequently, as well as any technical or legal</w:t>
      </w: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5A1B3E">
        <w:rPr>
          <w:rFonts w:ascii="Times New Roman" w:hAnsi="Times New Roman" w:cs="Times New Roman"/>
          <w:b/>
          <w:sz w:val="24"/>
          <w:szCs w:val="24"/>
          <w:u w:val="single"/>
        </w:rPr>
        <w:t>obstacles to reducing burden.</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All programs funded through ARRA will be subject to increased attention and scrutiny</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from OMB, Congress, the media and the public. President Obama has pledged</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transparency and accountability in the expenditure of</w:t>
      </w:r>
      <w:r>
        <w:rPr>
          <w:rFonts w:ascii="Times New Roman" w:hAnsi="Times New Roman" w:cs="Times New Roman"/>
          <w:sz w:val="24"/>
          <w:szCs w:val="24"/>
        </w:rPr>
        <w:t xml:space="preserve"> </w:t>
      </w:r>
      <w:r w:rsidRPr="005A1B3E">
        <w:rPr>
          <w:rFonts w:ascii="Times New Roman" w:hAnsi="Times New Roman" w:cs="Times New Roman"/>
          <w:sz w:val="24"/>
          <w:szCs w:val="24"/>
        </w:rPr>
        <w:t>ARRA funds. If this information is</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not collected, DOE will not be able to provide reports to OMB or respond to requests for</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information on ARRA-funded activities and expenditures. If the information is collected</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less frequently, DOE will not be able to track activities and funds status as closely as</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necessary, and timely information will not be available to OMB, the White House,</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lastRenderedPageBreak/>
        <w:t>Congress and the public. Frequent reporting will also allow any problems, barriers or</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system bottlenecks to be identified and dealt with right away.</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rPr>
      </w:pPr>
      <w:r w:rsidRPr="005A1B3E">
        <w:rPr>
          <w:rFonts w:ascii="Times New Roman" w:hAnsi="Times New Roman" w:cs="Times New Roman"/>
          <w:b/>
          <w:sz w:val="24"/>
          <w:szCs w:val="24"/>
        </w:rPr>
        <w:t>7. Explain any special circumstances that require the collection to be conducted in a</w:t>
      </w:r>
    </w:p>
    <w:p w:rsidR="005A1B3E" w:rsidRPr="005A1B3E" w:rsidRDefault="005A1B3E" w:rsidP="005A1B3E">
      <w:pPr>
        <w:autoSpaceDE w:val="0"/>
        <w:autoSpaceDN w:val="0"/>
        <w:adjustRightInd w:val="0"/>
        <w:spacing w:after="0" w:line="240" w:lineRule="auto"/>
        <w:ind w:right="720"/>
        <w:rPr>
          <w:rFonts w:ascii="Times New Roman" w:hAnsi="Times New Roman" w:cs="Times New Roman"/>
          <w:b/>
          <w:sz w:val="24"/>
          <w:szCs w:val="24"/>
        </w:rPr>
      </w:pPr>
      <w:r w:rsidRPr="005A1B3E">
        <w:rPr>
          <w:rFonts w:ascii="Times New Roman" w:hAnsi="Times New Roman" w:cs="Times New Roman"/>
          <w:b/>
          <w:sz w:val="24"/>
          <w:szCs w:val="24"/>
        </w:rPr>
        <w:t>manner inconsistent with OMB guidelines.</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There are none. The information collection is being conducted in a manner that is</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consistent with OMB guidelines.</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61450F" w:rsidRPr="005A1B3E" w:rsidRDefault="0061450F" w:rsidP="0061450F">
      <w:pPr>
        <w:autoSpaceDE w:val="0"/>
        <w:autoSpaceDN w:val="0"/>
        <w:adjustRightInd w:val="0"/>
        <w:spacing w:after="0" w:line="240" w:lineRule="auto"/>
        <w:rPr>
          <w:rFonts w:ascii="Times New Roman" w:hAnsi="Times New Roman" w:cs="Times New Roman"/>
          <w:b/>
          <w:sz w:val="23"/>
          <w:szCs w:val="23"/>
          <w:u w:val="single"/>
        </w:rPr>
      </w:pPr>
      <w:r w:rsidRPr="005A1B3E">
        <w:rPr>
          <w:rFonts w:ascii="Times New Roman" w:hAnsi="Times New Roman" w:cs="Times New Roman"/>
          <w:b/>
          <w:sz w:val="23"/>
          <w:szCs w:val="23"/>
          <w:u w:val="single"/>
        </w:rPr>
        <w:t>8. 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comments. Specifically address comments received on cost and hour burden. Describe efforts to consult with persons outside DOE.</w:t>
      </w:r>
    </w:p>
    <w:p w:rsidR="0061450F" w:rsidRDefault="0061450F" w:rsidP="0061450F">
      <w:pPr>
        <w:pBdr>
          <w:bottom w:val="single" w:sz="6" w:space="1" w:color="auto"/>
        </w:pBdr>
        <w:spacing w:after="0" w:line="240" w:lineRule="auto"/>
        <w:rPr>
          <w:rFonts w:ascii="Times New Roman" w:hAnsi="Times New Roman" w:cs="Times New Roman"/>
          <w:sz w:val="23"/>
          <w:szCs w:val="23"/>
        </w:rPr>
      </w:pPr>
    </w:p>
    <w:p w:rsidR="0061450F" w:rsidRDefault="0061450F" w:rsidP="0061450F">
      <w:pPr>
        <w:pBdr>
          <w:bottom w:val="single" w:sz="6" w:space="1" w:color="auto"/>
        </w:pBdr>
        <w:spacing w:after="0" w:line="240" w:lineRule="auto"/>
        <w:rPr>
          <w:rFonts w:ascii="Times New Roman" w:hAnsi="Times New Roman" w:cs="Times New Roman"/>
          <w:sz w:val="23"/>
          <w:szCs w:val="23"/>
        </w:rPr>
      </w:pPr>
      <w:r>
        <w:rPr>
          <w:rFonts w:ascii="Times New Roman" w:hAnsi="Times New Roman" w:cs="Times New Roman"/>
          <w:sz w:val="23"/>
          <w:szCs w:val="23"/>
        </w:rPr>
        <w:tab/>
        <w:t>As published in the Federal Register on January 21</w:t>
      </w:r>
      <w:r w:rsidRPr="00747A56">
        <w:rPr>
          <w:rFonts w:ascii="Times New Roman" w:hAnsi="Times New Roman" w:cs="Times New Roman"/>
          <w:sz w:val="23"/>
          <w:szCs w:val="23"/>
          <w:vertAlign w:val="superscript"/>
        </w:rPr>
        <w:t>st</w:t>
      </w:r>
      <w:r>
        <w:rPr>
          <w:rFonts w:ascii="Times New Roman" w:hAnsi="Times New Roman" w:cs="Times New Roman"/>
          <w:sz w:val="23"/>
          <w:szCs w:val="23"/>
        </w:rPr>
        <w:t xml:space="preserve">, 2010 (Vol. 75, No. 13 pp. 3454), DOE provided a 14-day public comment period on Weatherization Assistance Program (WAP), State Energy Program (SEP), and Energy Efficiency and Conservation Block Grant (EECBG) program reporting guidance for the Recovery Act along with a utility billing disclosure form. During this period, 106 public comments were received. </w:t>
      </w:r>
    </w:p>
    <w:p w:rsidR="0061450F" w:rsidRDefault="0061450F" w:rsidP="0061450F">
      <w:pPr>
        <w:pBdr>
          <w:bottom w:val="single" w:sz="6" w:space="1" w:color="auto"/>
        </w:pBdr>
        <w:spacing w:after="0" w:line="240" w:lineRule="auto"/>
        <w:rPr>
          <w:rFonts w:ascii="Times New Roman" w:hAnsi="Times New Roman" w:cs="Times New Roman"/>
          <w:sz w:val="23"/>
          <w:szCs w:val="23"/>
        </w:rPr>
      </w:pPr>
    </w:p>
    <w:p w:rsidR="0061450F" w:rsidRPr="00782147" w:rsidRDefault="0061450F" w:rsidP="0061450F">
      <w:pPr>
        <w:pBdr>
          <w:bottom w:val="single" w:sz="6" w:space="1" w:color="auto"/>
        </w:pBdr>
        <w:spacing w:after="0" w:line="240" w:lineRule="auto"/>
        <w:rPr>
          <w:rFonts w:ascii="Times New Roman" w:hAnsi="Times New Roman" w:cs="Times New Roman"/>
          <w:b/>
          <w:sz w:val="23"/>
          <w:szCs w:val="23"/>
        </w:rPr>
      </w:pPr>
      <w:r>
        <w:rPr>
          <w:rFonts w:ascii="Times New Roman" w:hAnsi="Times New Roman" w:cs="Times New Roman"/>
          <w:b/>
          <w:sz w:val="23"/>
          <w:szCs w:val="23"/>
        </w:rPr>
        <w:t>Summary of public comment</w:t>
      </w:r>
    </w:p>
    <w:p w:rsidR="0061450F" w:rsidRDefault="0061450F" w:rsidP="0061450F">
      <w:pPr>
        <w:spacing w:after="0" w:line="240" w:lineRule="auto"/>
        <w:rPr>
          <w:rFonts w:ascii="Times New Roman" w:hAnsi="Times New Roman" w:cs="Times New Roman"/>
          <w:sz w:val="23"/>
          <w:szCs w:val="23"/>
        </w:rPr>
      </w:pPr>
      <w:r>
        <w:rPr>
          <w:rFonts w:ascii="Times New Roman" w:hAnsi="Times New Roman" w:cs="Times New Roman"/>
          <w:sz w:val="23"/>
          <w:szCs w:val="23"/>
        </w:rPr>
        <w:t>The majority of comments surrounded the implementation of monthly reporting for WAP, SEP, and EECBG recipients (&gt;$2M formula allocation). Of the 98 comments relevant to the Recovery Act reporting program guidance, the distribution of entities and brief description of comments by program is outlined below (total responses &gt; 98 as some entities commented on multiple programs):</w:t>
      </w:r>
    </w:p>
    <w:p w:rsidR="0061450F" w:rsidRDefault="0061450F" w:rsidP="0061450F">
      <w:pPr>
        <w:spacing w:after="0" w:line="240" w:lineRule="auto"/>
        <w:rPr>
          <w:rFonts w:ascii="Times New Roman" w:hAnsi="Times New Roman" w:cs="Times New Roman"/>
          <w:sz w:val="23"/>
          <w:szCs w:val="23"/>
        </w:rPr>
      </w:pPr>
      <w:r>
        <w:rPr>
          <w:rFonts w:ascii="Times New Roman" w:hAnsi="Times New Roman" w:cs="Times New Roman"/>
          <w:sz w:val="23"/>
          <w:szCs w:val="23"/>
        </w:rPr>
        <w:tab/>
      </w:r>
    </w:p>
    <w:tbl>
      <w:tblPr>
        <w:tblStyle w:val="TableGrid"/>
        <w:tblW w:w="0" w:type="auto"/>
        <w:tblInd w:w="1170" w:type="dxa"/>
        <w:tblLayout w:type="fixed"/>
        <w:tblLook w:val="04A0"/>
      </w:tblPr>
      <w:tblGrid>
        <w:gridCol w:w="5688"/>
        <w:gridCol w:w="1350"/>
      </w:tblGrid>
      <w:tr w:rsidR="0061450F" w:rsidRPr="00864438" w:rsidTr="003B769B">
        <w:tc>
          <w:tcPr>
            <w:tcW w:w="7038" w:type="dxa"/>
            <w:gridSpan w:val="2"/>
            <w:shd w:val="clear" w:color="auto" w:fill="808080" w:themeFill="background1" w:themeFillShade="80"/>
          </w:tcPr>
          <w:p w:rsidR="0061450F" w:rsidRPr="00864438" w:rsidRDefault="0061450F" w:rsidP="003B769B">
            <w:pPr>
              <w:rPr>
                <w:rFonts w:ascii="Times New Roman" w:hAnsi="Times New Roman" w:cs="Times New Roman"/>
                <w:color w:val="FFFFFF" w:themeColor="background1"/>
                <w:sz w:val="23"/>
                <w:szCs w:val="23"/>
              </w:rPr>
            </w:pPr>
            <w:r w:rsidRPr="00864438">
              <w:rPr>
                <w:rFonts w:ascii="Times New Roman" w:hAnsi="Times New Roman" w:cs="Times New Roman"/>
                <w:color w:val="FFFFFF" w:themeColor="background1"/>
                <w:sz w:val="23"/>
                <w:szCs w:val="23"/>
              </w:rPr>
              <w:t>Weatherization Assistance Program</w:t>
            </w:r>
            <w:r>
              <w:rPr>
                <w:rFonts w:ascii="Times New Roman" w:hAnsi="Times New Roman" w:cs="Times New Roman"/>
                <w:color w:val="FFFFFF" w:themeColor="background1"/>
                <w:sz w:val="23"/>
                <w:szCs w:val="23"/>
              </w:rPr>
              <w:t>: 40 responses</w:t>
            </w:r>
          </w:p>
        </w:tc>
      </w:tr>
      <w:tr w:rsidR="0061450F" w:rsidTr="003B769B">
        <w:tc>
          <w:tcPr>
            <w:tcW w:w="5688" w:type="dxa"/>
          </w:tcPr>
          <w:p w:rsidR="0061450F" w:rsidRPr="00FE3A7F" w:rsidRDefault="0061450F" w:rsidP="003B769B">
            <w:pPr>
              <w:rPr>
                <w:rFonts w:ascii="Times New Roman" w:hAnsi="Times New Roman" w:cs="Times New Roman"/>
                <w:b/>
                <w:sz w:val="23"/>
                <w:szCs w:val="23"/>
              </w:rPr>
            </w:pPr>
            <w:r>
              <w:rPr>
                <w:rFonts w:ascii="Times New Roman" w:hAnsi="Times New Roman" w:cs="Times New Roman"/>
                <w:b/>
                <w:sz w:val="23"/>
                <w:szCs w:val="23"/>
              </w:rPr>
              <w:t>Relevant Entity</w:t>
            </w:r>
          </w:p>
        </w:tc>
        <w:tc>
          <w:tcPr>
            <w:tcW w:w="1350" w:type="dxa"/>
          </w:tcPr>
          <w:p w:rsidR="0061450F" w:rsidRDefault="0061450F" w:rsidP="003B769B">
            <w:pPr>
              <w:jc w:val="center"/>
              <w:rPr>
                <w:rFonts w:ascii="Times New Roman" w:hAnsi="Times New Roman" w:cs="Times New Roman"/>
                <w:sz w:val="23"/>
                <w:szCs w:val="23"/>
              </w:rPr>
            </w:pPr>
            <w:r>
              <w:rPr>
                <w:rFonts w:ascii="Times New Roman" w:hAnsi="Times New Roman" w:cs="Times New Roman"/>
                <w:b/>
                <w:sz w:val="23"/>
                <w:szCs w:val="23"/>
              </w:rPr>
              <w:t>Responses</w:t>
            </w:r>
          </w:p>
        </w:tc>
      </w:tr>
      <w:tr w:rsidR="0061450F" w:rsidTr="003B769B">
        <w:tc>
          <w:tcPr>
            <w:tcW w:w="5688" w:type="dxa"/>
          </w:tcPr>
          <w:p w:rsidR="0061450F" w:rsidRPr="00F731A4" w:rsidRDefault="0061450F" w:rsidP="003B769B">
            <w:pPr>
              <w:rPr>
                <w:rFonts w:ascii="Times New Roman" w:hAnsi="Times New Roman" w:cs="Times New Roman"/>
                <w:sz w:val="23"/>
                <w:szCs w:val="23"/>
              </w:rPr>
            </w:pPr>
            <w:r>
              <w:rPr>
                <w:rFonts w:ascii="Times New Roman" w:hAnsi="Times New Roman" w:cs="Times New Roman"/>
                <w:sz w:val="23"/>
                <w:szCs w:val="23"/>
              </w:rPr>
              <w:t>State agency responsible for WAP</w:t>
            </w:r>
          </w:p>
        </w:tc>
        <w:tc>
          <w:tcPr>
            <w:tcW w:w="1350" w:type="dxa"/>
          </w:tcPr>
          <w:p w:rsidR="0061450F" w:rsidRPr="00FE3A7F" w:rsidRDefault="0061450F" w:rsidP="003B769B">
            <w:pPr>
              <w:jc w:val="center"/>
              <w:rPr>
                <w:rFonts w:cs="Times New Roman"/>
                <w:b/>
              </w:rPr>
            </w:pPr>
            <w:r>
              <w:rPr>
                <w:rFonts w:cs="Times New Roman"/>
                <w:b/>
              </w:rPr>
              <w:t>8</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State Governor’s office</w:t>
            </w:r>
          </w:p>
        </w:tc>
        <w:tc>
          <w:tcPr>
            <w:tcW w:w="1350" w:type="dxa"/>
          </w:tcPr>
          <w:p w:rsidR="0061450F" w:rsidRPr="00FE3A7F" w:rsidRDefault="0061450F" w:rsidP="003B769B">
            <w:pPr>
              <w:jc w:val="center"/>
              <w:rPr>
                <w:rFonts w:cs="Times New Roman"/>
                <w:b/>
              </w:rPr>
            </w:pPr>
            <w:r w:rsidRPr="00FE3A7F">
              <w:rPr>
                <w:rFonts w:cs="Times New Roman"/>
                <w:b/>
              </w:rPr>
              <w:t>1</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State Recovery Act office</w:t>
            </w:r>
          </w:p>
        </w:tc>
        <w:tc>
          <w:tcPr>
            <w:tcW w:w="1350" w:type="dxa"/>
          </w:tcPr>
          <w:p w:rsidR="0061450F" w:rsidRPr="00FE3A7F" w:rsidRDefault="0061450F" w:rsidP="003B769B">
            <w:pPr>
              <w:jc w:val="center"/>
              <w:rPr>
                <w:rFonts w:cs="Times New Roman"/>
                <w:b/>
              </w:rPr>
            </w:pPr>
            <w:r w:rsidRPr="00FE3A7F">
              <w:rPr>
                <w:rFonts w:cs="Times New Roman"/>
                <w:b/>
              </w:rPr>
              <w:t>1</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Organization representing state &amp; local governments</w:t>
            </w:r>
          </w:p>
        </w:tc>
        <w:tc>
          <w:tcPr>
            <w:tcW w:w="1350" w:type="dxa"/>
          </w:tcPr>
          <w:p w:rsidR="0061450F" w:rsidRPr="00FE3A7F" w:rsidRDefault="0061450F" w:rsidP="003B769B">
            <w:pPr>
              <w:jc w:val="center"/>
              <w:rPr>
                <w:rFonts w:cs="Times New Roman"/>
                <w:b/>
              </w:rPr>
            </w:pPr>
            <w:r w:rsidRPr="00FE3A7F">
              <w:rPr>
                <w:rFonts w:cs="Times New Roman"/>
                <w:b/>
              </w:rPr>
              <w:t>2</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 xml:space="preserve">U.S. Congressman </w:t>
            </w:r>
          </w:p>
        </w:tc>
        <w:tc>
          <w:tcPr>
            <w:tcW w:w="1350" w:type="dxa"/>
          </w:tcPr>
          <w:p w:rsidR="0061450F" w:rsidRPr="00FE3A7F" w:rsidRDefault="0061450F" w:rsidP="003B769B">
            <w:pPr>
              <w:jc w:val="center"/>
              <w:rPr>
                <w:rFonts w:cs="Times New Roman"/>
                <w:b/>
              </w:rPr>
            </w:pPr>
            <w:r w:rsidRPr="00FE3A7F">
              <w:rPr>
                <w:rFonts w:cs="Times New Roman"/>
                <w:b/>
              </w:rPr>
              <w:t>1</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Organization representing the WAP Network</w:t>
            </w:r>
          </w:p>
        </w:tc>
        <w:tc>
          <w:tcPr>
            <w:tcW w:w="1350" w:type="dxa"/>
          </w:tcPr>
          <w:p w:rsidR="0061450F" w:rsidRPr="00FE3A7F" w:rsidRDefault="0061450F" w:rsidP="003B769B">
            <w:pPr>
              <w:jc w:val="center"/>
              <w:rPr>
                <w:rFonts w:cs="Times New Roman"/>
                <w:b/>
              </w:rPr>
            </w:pPr>
            <w:r w:rsidRPr="00FE3A7F">
              <w:rPr>
                <w:rFonts w:cs="Times New Roman"/>
                <w:b/>
              </w:rPr>
              <w:t>4</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DOE Project Officer</w:t>
            </w:r>
          </w:p>
        </w:tc>
        <w:tc>
          <w:tcPr>
            <w:tcW w:w="1350" w:type="dxa"/>
          </w:tcPr>
          <w:p w:rsidR="0061450F" w:rsidRPr="00FE3A7F" w:rsidRDefault="0061450F" w:rsidP="003B769B">
            <w:pPr>
              <w:jc w:val="center"/>
              <w:rPr>
                <w:rFonts w:cs="Times New Roman"/>
                <w:b/>
              </w:rPr>
            </w:pPr>
            <w:r w:rsidRPr="00FE3A7F">
              <w:rPr>
                <w:rFonts w:cs="Times New Roman"/>
                <w:b/>
              </w:rPr>
              <w:t>1</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Community Action Agency</w:t>
            </w:r>
          </w:p>
        </w:tc>
        <w:tc>
          <w:tcPr>
            <w:tcW w:w="1350" w:type="dxa"/>
          </w:tcPr>
          <w:p w:rsidR="0061450F" w:rsidRPr="00FE3A7F" w:rsidRDefault="0061450F" w:rsidP="003B769B">
            <w:pPr>
              <w:jc w:val="center"/>
              <w:rPr>
                <w:rFonts w:cs="Times New Roman"/>
                <w:b/>
              </w:rPr>
            </w:pPr>
            <w:r w:rsidRPr="00FE3A7F">
              <w:rPr>
                <w:rFonts w:cs="Times New Roman"/>
                <w:b/>
              </w:rPr>
              <w:t>22</w:t>
            </w:r>
          </w:p>
        </w:tc>
      </w:tr>
      <w:tr w:rsidR="0061450F" w:rsidTr="003B769B">
        <w:tc>
          <w:tcPr>
            <w:tcW w:w="7038" w:type="dxa"/>
            <w:gridSpan w:val="2"/>
            <w:shd w:val="clear" w:color="auto" w:fill="808080" w:themeFill="background1" w:themeFillShade="80"/>
          </w:tcPr>
          <w:p w:rsidR="0061450F" w:rsidRDefault="0061450F" w:rsidP="003B769B">
            <w:pPr>
              <w:jc w:val="center"/>
              <w:rPr>
                <w:rFonts w:ascii="Times New Roman" w:hAnsi="Times New Roman" w:cs="Times New Roman"/>
                <w:b/>
                <w:sz w:val="23"/>
                <w:szCs w:val="23"/>
              </w:rPr>
            </w:pPr>
          </w:p>
        </w:tc>
      </w:tr>
      <w:tr w:rsidR="0061450F" w:rsidTr="003B769B">
        <w:tc>
          <w:tcPr>
            <w:tcW w:w="5688" w:type="dxa"/>
          </w:tcPr>
          <w:p w:rsidR="0061450F" w:rsidRPr="00864438" w:rsidRDefault="0061450F" w:rsidP="003B769B">
            <w:pPr>
              <w:rPr>
                <w:rFonts w:ascii="Times New Roman" w:hAnsi="Times New Roman" w:cs="Times New Roman"/>
                <w:b/>
                <w:sz w:val="23"/>
                <w:szCs w:val="23"/>
              </w:rPr>
            </w:pPr>
            <w:r>
              <w:rPr>
                <w:rFonts w:ascii="Times New Roman" w:hAnsi="Times New Roman" w:cs="Times New Roman"/>
                <w:b/>
                <w:sz w:val="23"/>
                <w:szCs w:val="23"/>
              </w:rPr>
              <w:t>Position on monthly reporting</w:t>
            </w:r>
          </w:p>
        </w:tc>
        <w:tc>
          <w:tcPr>
            <w:tcW w:w="1350" w:type="dxa"/>
          </w:tcPr>
          <w:p w:rsidR="0061450F" w:rsidRPr="00864438" w:rsidRDefault="0061450F" w:rsidP="003B769B">
            <w:pPr>
              <w:jc w:val="center"/>
              <w:rPr>
                <w:rFonts w:ascii="Times New Roman" w:hAnsi="Times New Roman" w:cs="Times New Roman"/>
                <w:b/>
                <w:sz w:val="23"/>
                <w:szCs w:val="23"/>
              </w:rPr>
            </w:pPr>
            <w:r>
              <w:rPr>
                <w:rFonts w:ascii="Times New Roman" w:hAnsi="Times New Roman" w:cs="Times New Roman"/>
                <w:b/>
                <w:sz w:val="23"/>
                <w:szCs w:val="23"/>
              </w:rPr>
              <w:t>Responses</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Opposed</w:t>
            </w:r>
          </w:p>
        </w:tc>
        <w:tc>
          <w:tcPr>
            <w:tcW w:w="1350" w:type="dxa"/>
            <w:vAlign w:val="bottom"/>
          </w:tcPr>
          <w:p w:rsidR="0061450F" w:rsidRPr="00864438" w:rsidRDefault="0061450F" w:rsidP="003B769B">
            <w:pPr>
              <w:jc w:val="center"/>
              <w:rPr>
                <w:rFonts w:ascii="Calibri" w:hAnsi="Calibri"/>
                <w:b/>
                <w:color w:val="000000"/>
              </w:rPr>
            </w:pPr>
            <w:r w:rsidRPr="00864438">
              <w:rPr>
                <w:rFonts w:ascii="Calibri" w:hAnsi="Calibri"/>
                <w:b/>
                <w:color w:val="000000"/>
              </w:rPr>
              <w:t>25</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Favor</w:t>
            </w:r>
          </w:p>
        </w:tc>
        <w:tc>
          <w:tcPr>
            <w:tcW w:w="1350" w:type="dxa"/>
            <w:vAlign w:val="bottom"/>
          </w:tcPr>
          <w:p w:rsidR="0061450F" w:rsidRPr="00864438" w:rsidRDefault="0061450F" w:rsidP="003B769B">
            <w:pPr>
              <w:jc w:val="center"/>
              <w:rPr>
                <w:rFonts w:ascii="Calibri" w:hAnsi="Calibri"/>
                <w:b/>
                <w:color w:val="000000"/>
              </w:rPr>
            </w:pPr>
            <w:r w:rsidRPr="00864438">
              <w:rPr>
                <w:rFonts w:ascii="Calibri" w:hAnsi="Calibri"/>
                <w:b/>
                <w:color w:val="000000"/>
              </w:rPr>
              <w:t>1</w:t>
            </w:r>
          </w:p>
        </w:tc>
      </w:tr>
      <w:tr w:rsidR="0061450F" w:rsidTr="003B769B">
        <w:tc>
          <w:tcPr>
            <w:tcW w:w="5688" w:type="dxa"/>
          </w:tcPr>
          <w:p w:rsidR="0061450F" w:rsidRPr="00864438" w:rsidRDefault="0061450F" w:rsidP="003B769B">
            <w:pPr>
              <w:rPr>
                <w:rFonts w:ascii="Times New Roman" w:hAnsi="Times New Roman" w:cs="Times New Roman"/>
                <w:i/>
                <w:sz w:val="23"/>
                <w:szCs w:val="23"/>
              </w:rPr>
            </w:pPr>
            <w:r>
              <w:rPr>
                <w:rFonts w:ascii="Times New Roman" w:hAnsi="Times New Roman" w:cs="Times New Roman"/>
                <w:sz w:val="23"/>
                <w:szCs w:val="23"/>
              </w:rPr>
              <w:t xml:space="preserve">Neutral </w:t>
            </w:r>
            <w:r>
              <w:rPr>
                <w:rFonts w:ascii="Times New Roman" w:hAnsi="Times New Roman" w:cs="Times New Roman"/>
                <w:i/>
                <w:sz w:val="23"/>
                <w:szCs w:val="23"/>
              </w:rPr>
              <w:t>(as delineated below)</w:t>
            </w:r>
          </w:p>
        </w:tc>
        <w:tc>
          <w:tcPr>
            <w:tcW w:w="1350" w:type="dxa"/>
            <w:vAlign w:val="bottom"/>
          </w:tcPr>
          <w:p w:rsidR="0061450F" w:rsidRPr="00864438" w:rsidRDefault="0061450F" w:rsidP="003B769B">
            <w:pPr>
              <w:jc w:val="center"/>
              <w:rPr>
                <w:rFonts w:ascii="Calibri" w:hAnsi="Calibri"/>
                <w:b/>
                <w:color w:val="000000"/>
              </w:rPr>
            </w:pPr>
            <w:r w:rsidRPr="00864438">
              <w:rPr>
                <w:rFonts w:ascii="Calibri" w:hAnsi="Calibri"/>
                <w:b/>
                <w:color w:val="000000"/>
              </w:rPr>
              <w:t>1</w:t>
            </w:r>
            <w:r>
              <w:rPr>
                <w:rFonts w:ascii="Calibri" w:hAnsi="Calibri"/>
                <w:b/>
                <w:color w:val="000000"/>
              </w:rPr>
              <w:t>4</w:t>
            </w:r>
          </w:p>
        </w:tc>
      </w:tr>
      <w:tr w:rsidR="0061450F" w:rsidTr="003B769B">
        <w:tc>
          <w:tcPr>
            <w:tcW w:w="5688" w:type="dxa"/>
            <w:shd w:val="clear" w:color="auto" w:fill="EEECE1" w:themeFill="background2"/>
          </w:tcPr>
          <w:p w:rsidR="0061450F" w:rsidRPr="00864438" w:rsidRDefault="0061450F" w:rsidP="003B769B">
            <w:pPr>
              <w:jc w:val="right"/>
              <w:rPr>
                <w:rFonts w:ascii="Times New Roman" w:hAnsi="Times New Roman" w:cs="Times New Roman"/>
                <w:i/>
                <w:sz w:val="20"/>
                <w:szCs w:val="20"/>
              </w:rPr>
            </w:pPr>
            <w:r w:rsidRPr="00864438">
              <w:rPr>
                <w:rFonts w:ascii="Times New Roman" w:hAnsi="Times New Roman" w:cs="Times New Roman"/>
                <w:i/>
                <w:sz w:val="20"/>
                <w:szCs w:val="20"/>
              </w:rPr>
              <w:t>Requested clarification on federal reporting process</w:t>
            </w:r>
          </w:p>
        </w:tc>
        <w:tc>
          <w:tcPr>
            <w:tcW w:w="1350" w:type="dxa"/>
            <w:shd w:val="clear" w:color="auto" w:fill="EEECE1" w:themeFill="background2"/>
            <w:vAlign w:val="bottom"/>
          </w:tcPr>
          <w:p w:rsidR="0061450F" w:rsidRPr="00864438" w:rsidRDefault="0061450F" w:rsidP="003B769B">
            <w:pPr>
              <w:jc w:val="center"/>
              <w:rPr>
                <w:rFonts w:ascii="Calibri" w:hAnsi="Calibri"/>
                <w:i/>
                <w:color w:val="000000"/>
                <w:sz w:val="20"/>
                <w:szCs w:val="20"/>
              </w:rPr>
            </w:pPr>
            <w:r>
              <w:rPr>
                <w:rFonts w:ascii="Calibri" w:hAnsi="Calibri"/>
                <w:i/>
                <w:color w:val="000000"/>
                <w:sz w:val="20"/>
                <w:szCs w:val="20"/>
              </w:rPr>
              <w:t>7</w:t>
            </w:r>
          </w:p>
        </w:tc>
      </w:tr>
      <w:tr w:rsidR="0061450F" w:rsidTr="003B769B">
        <w:tc>
          <w:tcPr>
            <w:tcW w:w="5688" w:type="dxa"/>
            <w:shd w:val="clear" w:color="auto" w:fill="EEECE1" w:themeFill="background2"/>
          </w:tcPr>
          <w:p w:rsidR="0061450F" w:rsidRPr="00864438" w:rsidRDefault="0061450F" w:rsidP="003B769B">
            <w:pPr>
              <w:jc w:val="right"/>
              <w:rPr>
                <w:rFonts w:ascii="Times New Roman" w:hAnsi="Times New Roman" w:cs="Times New Roman"/>
                <w:i/>
                <w:sz w:val="20"/>
                <w:szCs w:val="20"/>
              </w:rPr>
            </w:pPr>
            <w:r w:rsidRPr="00864438">
              <w:rPr>
                <w:rFonts w:ascii="Times New Roman" w:hAnsi="Times New Roman" w:cs="Times New Roman"/>
                <w:i/>
                <w:sz w:val="20"/>
                <w:szCs w:val="20"/>
              </w:rPr>
              <w:t>Requested access to information</w:t>
            </w:r>
          </w:p>
        </w:tc>
        <w:tc>
          <w:tcPr>
            <w:tcW w:w="1350" w:type="dxa"/>
            <w:shd w:val="clear" w:color="auto" w:fill="EEECE1" w:themeFill="background2"/>
            <w:vAlign w:val="bottom"/>
          </w:tcPr>
          <w:p w:rsidR="0061450F" w:rsidRPr="00864438" w:rsidRDefault="0061450F" w:rsidP="003B769B">
            <w:pPr>
              <w:jc w:val="center"/>
              <w:rPr>
                <w:rFonts w:ascii="Calibri" w:hAnsi="Calibri"/>
                <w:i/>
                <w:color w:val="000000"/>
                <w:sz w:val="20"/>
                <w:szCs w:val="20"/>
              </w:rPr>
            </w:pPr>
            <w:r w:rsidRPr="00864438">
              <w:rPr>
                <w:rFonts w:ascii="Calibri" w:hAnsi="Calibri"/>
                <w:i/>
                <w:color w:val="000000"/>
                <w:sz w:val="20"/>
                <w:szCs w:val="20"/>
              </w:rPr>
              <w:t>1</w:t>
            </w:r>
          </w:p>
        </w:tc>
      </w:tr>
      <w:tr w:rsidR="0061450F" w:rsidTr="003B769B">
        <w:tc>
          <w:tcPr>
            <w:tcW w:w="5688" w:type="dxa"/>
            <w:shd w:val="clear" w:color="auto" w:fill="EEECE1" w:themeFill="background2"/>
          </w:tcPr>
          <w:p w:rsidR="0061450F" w:rsidRPr="00864438" w:rsidRDefault="0061450F" w:rsidP="003B769B">
            <w:pPr>
              <w:jc w:val="right"/>
              <w:rPr>
                <w:rFonts w:ascii="Times New Roman" w:hAnsi="Times New Roman" w:cs="Times New Roman"/>
                <w:i/>
                <w:sz w:val="20"/>
                <w:szCs w:val="20"/>
              </w:rPr>
            </w:pPr>
            <w:r w:rsidRPr="00864438">
              <w:rPr>
                <w:rFonts w:ascii="Times New Roman" w:hAnsi="Times New Roman" w:cs="Times New Roman"/>
                <w:i/>
                <w:sz w:val="20"/>
                <w:szCs w:val="20"/>
              </w:rPr>
              <w:t>Offered detail on recipient reporting process</w:t>
            </w:r>
          </w:p>
        </w:tc>
        <w:tc>
          <w:tcPr>
            <w:tcW w:w="1350" w:type="dxa"/>
            <w:shd w:val="clear" w:color="auto" w:fill="EEECE1" w:themeFill="background2"/>
            <w:vAlign w:val="bottom"/>
          </w:tcPr>
          <w:p w:rsidR="0061450F" w:rsidRPr="00864438" w:rsidRDefault="0061450F" w:rsidP="003B769B">
            <w:pPr>
              <w:jc w:val="center"/>
              <w:rPr>
                <w:rFonts w:ascii="Calibri" w:hAnsi="Calibri"/>
                <w:i/>
                <w:color w:val="000000"/>
                <w:sz w:val="20"/>
                <w:szCs w:val="20"/>
              </w:rPr>
            </w:pPr>
            <w:r w:rsidRPr="00864438">
              <w:rPr>
                <w:rFonts w:ascii="Calibri" w:hAnsi="Calibri"/>
                <w:i/>
                <w:color w:val="000000"/>
                <w:sz w:val="20"/>
                <w:szCs w:val="20"/>
              </w:rPr>
              <w:t>5</w:t>
            </w:r>
          </w:p>
        </w:tc>
      </w:tr>
      <w:tr w:rsidR="0061450F" w:rsidTr="003B769B">
        <w:tc>
          <w:tcPr>
            <w:tcW w:w="5688" w:type="dxa"/>
            <w:tcBorders>
              <w:bottom w:val="single" w:sz="4" w:space="0" w:color="000000" w:themeColor="text1"/>
            </w:tcBorders>
            <w:shd w:val="clear" w:color="auto" w:fill="EEECE1" w:themeFill="background2"/>
          </w:tcPr>
          <w:p w:rsidR="0061450F" w:rsidRPr="00864438" w:rsidRDefault="0061450F" w:rsidP="003B769B">
            <w:pPr>
              <w:jc w:val="right"/>
              <w:rPr>
                <w:rFonts w:ascii="Times New Roman" w:hAnsi="Times New Roman" w:cs="Times New Roman"/>
                <w:i/>
                <w:sz w:val="20"/>
                <w:szCs w:val="20"/>
              </w:rPr>
            </w:pPr>
            <w:r w:rsidRPr="00864438">
              <w:rPr>
                <w:rFonts w:ascii="Times New Roman" w:hAnsi="Times New Roman" w:cs="Times New Roman"/>
                <w:i/>
                <w:sz w:val="20"/>
                <w:szCs w:val="20"/>
              </w:rPr>
              <w:t>Offered suggestion on federal reporting process</w:t>
            </w:r>
          </w:p>
        </w:tc>
        <w:tc>
          <w:tcPr>
            <w:tcW w:w="1350" w:type="dxa"/>
            <w:tcBorders>
              <w:bottom w:val="single" w:sz="4" w:space="0" w:color="000000" w:themeColor="text1"/>
            </w:tcBorders>
            <w:shd w:val="clear" w:color="auto" w:fill="EEECE1" w:themeFill="background2"/>
            <w:vAlign w:val="bottom"/>
          </w:tcPr>
          <w:p w:rsidR="0061450F" w:rsidRPr="00864438" w:rsidRDefault="0061450F" w:rsidP="003B769B">
            <w:pPr>
              <w:jc w:val="center"/>
              <w:rPr>
                <w:rFonts w:ascii="Calibri" w:hAnsi="Calibri"/>
                <w:i/>
                <w:color w:val="000000"/>
                <w:sz w:val="20"/>
                <w:szCs w:val="20"/>
              </w:rPr>
            </w:pPr>
            <w:r w:rsidRPr="00864438">
              <w:rPr>
                <w:rFonts w:ascii="Calibri" w:hAnsi="Calibri"/>
                <w:i/>
                <w:color w:val="000000"/>
                <w:sz w:val="20"/>
                <w:szCs w:val="20"/>
              </w:rPr>
              <w:t>1</w:t>
            </w:r>
          </w:p>
        </w:tc>
      </w:tr>
      <w:tr w:rsidR="0061450F" w:rsidTr="003B769B">
        <w:tc>
          <w:tcPr>
            <w:tcW w:w="7038" w:type="dxa"/>
            <w:gridSpan w:val="2"/>
            <w:shd w:val="clear" w:color="auto" w:fill="808080" w:themeFill="background1" w:themeFillShade="80"/>
          </w:tcPr>
          <w:p w:rsidR="0061450F" w:rsidRDefault="0061450F" w:rsidP="003B769B">
            <w:pPr>
              <w:jc w:val="center"/>
              <w:rPr>
                <w:rFonts w:ascii="Times New Roman" w:hAnsi="Times New Roman" w:cs="Times New Roman"/>
                <w:b/>
                <w:sz w:val="23"/>
                <w:szCs w:val="23"/>
              </w:rPr>
            </w:pPr>
          </w:p>
        </w:tc>
      </w:tr>
      <w:tr w:rsidR="0061450F" w:rsidTr="003B769B">
        <w:tc>
          <w:tcPr>
            <w:tcW w:w="5688" w:type="dxa"/>
            <w:shd w:val="clear" w:color="auto" w:fill="auto"/>
          </w:tcPr>
          <w:p w:rsidR="0061450F" w:rsidRPr="00864438" w:rsidRDefault="0061450F" w:rsidP="003B769B">
            <w:pPr>
              <w:rPr>
                <w:rFonts w:ascii="Times New Roman" w:hAnsi="Times New Roman" w:cs="Times New Roman"/>
                <w:i/>
                <w:sz w:val="20"/>
                <w:szCs w:val="20"/>
              </w:rPr>
            </w:pPr>
            <w:r>
              <w:rPr>
                <w:rFonts w:ascii="Times New Roman" w:hAnsi="Times New Roman" w:cs="Times New Roman"/>
                <w:b/>
                <w:sz w:val="23"/>
                <w:szCs w:val="23"/>
              </w:rPr>
              <w:t>If opposed, what contention did the respondent have?</w:t>
            </w:r>
          </w:p>
        </w:tc>
        <w:tc>
          <w:tcPr>
            <w:tcW w:w="1350" w:type="dxa"/>
            <w:shd w:val="clear" w:color="auto" w:fill="auto"/>
          </w:tcPr>
          <w:p w:rsidR="0061450F" w:rsidRPr="00864438" w:rsidRDefault="0061450F" w:rsidP="003B769B">
            <w:pPr>
              <w:jc w:val="center"/>
              <w:rPr>
                <w:rFonts w:ascii="Times New Roman" w:hAnsi="Times New Roman" w:cs="Times New Roman"/>
                <w:b/>
                <w:sz w:val="23"/>
                <w:szCs w:val="23"/>
              </w:rPr>
            </w:pPr>
            <w:r>
              <w:rPr>
                <w:rFonts w:ascii="Times New Roman" w:hAnsi="Times New Roman" w:cs="Times New Roman"/>
                <w:b/>
                <w:sz w:val="23"/>
                <w:szCs w:val="23"/>
              </w:rPr>
              <w:t>Responses</w:t>
            </w:r>
          </w:p>
        </w:tc>
      </w:tr>
      <w:tr w:rsidR="0061450F" w:rsidTr="003B769B">
        <w:tc>
          <w:tcPr>
            <w:tcW w:w="5688" w:type="dxa"/>
            <w:shd w:val="clear" w:color="auto" w:fill="auto"/>
            <w:vAlign w:val="bottom"/>
          </w:tcPr>
          <w:p w:rsidR="0061450F" w:rsidRPr="00F731A4"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Undue administrative burden</w:t>
            </w:r>
          </w:p>
        </w:tc>
        <w:tc>
          <w:tcPr>
            <w:tcW w:w="1350" w:type="dxa"/>
            <w:shd w:val="clear" w:color="auto" w:fill="auto"/>
            <w:vAlign w:val="bottom"/>
          </w:tcPr>
          <w:p w:rsidR="0061450F" w:rsidRPr="00F731A4" w:rsidRDefault="0061450F" w:rsidP="003B769B">
            <w:pPr>
              <w:jc w:val="center"/>
              <w:rPr>
                <w:rFonts w:ascii="Calibri" w:hAnsi="Calibri"/>
                <w:b/>
                <w:color w:val="000000"/>
              </w:rPr>
            </w:pPr>
            <w:r w:rsidRPr="00F731A4">
              <w:rPr>
                <w:rFonts w:ascii="Calibri" w:hAnsi="Calibri"/>
                <w:b/>
                <w:color w:val="000000"/>
              </w:rPr>
              <w:t>24</w:t>
            </w:r>
          </w:p>
        </w:tc>
      </w:tr>
      <w:tr w:rsidR="0061450F" w:rsidTr="003B769B">
        <w:tc>
          <w:tcPr>
            <w:tcW w:w="5688" w:type="dxa"/>
            <w:shd w:val="clear" w:color="auto" w:fill="auto"/>
            <w:vAlign w:val="bottom"/>
          </w:tcPr>
          <w:p w:rsidR="0061450F" w:rsidRPr="0094569E"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Delays project execution</w:t>
            </w:r>
          </w:p>
        </w:tc>
        <w:tc>
          <w:tcPr>
            <w:tcW w:w="1350" w:type="dxa"/>
            <w:shd w:val="clear" w:color="auto" w:fill="auto"/>
            <w:vAlign w:val="bottom"/>
          </w:tcPr>
          <w:p w:rsidR="0061450F" w:rsidRPr="00F731A4" w:rsidRDefault="0061450F" w:rsidP="003B769B">
            <w:pPr>
              <w:jc w:val="center"/>
              <w:rPr>
                <w:rFonts w:ascii="Calibri" w:hAnsi="Calibri"/>
                <w:b/>
                <w:color w:val="000000"/>
              </w:rPr>
            </w:pPr>
            <w:r w:rsidRPr="00F731A4">
              <w:rPr>
                <w:rFonts w:ascii="Calibri" w:hAnsi="Calibri"/>
                <w:b/>
                <w:color w:val="000000"/>
              </w:rPr>
              <w:t>10</w:t>
            </w:r>
          </w:p>
        </w:tc>
      </w:tr>
      <w:tr w:rsidR="0061450F" w:rsidTr="003B769B">
        <w:trPr>
          <w:trHeight w:val="278"/>
        </w:trPr>
        <w:tc>
          <w:tcPr>
            <w:tcW w:w="5688" w:type="dxa"/>
            <w:shd w:val="clear" w:color="auto" w:fill="auto"/>
            <w:vAlign w:val="bottom"/>
          </w:tcPr>
          <w:p w:rsidR="0061450F" w:rsidRPr="00F731A4"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Forces reallocation of program operation funds</w:t>
            </w:r>
          </w:p>
        </w:tc>
        <w:tc>
          <w:tcPr>
            <w:tcW w:w="1350" w:type="dxa"/>
            <w:shd w:val="clear" w:color="auto" w:fill="auto"/>
            <w:vAlign w:val="bottom"/>
          </w:tcPr>
          <w:p w:rsidR="0061450F" w:rsidRPr="00F731A4" w:rsidRDefault="0061450F" w:rsidP="003B769B">
            <w:pPr>
              <w:jc w:val="center"/>
              <w:rPr>
                <w:rFonts w:ascii="Calibri" w:hAnsi="Calibri"/>
                <w:b/>
                <w:color w:val="000000"/>
              </w:rPr>
            </w:pPr>
            <w:r w:rsidRPr="00F731A4">
              <w:rPr>
                <w:rFonts w:ascii="Calibri" w:hAnsi="Calibri"/>
                <w:b/>
                <w:color w:val="000000"/>
              </w:rPr>
              <w:t>2</w:t>
            </w:r>
          </w:p>
        </w:tc>
      </w:tr>
    </w:tbl>
    <w:p w:rsidR="0061450F" w:rsidRDefault="0061450F" w:rsidP="0061450F">
      <w:pPr>
        <w:spacing w:after="0" w:line="240" w:lineRule="auto"/>
        <w:rPr>
          <w:rFonts w:ascii="Times New Roman" w:hAnsi="Times New Roman" w:cs="Times New Roman"/>
          <w:sz w:val="23"/>
          <w:szCs w:val="23"/>
        </w:rPr>
      </w:pPr>
    </w:p>
    <w:p w:rsidR="0061450F" w:rsidRDefault="0061450F" w:rsidP="0061450F">
      <w:pPr>
        <w:spacing w:after="0" w:line="240" w:lineRule="auto"/>
        <w:rPr>
          <w:rFonts w:ascii="Times New Roman" w:hAnsi="Times New Roman" w:cs="Times New Roman"/>
          <w:sz w:val="23"/>
          <w:szCs w:val="23"/>
        </w:rPr>
      </w:pPr>
    </w:p>
    <w:tbl>
      <w:tblPr>
        <w:tblStyle w:val="TableGrid"/>
        <w:tblW w:w="0" w:type="auto"/>
        <w:tblInd w:w="1170" w:type="dxa"/>
        <w:tblLayout w:type="fixed"/>
        <w:tblLook w:val="04A0"/>
      </w:tblPr>
      <w:tblGrid>
        <w:gridCol w:w="5688"/>
        <w:gridCol w:w="1350"/>
      </w:tblGrid>
      <w:tr w:rsidR="0061450F" w:rsidRPr="00864438" w:rsidTr="003B769B">
        <w:tc>
          <w:tcPr>
            <w:tcW w:w="7038" w:type="dxa"/>
            <w:gridSpan w:val="2"/>
            <w:shd w:val="clear" w:color="auto" w:fill="808080" w:themeFill="background1" w:themeFillShade="80"/>
          </w:tcPr>
          <w:p w:rsidR="0061450F" w:rsidRPr="00864438" w:rsidRDefault="0061450F" w:rsidP="003B769B">
            <w:pPr>
              <w:rPr>
                <w:rFonts w:ascii="Times New Roman" w:hAnsi="Times New Roman" w:cs="Times New Roman"/>
                <w:color w:val="FFFFFF" w:themeColor="background1"/>
                <w:sz w:val="23"/>
                <w:szCs w:val="23"/>
              </w:rPr>
            </w:pPr>
            <w:r>
              <w:rPr>
                <w:rFonts w:ascii="Times New Roman" w:hAnsi="Times New Roman" w:cs="Times New Roman"/>
                <w:color w:val="FFFFFF" w:themeColor="background1"/>
                <w:sz w:val="23"/>
                <w:szCs w:val="23"/>
              </w:rPr>
              <w:t>State Energy</w:t>
            </w:r>
            <w:r w:rsidRPr="00864438">
              <w:rPr>
                <w:rFonts w:ascii="Times New Roman" w:hAnsi="Times New Roman" w:cs="Times New Roman"/>
                <w:color w:val="FFFFFF" w:themeColor="background1"/>
                <w:sz w:val="23"/>
                <w:szCs w:val="23"/>
              </w:rPr>
              <w:t xml:space="preserve"> Program</w:t>
            </w:r>
            <w:r>
              <w:rPr>
                <w:rFonts w:ascii="Times New Roman" w:hAnsi="Times New Roman" w:cs="Times New Roman"/>
                <w:color w:val="FFFFFF" w:themeColor="background1"/>
                <w:sz w:val="23"/>
                <w:szCs w:val="23"/>
              </w:rPr>
              <w:t>: 16 responses</w:t>
            </w:r>
          </w:p>
        </w:tc>
      </w:tr>
      <w:tr w:rsidR="0061450F" w:rsidTr="003B769B">
        <w:tc>
          <w:tcPr>
            <w:tcW w:w="5688" w:type="dxa"/>
          </w:tcPr>
          <w:p w:rsidR="0061450F" w:rsidRPr="00FE3A7F" w:rsidRDefault="0061450F" w:rsidP="003B769B">
            <w:pPr>
              <w:rPr>
                <w:rFonts w:ascii="Times New Roman" w:hAnsi="Times New Roman" w:cs="Times New Roman"/>
                <w:b/>
                <w:sz w:val="23"/>
                <w:szCs w:val="23"/>
              </w:rPr>
            </w:pPr>
            <w:r>
              <w:rPr>
                <w:rFonts w:ascii="Times New Roman" w:hAnsi="Times New Roman" w:cs="Times New Roman"/>
                <w:b/>
                <w:sz w:val="23"/>
                <w:szCs w:val="23"/>
              </w:rPr>
              <w:t>Relevant Entity</w:t>
            </w:r>
          </w:p>
        </w:tc>
        <w:tc>
          <w:tcPr>
            <w:tcW w:w="1350" w:type="dxa"/>
          </w:tcPr>
          <w:p w:rsidR="0061450F" w:rsidRDefault="0061450F" w:rsidP="003B769B">
            <w:pPr>
              <w:jc w:val="center"/>
              <w:rPr>
                <w:rFonts w:ascii="Times New Roman" w:hAnsi="Times New Roman" w:cs="Times New Roman"/>
                <w:sz w:val="23"/>
                <w:szCs w:val="23"/>
              </w:rPr>
            </w:pPr>
            <w:r>
              <w:rPr>
                <w:rFonts w:ascii="Times New Roman" w:hAnsi="Times New Roman" w:cs="Times New Roman"/>
                <w:b/>
                <w:sz w:val="23"/>
                <w:szCs w:val="23"/>
              </w:rPr>
              <w:t>Responses</w:t>
            </w:r>
          </w:p>
        </w:tc>
      </w:tr>
      <w:tr w:rsidR="0061450F" w:rsidTr="003B769B">
        <w:tc>
          <w:tcPr>
            <w:tcW w:w="5688" w:type="dxa"/>
          </w:tcPr>
          <w:p w:rsidR="0061450F" w:rsidRPr="00F731A4" w:rsidRDefault="0061450F" w:rsidP="003B769B">
            <w:pPr>
              <w:rPr>
                <w:rFonts w:ascii="Times New Roman" w:hAnsi="Times New Roman" w:cs="Times New Roman"/>
                <w:sz w:val="23"/>
                <w:szCs w:val="23"/>
              </w:rPr>
            </w:pPr>
            <w:r>
              <w:rPr>
                <w:rFonts w:ascii="Times New Roman" w:hAnsi="Times New Roman" w:cs="Times New Roman"/>
                <w:sz w:val="23"/>
                <w:szCs w:val="23"/>
              </w:rPr>
              <w:t>State agency responsible for SEP</w:t>
            </w:r>
          </w:p>
        </w:tc>
        <w:tc>
          <w:tcPr>
            <w:tcW w:w="1350" w:type="dxa"/>
          </w:tcPr>
          <w:p w:rsidR="0061450F" w:rsidRPr="00FE3A7F" w:rsidRDefault="0061450F" w:rsidP="003B769B">
            <w:pPr>
              <w:jc w:val="center"/>
              <w:rPr>
                <w:rFonts w:cs="Times New Roman"/>
                <w:b/>
              </w:rPr>
            </w:pPr>
            <w:r>
              <w:rPr>
                <w:rFonts w:cs="Times New Roman"/>
                <w:b/>
              </w:rPr>
              <w:t>11</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State Governor’s office</w:t>
            </w:r>
          </w:p>
        </w:tc>
        <w:tc>
          <w:tcPr>
            <w:tcW w:w="1350" w:type="dxa"/>
          </w:tcPr>
          <w:p w:rsidR="0061450F" w:rsidRPr="00FE3A7F" w:rsidRDefault="0061450F" w:rsidP="003B769B">
            <w:pPr>
              <w:jc w:val="center"/>
              <w:rPr>
                <w:rFonts w:cs="Times New Roman"/>
                <w:b/>
              </w:rPr>
            </w:pPr>
            <w:r w:rsidRPr="00FE3A7F">
              <w:rPr>
                <w:rFonts w:cs="Times New Roman"/>
                <w:b/>
              </w:rPr>
              <w:t>1</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State Recovery Act office</w:t>
            </w:r>
          </w:p>
        </w:tc>
        <w:tc>
          <w:tcPr>
            <w:tcW w:w="1350" w:type="dxa"/>
          </w:tcPr>
          <w:p w:rsidR="0061450F" w:rsidRPr="00FE3A7F" w:rsidRDefault="0061450F" w:rsidP="003B769B">
            <w:pPr>
              <w:jc w:val="center"/>
              <w:rPr>
                <w:rFonts w:cs="Times New Roman"/>
                <w:b/>
              </w:rPr>
            </w:pPr>
            <w:r w:rsidRPr="00FE3A7F">
              <w:rPr>
                <w:rFonts w:cs="Times New Roman"/>
                <w:b/>
              </w:rPr>
              <w:t>1</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Organization representing state &amp; local governments</w:t>
            </w:r>
          </w:p>
        </w:tc>
        <w:tc>
          <w:tcPr>
            <w:tcW w:w="1350" w:type="dxa"/>
          </w:tcPr>
          <w:p w:rsidR="0061450F" w:rsidRPr="00FE3A7F" w:rsidRDefault="0061450F" w:rsidP="003B769B">
            <w:pPr>
              <w:jc w:val="center"/>
              <w:rPr>
                <w:rFonts w:cs="Times New Roman"/>
                <w:b/>
              </w:rPr>
            </w:pPr>
            <w:r w:rsidRPr="00FE3A7F">
              <w:rPr>
                <w:rFonts w:cs="Times New Roman"/>
                <w:b/>
              </w:rPr>
              <w:t>2</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Organization representing Energy Service companies</w:t>
            </w:r>
          </w:p>
        </w:tc>
        <w:tc>
          <w:tcPr>
            <w:tcW w:w="1350" w:type="dxa"/>
          </w:tcPr>
          <w:p w:rsidR="0061450F" w:rsidRPr="00FE3A7F" w:rsidRDefault="0061450F" w:rsidP="003B769B">
            <w:pPr>
              <w:jc w:val="center"/>
              <w:rPr>
                <w:rFonts w:cs="Times New Roman"/>
                <w:b/>
              </w:rPr>
            </w:pPr>
            <w:r w:rsidRPr="00FE3A7F">
              <w:rPr>
                <w:rFonts w:cs="Times New Roman"/>
                <w:b/>
              </w:rPr>
              <w:t>1</w:t>
            </w:r>
          </w:p>
        </w:tc>
      </w:tr>
      <w:tr w:rsidR="0061450F" w:rsidTr="003B769B">
        <w:tc>
          <w:tcPr>
            <w:tcW w:w="7038" w:type="dxa"/>
            <w:gridSpan w:val="2"/>
            <w:shd w:val="clear" w:color="auto" w:fill="808080" w:themeFill="background1" w:themeFillShade="80"/>
          </w:tcPr>
          <w:p w:rsidR="0061450F" w:rsidRDefault="0061450F" w:rsidP="003B769B">
            <w:pPr>
              <w:jc w:val="center"/>
              <w:rPr>
                <w:rFonts w:ascii="Times New Roman" w:hAnsi="Times New Roman" w:cs="Times New Roman"/>
                <w:b/>
                <w:sz w:val="23"/>
                <w:szCs w:val="23"/>
              </w:rPr>
            </w:pPr>
          </w:p>
        </w:tc>
      </w:tr>
      <w:tr w:rsidR="0061450F" w:rsidTr="003B769B">
        <w:tc>
          <w:tcPr>
            <w:tcW w:w="5688" w:type="dxa"/>
          </w:tcPr>
          <w:p w:rsidR="0061450F" w:rsidRPr="00864438" w:rsidRDefault="0061450F" w:rsidP="003B769B">
            <w:pPr>
              <w:rPr>
                <w:rFonts w:ascii="Times New Roman" w:hAnsi="Times New Roman" w:cs="Times New Roman"/>
                <w:b/>
                <w:sz w:val="23"/>
                <w:szCs w:val="23"/>
              </w:rPr>
            </w:pPr>
            <w:r>
              <w:rPr>
                <w:rFonts w:ascii="Times New Roman" w:hAnsi="Times New Roman" w:cs="Times New Roman"/>
                <w:b/>
                <w:sz w:val="23"/>
                <w:szCs w:val="23"/>
              </w:rPr>
              <w:t>Position on monthly reporting</w:t>
            </w:r>
          </w:p>
        </w:tc>
        <w:tc>
          <w:tcPr>
            <w:tcW w:w="1350" w:type="dxa"/>
          </w:tcPr>
          <w:p w:rsidR="0061450F" w:rsidRPr="00864438" w:rsidRDefault="0061450F" w:rsidP="003B769B">
            <w:pPr>
              <w:jc w:val="center"/>
              <w:rPr>
                <w:rFonts w:ascii="Times New Roman" w:hAnsi="Times New Roman" w:cs="Times New Roman"/>
                <w:b/>
                <w:sz w:val="23"/>
                <w:szCs w:val="23"/>
              </w:rPr>
            </w:pPr>
            <w:r>
              <w:rPr>
                <w:rFonts w:ascii="Times New Roman" w:hAnsi="Times New Roman" w:cs="Times New Roman"/>
                <w:b/>
                <w:sz w:val="23"/>
                <w:szCs w:val="23"/>
              </w:rPr>
              <w:t>Responses</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Opposed</w:t>
            </w:r>
          </w:p>
        </w:tc>
        <w:tc>
          <w:tcPr>
            <w:tcW w:w="1350" w:type="dxa"/>
            <w:vAlign w:val="bottom"/>
          </w:tcPr>
          <w:p w:rsidR="0061450F" w:rsidRPr="00864438" w:rsidRDefault="0061450F" w:rsidP="003B769B">
            <w:pPr>
              <w:jc w:val="center"/>
              <w:rPr>
                <w:rFonts w:ascii="Calibri" w:hAnsi="Calibri"/>
                <w:b/>
                <w:color w:val="000000"/>
              </w:rPr>
            </w:pPr>
            <w:r>
              <w:rPr>
                <w:rFonts w:ascii="Calibri" w:hAnsi="Calibri"/>
                <w:b/>
                <w:color w:val="000000"/>
              </w:rPr>
              <w:t>3</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Favor</w:t>
            </w:r>
          </w:p>
        </w:tc>
        <w:tc>
          <w:tcPr>
            <w:tcW w:w="1350" w:type="dxa"/>
            <w:vAlign w:val="bottom"/>
          </w:tcPr>
          <w:p w:rsidR="0061450F" w:rsidRPr="00864438" w:rsidRDefault="0061450F" w:rsidP="003B769B">
            <w:pPr>
              <w:jc w:val="center"/>
              <w:rPr>
                <w:rFonts w:ascii="Calibri" w:hAnsi="Calibri"/>
                <w:b/>
                <w:color w:val="000000"/>
              </w:rPr>
            </w:pPr>
            <w:r>
              <w:rPr>
                <w:rFonts w:ascii="Calibri" w:hAnsi="Calibri"/>
                <w:b/>
                <w:color w:val="000000"/>
              </w:rPr>
              <w:t>0</w:t>
            </w:r>
          </w:p>
        </w:tc>
      </w:tr>
      <w:tr w:rsidR="0061450F" w:rsidTr="003B769B">
        <w:tc>
          <w:tcPr>
            <w:tcW w:w="5688" w:type="dxa"/>
          </w:tcPr>
          <w:p w:rsidR="0061450F" w:rsidRPr="00864438" w:rsidRDefault="0061450F" w:rsidP="003B769B">
            <w:pPr>
              <w:rPr>
                <w:rFonts w:ascii="Times New Roman" w:hAnsi="Times New Roman" w:cs="Times New Roman"/>
                <w:i/>
                <w:sz w:val="23"/>
                <w:szCs w:val="23"/>
              </w:rPr>
            </w:pPr>
            <w:r>
              <w:rPr>
                <w:rFonts w:ascii="Times New Roman" w:hAnsi="Times New Roman" w:cs="Times New Roman"/>
                <w:sz w:val="23"/>
                <w:szCs w:val="23"/>
              </w:rPr>
              <w:t xml:space="preserve">Neutral </w:t>
            </w:r>
            <w:r>
              <w:rPr>
                <w:rFonts w:ascii="Times New Roman" w:hAnsi="Times New Roman" w:cs="Times New Roman"/>
                <w:i/>
                <w:sz w:val="23"/>
                <w:szCs w:val="23"/>
              </w:rPr>
              <w:t>(as delineated below)</w:t>
            </w:r>
          </w:p>
        </w:tc>
        <w:tc>
          <w:tcPr>
            <w:tcW w:w="1350" w:type="dxa"/>
            <w:vAlign w:val="bottom"/>
          </w:tcPr>
          <w:p w:rsidR="0061450F" w:rsidRPr="00864438" w:rsidRDefault="0061450F" w:rsidP="003B769B">
            <w:pPr>
              <w:jc w:val="center"/>
              <w:rPr>
                <w:rFonts w:ascii="Calibri" w:hAnsi="Calibri"/>
                <w:b/>
                <w:color w:val="000000"/>
              </w:rPr>
            </w:pPr>
            <w:r>
              <w:rPr>
                <w:rFonts w:ascii="Calibri" w:hAnsi="Calibri"/>
                <w:b/>
                <w:color w:val="000000"/>
              </w:rPr>
              <w:t>4</w:t>
            </w:r>
          </w:p>
        </w:tc>
      </w:tr>
      <w:tr w:rsidR="0061450F" w:rsidTr="003B769B">
        <w:tc>
          <w:tcPr>
            <w:tcW w:w="5688" w:type="dxa"/>
            <w:shd w:val="clear" w:color="auto" w:fill="EEECE1" w:themeFill="background2"/>
          </w:tcPr>
          <w:p w:rsidR="0061450F" w:rsidRPr="00864438" w:rsidRDefault="0061450F" w:rsidP="003B769B">
            <w:pPr>
              <w:jc w:val="right"/>
              <w:rPr>
                <w:rFonts w:ascii="Times New Roman" w:hAnsi="Times New Roman" w:cs="Times New Roman"/>
                <w:i/>
                <w:sz w:val="20"/>
                <w:szCs w:val="20"/>
              </w:rPr>
            </w:pPr>
            <w:r w:rsidRPr="00864438">
              <w:rPr>
                <w:rFonts w:ascii="Times New Roman" w:hAnsi="Times New Roman" w:cs="Times New Roman"/>
                <w:i/>
                <w:sz w:val="20"/>
                <w:szCs w:val="20"/>
              </w:rPr>
              <w:t>Requested clarification on federal reporting process</w:t>
            </w:r>
          </w:p>
        </w:tc>
        <w:tc>
          <w:tcPr>
            <w:tcW w:w="1350" w:type="dxa"/>
            <w:shd w:val="clear" w:color="auto" w:fill="EEECE1" w:themeFill="background2"/>
            <w:vAlign w:val="bottom"/>
          </w:tcPr>
          <w:p w:rsidR="0061450F" w:rsidRPr="00864438" w:rsidRDefault="0061450F" w:rsidP="003B769B">
            <w:pPr>
              <w:jc w:val="center"/>
              <w:rPr>
                <w:rFonts w:ascii="Calibri" w:hAnsi="Calibri"/>
                <w:i/>
                <w:color w:val="000000"/>
                <w:sz w:val="20"/>
                <w:szCs w:val="20"/>
              </w:rPr>
            </w:pPr>
            <w:r>
              <w:rPr>
                <w:rFonts w:ascii="Calibri" w:hAnsi="Calibri"/>
                <w:i/>
                <w:color w:val="000000"/>
                <w:sz w:val="20"/>
                <w:szCs w:val="20"/>
              </w:rPr>
              <w:t>3</w:t>
            </w:r>
          </w:p>
        </w:tc>
      </w:tr>
      <w:tr w:rsidR="0061450F" w:rsidTr="003B769B">
        <w:tc>
          <w:tcPr>
            <w:tcW w:w="5688" w:type="dxa"/>
            <w:tcBorders>
              <w:bottom w:val="single" w:sz="4" w:space="0" w:color="000000" w:themeColor="text1"/>
            </w:tcBorders>
            <w:shd w:val="clear" w:color="auto" w:fill="EEECE1" w:themeFill="background2"/>
          </w:tcPr>
          <w:p w:rsidR="0061450F" w:rsidRPr="00864438" w:rsidRDefault="0061450F" w:rsidP="003B769B">
            <w:pPr>
              <w:jc w:val="right"/>
              <w:rPr>
                <w:rFonts w:ascii="Times New Roman" w:hAnsi="Times New Roman" w:cs="Times New Roman"/>
                <w:i/>
                <w:sz w:val="20"/>
                <w:szCs w:val="20"/>
              </w:rPr>
            </w:pPr>
            <w:r w:rsidRPr="00864438">
              <w:rPr>
                <w:rFonts w:ascii="Times New Roman" w:hAnsi="Times New Roman" w:cs="Times New Roman"/>
                <w:i/>
                <w:sz w:val="20"/>
                <w:szCs w:val="20"/>
              </w:rPr>
              <w:t>Offered suggestion on federal reporting process</w:t>
            </w:r>
          </w:p>
        </w:tc>
        <w:tc>
          <w:tcPr>
            <w:tcW w:w="1350" w:type="dxa"/>
            <w:tcBorders>
              <w:bottom w:val="single" w:sz="4" w:space="0" w:color="000000" w:themeColor="text1"/>
            </w:tcBorders>
            <w:shd w:val="clear" w:color="auto" w:fill="EEECE1" w:themeFill="background2"/>
            <w:vAlign w:val="bottom"/>
          </w:tcPr>
          <w:p w:rsidR="0061450F" w:rsidRPr="00864438" w:rsidRDefault="0061450F" w:rsidP="003B769B">
            <w:pPr>
              <w:jc w:val="center"/>
              <w:rPr>
                <w:rFonts w:ascii="Calibri" w:hAnsi="Calibri"/>
                <w:i/>
                <w:color w:val="000000"/>
                <w:sz w:val="20"/>
                <w:szCs w:val="20"/>
              </w:rPr>
            </w:pPr>
            <w:r w:rsidRPr="00864438">
              <w:rPr>
                <w:rFonts w:ascii="Calibri" w:hAnsi="Calibri"/>
                <w:i/>
                <w:color w:val="000000"/>
                <w:sz w:val="20"/>
                <w:szCs w:val="20"/>
              </w:rPr>
              <w:t>1</w:t>
            </w:r>
          </w:p>
        </w:tc>
      </w:tr>
      <w:tr w:rsidR="0061450F" w:rsidTr="003B769B">
        <w:tc>
          <w:tcPr>
            <w:tcW w:w="7038" w:type="dxa"/>
            <w:gridSpan w:val="2"/>
            <w:shd w:val="clear" w:color="auto" w:fill="808080" w:themeFill="background1" w:themeFillShade="80"/>
          </w:tcPr>
          <w:p w:rsidR="0061450F" w:rsidRDefault="0061450F" w:rsidP="003B769B">
            <w:pPr>
              <w:jc w:val="center"/>
              <w:rPr>
                <w:rFonts w:ascii="Times New Roman" w:hAnsi="Times New Roman" w:cs="Times New Roman"/>
                <w:b/>
                <w:sz w:val="23"/>
                <w:szCs w:val="23"/>
              </w:rPr>
            </w:pPr>
          </w:p>
        </w:tc>
      </w:tr>
      <w:tr w:rsidR="0061450F" w:rsidTr="003B769B">
        <w:tc>
          <w:tcPr>
            <w:tcW w:w="5688" w:type="dxa"/>
            <w:shd w:val="clear" w:color="auto" w:fill="auto"/>
          </w:tcPr>
          <w:p w:rsidR="0061450F" w:rsidRPr="00864438" w:rsidRDefault="0061450F" w:rsidP="003B769B">
            <w:pPr>
              <w:rPr>
                <w:rFonts w:ascii="Times New Roman" w:hAnsi="Times New Roman" w:cs="Times New Roman"/>
                <w:i/>
                <w:sz w:val="20"/>
                <w:szCs w:val="20"/>
              </w:rPr>
            </w:pPr>
            <w:r>
              <w:rPr>
                <w:rFonts w:ascii="Times New Roman" w:hAnsi="Times New Roman" w:cs="Times New Roman"/>
                <w:b/>
                <w:sz w:val="23"/>
                <w:szCs w:val="23"/>
              </w:rPr>
              <w:t>If opposed, what contention did the respondent have?</w:t>
            </w:r>
          </w:p>
        </w:tc>
        <w:tc>
          <w:tcPr>
            <w:tcW w:w="1350" w:type="dxa"/>
            <w:shd w:val="clear" w:color="auto" w:fill="auto"/>
          </w:tcPr>
          <w:p w:rsidR="0061450F" w:rsidRPr="00864438" w:rsidRDefault="0061450F" w:rsidP="003B769B">
            <w:pPr>
              <w:jc w:val="center"/>
              <w:rPr>
                <w:rFonts w:ascii="Times New Roman" w:hAnsi="Times New Roman" w:cs="Times New Roman"/>
                <w:b/>
                <w:sz w:val="23"/>
                <w:szCs w:val="23"/>
              </w:rPr>
            </w:pPr>
            <w:r>
              <w:rPr>
                <w:rFonts w:ascii="Times New Roman" w:hAnsi="Times New Roman" w:cs="Times New Roman"/>
                <w:b/>
                <w:sz w:val="23"/>
                <w:szCs w:val="23"/>
              </w:rPr>
              <w:t>Responses</w:t>
            </w:r>
          </w:p>
        </w:tc>
      </w:tr>
      <w:tr w:rsidR="0061450F" w:rsidTr="003B769B">
        <w:tc>
          <w:tcPr>
            <w:tcW w:w="5688" w:type="dxa"/>
            <w:shd w:val="clear" w:color="auto" w:fill="auto"/>
            <w:vAlign w:val="bottom"/>
          </w:tcPr>
          <w:p w:rsidR="0061450F" w:rsidRPr="00F731A4"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Undue administrative burden</w:t>
            </w:r>
          </w:p>
        </w:tc>
        <w:tc>
          <w:tcPr>
            <w:tcW w:w="1350" w:type="dxa"/>
            <w:shd w:val="clear" w:color="auto" w:fill="auto"/>
            <w:vAlign w:val="bottom"/>
          </w:tcPr>
          <w:p w:rsidR="0061450F" w:rsidRPr="00F731A4" w:rsidRDefault="0061450F" w:rsidP="003B769B">
            <w:pPr>
              <w:jc w:val="center"/>
              <w:rPr>
                <w:rFonts w:ascii="Calibri" w:hAnsi="Calibri"/>
                <w:b/>
                <w:color w:val="000000"/>
              </w:rPr>
            </w:pPr>
            <w:r>
              <w:rPr>
                <w:rFonts w:ascii="Calibri" w:hAnsi="Calibri"/>
                <w:b/>
                <w:color w:val="000000"/>
              </w:rPr>
              <w:t>12</w:t>
            </w:r>
          </w:p>
        </w:tc>
      </w:tr>
      <w:tr w:rsidR="0061450F" w:rsidTr="003B769B">
        <w:tc>
          <w:tcPr>
            <w:tcW w:w="5688" w:type="dxa"/>
            <w:shd w:val="clear" w:color="auto" w:fill="auto"/>
            <w:vAlign w:val="bottom"/>
          </w:tcPr>
          <w:p w:rsidR="0061450F" w:rsidRPr="0094569E"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Inability to report monthly</w:t>
            </w:r>
          </w:p>
        </w:tc>
        <w:tc>
          <w:tcPr>
            <w:tcW w:w="1350" w:type="dxa"/>
            <w:shd w:val="clear" w:color="auto" w:fill="auto"/>
            <w:vAlign w:val="bottom"/>
          </w:tcPr>
          <w:p w:rsidR="0061450F" w:rsidRPr="00F731A4" w:rsidRDefault="0061450F" w:rsidP="003B769B">
            <w:pPr>
              <w:jc w:val="center"/>
              <w:rPr>
                <w:rFonts w:ascii="Calibri" w:hAnsi="Calibri"/>
                <w:b/>
                <w:color w:val="000000"/>
              </w:rPr>
            </w:pPr>
            <w:r>
              <w:rPr>
                <w:rFonts w:ascii="Calibri" w:hAnsi="Calibri"/>
                <w:b/>
                <w:color w:val="000000"/>
              </w:rPr>
              <w:t>1</w:t>
            </w:r>
          </w:p>
        </w:tc>
      </w:tr>
      <w:tr w:rsidR="0061450F" w:rsidTr="003B769B">
        <w:trPr>
          <w:trHeight w:val="278"/>
        </w:trPr>
        <w:tc>
          <w:tcPr>
            <w:tcW w:w="5688" w:type="dxa"/>
            <w:shd w:val="clear" w:color="auto" w:fill="auto"/>
            <w:vAlign w:val="bottom"/>
          </w:tcPr>
          <w:p w:rsidR="0061450F" w:rsidRPr="0094569E"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Not useful</w:t>
            </w:r>
          </w:p>
        </w:tc>
        <w:tc>
          <w:tcPr>
            <w:tcW w:w="1350" w:type="dxa"/>
            <w:shd w:val="clear" w:color="auto" w:fill="auto"/>
            <w:vAlign w:val="bottom"/>
          </w:tcPr>
          <w:p w:rsidR="0061450F" w:rsidRPr="00F731A4" w:rsidRDefault="0061450F" w:rsidP="003B769B">
            <w:pPr>
              <w:jc w:val="center"/>
              <w:rPr>
                <w:rFonts w:ascii="Calibri" w:hAnsi="Calibri"/>
                <w:b/>
                <w:color w:val="000000"/>
              </w:rPr>
            </w:pPr>
            <w:r>
              <w:rPr>
                <w:rFonts w:ascii="Calibri" w:hAnsi="Calibri"/>
                <w:b/>
                <w:color w:val="000000"/>
              </w:rPr>
              <w:t>6</w:t>
            </w:r>
          </w:p>
        </w:tc>
      </w:tr>
      <w:tr w:rsidR="0061450F" w:rsidTr="003B769B">
        <w:trPr>
          <w:trHeight w:val="278"/>
        </w:trPr>
        <w:tc>
          <w:tcPr>
            <w:tcW w:w="5688" w:type="dxa"/>
            <w:shd w:val="clear" w:color="auto" w:fill="auto"/>
            <w:vAlign w:val="bottom"/>
          </w:tcPr>
          <w:p w:rsidR="0061450F" w:rsidRPr="0094569E"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Delays project execution</w:t>
            </w:r>
          </w:p>
        </w:tc>
        <w:tc>
          <w:tcPr>
            <w:tcW w:w="1350" w:type="dxa"/>
            <w:shd w:val="clear" w:color="auto" w:fill="auto"/>
            <w:vAlign w:val="bottom"/>
          </w:tcPr>
          <w:p w:rsidR="0061450F" w:rsidRPr="00F731A4" w:rsidRDefault="0061450F" w:rsidP="003B769B">
            <w:pPr>
              <w:jc w:val="center"/>
              <w:rPr>
                <w:rFonts w:ascii="Calibri" w:hAnsi="Calibri"/>
                <w:b/>
                <w:color w:val="000000"/>
              </w:rPr>
            </w:pPr>
            <w:r>
              <w:rPr>
                <w:rFonts w:ascii="Calibri" w:hAnsi="Calibri"/>
                <w:b/>
                <w:color w:val="000000"/>
              </w:rPr>
              <w:t>7</w:t>
            </w:r>
          </w:p>
        </w:tc>
      </w:tr>
      <w:tr w:rsidR="0061450F" w:rsidTr="003B769B">
        <w:trPr>
          <w:trHeight w:val="278"/>
        </w:trPr>
        <w:tc>
          <w:tcPr>
            <w:tcW w:w="5688" w:type="dxa"/>
            <w:shd w:val="clear" w:color="auto" w:fill="auto"/>
            <w:vAlign w:val="bottom"/>
          </w:tcPr>
          <w:p w:rsidR="0061450F" w:rsidRPr="00F731A4"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Forces reallocation of program operation funds</w:t>
            </w:r>
          </w:p>
        </w:tc>
        <w:tc>
          <w:tcPr>
            <w:tcW w:w="1350" w:type="dxa"/>
            <w:shd w:val="clear" w:color="auto" w:fill="auto"/>
            <w:vAlign w:val="bottom"/>
          </w:tcPr>
          <w:p w:rsidR="0061450F" w:rsidRPr="00F731A4" w:rsidRDefault="0061450F" w:rsidP="003B769B">
            <w:pPr>
              <w:jc w:val="center"/>
              <w:rPr>
                <w:rFonts w:ascii="Calibri" w:hAnsi="Calibri"/>
                <w:b/>
                <w:color w:val="000000"/>
              </w:rPr>
            </w:pPr>
            <w:r>
              <w:rPr>
                <w:rFonts w:ascii="Calibri" w:hAnsi="Calibri"/>
                <w:b/>
                <w:color w:val="000000"/>
              </w:rPr>
              <w:t>2</w:t>
            </w:r>
          </w:p>
        </w:tc>
      </w:tr>
    </w:tbl>
    <w:p w:rsidR="0061450F" w:rsidRDefault="0061450F" w:rsidP="0061450F">
      <w:pPr>
        <w:spacing w:after="0" w:line="240" w:lineRule="auto"/>
        <w:rPr>
          <w:rFonts w:ascii="Times New Roman" w:hAnsi="Times New Roman" w:cs="Times New Roman"/>
          <w:sz w:val="23"/>
          <w:szCs w:val="23"/>
        </w:rPr>
      </w:pPr>
    </w:p>
    <w:tbl>
      <w:tblPr>
        <w:tblStyle w:val="TableGrid"/>
        <w:tblW w:w="0" w:type="auto"/>
        <w:tblInd w:w="1170" w:type="dxa"/>
        <w:tblLayout w:type="fixed"/>
        <w:tblLook w:val="04A0"/>
      </w:tblPr>
      <w:tblGrid>
        <w:gridCol w:w="5688"/>
        <w:gridCol w:w="1350"/>
      </w:tblGrid>
      <w:tr w:rsidR="0061450F" w:rsidRPr="00864438" w:rsidTr="003B769B">
        <w:tc>
          <w:tcPr>
            <w:tcW w:w="7038" w:type="dxa"/>
            <w:gridSpan w:val="2"/>
            <w:shd w:val="clear" w:color="auto" w:fill="808080" w:themeFill="background1" w:themeFillShade="80"/>
          </w:tcPr>
          <w:p w:rsidR="0061450F" w:rsidRPr="00864438" w:rsidRDefault="0061450F" w:rsidP="003B769B">
            <w:pPr>
              <w:rPr>
                <w:rFonts w:ascii="Times New Roman" w:hAnsi="Times New Roman" w:cs="Times New Roman"/>
                <w:color w:val="FFFFFF" w:themeColor="background1"/>
                <w:sz w:val="23"/>
                <w:szCs w:val="23"/>
              </w:rPr>
            </w:pPr>
            <w:r>
              <w:rPr>
                <w:rFonts w:ascii="Times New Roman" w:hAnsi="Times New Roman" w:cs="Times New Roman"/>
                <w:color w:val="FFFFFF" w:themeColor="background1"/>
                <w:sz w:val="23"/>
                <w:szCs w:val="23"/>
              </w:rPr>
              <w:t xml:space="preserve">Energy Efficiency and Conservation Block Grant </w:t>
            </w:r>
            <w:r w:rsidRPr="00864438">
              <w:rPr>
                <w:rFonts w:ascii="Times New Roman" w:hAnsi="Times New Roman" w:cs="Times New Roman"/>
                <w:color w:val="FFFFFF" w:themeColor="background1"/>
                <w:sz w:val="23"/>
                <w:szCs w:val="23"/>
              </w:rPr>
              <w:t xml:space="preserve"> Program</w:t>
            </w:r>
            <w:r>
              <w:rPr>
                <w:rFonts w:ascii="Times New Roman" w:hAnsi="Times New Roman" w:cs="Times New Roman"/>
                <w:color w:val="FFFFFF" w:themeColor="background1"/>
                <w:sz w:val="23"/>
                <w:szCs w:val="23"/>
              </w:rPr>
              <w:t>: 61 responses</w:t>
            </w:r>
          </w:p>
        </w:tc>
      </w:tr>
      <w:tr w:rsidR="0061450F" w:rsidTr="003B769B">
        <w:tc>
          <w:tcPr>
            <w:tcW w:w="5688" w:type="dxa"/>
          </w:tcPr>
          <w:p w:rsidR="0061450F" w:rsidRPr="00FE3A7F" w:rsidRDefault="0061450F" w:rsidP="003B769B">
            <w:pPr>
              <w:rPr>
                <w:rFonts w:ascii="Times New Roman" w:hAnsi="Times New Roman" w:cs="Times New Roman"/>
                <w:b/>
                <w:sz w:val="23"/>
                <w:szCs w:val="23"/>
              </w:rPr>
            </w:pPr>
            <w:r>
              <w:rPr>
                <w:rFonts w:ascii="Times New Roman" w:hAnsi="Times New Roman" w:cs="Times New Roman"/>
                <w:b/>
                <w:sz w:val="23"/>
                <w:szCs w:val="23"/>
              </w:rPr>
              <w:t>Relevant Entity</w:t>
            </w:r>
          </w:p>
        </w:tc>
        <w:tc>
          <w:tcPr>
            <w:tcW w:w="1350" w:type="dxa"/>
          </w:tcPr>
          <w:p w:rsidR="0061450F" w:rsidRDefault="0061450F" w:rsidP="003B769B">
            <w:pPr>
              <w:jc w:val="center"/>
              <w:rPr>
                <w:rFonts w:ascii="Times New Roman" w:hAnsi="Times New Roman" w:cs="Times New Roman"/>
                <w:sz w:val="23"/>
                <w:szCs w:val="23"/>
              </w:rPr>
            </w:pPr>
            <w:r>
              <w:rPr>
                <w:rFonts w:ascii="Times New Roman" w:hAnsi="Times New Roman" w:cs="Times New Roman"/>
                <w:b/>
                <w:sz w:val="23"/>
                <w:szCs w:val="23"/>
              </w:rPr>
              <w:t>Responses</w:t>
            </w:r>
          </w:p>
        </w:tc>
      </w:tr>
      <w:tr w:rsidR="0061450F" w:rsidTr="003B769B">
        <w:tc>
          <w:tcPr>
            <w:tcW w:w="5688" w:type="dxa"/>
          </w:tcPr>
          <w:p w:rsidR="0061450F" w:rsidRPr="00F731A4" w:rsidRDefault="0061450F" w:rsidP="003B769B">
            <w:pPr>
              <w:rPr>
                <w:rFonts w:ascii="Times New Roman" w:hAnsi="Times New Roman" w:cs="Times New Roman"/>
                <w:sz w:val="23"/>
                <w:szCs w:val="23"/>
              </w:rPr>
            </w:pPr>
            <w:r>
              <w:rPr>
                <w:rFonts w:ascii="Times New Roman" w:hAnsi="Times New Roman" w:cs="Times New Roman"/>
                <w:sz w:val="23"/>
                <w:szCs w:val="23"/>
              </w:rPr>
              <w:t>State agency responsible for EECBG</w:t>
            </w:r>
          </w:p>
        </w:tc>
        <w:tc>
          <w:tcPr>
            <w:tcW w:w="1350" w:type="dxa"/>
          </w:tcPr>
          <w:p w:rsidR="0061450F" w:rsidRPr="00FE3A7F" w:rsidRDefault="0061450F" w:rsidP="003B769B">
            <w:pPr>
              <w:jc w:val="center"/>
              <w:rPr>
                <w:rFonts w:cs="Times New Roman"/>
                <w:b/>
              </w:rPr>
            </w:pPr>
            <w:r>
              <w:rPr>
                <w:rFonts w:cs="Times New Roman"/>
                <w:b/>
              </w:rPr>
              <w:t>11</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State Governor’s office</w:t>
            </w:r>
          </w:p>
        </w:tc>
        <w:tc>
          <w:tcPr>
            <w:tcW w:w="1350" w:type="dxa"/>
          </w:tcPr>
          <w:p w:rsidR="0061450F" w:rsidRPr="00FE3A7F" w:rsidRDefault="0061450F" w:rsidP="003B769B">
            <w:pPr>
              <w:jc w:val="center"/>
              <w:rPr>
                <w:rFonts w:cs="Times New Roman"/>
                <w:b/>
              </w:rPr>
            </w:pPr>
            <w:r w:rsidRPr="00FE3A7F">
              <w:rPr>
                <w:rFonts w:cs="Times New Roman"/>
                <w:b/>
              </w:rPr>
              <w:t>1</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State Recovery Act office</w:t>
            </w:r>
          </w:p>
        </w:tc>
        <w:tc>
          <w:tcPr>
            <w:tcW w:w="1350" w:type="dxa"/>
          </w:tcPr>
          <w:p w:rsidR="0061450F" w:rsidRPr="00FE3A7F" w:rsidRDefault="0061450F" w:rsidP="003B769B">
            <w:pPr>
              <w:jc w:val="center"/>
              <w:rPr>
                <w:rFonts w:cs="Times New Roman"/>
                <w:b/>
              </w:rPr>
            </w:pPr>
            <w:r w:rsidRPr="00FE3A7F">
              <w:rPr>
                <w:rFonts w:cs="Times New Roman"/>
                <w:b/>
              </w:rPr>
              <w:t>1</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County government</w:t>
            </w:r>
          </w:p>
        </w:tc>
        <w:tc>
          <w:tcPr>
            <w:tcW w:w="1350" w:type="dxa"/>
          </w:tcPr>
          <w:p w:rsidR="0061450F" w:rsidRPr="00FE3A7F" w:rsidRDefault="0061450F" w:rsidP="003B769B">
            <w:pPr>
              <w:jc w:val="center"/>
              <w:rPr>
                <w:rFonts w:cs="Times New Roman"/>
                <w:b/>
              </w:rPr>
            </w:pPr>
            <w:r>
              <w:rPr>
                <w:rFonts w:cs="Times New Roman"/>
                <w:b/>
              </w:rPr>
              <w:t>24</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City government</w:t>
            </w:r>
          </w:p>
        </w:tc>
        <w:tc>
          <w:tcPr>
            <w:tcW w:w="1350" w:type="dxa"/>
          </w:tcPr>
          <w:p w:rsidR="0061450F" w:rsidRPr="00FE3A7F" w:rsidRDefault="0061450F" w:rsidP="003B769B">
            <w:pPr>
              <w:jc w:val="center"/>
              <w:rPr>
                <w:rFonts w:cs="Times New Roman"/>
                <w:b/>
              </w:rPr>
            </w:pPr>
            <w:r>
              <w:rPr>
                <w:rFonts w:cs="Times New Roman"/>
                <w:b/>
              </w:rPr>
              <w:t>19</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Organization representing state &amp; local governments</w:t>
            </w:r>
          </w:p>
        </w:tc>
        <w:tc>
          <w:tcPr>
            <w:tcW w:w="1350" w:type="dxa"/>
          </w:tcPr>
          <w:p w:rsidR="0061450F" w:rsidRPr="00FE3A7F" w:rsidRDefault="0061450F" w:rsidP="003B769B">
            <w:pPr>
              <w:jc w:val="center"/>
              <w:rPr>
                <w:rFonts w:cs="Times New Roman"/>
                <w:b/>
              </w:rPr>
            </w:pPr>
            <w:r>
              <w:rPr>
                <w:rFonts w:cs="Times New Roman"/>
                <w:b/>
              </w:rPr>
              <w:t>3</w:t>
            </w:r>
          </w:p>
        </w:tc>
      </w:tr>
      <w:tr w:rsidR="0061450F" w:rsidTr="003B769B">
        <w:tc>
          <w:tcPr>
            <w:tcW w:w="5688" w:type="dxa"/>
          </w:tcPr>
          <w:p w:rsidR="0061450F" w:rsidRDefault="0061450F" w:rsidP="003B769B">
            <w:pPr>
              <w:rPr>
                <w:rFonts w:ascii="Times New Roman" w:hAnsi="Times New Roman" w:cs="Times New Roman"/>
                <w:b/>
                <w:sz w:val="23"/>
                <w:szCs w:val="23"/>
              </w:rPr>
            </w:pPr>
            <w:r>
              <w:rPr>
                <w:rFonts w:ascii="Times New Roman" w:hAnsi="Times New Roman" w:cs="Times New Roman"/>
                <w:sz w:val="23"/>
                <w:szCs w:val="23"/>
              </w:rPr>
              <w:t>Organization representing Energy Service companies</w:t>
            </w:r>
          </w:p>
        </w:tc>
        <w:tc>
          <w:tcPr>
            <w:tcW w:w="1350" w:type="dxa"/>
          </w:tcPr>
          <w:p w:rsidR="0061450F" w:rsidRPr="00FE3A7F" w:rsidRDefault="0061450F" w:rsidP="003B769B">
            <w:pPr>
              <w:jc w:val="center"/>
              <w:rPr>
                <w:rFonts w:cs="Times New Roman"/>
                <w:b/>
              </w:rPr>
            </w:pPr>
            <w:r>
              <w:rPr>
                <w:rFonts w:cs="Times New Roman"/>
                <w:b/>
              </w:rPr>
              <w:t>1</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Organizations representing counties and cities</w:t>
            </w:r>
          </w:p>
        </w:tc>
        <w:tc>
          <w:tcPr>
            <w:tcW w:w="1350" w:type="dxa"/>
          </w:tcPr>
          <w:p w:rsidR="0061450F" w:rsidRPr="00FE3A7F" w:rsidRDefault="0061450F" w:rsidP="003B769B">
            <w:pPr>
              <w:jc w:val="center"/>
              <w:rPr>
                <w:rFonts w:cs="Times New Roman"/>
                <w:b/>
              </w:rPr>
            </w:pPr>
            <w:r>
              <w:rPr>
                <w:rFonts w:cs="Times New Roman"/>
                <w:b/>
              </w:rPr>
              <w:t>1</w:t>
            </w:r>
          </w:p>
        </w:tc>
      </w:tr>
      <w:tr w:rsidR="0061450F" w:rsidTr="003B769B">
        <w:tc>
          <w:tcPr>
            <w:tcW w:w="7038" w:type="dxa"/>
            <w:gridSpan w:val="2"/>
            <w:shd w:val="clear" w:color="auto" w:fill="808080" w:themeFill="background1" w:themeFillShade="80"/>
          </w:tcPr>
          <w:p w:rsidR="0061450F" w:rsidRDefault="0061450F" w:rsidP="003B769B">
            <w:pPr>
              <w:jc w:val="center"/>
              <w:rPr>
                <w:rFonts w:ascii="Times New Roman" w:hAnsi="Times New Roman" w:cs="Times New Roman"/>
                <w:b/>
                <w:sz w:val="23"/>
                <w:szCs w:val="23"/>
              </w:rPr>
            </w:pPr>
          </w:p>
        </w:tc>
      </w:tr>
      <w:tr w:rsidR="0061450F" w:rsidTr="003B769B">
        <w:tc>
          <w:tcPr>
            <w:tcW w:w="5688" w:type="dxa"/>
          </w:tcPr>
          <w:p w:rsidR="0061450F" w:rsidRPr="00864438" w:rsidRDefault="0061450F" w:rsidP="003B769B">
            <w:pPr>
              <w:rPr>
                <w:rFonts w:ascii="Times New Roman" w:hAnsi="Times New Roman" w:cs="Times New Roman"/>
                <w:b/>
                <w:sz w:val="23"/>
                <w:szCs w:val="23"/>
              </w:rPr>
            </w:pPr>
            <w:r>
              <w:rPr>
                <w:rFonts w:ascii="Times New Roman" w:hAnsi="Times New Roman" w:cs="Times New Roman"/>
                <w:b/>
                <w:sz w:val="23"/>
                <w:szCs w:val="23"/>
              </w:rPr>
              <w:t>Position on monthly reporting</w:t>
            </w:r>
          </w:p>
        </w:tc>
        <w:tc>
          <w:tcPr>
            <w:tcW w:w="1350" w:type="dxa"/>
          </w:tcPr>
          <w:p w:rsidR="0061450F" w:rsidRPr="00864438" w:rsidRDefault="0061450F" w:rsidP="003B769B">
            <w:pPr>
              <w:jc w:val="center"/>
              <w:rPr>
                <w:rFonts w:ascii="Times New Roman" w:hAnsi="Times New Roman" w:cs="Times New Roman"/>
                <w:b/>
                <w:sz w:val="23"/>
                <w:szCs w:val="23"/>
              </w:rPr>
            </w:pPr>
            <w:r>
              <w:rPr>
                <w:rFonts w:ascii="Times New Roman" w:hAnsi="Times New Roman" w:cs="Times New Roman"/>
                <w:b/>
                <w:sz w:val="23"/>
                <w:szCs w:val="23"/>
              </w:rPr>
              <w:t>Responses</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Opposed</w:t>
            </w:r>
          </w:p>
        </w:tc>
        <w:tc>
          <w:tcPr>
            <w:tcW w:w="1350" w:type="dxa"/>
            <w:vAlign w:val="bottom"/>
          </w:tcPr>
          <w:p w:rsidR="0061450F" w:rsidRPr="00864438" w:rsidRDefault="0061450F" w:rsidP="003B769B">
            <w:pPr>
              <w:jc w:val="center"/>
              <w:rPr>
                <w:rFonts w:ascii="Calibri" w:hAnsi="Calibri"/>
                <w:b/>
                <w:color w:val="000000"/>
              </w:rPr>
            </w:pPr>
            <w:r>
              <w:rPr>
                <w:rFonts w:ascii="Calibri" w:hAnsi="Calibri"/>
                <w:b/>
                <w:color w:val="000000"/>
              </w:rPr>
              <w:t>54</w:t>
            </w:r>
          </w:p>
        </w:tc>
      </w:tr>
      <w:tr w:rsidR="0061450F" w:rsidTr="003B769B">
        <w:tc>
          <w:tcPr>
            <w:tcW w:w="5688" w:type="dxa"/>
          </w:tcPr>
          <w:p w:rsidR="0061450F" w:rsidRDefault="0061450F" w:rsidP="003B769B">
            <w:pPr>
              <w:rPr>
                <w:rFonts w:ascii="Times New Roman" w:hAnsi="Times New Roman" w:cs="Times New Roman"/>
                <w:sz w:val="23"/>
                <w:szCs w:val="23"/>
              </w:rPr>
            </w:pPr>
            <w:r>
              <w:rPr>
                <w:rFonts w:ascii="Times New Roman" w:hAnsi="Times New Roman" w:cs="Times New Roman"/>
                <w:sz w:val="23"/>
                <w:szCs w:val="23"/>
              </w:rPr>
              <w:t>Favor</w:t>
            </w:r>
          </w:p>
        </w:tc>
        <w:tc>
          <w:tcPr>
            <w:tcW w:w="1350" w:type="dxa"/>
            <w:vAlign w:val="bottom"/>
          </w:tcPr>
          <w:p w:rsidR="0061450F" w:rsidRPr="00864438" w:rsidRDefault="0061450F" w:rsidP="003B769B">
            <w:pPr>
              <w:jc w:val="center"/>
              <w:rPr>
                <w:rFonts w:ascii="Calibri" w:hAnsi="Calibri"/>
                <w:b/>
                <w:color w:val="000000"/>
              </w:rPr>
            </w:pPr>
            <w:r>
              <w:rPr>
                <w:rFonts w:ascii="Calibri" w:hAnsi="Calibri"/>
                <w:b/>
                <w:color w:val="000000"/>
              </w:rPr>
              <w:t>0</w:t>
            </w:r>
          </w:p>
        </w:tc>
      </w:tr>
      <w:tr w:rsidR="0061450F" w:rsidTr="003B769B">
        <w:tc>
          <w:tcPr>
            <w:tcW w:w="5688" w:type="dxa"/>
          </w:tcPr>
          <w:p w:rsidR="0061450F" w:rsidRPr="00864438" w:rsidRDefault="0061450F" w:rsidP="003B769B">
            <w:pPr>
              <w:rPr>
                <w:rFonts w:ascii="Times New Roman" w:hAnsi="Times New Roman" w:cs="Times New Roman"/>
                <w:i/>
                <w:sz w:val="23"/>
                <w:szCs w:val="23"/>
              </w:rPr>
            </w:pPr>
            <w:r>
              <w:rPr>
                <w:rFonts w:ascii="Times New Roman" w:hAnsi="Times New Roman" w:cs="Times New Roman"/>
                <w:sz w:val="23"/>
                <w:szCs w:val="23"/>
              </w:rPr>
              <w:t xml:space="preserve">Neutral </w:t>
            </w:r>
            <w:r>
              <w:rPr>
                <w:rFonts w:ascii="Times New Roman" w:hAnsi="Times New Roman" w:cs="Times New Roman"/>
                <w:i/>
                <w:sz w:val="23"/>
                <w:szCs w:val="23"/>
              </w:rPr>
              <w:t>(as delineated below)</w:t>
            </w:r>
          </w:p>
        </w:tc>
        <w:tc>
          <w:tcPr>
            <w:tcW w:w="1350" w:type="dxa"/>
            <w:vAlign w:val="bottom"/>
          </w:tcPr>
          <w:p w:rsidR="0061450F" w:rsidRPr="00864438" w:rsidRDefault="0061450F" w:rsidP="003B769B">
            <w:pPr>
              <w:jc w:val="center"/>
              <w:rPr>
                <w:rFonts w:ascii="Calibri" w:hAnsi="Calibri"/>
                <w:b/>
                <w:color w:val="000000"/>
              </w:rPr>
            </w:pPr>
            <w:r>
              <w:rPr>
                <w:rFonts w:ascii="Calibri" w:hAnsi="Calibri"/>
                <w:b/>
                <w:color w:val="000000"/>
              </w:rPr>
              <w:t>7</w:t>
            </w:r>
          </w:p>
        </w:tc>
      </w:tr>
      <w:tr w:rsidR="0061450F" w:rsidTr="003B769B">
        <w:tc>
          <w:tcPr>
            <w:tcW w:w="5688" w:type="dxa"/>
            <w:shd w:val="clear" w:color="auto" w:fill="EEECE1" w:themeFill="background2"/>
          </w:tcPr>
          <w:p w:rsidR="0061450F" w:rsidRPr="00864438" w:rsidRDefault="0061450F" w:rsidP="003B769B">
            <w:pPr>
              <w:jc w:val="right"/>
              <w:rPr>
                <w:rFonts w:ascii="Times New Roman" w:hAnsi="Times New Roman" w:cs="Times New Roman"/>
                <w:i/>
                <w:sz w:val="20"/>
                <w:szCs w:val="20"/>
              </w:rPr>
            </w:pPr>
            <w:r w:rsidRPr="00864438">
              <w:rPr>
                <w:rFonts w:ascii="Times New Roman" w:hAnsi="Times New Roman" w:cs="Times New Roman"/>
                <w:i/>
                <w:sz w:val="20"/>
                <w:szCs w:val="20"/>
              </w:rPr>
              <w:t>Requested clarification on federal reporting process</w:t>
            </w:r>
          </w:p>
        </w:tc>
        <w:tc>
          <w:tcPr>
            <w:tcW w:w="1350" w:type="dxa"/>
            <w:shd w:val="clear" w:color="auto" w:fill="EEECE1" w:themeFill="background2"/>
            <w:vAlign w:val="bottom"/>
          </w:tcPr>
          <w:p w:rsidR="0061450F" w:rsidRPr="00864438" w:rsidRDefault="0061450F" w:rsidP="003B769B">
            <w:pPr>
              <w:jc w:val="center"/>
              <w:rPr>
                <w:rFonts w:ascii="Calibri" w:hAnsi="Calibri"/>
                <w:i/>
                <w:color w:val="000000"/>
                <w:sz w:val="20"/>
                <w:szCs w:val="20"/>
              </w:rPr>
            </w:pPr>
            <w:r w:rsidRPr="00864438">
              <w:rPr>
                <w:rFonts w:ascii="Calibri" w:hAnsi="Calibri"/>
                <w:i/>
                <w:color w:val="000000"/>
                <w:sz w:val="20"/>
                <w:szCs w:val="20"/>
              </w:rPr>
              <w:t>6</w:t>
            </w:r>
          </w:p>
        </w:tc>
      </w:tr>
      <w:tr w:rsidR="0061450F" w:rsidTr="003B769B">
        <w:tc>
          <w:tcPr>
            <w:tcW w:w="5688" w:type="dxa"/>
            <w:tcBorders>
              <w:bottom w:val="single" w:sz="4" w:space="0" w:color="000000" w:themeColor="text1"/>
            </w:tcBorders>
            <w:shd w:val="clear" w:color="auto" w:fill="EEECE1" w:themeFill="background2"/>
          </w:tcPr>
          <w:p w:rsidR="0061450F" w:rsidRPr="00864438" w:rsidRDefault="0061450F" w:rsidP="003B769B">
            <w:pPr>
              <w:jc w:val="right"/>
              <w:rPr>
                <w:rFonts w:ascii="Times New Roman" w:hAnsi="Times New Roman" w:cs="Times New Roman"/>
                <w:i/>
                <w:sz w:val="20"/>
                <w:szCs w:val="20"/>
              </w:rPr>
            </w:pPr>
            <w:r w:rsidRPr="00864438">
              <w:rPr>
                <w:rFonts w:ascii="Times New Roman" w:hAnsi="Times New Roman" w:cs="Times New Roman"/>
                <w:i/>
                <w:sz w:val="20"/>
                <w:szCs w:val="20"/>
              </w:rPr>
              <w:t>Offered suggestion on federal reporting process</w:t>
            </w:r>
          </w:p>
        </w:tc>
        <w:tc>
          <w:tcPr>
            <w:tcW w:w="1350" w:type="dxa"/>
            <w:tcBorders>
              <w:bottom w:val="single" w:sz="4" w:space="0" w:color="000000" w:themeColor="text1"/>
            </w:tcBorders>
            <w:shd w:val="clear" w:color="auto" w:fill="EEECE1" w:themeFill="background2"/>
            <w:vAlign w:val="bottom"/>
          </w:tcPr>
          <w:p w:rsidR="0061450F" w:rsidRPr="00864438" w:rsidRDefault="0061450F" w:rsidP="003B769B">
            <w:pPr>
              <w:jc w:val="center"/>
              <w:rPr>
                <w:rFonts w:ascii="Calibri" w:hAnsi="Calibri"/>
                <w:i/>
                <w:color w:val="000000"/>
                <w:sz w:val="20"/>
                <w:szCs w:val="20"/>
              </w:rPr>
            </w:pPr>
            <w:r w:rsidRPr="00864438">
              <w:rPr>
                <w:rFonts w:ascii="Calibri" w:hAnsi="Calibri"/>
                <w:i/>
                <w:color w:val="000000"/>
                <w:sz w:val="20"/>
                <w:szCs w:val="20"/>
              </w:rPr>
              <w:t>1</w:t>
            </w:r>
          </w:p>
        </w:tc>
      </w:tr>
      <w:tr w:rsidR="0061450F" w:rsidTr="003B769B">
        <w:tc>
          <w:tcPr>
            <w:tcW w:w="7038" w:type="dxa"/>
            <w:gridSpan w:val="2"/>
            <w:shd w:val="clear" w:color="auto" w:fill="808080" w:themeFill="background1" w:themeFillShade="80"/>
          </w:tcPr>
          <w:p w:rsidR="0061450F" w:rsidRDefault="0061450F" w:rsidP="003B769B">
            <w:pPr>
              <w:jc w:val="center"/>
              <w:rPr>
                <w:rFonts w:ascii="Times New Roman" w:hAnsi="Times New Roman" w:cs="Times New Roman"/>
                <w:b/>
                <w:sz w:val="23"/>
                <w:szCs w:val="23"/>
              </w:rPr>
            </w:pPr>
          </w:p>
        </w:tc>
      </w:tr>
      <w:tr w:rsidR="0061450F" w:rsidTr="003B769B">
        <w:tc>
          <w:tcPr>
            <w:tcW w:w="5688" w:type="dxa"/>
            <w:shd w:val="clear" w:color="auto" w:fill="auto"/>
          </w:tcPr>
          <w:p w:rsidR="0061450F" w:rsidRPr="00864438" w:rsidRDefault="0061450F" w:rsidP="003B769B">
            <w:pPr>
              <w:rPr>
                <w:rFonts w:ascii="Times New Roman" w:hAnsi="Times New Roman" w:cs="Times New Roman"/>
                <w:i/>
                <w:sz w:val="20"/>
                <w:szCs w:val="20"/>
              </w:rPr>
            </w:pPr>
            <w:r>
              <w:rPr>
                <w:rFonts w:ascii="Times New Roman" w:hAnsi="Times New Roman" w:cs="Times New Roman"/>
                <w:b/>
                <w:sz w:val="23"/>
                <w:szCs w:val="23"/>
              </w:rPr>
              <w:t>If opposed, what contention did the respondent have?</w:t>
            </w:r>
          </w:p>
        </w:tc>
        <w:tc>
          <w:tcPr>
            <w:tcW w:w="1350" w:type="dxa"/>
            <w:shd w:val="clear" w:color="auto" w:fill="auto"/>
          </w:tcPr>
          <w:p w:rsidR="0061450F" w:rsidRPr="00864438" w:rsidRDefault="0061450F" w:rsidP="003B769B">
            <w:pPr>
              <w:jc w:val="center"/>
              <w:rPr>
                <w:rFonts w:ascii="Times New Roman" w:hAnsi="Times New Roman" w:cs="Times New Roman"/>
                <w:b/>
                <w:sz w:val="23"/>
                <w:szCs w:val="23"/>
              </w:rPr>
            </w:pPr>
            <w:r>
              <w:rPr>
                <w:rFonts w:ascii="Times New Roman" w:hAnsi="Times New Roman" w:cs="Times New Roman"/>
                <w:b/>
                <w:sz w:val="23"/>
                <w:szCs w:val="23"/>
              </w:rPr>
              <w:t>Responses</w:t>
            </w:r>
          </w:p>
        </w:tc>
      </w:tr>
      <w:tr w:rsidR="0061450F" w:rsidTr="003B769B">
        <w:tc>
          <w:tcPr>
            <w:tcW w:w="5688" w:type="dxa"/>
            <w:shd w:val="clear" w:color="auto" w:fill="auto"/>
            <w:vAlign w:val="bottom"/>
          </w:tcPr>
          <w:p w:rsidR="0061450F" w:rsidRPr="00F731A4"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Undue administrative burden</w:t>
            </w:r>
          </w:p>
        </w:tc>
        <w:tc>
          <w:tcPr>
            <w:tcW w:w="1350" w:type="dxa"/>
            <w:shd w:val="clear" w:color="auto" w:fill="auto"/>
            <w:vAlign w:val="bottom"/>
          </w:tcPr>
          <w:p w:rsidR="0061450F" w:rsidRPr="00F731A4" w:rsidRDefault="0061450F" w:rsidP="003B769B">
            <w:pPr>
              <w:jc w:val="center"/>
              <w:rPr>
                <w:rFonts w:ascii="Calibri" w:hAnsi="Calibri"/>
                <w:b/>
                <w:color w:val="000000"/>
              </w:rPr>
            </w:pPr>
            <w:r>
              <w:rPr>
                <w:rFonts w:ascii="Calibri" w:hAnsi="Calibri"/>
                <w:b/>
                <w:color w:val="000000"/>
              </w:rPr>
              <w:t>52</w:t>
            </w:r>
          </w:p>
        </w:tc>
      </w:tr>
      <w:tr w:rsidR="0061450F" w:rsidTr="003B769B">
        <w:tc>
          <w:tcPr>
            <w:tcW w:w="5688" w:type="dxa"/>
            <w:shd w:val="clear" w:color="auto" w:fill="auto"/>
            <w:vAlign w:val="bottom"/>
          </w:tcPr>
          <w:p w:rsidR="0061450F" w:rsidRPr="0094569E"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Inability to report monthly</w:t>
            </w:r>
          </w:p>
        </w:tc>
        <w:tc>
          <w:tcPr>
            <w:tcW w:w="1350" w:type="dxa"/>
            <w:shd w:val="clear" w:color="auto" w:fill="auto"/>
            <w:vAlign w:val="bottom"/>
          </w:tcPr>
          <w:p w:rsidR="0061450F" w:rsidRPr="00F731A4" w:rsidRDefault="0061450F" w:rsidP="003B769B">
            <w:pPr>
              <w:jc w:val="center"/>
              <w:rPr>
                <w:rFonts w:ascii="Calibri" w:hAnsi="Calibri"/>
                <w:b/>
                <w:color w:val="000000"/>
              </w:rPr>
            </w:pPr>
            <w:r>
              <w:rPr>
                <w:rFonts w:ascii="Calibri" w:hAnsi="Calibri"/>
                <w:b/>
                <w:color w:val="000000"/>
              </w:rPr>
              <w:t>3</w:t>
            </w:r>
          </w:p>
        </w:tc>
      </w:tr>
      <w:tr w:rsidR="0061450F" w:rsidTr="003B769B">
        <w:tc>
          <w:tcPr>
            <w:tcW w:w="5688" w:type="dxa"/>
            <w:shd w:val="clear" w:color="auto" w:fill="auto"/>
            <w:vAlign w:val="bottom"/>
          </w:tcPr>
          <w:p w:rsidR="0061450F" w:rsidRPr="0094569E"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Not useful</w:t>
            </w:r>
          </w:p>
        </w:tc>
        <w:tc>
          <w:tcPr>
            <w:tcW w:w="1350" w:type="dxa"/>
            <w:shd w:val="clear" w:color="auto" w:fill="auto"/>
            <w:vAlign w:val="bottom"/>
          </w:tcPr>
          <w:p w:rsidR="0061450F" w:rsidRPr="00F731A4" w:rsidRDefault="0061450F" w:rsidP="003B769B">
            <w:pPr>
              <w:jc w:val="center"/>
              <w:rPr>
                <w:rFonts w:ascii="Calibri" w:hAnsi="Calibri"/>
                <w:b/>
                <w:color w:val="000000"/>
              </w:rPr>
            </w:pPr>
            <w:r>
              <w:rPr>
                <w:rFonts w:ascii="Calibri" w:hAnsi="Calibri"/>
                <w:b/>
                <w:color w:val="000000"/>
              </w:rPr>
              <w:t>25</w:t>
            </w:r>
          </w:p>
        </w:tc>
      </w:tr>
      <w:tr w:rsidR="0061450F" w:rsidTr="003B769B">
        <w:tc>
          <w:tcPr>
            <w:tcW w:w="5688" w:type="dxa"/>
            <w:shd w:val="clear" w:color="auto" w:fill="auto"/>
            <w:vAlign w:val="bottom"/>
          </w:tcPr>
          <w:p w:rsidR="0061450F" w:rsidRPr="0094569E"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Delays project execution</w:t>
            </w:r>
          </w:p>
        </w:tc>
        <w:tc>
          <w:tcPr>
            <w:tcW w:w="1350" w:type="dxa"/>
            <w:shd w:val="clear" w:color="auto" w:fill="auto"/>
            <w:vAlign w:val="bottom"/>
          </w:tcPr>
          <w:p w:rsidR="0061450F" w:rsidRPr="00F731A4" w:rsidRDefault="0061450F" w:rsidP="003B769B">
            <w:pPr>
              <w:jc w:val="center"/>
              <w:rPr>
                <w:rFonts w:ascii="Calibri" w:hAnsi="Calibri"/>
                <w:b/>
                <w:color w:val="000000"/>
              </w:rPr>
            </w:pPr>
            <w:r>
              <w:rPr>
                <w:rFonts w:ascii="Calibri" w:hAnsi="Calibri"/>
                <w:b/>
                <w:color w:val="000000"/>
              </w:rPr>
              <w:t>33</w:t>
            </w:r>
          </w:p>
        </w:tc>
      </w:tr>
      <w:tr w:rsidR="0061450F" w:rsidTr="003B769B">
        <w:trPr>
          <w:trHeight w:val="278"/>
        </w:trPr>
        <w:tc>
          <w:tcPr>
            <w:tcW w:w="5688" w:type="dxa"/>
            <w:shd w:val="clear" w:color="auto" w:fill="auto"/>
            <w:vAlign w:val="bottom"/>
          </w:tcPr>
          <w:p w:rsidR="0061450F" w:rsidRPr="00F731A4" w:rsidRDefault="0061450F" w:rsidP="003B769B">
            <w:pPr>
              <w:rPr>
                <w:rFonts w:ascii="Times New Roman" w:hAnsi="Times New Roman" w:cs="Times New Roman"/>
                <w:color w:val="000000"/>
                <w:sz w:val="23"/>
                <w:szCs w:val="23"/>
              </w:rPr>
            </w:pPr>
            <w:r>
              <w:rPr>
                <w:rFonts w:ascii="Times New Roman" w:hAnsi="Times New Roman" w:cs="Times New Roman"/>
                <w:color w:val="000000"/>
                <w:sz w:val="23"/>
                <w:szCs w:val="23"/>
              </w:rPr>
              <w:t>Forces reallocation of program operation funds</w:t>
            </w:r>
          </w:p>
        </w:tc>
        <w:tc>
          <w:tcPr>
            <w:tcW w:w="1350" w:type="dxa"/>
            <w:shd w:val="clear" w:color="auto" w:fill="auto"/>
            <w:vAlign w:val="bottom"/>
          </w:tcPr>
          <w:p w:rsidR="0061450F" w:rsidRPr="00F731A4" w:rsidRDefault="0061450F" w:rsidP="003B769B">
            <w:pPr>
              <w:jc w:val="center"/>
              <w:rPr>
                <w:rFonts w:ascii="Calibri" w:hAnsi="Calibri"/>
                <w:b/>
                <w:color w:val="000000"/>
              </w:rPr>
            </w:pPr>
            <w:r>
              <w:rPr>
                <w:rFonts w:ascii="Calibri" w:hAnsi="Calibri"/>
                <w:b/>
                <w:color w:val="000000"/>
              </w:rPr>
              <w:t>11</w:t>
            </w:r>
          </w:p>
        </w:tc>
      </w:tr>
    </w:tbl>
    <w:p w:rsidR="0061450F" w:rsidRDefault="0061450F" w:rsidP="0061450F">
      <w:pPr>
        <w:spacing w:after="0" w:line="240" w:lineRule="auto"/>
        <w:rPr>
          <w:rFonts w:ascii="Times New Roman" w:hAnsi="Times New Roman" w:cs="Times New Roman"/>
          <w:b/>
          <w:sz w:val="23"/>
          <w:szCs w:val="23"/>
        </w:rPr>
      </w:pPr>
    </w:p>
    <w:p w:rsidR="0061450F" w:rsidRPr="00782147" w:rsidRDefault="0061450F" w:rsidP="0061450F">
      <w:pPr>
        <w:spacing w:after="0" w:line="240" w:lineRule="auto"/>
        <w:rPr>
          <w:rFonts w:ascii="Times New Roman" w:hAnsi="Times New Roman" w:cs="Times New Roman"/>
          <w:b/>
          <w:sz w:val="23"/>
          <w:szCs w:val="23"/>
          <w:u w:val="single"/>
        </w:rPr>
      </w:pPr>
      <w:r>
        <w:rPr>
          <w:rFonts w:ascii="Times New Roman" w:hAnsi="Times New Roman" w:cs="Times New Roman"/>
          <w:b/>
          <w:sz w:val="23"/>
          <w:szCs w:val="23"/>
        </w:rPr>
        <w:tab/>
      </w:r>
      <w:r w:rsidRPr="00782147">
        <w:rPr>
          <w:rFonts w:ascii="Times New Roman" w:hAnsi="Times New Roman" w:cs="Times New Roman"/>
          <w:b/>
          <w:sz w:val="23"/>
          <w:szCs w:val="23"/>
          <w:u w:val="single"/>
        </w:rPr>
        <w:t>Of the remaining (8) comments:</w:t>
      </w:r>
    </w:p>
    <w:p w:rsidR="0061450F" w:rsidRDefault="0061450F" w:rsidP="0061450F">
      <w:pPr>
        <w:spacing w:after="0" w:line="240" w:lineRule="auto"/>
        <w:ind w:left="720"/>
        <w:rPr>
          <w:rFonts w:ascii="Times New Roman" w:hAnsi="Times New Roman" w:cs="Times New Roman"/>
          <w:sz w:val="23"/>
          <w:szCs w:val="23"/>
        </w:rPr>
      </w:pPr>
      <w:r w:rsidRPr="00782147">
        <w:rPr>
          <w:rFonts w:ascii="Times New Roman" w:hAnsi="Times New Roman" w:cs="Times New Roman"/>
          <w:sz w:val="23"/>
          <w:szCs w:val="23"/>
        </w:rPr>
        <w:t>(2) addressed utility billing disclosure</w:t>
      </w:r>
      <w:r>
        <w:rPr>
          <w:rFonts w:ascii="Times New Roman" w:hAnsi="Times New Roman" w:cs="Times New Roman"/>
          <w:sz w:val="23"/>
          <w:szCs w:val="23"/>
        </w:rPr>
        <w:t xml:space="preserve"> and came from private organizations focused on energy efficiency and energy management. These comments were supportive of DOE’s efforts to use utility billing data to verify energy savings.</w:t>
      </w:r>
    </w:p>
    <w:p w:rsidR="0061450F" w:rsidRDefault="0061450F" w:rsidP="0061450F">
      <w:pPr>
        <w:spacing w:after="0" w:line="240" w:lineRule="auto"/>
        <w:rPr>
          <w:rFonts w:ascii="Times New Roman" w:hAnsi="Times New Roman" w:cs="Times New Roman"/>
          <w:sz w:val="23"/>
          <w:szCs w:val="23"/>
        </w:rPr>
      </w:pPr>
    </w:p>
    <w:p w:rsidR="0061450F" w:rsidRDefault="0061450F" w:rsidP="0061450F">
      <w:pPr>
        <w:spacing w:after="0" w:line="240" w:lineRule="auto"/>
        <w:ind w:left="720"/>
        <w:rPr>
          <w:rFonts w:ascii="Times New Roman" w:hAnsi="Times New Roman" w:cs="Times New Roman"/>
          <w:sz w:val="23"/>
          <w:szCs w:val="23"/>
        </w:rPr>
      </w:pPr>
      <w:r w:rsidRPr="00782147">
        <w:rPr>
          <w:rFonts w:ascii="Times New Roman" w:hAnsi="Times New Roman" w:cs="Times New Roman"/>
          <w:sz w:val="23"/>
          <w:szCs w:val="23"/>
        </w:rPr>
        <w:t>(6) were irrelevant to the issue of either reporting or utility billing disclosure</w:t>
      </w:r>
      <w:r>
        <w:rPr>
          <w:rFonts w:ascii="Times New Roman" w:hAnsi="Times New Roman" w:cs="Times New Roman"/>
          <w:sz w:val="23"/>
          <w:szCs w:val="23"/>
        </w:rPr>
        <w:t xml:space="preserve"> and came from service contractors and equipment vendors.</w:t>
      </w:r>
    </w:p>
    <w:p w:rsidR="005A1B3E" w:rsidRDefault="005A1B3E" w:rsidP="005A1B3E">
      <w:pPr>
        <w:pBdr>
          <w:bottom w:val="single" w:sz="6" w:space="1" w:color="auto"/>
        </w:pBdr>
        <w:spacing w:after="0" w:line="240" w:lineRule="auto"/>
        <w:rPr>
          <w:rFonts w:ascii="Times New Roman" w:hAnsi="Times New Roman" w:cs="Times New Roman"/>
          <w:sz w:val="23"/>
          <w:szCs w:val="23"/>
        </w:rPr>
      </w:pPr>
    </w:p>
    <w:p w:rsidR="005A1B3E" w:rsidRPr="008163A9" w:rsidRDefault="005A1B3E" w:rsidP="005A1B3E">
      <w:pPr>
        <w:pBdr>
          <w:bottom w:val="single" w:sz="6" w:space="1" w:color="auto"/>
        </w:pBdr>
        <w:spacing w:after="0" w:line="240" w:lineRule="auto"/>
        <w:rPr>
          <w:rFonts w:ascii="Times New Roman" w:hAnsi="Times New Roman" w:cs="Times New Roman"/>
          <w:b/>
          <w:sz w:val="23"/>
          <w:szCs w:val="23"/>
        </w:rPr>
      </w:pPr>
      <w:r>
        <w:rPr>
          <w:rFonts w:ascii="Times New Roman" w:hAnsi="Times New Roman" w:cs="Times New Roman"/>
          <w:b/>
          <w:sz w:val="23"/>
          <w:szCs w:val="23"/>
        </w:rPr>
        <w:t>DOE Response to public comments</w:t>
      </w:r>
    </w:p>
    <w:p w:rsidR="005A1B3E" w:rsidRDefault="005A1B3E" w:rsidP="005A1B3E">
      <w:pPr>
        <w:spacing w:after="0" w:line="240" w:lineRule="auto"/>
        <w:rPr>
          <w:rFonts w:ascii="Times New Roman" w:hAnsi="Times New Roman" w:cs="Times New Roman"/>
          <w:sz w:val="23"/>
          <w:szCs w:val="23"/>
        </w:rPr>
      </w:pPr>
      <w:r>
        <w:rPr>
          <w:rFonts w:ascii="Times New Roman" w:hAnsi="Times New Roman" w:cs="Times New Roman"/>
          <w:sz w:val="23"/>
          <w:szCs w:val="23"/>
        </w:rPr>
        <w:tab/>
      </w:r>
    </w:p>
    <w:p w:rsidR="005A1B3E" w:rsidRDefault="005A1B3E" w:rsidP="005A1B3E">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 Monthly reporting represents an undue administrative burden upon recipients who are already taxed in their efforts to meet reporting and data collection requirements for OMB (via FederalReporting.gov) and DOE. </w:t>
      </w:r>
    </w:p>
    <w:p w:rsidR="005A1B3E" w:rsidRDefault="005A1B3E" w:rsidP="005A1B3E">
      <w:pPr>
        <w:spacing w:after="0" w:line="240" w:lineRule="auto"/>
        <w:rPr>
          <w:rFonts w:ascii="Times New Roman" w:hAnsi="Times New Roman" w:cs="Times New Roman"/>
          <w:sz w:val="23"/>
          <w:szCs w:val="23"/>
        </w:rPr>
      </w:pPr>
    </w:p>
    <w:p w:rsidR="005A1B3E" w:rsidRDefault="005A1B3E" w:rsidP="005A1B3E">
      <w:pPr>
        <w:spacing w:after="0" w:line="240" w:lineRule="auto"/>
        <w:rPr>
          <w:rFonts w:ascii="Times New Roman" w:hAnsi="Times New Roman" w:cs="Times New Roman"/>
          <w:sz w:val="23"/>
          <w:szCs w:val="23"/>
        </w:rPr>
      </w:pPr>
      <w:bookmarkStart w:id="0" w:name="OLE_LINK1"/>
      <w:bookmarkStart w:id="1" w:name="OLE_LINK2"/>
      <w:r>
        <w:rPr>
          <w:rFonts w:ascii="Times New Roman" w:hAnsi="Times New Roman" w:cs="Times New Roman"/>
          <w:sz w:val="23"/>
          <w:szCs w:val="23"/>
        </w:rPr>
        <w:t xml:space="preserve">2. Recipients are unable to report performance data on a monthly basis without revamping financial and accounting systems. Furthermore, implementation of monthly reporting would force several recipients to rewrite contracts already signed for performance of Recovery Act projects. </w:t>
      </w:r>
    </w:p>
    <w:bookmarkEnd w:id="0"/>
    <w:bookmarkEnd w:id="1"/>
    <w:p w:rsidR="005A1B3E" w:rsidRDefault="005A1B3E" w:rsidP="005A1B3E">
      <w:pPr>
        <w:spacing w:after="0" w:line="240" w:lineRule="auto"/>
        <w:rPr>
          <w:rFonts w:ascii="Times New Roman" w:hAnsi="Times New Roman" w:cs="Times New Roman"/>
          <w:sz w:val="23"/>
          <w:szCs w:val="23"/>
        </w:rPr>
      </w:pPr>
    </w:p>
    <w:p w:rsidR="005A1B3E" w:rsidRDefault="005A1B3E" w:rsidP="005A1B3E">
      <w:pPr>
        <w:autoSpaceDE w:val="0"/>
        <w:autoSpaceDN w:val="0"/>
        <w:adjustRightInd w:val="0"/>
        <w:spacing w:after="0" w:line="240" w:lineRule="auto"/>
        <w:rPr>
          <w:rFonts w:ascii="Times New Roman" w:hAnsi="Times New Roman" w:cs="Times New Roman"/>
          <w:i/>
          <w:sz w:val="23"/>
          <w:szCs w:val="23"/>
        </w:rPr>
      </w:pPr>
      <w:r w:rsidRPr="00F81174">
        <w:rPr>
          <w:rFonts w:ascii="Times New Roman" w:hAnsi="Times New Roman" w:cs="Times New Roman"/>
          <w:i/>
          <w:sz w:val="23"/>
          <w:szCs w:val="23"/>
        </w:rPr>
        <w:t xml:space="preserve">While DOE acknowledges the additional burden represented by this new reporting requirement, it also believes that collection of a tailored subset of metrics is vital to ensuring the proper management of its programs and their continued success. </w:t>
      </w:r>
      <w:r>
        <w:rPr>
          <w:rFonts w:ascii="Times New Roman" w:hAnsi="Times New Roman" w:cs="Times New Roman"/>
          <w:i/>
          <w:sz w:val="23"/>
          <w:szCs w:val="23"/>
        </w:rPr>
        <w:t xml:space="preserve">Specifically, the current delay associated with quarterly reporting leaves the agency with limited visibility on performance in a quarter until a month after the close of the quarter. This delay leaves the agency unable to effectively identify and respond to issues within a proper timeframe, which forestalls DOE’s ability to defend program performance to external entities and provides an unacceptable window for fraud, waste, and abuse of federal funds. </w:t>
      </w:r>
    </w:p>
    <w:p w:rsidR="005A1B3E" w:rsidRDefault="005A1B3E" w:rsidP="005A1B3E">
      <w:pPr>
        <w:autoSpaceDE w:val="0"/>
        <w:autoSpaceDN w:val="0"/>
        <w:adjustRightInd w:val="0"/>
        <w:spacing w:after="0" w:line="240" w:lineRule="auto"/>
        <w:rPr>
          <w:rFonts w:ascii="Times New Roman" w:hAnsi="Times New Roman" w:cs="Times New Roman"/>
          <w:i/>
          <w:sz w:val="23"/>
          <w:szCs w:val="23"/>
        </w:rPr>
      </w:pPr>
    </w:p>
    <w:p w:rsidR="005A1B3E" w:rsidRDefault="005A1B3E" w:rsidP="005A1B3E">
      <w:pPr>
        <w:autoSpaceDE w:val="0"/>
        <w:autoSpaceDN w:val="0"/>
        <w:adjustRightInd w:val="0"/>
        <w:spacing w:after="0" w:line="240" w:lineRule="auto"/>
        <w:rPr>
          <w:rFonts w:ascii="Times New Roman" w:hAnsi="Times New Roman" w:cs="Times New Roman"/>
          <w:i/>
          <w:sz w:val="23"/>
          <w:szCs w:val="23"/>
        </w:rPr>
      </w:pPr>
      <w:r w:rsidRPr="008C3408">
        <w:rPr>
          <w:rFonts w:ascii="Times New Roman" w:hAnsi="Times New Roman" w:cs="Times New Roman"/>
          <w:i/>
          <w:sz w:val="23"/>
          <w:szCs w:val="23"/>
        </w:rPr>
        <w:t>While recipients may not currently have the capacity to aggregate data from the necessary entities, DOE believes that the coming transition to the online reporting tool (Performance and Accountability for Grants in Energy-PAGE)</w:t>
      </w:r>
      <w:r>
        <w:rPr>
          <w:rFonts w:ascii="Times New Roman" w:hAnsi="Times New Roman" w:cs="Times New Roman"/>
          <w:i/>
          <w:sz w:val="23"/>
          <w:szCs w:val="23"/>
        </w:rPr>
        <w:t xml:space="preserve"> will facilitate the delegation of reporting responsibilities and ease the reporting burden.</w:t>
      </w:r>
      <w:r w:rsidR="0079319B">
        <w:rPr>
          <w:rFonts w:ascii="Times New Roman" w:hAnsi="Times New Roman" w:cs="Times New Roman"/>
          <w:i/>
          <w:sz w:val="23"/>
          <w:szCs w:val="23"/>
        </w:rPr>
        <w:t xml:space="preserve"> Transition to the PAGE system</w:t>
      </w:r>
      <w:r w:rsidR="005E4EA8">
        <w:rPr>
          <w:rFonts w:ascii="Times New Roman" w:hAnsi="Times New Roman" w:cs="Times New Roman"/>
          <w:i/>
          <w:sz w:val="23"/>
          <w:szCs w:val="23"/>
        </w:rPr>
        <w:t xml:space="preserve"> for WAP and SEP recipients</w:t>
      </w:r>
      <w:r w:rsidR="0079319B">
        <w:rPr>
          <w:rFonts w:ascii="Times New Roman" w:hAnsi="Times New Roman" w:cs="Times New Roman"/>
          <w:i/>
          <w:sz w:val="23"/>
          <w:szCs w:val="23"/>
        </w:rPr>
        <w:t xml:space="preserve"> will occur by March 31, 2010 with the first required report in PAGE due on April 30, 2010. In advance of the transition to PAGE, state WAP</w:t>
      </w:r>
      <w:r w:rsidR="00716A63">
        <w:rPr>
          <w:rFonts w:ascii="Times New Roman" w:hAnsi="Times New Roman" w:cs="Times New Roman"/>
          <w:i/>
          <w:sz w:val="23"/>
          <w:szCs w:val="23"/>
        </w:rPr>
        <w:t xml:space="preserve"> and </w:t>
      </w:r>
      <w:r w:rsidR="005E4EA8">
        <w:rPr>
          <w:rFonts w:ascii="Times New Roman" w:hAnsi="Times New Roman" w:cs="Times New Roman"/>
          <w:i/>
          <w:sz w:val="23"/>
          <w:szCs w:val="23"/>
        </w:rPr>
        <w:t>SEP</w:t>
      </w:r>
      <w:r w:rsidR="0079319B">
        <w:rPr>
          <w:rFonts w:ascii="Times New Roman" w:hAnsi="Times New Roman" w:cs="Times New Roman"/>
          <w:i/>
          <w:sz w:val="23"/>
          <w:szCs w:val="23"/>
        </w:rPr>
        <w:t xml:space="preserve"> agencies will be given the opportunity to attend a familiarization webinar hosted by DOE staff and PAGE development staff. Furthermore, a series of PAGE training webinars </w:t>
      </w:r>
      <w:r w:rsidR="005E4EA8">
        <w:rPr>
          <w:rFonts w:ascii="Times New Roman" w:hAnsi="Times New Roman" w:cs="Times New Roman"/>
          <w:i/>
          <w:sz w:val="23"/>
          <w:szCs w:val="23"/>
        </w:rPr>
        <w:t>for WAP</w:t>
      </w:r>
      <w:r w:rsidR="00716A63">
        <w:rPr>
          <w:rFonts w:ascii="Times New Roman" w:hAnsi="Times New Roman" w:cs="Times New Roman"/>
          <w:i/>
          <w:sz w:val="23"/>
          <w:szCs w:val="23"/>
        </w:rPr>
        <w:t xml:space="preserve"> and </w:t>
      </w:r>
      <w:r w:rsidR="005E4EA8">
        <w:rPr>
          <w:rFonts w:ascii="Times New Roman" w:hAnsi="Times New Roman" w:cs="Times New Roman"/>
          <w:i/>
          <w:sz w:val="23"/>
          <w:szCs w:val="23"/>
        </w:rPr>
        <w:t xml:space="preserve">SEP recipients will be held in early April to familiarize them with the system. </w:t>
      </w:r>
    </w:p>
    <w:p w:rsidR="005E4EA8" w:rsidRDefault="005E4EA8" w:rsidP="005A1B3E">
      <w:pPr>
        <w:autoSpaceDE w:val="0"/>
        <w:autoSpaceDN w:val="0"/>
        <w:adjustRightInd w:val="0"/>
        <w:spacing w:after="0" w:line="240" w:lineRule="auto"/>
        <w:rPr>
          <w:rFonts w:ascii="Times New Roman" w:hAnsi="Times New Roman" w:cs="Times New Roman"/>
          <w:i/>
          <w:sz w:val="23"/>
          <w:szCs w:val="23"/>
        </w:rPr>
      </w:pPr>
    </w:p>
    <w:p w:rsidR="005E4EA8" w:rsidRPr="008C3408" w:rsidRDefault="005E4EA8" w:rsidP="005A1B3E">
      <w:p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t>EECBG recipients already report performance metrics to DOE via PAGE and have the opportunity to attend weekly training webinars.</w:t>
      </w:r>
    </w:p>
    <w:p w:rsidR="005A1B3E" w:rsidRDefault="005A1B3E" w:rsidP="005A1B3E">
      <w:pPr>
        <w:autoSpaceDE w:val="0"/>
        <w:autoSpaceDN w:val="0"/>
        <w:adjustRightInd w:val="0"/>
        <w:spacing w:after="0" w:line="240" w:lineRule="auto"/>
        <w:rPr>
          <w:rFonts w:ascii="Courier New" w:hAnsi="Courier New" w:cs="Courier New"/>
          <w:sz w:val="20"/>
          <w:szCs w:val="20"/>
        </w:rPr>
      </w:pPr>
    </w:p>
    <w:p w:rsidR="005E4EA8" w:rsidRDefault="005A1B3E" w:rsidP="005A1B3E">
      <w:p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lastRenderedPageBreak/>
        <w:t xml:space="preserve">In response to the public comments received, DOE has re-aligned the monthly reporting deadline and reviewed all metrics requested monthly to ensure that only that set essential for proper program management is requested. </w:t>
      </w:r>
    </w:p>
    <w:p w:rsidR="00957859" w:rsidRDefault="00957859" w:rsidP="005A1B3E">
      <w:pPr>
        <w:autoSpaceDE w:val="0"/>
        <w:autoSpaceDN w:val="0"/>
        <w:adjustRightInd w:val="0"/>
        <w:spacing w:after="0" w:line="240" w:lineRule="auto"/>
        <w:rPr>
          <w:rFonts w:ascii="Times New Roman" w:hAnsi="Times New Roman" w:cs="Times New Roman"/>
          <w:i/>
          <w:sz w:val="23"/>
          <w:szCs w:val="23"/>
        </w:rPr>
      </w:pPr>
    </w:p>
    <w:p w:rsidR="005E4EA8" w:rsidRDefault="005E4EA8" w:rsidP="005A1B3E">
      <w:p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t>For WAP, this includes</w:t>
      </w:r>
    </w:p>
    <w:p w:rsidR="00A23C93" w:rsidRDefault="005E4EA8" w:rsidP="00A23C93">
      <w:pPr>
        <w:pStyle w:val="ListParagraph"/>
        <w:numPr>
          <w:ilvl w:val="0"/>
          <w:numId w:val="2"/>
        </w:num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t>Outlays (expenditure of Recovery Act funds)</w:t>
      </w:r>
    </w:p>
    <w:p w:rsidR="00A23C93" w:rsidRDefault="005E4EA8" w:rsidP="00A23C93">
      <w:pPr>
        <w:pStyle w:val="ListParagraph"/>
        <w:numPr>
          <w:ilvl w:val="0"/>
          <w:numId w:val="2"/>
        </w:num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t>Total units weatherized &amp; re-weatherized (at the State level)</w:t>
      </w:r>
    </w:p>
    <w:p w:rsidR="005E4EA8" w:rsidRPr="005E4EA8" w:rsidRDefault="005E4EA8" w:rsidP="005E4EA8">
      <w:pPr>
        <w:pStyle w:val="ListParagraph"/>
        <w:numPr>
          <w:ilvl w:val="0"/>
          <w:numId w:val="2"/>
        </w:num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t>Total units weatherized &amp; re-weatherized (at the Subgrantee level)</w:t>
      </w:r>
    </w:p>
    <w:p w:rsidR="00A23C93" w:rsidRPr="00A23C93" w:rsidRDefault="00A23C93" w:rsidP="00A23C93">
      <w:pPr>
        <w:pStyle w:val="ListParagraph"/>
        <w:autoSpaceDE w:val="0"/>
        <w:autoSpaceDN w:val="0"/>
        <w:adjustRightInd w:val="0"/>
        <w:spacing w:after="0" w:line="240" w:lineRule="auto"/>
        <w:rPr>
          <w:rFonts w:ascii="Times New Roman" w:hAnsi="Times New Roman" w:cs="Times New Roman"/>
          <w:i/>
          <w:sz w:val="23"/>
          <w:szCs w:val="23"/>
        </w:rPr>
      </w:pPr>
    </w:p>
    <w:p w:rsidR="005E4EA8" w:rsidRDefault="005E4EA8" w:rsidP="005A1B3E">
      <w:p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t>For SEP and EECBG, this includes (by Market Title or Project Activity respectively)</w:t>
      </w:r>
    </w:p>
    <w:p w:rsidR="00A23C93" w:rsidRDefault="005E4EA8" w:rsidP="00A23C93">
      <w:pPr>
        <w:pStyle w:val="ListParagraph"/>
        <w:numPr>
          <w:ilvl w:val="0"/>
          <w:numId w:val="3"/>
        </w:num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t>Outlays (expenditure of Recovery Act funds)</w:t>
      </w:r>
    </w:p>
    <w:p w:rsidR="00A23C93" w:rsidRDefault="005E4EA8" w:rsidP="00A23C93">
      <w:pPr>
        <w:pStyle w:val="ListParagraph"/>
        <w:numPr>
          <w:ilvl w:val="0"/>
          <w:numId w:val="3"/>
        </w:num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t>Number and amount of loans/grants given (if applicable)</w:t>
      </w:r>
    </w:p>
    <w:p w:rsidR="00A23C93" w:rsidRDefault="005E4EA8" w:rsidP="00A23C93">
      <w:pPr>
        <w:pStyle w:val="ListParagraph"/>
        <w:numPr>
          <w:ilvl w:val="0"/>
          <w:numId w:val="3"/>
        </w:num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t>Number and square footage of buildings retrofitted</w:t>
      </w:r>
    </w:p>
    <w:p w:rsidR="00666A4C" w:rsidRDefault="00716A63">
      <w:pPr>
        <w:pStyle w:val="ListParagraph"/>
        <w:numPr>
          <w:ilvl w:val="0"/>
          <w:numId w:val="3"/>
        </w:numPr>
        <w:autoSpaceDE w:val="0"/>
        <w:autoSpaceDN w:val="0"/>
        <w:adjustRightInd w:val="0"/>
        <w:spacing w:after="0" w:line="240" w:lineRule="auto"/>
        <w:rPr>
          <w:rFonts w:ascii="Times New Roman" w:hAnsi="Times New Roman" w:cs="Times New Roman"/>
          <w:i/>
          <w:sz w:val="23"/>
          <w:szCs w:val="23"/>
        </w:rPr>
      </w:pPr>
      <w:r>
        <w:rPr>
          <w:rFonts w:ascii="Times New Roman" w:hAnsi="Times New Roman" w:cs="Times New Roman"/>
          <w:i/>
          <w:sz w:val="23"/>
          <w:szCs w:val="23"/>
        </w:rPr>
        <w:t>Number and capacity of renewable energy installations</w:t>
      </w:r>
    </w:p>
    <w:p w:rsidR="002A4543" w:rsidRPr="002A4543" w:rsidRDefault="002A4543" w:rsidP="002A4543">
      <w:pPr>
        <w:autoSpaceDE w:val="0"/>
        <w:autoSpaceDN w:val="0"/>
        <w:adjustRightInd w:val="0"/>
        <w:spacing w:after="0" w:line="240" w:lineRule="auto"/>
        <w:rPr>
          <w:rFonts w:ascii="Times New Roman" w:hAnsi="Times New Roman" w:cs="Times New Roman"/>
          <w:i/>
          <w:sz w:val="23"/>
          <w:szCs w:val="23"/>
        </w:rPr>
      </w:pPr>
    </w:p>
    <w:p w:rsidR="005A1B3E" w:rsidRPr="00F81174" w:rsidRDefault="005A1B3E" w:rsidP="005A1B3E">
      <w:pPr>
        <w:autoSpaceDE w:val="0"/>
        <w:autoSpaceDN w:val="0"/>
        <w:adjustRightInd w:val="0"/>
        <w:spacing w:after="0" w:line="240" w:lineRule="auto"/>
        <w:rPr>
          <w:rFonts w:ascii="Times New Roman" w:hAnsi="Times New Roman" w:cs="Times New Roman"/>
          <w:i/>
          <w:sz w:val="23"/>
          <w:szCs w:val="23"/>
        </w:rPr>
      </w:pPr>
      <w:r w:rsidRPr="00F81174">
        <w:rPr>
          <w:rFonts w:ascii="Times New Roman" w:hAnsi="Times New Roman" w:cs="Times New Roman"/>
          <w:i/>
          <w:sz w:val="23"/>
          <w:szCs w:val="23"/>
        </w:rPr>
        <w:t>Over the coming months, DOE will work with the relevant stakeholder organizations and recipients to facilitate the implementation of Recovery Act reporting requirements and reduce the burden imposed by these requirements as</w:t>
      </w:r>
      <w:r>
        <w:rPr>
          <w:rFonts w:ascii="Times New Roman" w:hAnsi="Times New Roman" w:cs="Times New Roman"/>
          <w:i/>
          <w:sz w:val="23"/>
          <w:szCs w:val="23"/>
        </w:rPr>
        <w:t xml:space="preserve"> much as possible</w:t>
      </w:r>
      <w:r w:rsidRPr="00F81174">
        <w:rPr>
          <w:rFonts w:ascii="Times New Roman" w:hAnsi="Times New Roman" w:cs="Times New Roman"/>
          <w:i/>
          <w:sz w:val="23"/>
          <w:szCs w:val="23"/>
        </w:rPr>
        <w:t>.</w:t>
      </w:r>
      <w:r w:rsidR="005E4EA8">
        <w:rPr>
          <w:rFonts w:ascii="Times New Roman" w:hAnsi="Times New Roman" w:cs="Times New Roman"/>
          <w:i/>
          <w:sz w:val="23"/>
          <w:szCs w:val="23"/>
        </w:rPr>
        <w:t xml:space="preserve"> In response to public comment, all jobs data will be collected on a quarterly (not monthly) basis.</w:t>
      </w:r>
    </w:p>
    <w:p w:rsidR="005A1B3E" w:rsidRDefault="005A1B3E" w:rsidP="005A1B3E">
      <w:pPr>
        <w:spacing w:after="0" w:line="240" w:lineRule="auto"/>
        <w:rPr>
          <w:rFonts w:ascii="Times New Roman" w:hAnsi="Times New Roman" w:cs="Times New Roman"/>
          <w:sz w:val="23"/>
          <w:szCs w:val="23"/>
        </w:rPr>
      </w:pPr>
    </w:p>
    <w:p w:rsidR="005A1B3E" w:rsidRDefault="005A1B3E" w:rsidP="005A1B3E">
      <w:pPr>
        <w:spacing w:after="0" w:line="240" w:lineRule="auto"/>
        <w:rPr>
          <w:rFonts w:ascii="Times New Roman" w:hAnsi="Times New Roman" w:cs="Times New Roman"/>
          <w:sz w:val="23"/>
          <w:szCs w:val="23"/>
        </w:rPr>
      </w:pPr>
      <w:r>
        <w:rPr>
          <w:rFonts w:ascii="Times New Roman" w:hAnsi="Times New Roman" w:cs="Times New Roman"/>
          <w:sz w:val="23"/>
          <w:szCs w:val="23"/>
        </w:rPr>
        <w:t>3. Monthly reporting of performance data would be of little use as much of the project execution occurs in discrete steps and not continuously. Furthermore, any data reported on a monthly basis would be of significantly lower quality than that reported on a quarterly basis.</w:t>
      </w:r>
    </w:p>
    <w:p w:rsidR="005A1B3E" w:rsidRDefault="005A1B3E" w:rsidP="005A1B3E">
      <w:pPr>
        <w:spacing w:after="0" w:line="240" w:lineRule="auto"/>
        <w:rPr>
          <w:rFonts w:ascii="Times New Roman" w:hAnsi="Times New Roman" w:cs="Times New Roman"/>
          <w:sz w:val="23"/>
          <w:szCs w:val="23"/>
        </w:rPr>
      </w:pPr>
    </w:p>
    <w:p w:rsidR="005A1B3E" w:rsidRDefault="005A1B3E" w:rsidP="005A1B3E">
      <w:pPr>
        <w:spacing w:after="0" w:line="240" w:lineRule="auto"/>
        <w:rPr>
          <w:rFonts w:ascii="Times New Roman" w:hAnsi="Times New Roman" w:cs="Times New Roman"/>
          <w:i/>
          <w:sz w:val="23"/>
          <w:szCs w:val="23"/>
        </w:rPr>
      </w:pPr>
      <w:r>
        <w:rPr>
          <w:rFonts w:ascii="Times New Roman" w:hAnsi="Times New Roman" w:cs="Times New Roman"/>
          <w:i/>
          <w:sz w:val="23"/>
          <w:szCs w:val="23"/>
        </w:rPr>
        <w:t>While the discrete nature of project execution may limit the utility of reporting on individual projects, the aggregation of monthly performance data across several hundred projects will produce an indicator of project execution that is more continuous in nature. DOE acknowledges that monthly data may be of lower initial quality than quarterly data, it has made provisions in the reporting systems for recipients to amend all monthly reports prior to submission of the quarterly reports.</w:t>
      </w:r>
      <w:r w:rsidR="00957859">
        <w:rPr>
          <w:rFonts w:ascii="Times New Roman" w:hAnsi="Times New Roman" w:cs="Times New Roman"/>
          <w:i/>
          <w:sz w:val="23"/>
          <w:szCs w:val="23"/>
        </w:rPr>
        <w:t xml:space="preserve"> </w:t>
      </w:r>
      <w:r>
        <w:rPr>
          <w:rFonts w:ascii="Times New Roman" w:hAnsi="Times New Roman" w:cs="Times New Roman"/>
          <w:i/>
          <w:sz w:val="23"/>
          <w:szCs w:val="23"/>
        </w:rPr>
        <w:t>While monthly reports may be of reduced quality upon initial submission, the submission of any performance data on a frequency greater than quarterly would be of significant utility for DOE.</w:t>
      </w:r>
    </w:p>
    <w:p w:rsidR="005A1B3E" w:rsidRDefault="00957859" w:rsidP="005A1B3E">
      <w:pPr>
        <w:spacing w:after="0" w:line="240" w:lineRule="auto"/>
        <w:rPr>
          <w:rFonts w:ascii="Times New Roman" w:hAnsi="Times New Roman" w:cs="Times New Roman"/>
          <w:i/>
          <w:sz w:val="23"/>
          <w:szCs w:val="23"/>
        </w:rPr>
      </w:pPr>
      <w:r>
        <w:rPr>
          <w:rFonts w:ascii="Times New Roman" w:hAnsi="Times New Roman" w:cs="Times New Roman"/>
          <w:i/>
          <w:sz w:val="23"/>
          <w:szCs w:val="23"/>
        </w:rPr>
        <w:t xml:space="preserve">For that set of metrics required to be submitted both monthly and quarterly, recipients will always be able to amend the monthly reports during the quarterly reporting cycle in which the monthly reports fall. Furthermore, monthly metrics (reported by period of performance) will be automatically summed into the quarterly metric (reported cumulatively) to reduce inconsistencies. As mentioned </w:t>
      </w:r>
      <w:r w:rsidRPr="00957859">
        <w:rPr>
          <w:rFonts w:ascii="Times New Roman" w:hAnsi="Times New Roman" w:cs="Times New Roman"/>
          <w:i/>
          <w:sz w:val="23"/>
          <w:szCs w:val="23"/>
        </w:rPr>
        <w:t xml:space="preserve">previously, </w:t>
      </w:r>
      <w:r w:rsidR="00A23C93" w:rsidRPr="00A23C93">
        <w:rPr>
          <w:rFonts w:ascii="Times New Roman" w:eastAsia="Times New Roman" w:hAnsi="Times New Roman" w:cs="Times New Roman"/>
          <w:i/>
          <w:sz w:val="24"/>
          <w:szCs w:val="24"/>
        </w:rPr>
        <w:t>monthly data will be used internally for managerial purposes only, but where DOE does intend to publicize monthly data, it will clearly indicate it to be “preliminary/informal and subject to change.</w:t>
      </w:r>
    </w:p>
    <w:p w:rsidR="00957859" w:rsidRPr="00957859" w:rsidRDefault="00957859" w:rsidP="005A1B3E">
      <w:pPr>
        <w:spacing w:after="0" w:line="240" w:lineRule="auto"/>
        <w:rPr>
          <w:rFonts w:ascii="Times New Roman" w:hAnsi="Times New Roman" w:cs="Times New Roman"/>
          <w:sz w:val="23"/>
          <w:szCs w:val="23"/>
        </w:rPr>
      </w:pPr>
    </w:p>
    <w:p w:rsidR="005A1B3E" w:rsidRDefault="005A1B3E" w:rsidP="005A1B3E">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4. The administrative burden created by monthly reporting would force state and local governments to re-direct personnel to the task of data collection and reporting, taking them away from their duties in  implementing Recovery Act project and thus slowing the pace of project execution. Additionally this new task would reduce the amount of time that the affected personnel would have in serving their constituencies. </w:t>
      </w:r>
    </w:p>
    <w:p w:rsidR="005A1B3E" w:rsidRDefault="005A1B3E" w:rsidP="005A1B3E">
      <w:pPr>
        <w:spacing w:after="0" w:line="240" w:lineRule="auto"/>
        <w:rPr>
          <w:rFonts w:ascii="Times New Roman" w:hAnsi="Times New Roman" w:cs="Times New Roman"/>
          <w:sz w:val="23"/>
          <w:szCs w:val="23"/>
        </w:rPr>
      </w:pPr>
    </w:p>
    <w:p w:rsidR="005A1B3E" w:rsidRPr="00114E08" w:rsidRDefault="005A1B3E" w:rsidP="005A1B3E">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5.  As a monthly reporting requirement was not envisioned during the application process, state and local governments did not account for the administrative cost imposed by monthly reporting. As a </w:t>
      </w:r>
      <w:r>
        <w:rPr>
          <w:rFonts w:ascii="Times New Roman" w:hAnsi="Times New Roman" w:cs="Times New Roman"/>
          <w:sz w:val="23"/>
          <w:szCs w:val="23"/>
        </w:rPr>
        <w:lastRenderedPageBreak/>
        <w:t xml:space="preserve">result, many governments will be forced to re-allocate funding from the execution of projects to cover increased cost of reporting. </w:t>
      </w:r>
    </w:p>
    <w:p w:rsidR="005A1B3E" w:rsidRDefault="005A1B3E" w:rsidP="005A1B3E">
      <w:pPr>
        <w:spacing w:after="0" w:line="240" w:lineRule="auto"/>
        <w:rPr>
          <w:rFonts w:ascii="Times New Roman" w:hAnsi="Times New Roman" w:cs="Times New Roman"/>
          <w:sz w:val="23"/>
          <w:szCs w:val="23"/>
        </w:rPr>
      </w:pPr>
    </w:p>
    <w:p w:rsidR="005A1B3E" w:rsidRDefault="005A1B3E" w:rsidP="005A1B3E">
      <w:pPr>
        <w:spacing w:after="0" w:line="240" w:lineRule="auto"/>
        <w:rPr>
          <w:rFonts w:ascii="Times New Roman" w:hAnsi="Times New Roman" w:cs="Times New Roman"/>
          <w:i/>
          <w:sz w:val="23"/>
          <w:szCs w:val="23"/>
        </w:rPr>
      </w:pPr>
      <w:r>
        <w:rPr>
          <w:rFonts w:ascii="Times New Roman" w:hAnsi="Times New Roman" w:cs="Times New Roman"/>
          <w:i/>
          <w:sz w:val="23"/>
          <w:szCs w:val="23"/>
        </w:rPr>
        <w:t>DOE acknowledges that the implementation of monthly reporting will directly increase the workload of state and local government personnel and may reduce funds available for project implementation. However DOE would not have submitted this Information Collection Request if, in its estimation, the direct and indirect costs of monthly reporting implementation outweighed the benefit of receiving performance data on a more frequent basis.</w:t>
      </w:r>
    </w:p>
    <w:p w:rsidR="005A1B3E" w:rsidRDefault="005A1B3E" w:rsidP="005A1B3E">
      <w:pPr>
        <w:spacing w:after="0" w:line="240" w:lineRule="auto"/>
        <w:rPr>
          <w:rFonts w:ascii="Times New Roman" w:hAnsi="Times New Roman" w:cs="Times New Roman"/>
          <w:i/>
          <w:sz w:val="23"/>
          <w:szCs w:val="23"/>
        </w:rPr>
      </w:pPr>
    </w:p>
    <w:p w:rsidR="005A1B3E" w:rsidRPr="008163A9" w:rsidRDefault="005A1B3E" w:rsidP="005A1B3E">
      <w:pPr>
        <w:pBdr>
          <w:bottom w:val="single" w:sz="6" w:space="1" w:color="auto"/>
        </w:pBdr>
        <w:spacing w:after="0" w:line="240" w:lineRule="auto"/>
        <w:rPr>
          <w:rFonts w:ascii="Times New Roman" w:hAnsi="Times New Roman" w:cs="Times New Roman"/>
          <w:b/>
          <w:sz w:val="23"/>
          <w:szCs w:val="23"/>
        </w:rPr>
      </w:pPr>
      <w:r>
        <w:rPr>
          <w:rFonts w:ascii="Times New Roman" w:hAnsi="Times New Roman" w:cs="Times New Roman"/>
          <w:b/>
          <w:sz w:val="23"/>
          <w:szCs w:val="23"/>
        </w:rPr>
        <w:t>Cost and hour burden</w:t>
      </w:r>
      <w:r>
        <w:rPr>
          <w:rFonts w:ascii="Times New Roman" w:hAnsi="Times New Roman" w:cs="Times New Roman"/>
          <w:b/>
          <w:sz w:val="23"/>
          <w:szCs w:val="23"/>
        </w:rPr>
        <w:tab/>
      </w:r>
    </w:p>
    <w:p w:rsidR="005A1B3E" w:rsidRDefault="005A1B3E" w:rsidP="005A1B3E">
      <w:pPr>
        <w:spacing w:after="0" w:line="240" w:lineRule="auto"/>
        <w:rPr>
          <w:rFonts w:ascii="Times New Roman" w:hAnsi="Times New Roman" w:cs="Times New Roman"/>
          <w:sz w:val="23"/>
          <w:szCs w:val="23"/>
        </w:rPr>
      </w:pPr>
      <w:r>
        <w:rPr>
          <w:rFonts w:ascii="Times New Roman" w:hAnsi="Times New Roman" w:cs="Times New Roman"/>
          <w:i/>
          <w:sz w:val="23"/>
          <w:szCs w:val="23"/>
        </w:rPr>
        <w:tab/>
      </w:r>
      <w:r>
        <w:rPr>
          <w:rFonts w:ascii="Times New Roman" w:hAnsi="Times New Roman" w:cs="Times New Roman"/>
          <w:sz w:val="23"/>
          <w:szCs w:val="23"/>
        </w:rPr>
        <w:t>While a majority of responses did not adequately address the cost and hour burden associated with the implementation of monthly reporting, numerous respondents did make general comments on the estimate provided by DOE. The vast majority of these comments indicated that DOE’s estimate was exceedingly conservative and severely underestimated the true burden associated with monthly reporting. The burden estimates provided by respondents were widely dispersed but generally fell within a range of 3-10 times greater than that provided by DOE.</w:t>
      </w:r>
      <w:r w:rsidR="00F86041">
        <w:rPr>
          <w:rFonts w:ascii="Times New Roman" w:hAnsi="Times New Roman" w:cs="Times New Roman"/>
          <w:sz w:val="23"/>
          <w:szCs w:val="23"/>
        </w:rPr>
        <w:t>As such, the DOE per entity burden estimates have been raised by a factor of 5, to 10 hours for local and tribal governments and 15 hours for state governments.</w:t>
      </w:r>
    </w:p>
    <w:p w:rsidR="005A1B3E" w:rsidRDefault="005A1B3E" w:rsidP="005A1B3E">
      <w:pPr>
        <w:spacing w:after="0" w:line="240" w:lineRule="auto"/>
        <w:rPr>
          <w:rFonts w:ascii="Times New Roman" w:hAnsi="Times New Roman" w:cs="Times New Roman"/>
          <w:sz w:val="23"/>
          <w:szCs w:val="23"/>
        </w:rPr>
      </w:pPr>
    </w:p>
    <w:p w:rsidR="005A1B3E" w:rsidRPr="00D50D0B" w:rsidRDefault="005A1B3E" w:rsidP="005A1B3E">
      <w:pPr>
        <w:pBdr>
          <w:bottom w:val="single" w:sz="6" w:space="1" w:color="auto"/>
        </w:pBdr>
        <w:spacing w:after="0" w:line="240" w:lineRule="auto"/>
        <w:rPr>
          <w:rFonts w:ascii="Times New Roman" w:hAnsi="Times New Roman" w:cs="Times New Roman"/>
          <w:b/>
          <w:sz w:val="24"/>
          <w:szCs w:val="24"/>
        </w:rPr>
      </w:pPr>
      <w:r w:rsidRPr="00D50D0B">
        <w:rPr>
          <w:rFonts w:ascii="Times New Roman" w:hAnsi="Times New Roman" w:cs="Times New Roman"/>
          <w:b/>
          <w:sz w:val="24"/>
          <w:szCs w:val="24"/>
        </w:rPr>
        <w:t>Efforts to consult with persons outside DOE</w:t>
      </w:r>
    </w:p>
    <w:p w:rsidR="00B95CB4" w:rsidRDefault="005A1B3E" w:rsidP="005A1B3E">
      <w:pPr>
        <w:spacing w:after="0" w:line="240" w:lineRule="auto"/>
        <w:rPr>
          <w:rFonts w:ascii="Times New Roman" w:hAnsi="Times New Roman" w:cs="Times New Roman"/>
          <w:sz w:val="23"/>
          <w:szCs w:val="23"/>
        </w:rPr>
      </w:pPr>
      <w:r>
        <w:rPr>
          <w:rFonts w:ascii="Times New Roman" w:hAnsi="Times New Roman" w:cs="Times New Roman"/>
          <w:b/>
          <w:sz w:val="23"/>
          <w:szCs w:val="23"/>
        </w:rPr>
        <w:tab/>
      </w:r>
      <w:r w:rsidR="00B95CB4">
        <w:rPr>
          <w:rFonts w:ascii="Times New Roman" w:hAnsi="Times New Roman" w:cs="Times New Roman"/>
          <w:sz w:val="23"/>
          <w:szCs w:val="23"/>
        </w:rPr>
        <w:t xml:space="preserve">DOE has maintained and will continue to maintain an open dialogue with both the grant recipients (who submitted the majority of public comments) and relevant stakeholder organizations to solicit feedback on issues surrounding recipient reporting. </w:t>
      </w:r>
    </w:p>
    <w:p w:rsidR="005A1B3E" w:rsidRPr="00D50D0B" w:rsidRDefault="005A1B3E" w:rsidP="005A1B3E">
      <w:pPr>
        <w:spacing w:after="0" w:line="240" w:lineRule="auto"/>
        <w:rPr>
          <w:rFonts w:ascii="Times New Roman" w:hAnsi="Times New Roman" w:cs="Times New Roman"/>
          <w:sz w:val="23"/>
          <w:szCs w:val="23"/>
        </w:rPr>
      </w:pPr>
      <w:r>
        <w:rPr>
          <w:rFonts w:ascii="Times New Roman" w:hAnsi="Times New Roman" w:cs="Times New Roman"/>
          <w:sz w:val="23"/>
          <w:szCs w:val="23"/>
        </w:rPr>
        <w:tab/>
        <w:t>DOE personnel have reached out to these organizations through weekly conference calls, conference attendance and presentations, and individual discussions to increase participation in the process, and facilitate the acceptance of the draft reporting guidance.</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9. Explain any decision to provide any payment or gift to respondents, other than</w:t>
      </w: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remuneration of contractors or grantees.</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No payment or gift has been or will be provided to respondents.</w:t>
      </w:r>
    </w:p>
    <w:p w:rsidR="00020457"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10. Describe any assurance of confidentiality provided to respondents and the basis</w:t>
      </w: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for the assurance in statute, regulation</w:t>
      </w:r>
      <w:r w:rsidR="00020457" w:rsidRPr="00020457">
        <w:rPr>
          <w:rFonts w:ascii="Times New Roman" w:hAnsi="Times New Roman" w:cs="Times New Roman"/>
          <w:b/>
          <w:sz w:val="24"/>
          <w:szCs w:val="24"/>
          <w:u w:val="single"/>
        </w:rPr>
        <w:t>,</w:t>
      </w:r>
      <w:r w:rsidRPr="00020457">
        <w:rPr>
          <w:rFonts w:ascii="Times New Roman" w:hAnsi="Times New Roman" w:cs="Times New Roman"/>
          <w:b/>
          <w:sz w:val="24"/>
          <w:szCs w:val="24"/>
          <w:u w:val="single"/>
        </w:rPr>
        <w:t xml:space="preserve"> or agency policy.</w:t>
      </w:r>
    </w:p>
    <w:p w:rsidR="00020457"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No identifiable confidential information is being requested.</w:t>
      </w:r>
    </w:p>
    <w:p w:rsidR="00020457"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 xml:space="preserve">11. Provide </w:t>
      </w:r>
      <w:r w:rsidR="00020457" w:rsidRPr="00020457">
        <w:rPr>
          <w:rFonts w:ascii="Times New Roman" w:hAnsi="Times New Roman" w:cs="Times New Roman"/>
          <w:b/>
          <w:sz w:val="24"/>
          <w:szCs w:val="24"/>
          <w:u w:val="single"/>
        </w:rPr>
        <w:t>additional justification for any</w:t>
      </w:r>
      <w:r w:rsidRPr="00020457">
        <w:rPr>
          <w:rFonts w:ascii="Times New Roman" w:hAnsi="Times New Roman" w:cs="Times New Roman"/>
          <w:b/>
          <w:sz w:val="24"/>
          <w:szCs w:val="24"/>
          <w:u w:val="single"/>
        </w:rPr>
        <w:t xml:space="preserve"> questions of a sensitive nature, such as</w:t>
      </w: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sexual behavior and attitudes, religious beliefs, and other matters that are</w:t>
      </w: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commonly considered private.</w:t>
      </w:r>
    </w:p>
    <w:p w:rsidR="00020457"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No questions of a sensitive, personal or private nature are being asked.</w:t>
      </w:r>
    </w:p>
    <w:p w:rsidR="00020457"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12. Provide estimates of the hour burden of the collection information. The</w:t>
      </w: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statement should indi</w:t>
      </w:r>
      <w:r w:rsidR="00020457">
        <w:rPr>
          <w:rFonts w:ascii="Times New Roman" w:hAnsi="Times New Roman" w:cs="Times New Roman"/>
          <w:b/>
          <w:sz w:val="24"/>
          <w:szCs w:val="24"/>
          <w:u w:val="single"/>
        </w:rPr>
        <w:t xml:space="preserve">cate the number of respondents, </w:t>
      </w:r>
      <w:r w:rsidRPr="00020457">
        <w:rPr>
          <w:rFonts w:ascii="Times New Roman" w:hAnsi="Times New Roman" w:cs="Times New Roman"/>
          <w:b/>
          <w:sz w:val="24"/>
          <w:szCs w:val="24"/>
          <w:u w:val="single"/>
        </w:rPr>
        <w:t>frequency of response, annual</w:t>
      </w: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hour burden, and an explanation of how the burden was estimated.</w:t>
      </w:r>
    </w:p>
    <w:p w:rsidR="00020457"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lastRenderedPageBreak/>
        <w:t xml:space="preserve">EECBG grantees </w:t>
      </w:r>
      <w:r w:rsidR="00020457">
        <w:rPr>
          <w:rFonts w:ascii="Times New Roman" w:hAnsi="Times New Roman" w:cs="Times New Roman"/>
          <w:sz w:val="24"/>
          <w:szCs w:val="24"/>
        </w:rPr>
        <w:t>will be required to report monthl</w:t>
      </w:r>
      <w:r w:rsidRPr="005A1B3E">
        <w:rPr>
          <w:rFonts w:ascii="Times New Roman" w:hAnsi="Times New Roman" w:cs="Times New Roman"/>
          <w:sz w:val="24"/>
          <w:szCs w:val="24"/>
        </w:rPr>
        <w:t>y on programmatic and financial</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status. (Traditional OMB Guidelines require quarterly reporting, but OMB's Energy</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Branch has agreed to DOE's monthly reporting requirement for ARRA funds.) It is</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 xml:space="preserve">estimated that the directly funded local communities and tribal nations will spend </w:t>
      </w:r>
      <w:r w:rsidR="00F86041">
        <w:rPr>
          <w:rFonts w:ascii="Times New Roman" w:hAnsi="Times New Roman" w:cs="Times New Roman"/>
          <w:sz w:val="24"/>
          <w:szCs w:val="24"/>
        </w:rPr>
        <w:t>ten</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hours preparing each report.</w:t>
      </w:r>
      <w:r w:rsidR="00F86041">
        <w:rPr>
          <w:rFonts w:ascii="Times New Roman" w:hAnsi="Times New Roman" w:cs="Times New Roman"/>
          <w:sz w:val="24"/>
          <w:szCs w:val="24"/>
        </w:rPr>
        <w:t xml:space="preserve"> 238 local government and tribal EECBG recipients are receiving &gt;$2M formula allocations. </w:t>
      </w:r>
    </w:p>
    <w:p w:rsidR="00F86041" w:rsidRPr="005A1B3E" w:rsidRDefault="00F86041"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sidR="005A1B3E" w:rsidRPr="005A1B3E">
        <w:rPr>
          <w:rFonts w:ascii="Times New Roman" w:hAnsi="Times New Roman" w:cs="Times New Roman"/>
          <w:sz w:val="24"/>
          <w:szCs w:val="24"/>
        </w:rPr>
        <w:t xml:space="preserve">(1) </w:t>
      </w:r>
      <w:r w:rsidR="00F86041">
        <w:rPr>
          <w:rFonts w:ascii="Times New Roman" w:hAnsi="Times New Roman" w:cs="Times New Roman"/>
          <w:sz w:val="24"/>
          <w:szCs w:val="24"/>
        </w:rPr>
        <w:t xml:space="preserve">238 </w:t>
      </w:r>
      <w:r w:rsidR="005A1B3E" w:rsidRPr="005A1B3E">
        <w:rPr>
          <w:rFonts w:ascii="Times New Roman" w:hAnsi="Times New Roman" w:cs="Times New Roman"/>
          <w:sz w:val="24"/>
          <w:szCs w:val="24"/>
        </w:rPr>
        <w:t xml:space="preserve">grantees x </w:t>
      </w:r>
      <w:r w:rsidR="00F86041">
        <w:rPr>
          <w:rFonts w:ascii="Times New Roman" w:hAnsi="Times New Roman" w:cs="Times New Roman"/>
          <w:sz w:val="24"/>
          <w:szCs w:val="24"/>
        </w:rPr>
        <w:t>10</w:t>
      </w:r>
      <w:r w:rsidR="005A1B3E" w:rsidRPr="005A1B3E">
        <w:rPr>
          <w:rFonts w:ascii="Times New Roman" w:hAnsi="Times New Roman" w:cs="Times New Roman"/>
          <w:sz w:val="24"/>
          <w:szCs w:val="24"/>
        </w:rPr>
        <w:t xml:space="preserve"> hours = </w:t>
      </w:r>
      <w:r w:rsidR="00F86041">
        <w:rPr>
          <w:rFonts w:ascii="Times New Roman" w:hAnsi="Times New Roman" w:cs="Times New Roman"/>
          <w:sz w:val="24"/>
          <w:szCs w:val="24"/>
        </w:rPr>
        <w:t>2,380</w:t>
      </w:r>
      <w:r w:rsidR="005A1B3E" w:rsidRPr="005A1B3E">
        <w:rPr>
          <w:rFonts w:ascii="Times New Roman" w:hAnsi="Times New Roman" w:cs="Times New Roman"/>
          <w:sz w:val="24"/>
          <w:szCs w:val="24"/>
        </w:rPr>
        <w:t xml:space="preserve"> hours per reporting period;</w:t>
      </w:r>
    </w:p>
    <w:p w:rsid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sidR="005A1B3E" w:rsidRPr="005A1B3E">
        <w:rPr>
          <w:rFonts w:ascii="Times New Roman" w:hAnsi="Times New Roman" w:cs="Times New Roman"/>
          <w:sz w:val="24"/>
          <w:szCs w:val="24"/>
        </w:rPr>
        <w:t xml:space="preserve">(2) </w:t>
      </w:r>
      <w:r w:rsidR="007B1FBF">
        <w:rPr>
          <w:rFonts w:ascii="Times New Roman" w:hAnsi="Times New Roman" w:cs="Times New Roman"/>
          <w:sz w:val="24"/>
          <w:szCs w:val="24"/>
        </w:rPr>
        <w:t>2,380</w:t>
      </w:r>
      <w:r w:rsidR="00F86041">
        <w:rPr>
          <w:rFonts w:ascii="Times New Roman" w:hAnsi="Times New Roman" w:cs="Times New Roman"/>
          <w:sz w:val="24"/>
          <w:szCs w:val="24"/>
        </w:rPr>
        <w:t xml:space="preserve"> </w:t>
      </w:r>
      <w:r w:rsidR="005A1B3E" w:rsidRPr="005A1B3E">
        <w:rPr>
          <w:rFonts w:ascii="Times New Roman" w:hAnsi="Times New Roman" w:cs="Times New Roman"/>
          <w:sz w:val="24"/>
          <w:szCs w:val="24"/>
        </w:rPr>
        <w:t>hours x 12 reports =</w:t>
      </w:r>
      <w:r w:rsidR="008662FF">
        <w:rPr>
          <w:rFonts w:ascii="Times New Roman" w:hAnsi="Times New Roman" w:cs="Times New Roman"/>
          <w:sz w:val="24"/>
          <w:szCs w:val="24"/>
        </w:rPr>
        <w:t>2</w:t>
      </w:r>
      <w:r w:rsidR="007B1FBF">
        <w:rPr>
          <w:rFonts w:ascii="Times New Roman" w:hAnsi="Times New Roman" w:cs="Times New Roman"/>
          <w:sz w:val="24"/>
          <w:szCs w:val="24"/>
        </w:rPr>
        <w:t>8,560</w:t>
      </w:r>
      <w:r w:rsidR="005A1B3E" w:rsidRPr="005A1B3E">
        <w:rPr>
          <w:rFonts w:ascii="Times New Roman" w:hAnsi="Times New Roman" w:cs="Times New Roman"/>
          <w:sz w:val="24"/>
          <w:szCs w:val="24"/>
        </w:rPr>
        <w:t xml:space="preserve"> hours annually</w:t>
      </w:r>
    </w:p>
    <w:p w:rsidR="00020457"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States, however, may require more time, since they are aggregating information from</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their small local communities. The estimated time required for preparation of</w:t>
      </w:r>
      <w:r w:rsidR="00020457">
        <w:rPr>
          <w:rFonts w:ascii="Times New Roman" w:hAnsi="Times New Roman" w:cs="Times New Roman"/>
          <w:sz w:val="24"/>
          <w:szCs w:val="24"/>
        </w:rPr>
        <w:t xml:space="preserve"> </w:t>
      </w:r>
      <w:r w:rsidRPr="005A1B3E">
        <w:rPr>
          <w:rFonts w:ascii="Times New Roman" w:hAnsi="Times New Roman" w:cs="Times New Roman"/>
          <w:sz w:val="24"/>
          <w:szCs w:val="24"/>
        </w:rPr>
        <w:t>a state's</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 xml:space="preserve">monthly report is </w:t>
      </w:r>
      <w:r w:rsidR="008662FF">
        <w:rPr>
          <w:rFonts w:ascii="Times New Roman" w:hAnsi="Times New Roman" w:cs="Times New Roman"/>
          <w:sz w:val="24"/>
          <w:szCs w:val="24"/>
        </w:rPr>
        <w:t>fifteen</w:t>
      </w:r>
      <w:r w:rsidRPr="005A1B3E">
        <w:rPr>
          <w:rFonts w:ascii="Times New Roman" w:hAnsi="Times New Roman" w:cs="Times New Roman"/>
          <w:sz w:val="24"/>
          <w:szCs w:val="24"/>
        </w:rPr>
        <w:t xml:space="preserve"> hours.</w:t>
      </w:r>
    </w:p>
    <w:p w:rsidR="005A1B3E"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sidR="005A1B3E" w:rsidRPr="005A1B3E">
        <w:rPr>
          <w:rFonts w:ascii="Times New Roman" w:hAnsi="Times New Roman" w:cs="Times New Roman"/>
          <w:sz w:val="24"/>
          <w:szCs w:val="24"/>
        </w:rPr>
        <w:t>(1) 50 states, 5 territories and DC = 56 grantees;</w:t>
      </w:r>
    </w:p>
    <w:p w:rsidR="005A1B3E"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sidR="005A1B3E" w:rsidRPr="005A1B3E">
        <w:rPr>
          <w:rFonts w:ascii="Times New Roman" w:hAnsi="Times New Roman" w:cs="Times New Roman"/>
          <w:sz w:val="24"/>
          <w:szCs w:val="24"/>
        </w:rPr>
        <w:t xml:space="preserve">(2) 56 grantees x </w:t>
      </w:r>
      <w:r w:rsidR="008662FF">
        <w:rPr>
          <w:rFonts w:ascii="Times New Roman" w:hAnsi="Times New Roman" w:cs="Times New Roman"/>
          <w:sz w:val="24"/>
          <w:szCs w:val="24"/>
        </w:rPr>
        <w:t>15</w:t>
      </w:r>
      <w:r w:rsidR="005A1B3E" w:rsidRPr="005A1B3E">
        <w:rPr>
          <w:rFonts w:ascii="Times New Roman" w:hAnsi="Times New Roman" w:cs="Times New Roman"/>
          <w:sz w:val="24"/>
          <w:szCs w:val="24"/>
        </w:rPr>
        <w:t xml:space="preserve"> hours = </w:t>
      </w:r>
      <w:r w:rsidR="008662FF">
        <w:rPr>
          <w:rFonts w:ascii="Times New Roman" w:hAnsi="Times New Roman" w:cs="Times New Roman"/>
          <w:sz w:val="24"/>
          <w:szCs w:val="24"/>
        </w:rPr>
        <w:t>840</w:t>
      </w:r>
      <w:r w:rsidR="008662FF" w:rsidRPr="005A1B3E">
        <w:rPr>
          <w:rFonts w:ascii="Times New Roman" w:hAnsi="Times New Roman" w:cs="Times New Roman"/>
          <w:sz w:val="24"/>
          <w:szCs w:val="24"/>
        </w:rPr>
        <w:t xml:space="preserve"> </w:t>
      </w:r>
      <w:r w:rsidR="005A1B3E" w:rsidRPr="005A1B3E">
        <w:rPr>
          <w:rFonts w:ascii="Times New Roman" w:hAnsi="Times New Roman" w:cs="Times New Roman"/>
          <w:sz w:val="24"/>
          <w:szCs w:val="24"/>
        </w:rPr>
        <w:t>hours per reporting period;</w:t>
      </w:r>
    </w:p>
    <w:p w:rsid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sidR="005A1B3E" w:rsidRPr="005A1B3E">
        <w:rPr>
          <w:rFonts w:ascii="Times New Roman" w:hAnsi="Times New Roman" w:cs="Times New Roman"/>
          <w:sz w:val="24"/>
          <w:szCs w:val="24"/>
        </w:rPr>
        <w:t xml:space="preserve">(3) </w:t>
      </w:r>
      <w:r w:rsidR="008662FF">
        <w:rPr>
          <w:rFonts w:ascii="Times New Roman" w:hAnsi="Times New Roman" w:cs="Times New Roman"/>
          <w:sz w:val="24"/>
          <w:szCs w:val="24"/>
        </w:rPr>
        <w:t>840</w:t>
      </w:r>
      <w:r w:rsidR="008662FF" w:rsidRPr="005A1B3E">
        <w:rPr>
          <w:rFonts w:ascii="Times New Roman" w:hAnsi="Times New Roman" w:cs="Times New Roman"/>
          <w:sz w:val="24"/>
          <w:szCs w:val="24"/>
        </w:rPr>
        <w:t xml:space="preserve"> </w:t>
      </w:r>
      <w:r w:rsidR="005A1B3E" w:rsidRPr="005A1B3E">
        <w:rPr>
          <w:rFonts w:ascii="Times New Roman" w:hAnsi="Times New Roman" w:cs="Times New Roman"/>
          <w:sz w:val="24"/>
          <w:szCs w:val="24"/>
        </w:rPr>
        <w:t xml:space="preserve">hours x 12 months = </w:t>
      </w:r>
      <w:r w:rsidR="008662FF">
        <w:rPr>
          <w:rFonts w:ascii="Times New Roman" w:hAnsi="Times New Roman" w:cs="Times New Roman"/>
          <w:sz w:val="24"/>
          <w:szCs w:val="24"/>
        </w:rPr>
        <w:t>10,08</w:t>
      </w:r>
      <w:r w:rsidR="00F63646">
        <w:rPr>
          <w:rFonts w:ascii="Times New Roman" w:hAnsi="Times New Roman" w:cs="Times New Roman"/>
          <w:sz w:val="24"/>
          <w:szCs w:val="24"/>
        </w:rPr>
        <w:t>0</w:t>
      </w:r>
      <w:r w:rsidR="005A1B3E" w:rsidRPr="005A1B3E">
        <w:rPr>
          <w:rFonts w:ascii="Times New Roman" w:hAnsi="Times New Roman" w:cs="Times New Roman"/>
          <w:sz w:val="24"/>
          <w:szCs w:val="24"/>
        </w:rPr>
        <w:t xml:space="preserve"> hours annually</w:t>
      </w:r>
    </w:p>
    <w:p w:rsidR="00020457"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The estimated time required for DOE Project Management Center (FMC) staff to review</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each monthly report is one hour.</w:t>
      </w:r>
    </w:p>
    <w:p w:rsidR="005A1B3E"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sidR="005A1B3E" w:rsidRPr="005A1B3E">
        <w:rPr>
          <w:rFonts w:ascii="Times New Roman" w:hAnsi="Times New Roman" w:cs="Times New Roman"/>
          <w:sz w:val="24"/>
          <w:szCs w:val="24"/>
        </w:rPr>
        <w:t>(</w:t>
      </w:r>
      <w:r w:rsidR="008662FF">
        <w:rPr>
          <w:rFonts w:ascii="Times New Roman" w:hAnsi="Times New Roman" w:cs="Times New Roman"/>
          <w:sz w:val="24"/>
          <w:szCs w:val="24"/>
        </w:rPr>
        <w:t>1</w:t>
      </w:r>
      <w:r w:rsidR="005A1B3E" w:rsidRPr="005A1B3E">
        <w:rPr>
          <w:rFonts w:ascii="Times New Roman" w:hAnsi="Times New Roman" w:cs="Times New Roman"/>
          <w:sz w:val="24"/>
          <w:szCs w:val="24"/>
        </w:rPr>
        <w:t>) Total grantees = 2</w:t>
      </w:r>
      <w:r w:rsidR="008662FF">
        <w:rPr>
          <w:rFonts w:ascii="Times New Roman" w:hAnsi="Times New Roman" w:cs="Times New Roman"/>
          <w:sz w:val="24"/>
          <w:szCs w:val="24"/>
        </w:rPr>
        <w:t>94 x 1 hour/report</w:t>
      </w:r>
      <w:r w:rsidR="005A1B3E" w:rsidRPr="005A1B3E">
        <w:rPr>
          <w:rFonts w:ascii="Times New Roman" w:hAnsi="Times New Roman" w:cs="Times New Roman"/>
          <w:sz w:val="24"/>
          <w:szCs w:val="24"/>
        </w:rPr>
        <w:t xml:space="preserve"> x 12 months </w:t>
      </w:r>
      <w:r>
        <w:rPr>
          <w:rFonts w:ascii="Times New Roman" w:eastAsia="HiddenHorzOCR" w:hAnsi="Times New Roman" w:cs="Times New Roman"/>
          <w:sz w:val="24"/>
          <w:szCs w:val="24"/>
        </w:rPr>
        <w:t>=</w:t>
      </w:r>
      <w:r w:rsidR="005A1B3E" w:rsidRPr="005A1B3E">
        <w:rPr>
          <w:rFonts w:ascii="Times New Roman" w:eastAsia="HiddenHorzOCR" w:hAnsi="Times New Roman" w:cs="Times New Roman"/>
          <w:sz w:val="24"/>
          <w:szCs w:val="24"/>
        </w:rPr>
        <w:t xml:space="preserve"> </w:t>
      </w:r>
      <w:r w:rsidR="008662FF">
        <w:rPr>
          <w:rFonts w:ascii="Times New Roman" w:hAnsi="Times New Roman" w:cs="Times New Roman"/>
          <w:sz w:val="24"/>
          <w:szCs w:val="24"/>
        </w:rPr>
        <w:t>3,528</w:t>
      </w:r>
      <w:r w:rsidR="005A1B3E" w:rsidRPr="005A1B3E">
        <w:rPr>
          <w:rFonts w:ascii="Times New Roman" w:hAnsi="Times New Roman" w:cs="Times New Roman"/>
          <w:sz w:val="24"/>
          <w:szCs w:val="24"/>
        </w:rPr>
        <w:t xml:space="preserve"> hours annually</w:t>
      </w:r>
    </w:p>
    <w:p w:rsidR="00020457"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Reporting burden summary:</w:t>
      </w:r>
    </w:p>
    <w:p w:rsidR="00020457"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sidR="005A1B3E" w:rsidRPr="005A1B3E">
        <w:rPr>
          <w:rFonts w:ascii="Times New Roman" w:hAnsi="Times New Roman" w:cs="Times New Roman"/>
          <w:sz w:val="24"/>
          <w:szCs w:val="24"/>
        </w:rPr>
        <w:t>(1) local governments and tribal nations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62FF">
        <w:rPr>
          <w:rFonts w:ascii="Times New Roman" w:hAnsi="Times New Roman" w:cs="Times New Roman"/>
          <w:sz w:val="24"/>
          <w:szCs w:val="24"/>
        </w:rPr>
        <w:t>2</w:t>
      </w:r>
      <w:r w:rsidR="007B1FBF">
        <w:rPr>
          <w:rFonts w:ascii="Times New Roman" w:hAnsi="Times New Roman" w:cs="Times New Roman"/>
          <w:sz w:val="24"/>
          <w:szCs w:val="24"/>
        </w:rPr>
        <w:t>8,560</w:t>
      </w:r>
      <w:r>
        <w:rPr>
          <w:rFonts w:ascii="Times New Roman" w:hAnsi="Times New Roman" w:cs="Times New Roman"/>
          <w:sz w:val="24"/>
          <w:szCs w:val="24"/>
        </w:rPr>
        <w:t xml:space="preserve"> hours</w:t>
      </w:r>
    </w:p>
    <w:p w:rsidR="005A1B3E"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sidR="005A1B3E" w:rsidRPr="005A1B3E">
        <w:rPr>
          <w:rFonts w:ascii="Times New Roman" w:hAnsi="Times New Roman" w:cs="Times New Roman"/>
          <w:sz w:val="24"/>
          <w:szCs w:val="24"/>
        </w:rPr>
        <w:t>(2) state grantees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62FF">
        <w:rPr>
          <w:rFonts w:ascii="Times New Roman" w:hAnsi="Times New Roman" w:cs="Times New Roman"/>
          <w:sz w:val="24"/>
          <w:szCs w:val="24"/>
        </w:rPr>
        <w:t>10,0</w:t>
      </w:r>
      <w:r w:rsidR="00F63646">
        <w:rPr>
          <w:rFonts w:ascii="Times New Roman" w:hAnsi="Times New Roman" w:cs="Times New Roman"/>
          <w:sz w:val="24"/>
          <w:szCs w:val="24"/>
        </w:rPr>
        <w:t>80</w:t>
      </w:r>
      <w:r w:rsidR="008662FF">
        <w:rPr>
          <w:rFonts w:ascii="Times New Roman" w:hAnsi="Times New Roman" w:cs="Times New Roman"/>
          <w:sz w:val="24"/>
          <w:szCs w:val="24"/>
        </w:rPr>
        <w:t xml:space="preserve"> </w:t>
      </w:r>
      <w:r>
        <w:rPr>
          <w:rFonts w:ascii="Times New Roman" w:hAnsi="Times New Roman" w:cs="Times New Roman"/>
          <w:sz w:val="24"/>
          <w:szCs w:val="24"/>
        </w:rPr>
        <w:t xml:space="preserve"> hours</w:t>
      </w:r>
    </w:p>
    <w:p w:rsidR="005A1B3E" w:rsidRPr="005A1B3E" w:rsidRDefault="00020457" w:rsidP="005A1B3E">
      <w:pPr>
        <w:autoSpaceDE w:val="0"/>
        <w:autoSpaceDN w:val="0"/>
        <w:adjustRightInd w:val="0"/>
        <w:spacing w:after="0" w:line="240" w:lineRule="auto"/>
        <w:ind w:right="720"/>
        <w:rPr>
          <w:rFonts w:ascii="Times New Roman" w:eastAsia="HiddenHorzOCR" w:hAnsi="Times New Roman" w:cs="Times New Roman"/>
          <w:sz w:val="24"/>
          <w:szCs w:val="24"/>
        </w:rPr>
      </w:pPr>
      <w:r>
        <w:rPr>
          <w:rFonts w:ascii="Times New Roman" w:hAnsi="Times New Roman" w:cs="Times New Roman"/>
          <w:sz w:val="24"/>
          <w:szCs w:val="24"/>
        </w:rPr>
        <w:tab/>
      </w:r>
      <w:r w:rsidR="005A1B3E" w:rsidRPr="005A1B3E">
        <w:rPr>
          <w:rFonts w:ascii="Times New Roman" w:hAnsi="Times New Roman" w:cs="Times New Roman"/>
          <w:sz w:val="24"/>
          <w:szCs w:val="24"/>
        </w:rPr>
        <w:t xml:space="preserve">(3) PMC </w:t>
      </w:r>
      <w:r>
        <w:rPr>
          <w:rFonts w:ascii="Times New Roman" w:eastAsia="HiddenHorzOCR" w:hAnsi="Times New Roman" w:cs="Times New Roman"/>
          <w:sz w:val="24"/>
          <w:szCs w:val="24"/>
        </w:rPr>
        <w:t>staff=</w:t>
      </w:r>
      <w:r>
        <w:rPr>
          <w:rFonts w:ascii="Times New Roman" w:eastAsia="HiddenHorzOCR" w:hAnsi="Times New Roman" w:cs="Times New Roman"/>
          <w:sz w:val="24"/>
          <w:szCs w:val="24"/>
        </w:rPr>
        <w:tab/>
      </w:r>
      <w:r>
        <w:rPr>
          <w:rFonts w:ascii="Times New Roman" w:eastAsia="HiddenHorzOCR" w:hAnsi="Times New Roman" w:cs="Times New Roman"/>
          <w:sz w:val="24"/>
          <w:szCs w:val="24"/>
        </w:rPr>
        <w:tab/>
      </w:r>
      <w:r>
        <w:rPr>
          <w:rFonts w:ascii="Times New Roman" w:eastAsia="HiddenHorzOCR" w:hAnsi="Times New Roman" w:cs="Times New Roman"/>
          <w:sz w:val="24"/>
          <w:szCs w:val="24"/>
        </w:rPr>
        <w:tab/>
      </w:r>
      <w:r>
        <w:rPr>
          <w:rFonts w:ascii="Times New Roman" w:eastAsia="HiddenHorzOCR" w:hAnsi="Times New Roman" w:cs="Times New Roman"/>
          <w:sz w:val="24"/>
          <w:szCs w:val="24"/>
        </w:rPr>
        <w:tab/>
      </w:r>
      <w:r>
        <w:rPr>
          <w:rFonts w:ascii="Times New Roman" w:eastAsia="HiddenHorzOCR" w:hAnsi="Times New Roman" w:cs="Times New Roman"/>
          <w:sz w:val="24"/>
          <w:szCs w:val="24"/>
        </w:rPr>
        <w:tab/>
      </w:r>
      <w:r w:rsidR="008662FF">
        <w:rPr>
          <w:rFonts w:ascii="Times New Roman" w:eastAsia="HiddenHorzOCR" w:hAnsi="Times New Roman" w:cs="Times New Roman"/>
          <w:sz w:val="24"/>
          <w:szCs w:val="24"/>
        </w:rPr>
        <w:t>3,528</w:t>
      </w:r>
      <w:r>
        <w:rPr>
          <w:rFonts w:ascii="Times New Roman" w:eastAsia="HiddenHorzOCR" w:hAnsi="Times New Roman" w:cs="Times New Roman"/>
          <w:sz w:val="24"/>
          <w:szCs w:val="24"/>
        </w:rPr>
        <w:t xml:space="preserve"> hours</w:t>
      </w:r>
    </w:p>
    <w:p w:rsidR="005A1B3E" w:rsidRPr="00020457" w:rsidRDefault="00020457" w:rsidP="005A1B3E">
      <w:pPr>
        <w:autoSpaceDE w:val="0"/>
        <w:autoSpaceDN w:val="0"/>
        <w:adjustRightInd w:val="0"/>
        <w:spacing w:after="0" w:line="240" w:lineRule="auto"/>
        <w:ind w:right="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1B3E" w:rsidRPr="005A1B3E">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sidR="007B1FBF">
        <w:rPr>
          <w:rFonts w:ascii="Times New Roman" w:hAnsi="Times New Roman" w:cs="Times New Roman"/>
          <w:b/>
          <w:sz w:val="24"/>
          <w:szCs w:val="24"/>
        </w:rPr>
        <w:t>42,</w:t>
      </w:r>
      <w:r w:rsidR="00C9601F">
        <w:rPr>
          <w:rFonts w:ascii="Times New Roman" w:hAnsi="Times New Roman" w:cs="Times New Roman"/>
          <w:b/>
          <w:sz w:val="24"/>
          <w:szCs w:val="24"/>
        </w:rPr>
        <w:t>168</w:t>
      </w:r>
      <w:r w:rsidR="008662FF">
        <w:rPr>
          <w:rFonts w:ascii="Times New Roman" w:hAnsi="Times New Roman" w:cs="Times New Roman"/>
          <w:b/>
          <w:sz w:val="24"/>
          <w:szCs w:val="24"/>
        </w:rPr>
        <w:t xml:space="preserve"> </w:t>
      </w:r>
      <w:r>
        <w:rPr>
          <w:rFonts w:ascii="Times New Roman" w:hAnsi="Times New Roman" w:cs="Times New Roman"/>
          <w:b/>
          <w:sz w:val="24"/>
          <w:szCs w:val="24"/>
        </w:rPr>
        <w:t>hours annually</w:t>
      </w:r>
    </w:p>
    <w:p w:rsidR="00020457"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It should be noted that while the state and PMC staff reporting burden should remain</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fairly constant over the 3 years of</w:t>
      </w:r>
      <w:r w:rsidR="00020457">
        <w:rPr>
          <w:rFonts w:ascii="Times New Roman" w:hAnsi="Times New Roman" w:cs="Times New Roman"/>
          <w:sz w:val="24"/>
          <w:szCs w:val="24"/>
        </w:rPr>
        <w:t xml:space="preserve"> </w:t>
      </w:r>
      <w:r w:rsidRPr="005A1B3E">
        <w:rPr>
          <w:rFonts w:ascii="Times New Roman" w:hAnsi="Times New Roman" w:cs="Times New Roman"/>
          <w:sz w:val="24"/>
          <w:szCs w:val="24"/>
        </w:rPr>
        <w:t>ARRA fund expenditures, that of the local</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governments and tribal nations will not. Many local government/tribal projects will be</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completed within one year, and so will not be reported on in subsequent years.</w:t>
      </w:r>
    </w:p>
    <w:p w:rsidR="00020457"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13. Provide an estimate for the total annual cost burden to respondents or</w:t>
      </w:r>
    </w:p>
    <w:p w:rsidR="005A1B3E" w:rsidRDefault="00020457" w:rsidP="005A1B3E">
      <w:pPr>
        <w:autoSpaceDE w:val="0"/>
        <w:autoSpaceDN w:val="0"/>
        <w:adjustRightInd w:val="0"/>
        <w:spacing w:after="0" w:line="240" w:lineRule="auto"/>
        <w:ind w:right="720"/>
        <w:rPr>
          <w:rFonts w:ascii="Times New Roman" w:hAnsi="Times New Roman" w:cs="Times New Roman"/>
          <w:b/>
          <w:sz w:val="24"/>
          <w:szCs w:val="24"/>
          <w:u w:val="single"/>
        </w:rPr>
      </w:pPr>
      <w:r>
        <w:rPr>
          <w:rFonts w:ascii="Times New Roman" w:hAnsi="Times New Roman" w:cs="Times New Roman"/>
          <w:b/>
          <w:sz w:val="24"/>
          <w:szCs w:val="24"/>
          <w:u w:val="single"/>
        </w:rPr>
        <w:t>recordkeepers</w:t>
      </w:r>
      <w:r w:rsidR="005A1B3E" w:rsidRPr="00020457">
        <w:rPr>
          <w:rFonts w:ascii="Times New Roman" w:hAnsi="Times New Roman" w:cs="Times New Roman"/>
          <w:b/>
          <w:sz w:val="24"/>
          <w:szCs w:val="24"/>
          <w:u w:val="single"/>
        </w:rPr>
        <w:t xml:space="preserve"> resulting from the collection of information.</w:t>
      </w:r>
    </w:p>
    <w:p w:rsidR="00020457" w:rsidRPr="00020457" w:rsidRDefault="00020457" w:rsidP="005A1B3E">
      <w:pPr>
        <w:autoSpaceDE w:val="0"/>
        <w:autoSpaceDN w:val="0"/>
        <w:adjustRightInd w:val="0"/>
        <w:spacing w:after="0" w:line="240" w:lineRule="auto"/>
        <w:ind w:right="720"/>
        <w:rPr>
          <w:rFonts w:ascii="Times New Roman" w:hAnsi="Times New Roman" w:cs="Times New Roman"/>
          <w:b/>
          <w:sz w:val="24"/>
          <w:szCs w:val="24"/>
          <w:u w:val="single"/>
        </w:rPr>
      </w:pPr>
    </w:p>
    <w:p w:rsidR="002F251F"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The cost burden to respondents is currently not known. However</w:t>
      </w:r>
      <w:r w:rsidR="002F251F">
        <w:rPr>
          <w:rFonts w:ascii="Times New Roman" w:hAnsi="Times New Roman" w:cs="Times New Roman"/>
          <w:sz w:val="24"/>
          <w:szCs w:val="24"/>
        </w:rPr>
        <w:t xml:space="preserve"> per the Funding Opportunity Announcement:</w:t>
      </w:r>
    </w:p>
    <w:p w:rsidR="002F251F" w:rsidRPr="002F251F" w:rsidRDefault="005A1B3E" w:rsidP="002F251F">
      <w:pPr>
        <w:autoSpaceDE w:val="0"/>
        <w:autoSpaceDN w:val="0"/>
        <w:adjustRightInd w:val="0"/>
        <w:spacing w:after="0" w:line="240" w:lineRule="auto"/>
        <w:rPr>
          <w:rFonts w:ascii="Times New Roman" w:hAnsi="Times New Roman" w:cs="Times New Roman"/>
          <w:sz w:val="24"/>
          <w:szCs w:val="24"/>
        </w:rPr>
      </w:pPr>
      <w:r w:rsidRPr="002F251F">
        <w:rPr>
          <w:rFonts w:ascii="Times New Roman" w:hAnsi="Times New Roman" w:cs="Times New Roman"/>
          <w:sz w:val="24"/>
          <w:szCs w:val="24"/>
        </w:rPr>
        <w:t xml:space="preserve"> </w:t>
      </w:r>
    </w:p>
    <w:p w:rsidR="002F251F" w:rsidRPr="002F251F" w:rsidRDefault="00A23C93" w:rsidP="002F251F">
      <w:pPr>
        <w:autoSpaceDE w:val="0"/>
        <w:autoSpaceDN w:val="0"/>
        <w:adjustRightInd w:val="0"/>
        <w:spacing w:after="0" w:line="240" w:lineRule="auto"/>
        <w:rPr>
          <w:rFonts w:ascii="Times New Roman" w:hAnsi="Times New Roman" w:cs="Times New Roman"/>
          <w:sz w:val="24"/>
          <w:szCs w:val="24"/>
        </w:rPr>
      </w:pPr>
      <w:r w:rsidRPr="00A23C93">
        <w:rPr>
          <w:rFonts w:ascii="Times New Roman" w:hAnsi="Times New Roman" w:cs="Times New Roman"/>
          <w:sz w:val="24"/>
          <w:szCs w:val="24"/>
        </w:rPr>
        <w:t>State applicants may expend for payment of reasonable administrative and planning costs not</w:t>
      </w:r>
    </w:p>
    <w:p w:rsidR="002F251F" w:rsidRPr="002F251F" w:rsidRDefault="00A23C93" w:rsidP="002F251F">
      <w:pPr>
        <w:autoSpaceDE w:val="0"/>
        <w:autoSpaceDN w:val="0"/>
        <w:adjustRightInd w:val="0"/>
        <w:spacing w:after="0" w:line="240" w:lineRule="auto"/>
        <w:ind w:right="720"/>
        <w:rPr>
          <w:rFonts w:ascii="Times New Roman" w:hAnsi="Times New Roman" w:cs="Times New Roman"/>
          <w:sz w:val="24"/>
          <w:szCs w:val="24"/>
        </w:rPr>
      </w:pPr>
      <w:r w:rsidRPr="00A23C93">
        <w:rPr>
          <w:rFonts w:ascii="Times New Roman" w:hAnsi="Times New Roman" w:cs="Times New Roman"/>
          <w:sz w:val="24"/>
          <w:szCs w:val="24"/>
        </w:rPr>
        <w:t>more than 10 percent of amounts provided under the program including the cost of reporting.</w:t>
      </w:r>
    </w:p>
    <w:p w:rsidR="002F251F" w:rsidRPr="002F251F" w:rsidRDefault="002F251F" w:rsidP="002F251F">
      <w:pPr>
        <w:autoSpaceDE w:val="0"/>
        <w:autoSpaceDN w:val="0"/>
        <w:adjustRightInd w:val="0"/>
        <w:spacing w:after="0" w:line="240" w:lineRule="auto"/>
        <w:ind w:right="720"/>
        <w:rPr>
          <w:rFonts w:ascii="Times New Roman" w:hAnsi="Times New Roman" w:cs="Times New Roman"/>
          <w:sz w:val="24"/>
          <w:szCs w:val="24"/>
        </w:rPr>
      </w:pPr>
    </w:p>
    <w:p w:rsidR="00666A4C" w:rsidRDefault="00A23C93">
      <w:pPr>
        <w:autoSpaceDE w:val="0"/>
        <w:autoSpaceDN w:val="0"/>
        <w:adjustRightInd w:val="0"/>
        <w:spacing w:after="0" w:line="240" w:lineRule="auto"/>
        <w:rPr>
          <w:rFonts w:ascii="Times New Roman" w:hAnsi="Times New Roman" w:cs="Times New Roman"/>
          <w:sz w:val="24"/>
          <w:szCs w:val="24"/>
        </w:rPr>
      </w:pPr>
      <w:r w:rsidRPr="00A23C93">
        <w:rPr>
          <w:rFonts w:ascii="Times New Roman" w:hAnsi="Times New Roman" w:cs="Times New Roman"/>
          <w:sz w:val="24"/>
          <w:szCs w:val="24"/>
        </w:rPr>
        <w:t>For local governments &amp; tribes: Up to 10 percent or $75,000, whichever is greater, of grant funds may be used for administrative</w:t>
      </w:r>
      <w:r w:rsidR="002F251F" w:rsidRPr="002F251F">
        <w:rPr>
          <w:rFonts w:ascii="Times New Roman" w:hAnsi="Times New Roman" w:cs="Times New Roman"/>
          <w:sz w:val="24"/>
          <w:szCs w:val="24"/>
        </w:rPr>
        <w:t xml:space="preserve"> </w:t>
      </w:r>
      <w:r w:rsidRPr="00A23C93">
        <w:rPr>
          <w:rFonts w:ascii="Times New Roman" w:hAnsi="Times New Roman" w:cs="Times New Roman"/>
          <w:sz w:val="24"/>
          <w:szCs w:val="24"/>
        </w:rPr>
        <w:t xml:space="preserve">expenses, excluding the cost of meeting the reporting </w:t>
      </w:r>
      <w:r w:rsidRPr="00A23C93">
        <w:rPr>
          <w:rFonts w:ascii="Times New Roman" w:hAnsi="Times New Roman" w:cs="Times New Roman"/>
          <w:sz w:val="24"/>
          <w:szCs w:val="24"/>
        </w:rPr>
        <w:lastRenderedPageBreak/>
        <w:t>requirements of the Program. Administrative costs are the allowable, reasonable, and allocable direct and indirect costs related to overall management of the awarded grant.</w:t>
      </w:r>
    </w:p>
    <w:p w:rsidR="002F251F" w:rsidRDefault="002F251F" w:rsidP="002F251F">
      <w:pPr>
        <w:autoSpaceDE w:val="0"/>
        <w:autoSpaceDN w:val="0"/>
        <w:adjustRightInd w:val="0"/>
        <w:spacing w:after="0" w:line="240" w:lineRule="auto"/>
        <w:ind w:right="720"/>
        <w:rPr>
          <w:rFonts w:ascii="Times New Roman" w:hAnsi="Times New Roman" w:cs="Times New Roman"/>
          <w:sz w:val="24"/>
          <w:szCs w:val="24"/>
        </w:rPr>
      </w:pPr>
    </w:p>
    <w:p w:rsidR="002F251F" w:rsidRDefault="002F251F" w:rsidP="002F251F">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As such it is expected that affected recipients will be able to expend grant funds to meet the cost of the monthly reporting requirement.</w:t>
      </w:r>
    </w:p>
    <w:p w:rsidR="00020457"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 xml:space="preserve">14. Provide estimates of annualized cost to the federal </w:t>
      </w:r>
      <w:r w:rsidR="00020457" w:rsidRPr="00020457">
        <w:rPr>
          <w:rFonts w:ascii="Times New Roman" w:hAnsi="Times New Roman" w:cs="Times New Roman"/>
          <w:b/>
          <w:sz w:val="24"/>
          <w:szCs w:val="24"/>
          <w:u w:val="single"/>
        </w:rPr>
        <w:t>government</w:t>
      </w:r>
      <w:r w:rsidRPr="00020457">
        <w:rPr>
          <w:rFonts w:ascii="Times New Roman" w:hAnsi="Times New Roman" w:cs="Times New Roman"/>
          <w:b/>
          <w:sz w:val="24"/>
          <w:szCs w:val="24"/>
          <w:u w:val="single"/>
        </w:rPr>
        <w:t>.</w:t>
      </w:r>
    </w:p>
    <w:p w:rsidR="00020457"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1</w:t>
      </w:r>
      <w:r w:rsidR="005A1B3E" w:rsidRPr="005A1B3E">
        <w:rPr>
          <w:rFonts w:ascii="Times New Roman" w:hAnsi="Times New Roman" w:cs="Times New Roman"/>
          <w:sz w:val="24"/>
          <w:szCs w:val="24"/>
        </w:rPr>
        <w:t>) Local/</w:t>
      </w:r>
      <w:r>
        <w:rPr>
          <w:rFonts w:ascii="Times New Roman" w:hAnsi="Times New Roman" w:cs="Times New Roman"/>
          <w:sz w:val="24"/>
          <w:szCs w:val="24"/>
        </w:rPr>
        <w:t>tribal governments</w:t>
      </w:r>
      <w:r>
        <w:rPr>
          <w:rFonts w:ascii="Times New Roman" w:hAnsi="Times New Roman" w:cs="Times New Roman"/>
          <w:sz w:val="24"/>
          <w:szCs w:val="24"/>
        </w:rPr>
        <w:tab/>
      </w:r>
      <w:r w:rsidR="008662FF">
        <w:rPr>
          <w:rFonts w:ascii="Times New Roman" w:hAnsi="Times New Roman" w:cs="Times New Roman"/>
          <w:sz w:val="24"/>
          <w:szCs w:val="24"/>
        </w:rPr>
        <w:t>10</w:t>
      </w:r>
      <w:r>
        <w:rPr>
          <w:rFonts w:ascii="Times New Roman" w:hAnsi="Times New Roman" w:cs="Times New Roman"/>
          <w:sz w:val="24"/>
          <w:szCs w:val="24"/>
        </w:rPr>
        <w:t xml:space="preserve"> hours @ $30 per hour = $ </w:t>
      </w:r>
      <w:r w:rsidR="002F251F">
        <w:rPr>
          <w:rFonts w:ascii="Times New Roman" w:hAnsi="Times New Roman" w:cs="Times New Roman"/>
          <w:sz w:val="24"/>
          <w:szCs w:val="24"/>
        </w:rPr>
        <w:t>300</w:t>
      </w: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2) State governments</w:t>
      </w:r>
      <w:r w:rsidR="00020457">
        <w:rPr>
          <w:rFonts w:ascii="Times New Roman" w:hAnsi="Times New Roman" w:cs="Times New Roman"/>
          <w:sz w:val="24"/>
          <w:szCs w:val="24"/>
        </w:rPr>
        <w:tab/>
      </w:r>
      <w:r w:rsidR="00020457">
        <w:rPr>
          <w:rFonts w:ascii="Times New Roman" w:hAnsi="Times New Roman" w:cs="Times New Roman"/>
          <w:sz w:val="24"/>
          <w:szCs w:val="24"/>
        </w:rPr>
        <w:tab/>
      </w:r>
      <w:r w:rsidR="008662FF">
        <w:rPr>
          <w:rFonts w:ascii="Times New Roman" w:hAnsi="Times New Roman" w:cs="Times New Roman"/>
          <w:sz w:val="24"/>
          <w:szCs w:val="24"/>
        </w:rPr>
        <w:t>15</w:t>
      </w:r>
      <w:r w:rsidR="00020457">
        <w:rPr>
          <w:rFonts w:ascii="Times New Roman" w:hAnsi="Times New Roman" w:cs="Times New Roman"/>
          <w:sz w:val="24"/>
          <w:szCs w:val="24"/>
        </w:rPr>
        <w:t xml:space="preserve"> hours @ $40 per hour = $</w:t>
      </w:r>
      <w:r w:rsidR="002F251F">
        <w:rPr>
          <w:rFonts w:ascii="Times New Roman" w:hAnsi="Times New Roman" w:cs="Times New Roman"/>
          <w:sz w:val="24"/>
          <w:szCs w:val="24"/>
        </w:rPr>
        <w:t xml:space="preserve"> 600</w:t>
      </w: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3) PMC staff</w:t>
      </w:r>
      <w:r w:rsidR="00020457">
        <w:rPr>
          <w:rFonts w:ascii="Times New Roman" w:hAnsi="Times New Roman" w:cs="Times New Roman"/>
          <w:sz w:val="24"/>
          <w:szCs w:val="24"/>
        </w:rPr>
        <w:tab/>
      </w:r>
      <w:r w:rsidR="00020457">
        <w:rPr>
          <w:rFonts w:ascii="Times New Roman" w:hAnsi="Times New Roman" w:cs="Times New Roman"/>
          <w:sz w:val="24"/>
          <w:szCs w:val="24"/>
        </w:rPr>
        <w:tab/>
      </w:r>
      <w:r w:rsidR="00020457">
        <w:rPr>
          <w:rFonts w:ascii="Times New Roman" w:hAnsi="Times New Roman" w:cs="Times New Roman"/>
          <w:sz w:val="24"/>
          <w:szCs w:val="24"/>
        </w:rPr>
        <w:tab/>
        <w:t>1 hour @ $40 per hour = $  40</w:t>
      </w:r>
    </w:p>
    <w:p w:rsidR="00020457"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A1B3E" w:rsidRPr="005A1B3E">
        <w:rPr>
          <w:rFonts w:ascii="Times New Roman" w:hAnsi="Times New Roman" w:cs="Times New Roman"/>
          <w:sz w:val="24"/>
          <w:szCs w:val="24"/>
        </w:rPr>
        <w:t>TOTAL $</w:t>
      </w:r>
      <w:r w:rsidR="002F251F">
        <w:rPr>
          <w:rFonts w:ascii="Times New Roman" w:hAnsi="Times New Roman" w:cs="Times New Roman"/>
          <w:sz w:val="24"/>
          <w:szCs w:val="24"/>
        </w:rPr>
        <w:t>340</w:t>
      </w:r>
      <w:r w:rsidR="005A1B3E" w:rsidRPr="005A1B3E">
        <w:rPr>
          <w:rFonts w:ascii="Times New Roman" w:hAnsi="Times New Roman" w:cs="Times New Roman"/>
          <w:sz w:val="24"/>
          <w:szCs w:val="24"/>
        </w:rPr>
        <w:t xml:space="preserve"> per fo</w:t>
      </w:r>
      <w:r>
        <w:rPr>
          <w:rFonts w:ascii="Times New Roman" w:hAnsi="Times New Roman" w:cs="Times New Roman"/>
          <w:sz w:val="24"/>
          <w:szCs w:val="24"/>
        </w:rPr>
        <w:t>rm</w:t>
      </w:r>
      <w:r w:rsidR="005A1B3E" w:rsidRPr="005A1B3E">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5A1B3E" w:rsidRPr="005A1B3E">
        <w:rPr>
          <w:rFonts w:ascii="Times New Roman" w:hAnsi="Times New Roman" w:cs="Times New Roman"/>
          <w:sz w:val="24"/>
          <w:szCs w:val="24"/>
        </w:rPr>
        <w:t>local government/tribal grants</w:t>
      </w:r>
    </w:p>
    <w:p w:rsidR="005A1B3E" w:rsidRDefault="0002045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F251F">
        <w:rPr>
          <w:rFonts w:ascii="Times New Roman" w:hAnsi="Times New Roman" w:cs="Times New Roman"/>
          <w:sz w:val="24"/>
          <w:szCs w:val="24"/>
        </w:rPr>
        <w:t>640</w:t>
      </w:r>
      <w:r>
        <w:rPr>
          <w:rFonts w:ascii="Times New Roman" w:hAnsi="Times New Roman" w:cs="Times New Roman"/>
          <w:sz w:val="24"/>
          <w:szCs w:val="24"/>
        </w:rPr>
        <w:t xml:space="preserve"> per form</w:t>
      </w:r>
      <w:r w:rsidR="005A1B3E" w:rsidRPr="005A1B3E">
        <w:rPr>
          <w:rFonts w:ascii="Times New Roman" w:hAnsi="Times New Roman" w:cs="Times New Roman"/>
          <w:sz w:val="24"/>
          <w:szCs w:val="24"/>
        </w:rPr>
        <w:t xml:space="preserve"> for State grants</w:t>
      </w:r>
    </w:p>
    <w:p w:rsidR="00020457"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 xml:space="preserve">Annual costs specific to the federal government: </w:t>
      </w:r>
    </w:p>
    <w:p w:rsidR="002F251F" w:rsidRDefault="002F251F"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Local go</w:t>
      </w:r>
      <w:r w:rsidR="00606407">
        <w:rPr>
          <w:rFonts w:ascii="Times New Roman" w:hAnsi="Times New Roman" w:cs="Times New Roman"/>
          <w:sz w:val="24"/>
          <w:szCs w:val="24"/>
        </w:rPr>
        <w:t xml:space="preserve">vernments &amp; tribes: </w:t>
      </w:r>
      <w:r w:rsidR="00606407">
        <w:rPr>
          <w:rFonts w:ascii="Times New Roman" w:hAnsi="Times New Roman" w:cs="Times New Roman"/>
          <w:sz w:val="24"/>
          <w:szCs w:val="24"/>
        </w:rPr>
        <w:tab/>
        <w:t xml:space="preserve">238 grants </w:t>
      </w:r>
      <w:r>
        <w:rPr>
          <w:rFonts w:ascii="Times New Roman" w:hAnsi="Times New Roman" w:cs="Times New Roman"/>
          <w:sz w:val="24"/>
          <w:szCs w:val="24"/>
        </w:rPr>
        <w:t xml:space="preserve">x $340 </w:t>
      </w:r>
      <w:r w:rsidR="00606407">
        <w:rPr>
          <w:rFonts w:ascii="Times New Roman" w:hAnsi="Times New Roman" w:cs="Times New Roman"/>
          <w:sz w:val="24"/>
          <w:szCs w:val="24"/>
        </w:rPr>
        <w:tab/>
      </w:r>
      <w:r>
        <w:rPr>
          <w:rFonts w:ascii="Times New Roman" w:hAnsi="Times New Roman" w:cs="Times New Roman"/>
          <w:sz w:val="24"/>
          <w:szCs w:val="24"/>
        </w:rPr>
        <w:t>= $</w:t>
      </w:r>
      <w:r w:rsidR="00606407">
        <w:rPr>
          <w:rFonts w:ascii="Times New Roman" w:hAnsi="Times New Roman" w:cs="Times New Roman"/>
          <w:sz w:val="24"/>
          <w:szCs w:val="24"/>
        </w:rPr>
        <w:t xml:space="preserve">      </w:t>
      </w:r>
      <w:r>
        <w:rPr>
          <w:rFonts w:ascii="Times New Roman" w:hAnsi="Times New Roman" w:cs="Times New Roman"/>
          <w:sz w:val="24"/>
          <w:szCs w:val="24"/>
        </w:rPr>
        <w:t>80,920</w:t>
      </w:r>
    </w:p>
    <w:p w:rsidR="00020457" w:rsidRDefault="002F251F"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State governments:</w:t>
      </w:r>
      <w:r>
        <w:rPr>
          <w:rFonts w:ascii="Times New Roman" w:hAnsi="Times New Roman" w:cs="Times New Roman"/>
          <w:sz w:val="24"/>
          <w:szCs w:val="24"/>
        </w:rPr>
        <w:tab/>
      </w:r>
      <w:r>
        <w:rPr>
          <w:rFonts w:ascii="Times New Roman" w:hAnsi="Times New Roman" w:cs="Times New Roman"/>
          <w:sz w:val="24"/>
          <w:szCs w:val="24"/>
        </w:rPr>
        <w:tab/>
        <w:t>56</w:t>
      </w:r>
      <w:r w:rsidR="00606407">
        <w:rPr>
          <w:rFonts w:ascii="Times New Roman" w:hAnsi="Times New Roman" w:cs="Times New Roman"/>
          <w:sz w:val="24"/>
          <w:szCs w:val="24"/>
        </w:rPr>
        <w:t xml:space="preserve"> grants x $640 </w:t>
      </w:r>
      <w:r w:rsidR="00606407">
        <w:rPr>
          <w:rFonts w:ascii="Times New Roman" w:hAnsi="Times New Roman" w:cs="Times New Roman"/>
          <w:sz w:val="24"/>
          <w:szCs w:val="24"/>
        </w:rPr>
        <w:tab/>
        <w:t>= $      35,840</w:t>
      </w:r>
    </w:p>
    <w:p w:rsidR="00606407" w:rsidRDefault="0060640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116,760</w:t>
      </w:r>
    </w:p>
    <w:p w:rsidR="00606407" w:rsidRDefault="00606407" w:rsidP="005A1B3E">
      <w:pPr>
        <w:autoSpaceDE w:val="0"/>
        <w:autoSpaceDN w:val="0"/>
        <w:adjustRightInd w:val="0"/>
        <w:spacing w:after="0" w:line="240" w:lineRule="auto"/>
        <w:ind w:right="720"/>
        <w:rPr>
          <w:rFonts w:ascii="Times New Roman" w:hAnsi="Times New Roman" w:cs="Times New Roman"/>
          <w:sz w:val="24"/>
          <w:szCs w:val="24"/>
        </w:rPr>
      </w:pPr>
    </w:p>
    <w:p w:rsidR="00606407" w:rsidRPr="005A1B3E" w:rsidRDefault="00606407" w:rsidP="005A1B3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Annual cost: </w:t>
      </w:r>
      <w:r>
        <w:rPr>
          <w:rFonts w:ascii="Times New Roman" w:hAnsi="Times New Roman" w:cs="Times New Roman"/>
          <w:sz w:val="24"/>
          <w:szCs w:val="24"/>
        </w:rPr>
        <w:tab/>
        <w:t>$116, 760/month x 12 reports</w:t>
      </w:r>
      <w:r>
        <w:rPr>
          <w:rFonts w:ascii="Times New Roman" w:hAnsi="Times New Roman" w:cs="Times New Roman"/>
          <w:sz w:val="24"/>
          <w:szCs w:val="24"/>
        </w:rPr>
        <w:tab/>
      </w:r>
      <w:r>
        <w:rPr>
          <w:rFonts w:ascii="Times New Roman" w:hAnsi="Times New Roman" w:cs="Times New Roman"/>
          <w:sz w:val="24"/>
          <w:szCs w:val="24"/>
        </w:rPr>
        <w:tab/>
        <w:t>= $ 1,401,120</w:t>
      </w: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15. Explain the reasons for any program changes or adjustments reported in items</w:t>
      </w:r>
    </w:p>
    <w:p w:rsid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13 or 14 of OMB form 83-1.</w:t>
      </w:r>
    </w:p>
    <w:p w:rsidR="00020457" w:rsidRPr="00020457" w:rsidRDefault="00020457" w:rsidP="005A1B3E">
      <w:pPr>
        <w:autoSpaceDE w:val="0"/>
        <w:autoSpaceDN w:val="0"/>
        <w:adjustRightInd w:val="0"/>
        <w:spacing w:after="0" w:line="240" w:lineRule="auto"/>
        <w:ind w:right="720"/>
        <w:rPr>
          <w:rFonts w:ascii="Times New Roman" w:hAnsi="Times New Roman" w:cs="Times New Roman"/>
          <w:b/>
          <w:sz w:val="24"/>
          <w:szCs w:val="24"/>
          <w:u w:val="single"/>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NA - this is a new requirement</w:t>
      </w:r>
    </w:p>
    <w:p w:rsidR="00020457"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020457" w:rsidRDefault="00020457" w:rsidP="005A1B3E">
      <w:pPr>
        <w:autoSpaceDE w:val="0"/>
        <w:autoSpaceDN w:val="0"/>
        <w:adjustRightInd w:val="0"/>
        <w:spacing w:after="0" w:line="240" w:lineRule="auto"/>
        <w:ind w:right="720"/>
        <w:rPr>
          <w:rFonts w:ascii="Times New Roman" w:hAnsi="Times New Roman" w:cs="Times New Roman"/>
          <w:b/>
          <w:sz w:val="24"/>
          <w:szCs w:val="24"/>
          <w:u w:val="single"/>
        </w:rPr>
      </w:pPr>
      <w:r>
        <w:rPr>
          <w:rFonts w:ascii="Times New Roman" w:hAnsi="Times New Roman" w:cs="Times New Roman"/>
          <w:b/>
          <w:sz w:val="24"/>
          <w:szCs w:val="24"/>
          <w:u w:val="single"/>
        </w:rPr>
        <w:t xml:space="preserve">16. For </w:t>
      </w:r>
      <w:r w:rsidR="005A1B3E" w:rsidRPr="00020457">
        <w:rPr>
          <w:rFonts w:ascii="Times New Roman" w:hAnsi="Times New Roman" w:cs="Times New Roman"/>
          <w:b/>
          <w:sz w:val="24"/>
          <w:szCs w:val="24"/>
          <w:u w:val="single"/>
        </w:rPr>
        <w:t>collections whose results will be published. outline the plans for tabulation</w:t>
      </w:r>
      <w:r>
        <w:rPr>
          <w:rFonts w:ascii="Times New Roman" w:hAnsi="Times New Roman" w:cs="Times New Roman"/>
          <w:b/>
          <w:sz w:val="24"/>
          <w:szCs w:val="24"/>
          <w:u w:val="single"/>
        </w:rPr>
        <w:t xml:space="preserve"> </w:t>
      </w:r>
      <w:r w:rsidR="005A1B3E" w:rsidRPr="00020457">
        <w:rPr>
          <w:rFonts w:ascii="Times New Roman" w:hAnsi="Times New Roman" w:cs="Times New Roman"/>
          <w:b/>
          <w:sz w:val="24"/>
          <w:szCs w:val="24"/>
          <w:u w:val="single"/>
        </w:rPr>
        <w:t>and publication.</w:t>
      </w:r>
    </w:p>
    <w:p w:rsidR="00020457"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NA - no plans to publish results</w:t>
      </w:r>
    </w:p>
    <w:p w:rsidR="00020457"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17. If seeking approval no</w:t>
      </w:r>
      <w:r w:rsidR="00020457" w:rsidRPr="00020457">
        <w:rPr>
          <w:rFonts w:ascii="Times New Roman" w:hAnsi="Times New Roman" w:cs="Times New Roman"/>
          <w:b/>
          <w:sz w:val="24"/>
          <w:szCs w:val="24"/>
          <w:u w:val="single"/>
        </w:rPr>
        <w:t>t to display the expiration date</w:t>
      </w:r>
      <w:r w:rsidRPr="00020457">
        <w:rPr>
          <w:rFonts w:ascii="Times New Roman" w:hAnsi="Times New Roman" w:cs="Times New Roman"/>
          <w:b/>
          <w:sz w:val="24"/>
          <w:szCs w:val="24"/>
          <w:u w:val="single"/>
        </w:rPr>
        <w:t xml:space="preserve"> for OMB approval of the</w:t>
      </w:r>
    </w:p>
    <w:p w:rsidR="005A1B3E" w:rsidRPr="00020457" w:rsidRDefault="00020457"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information collection, e</w:t>
      </w:r>
      <w:r w:rsidR="005A1B3E" w:rsidRPr="00020457">
        <w:rPr>
          <w:rFonts w:ascii="Times New Roman" w:hAnsi="Times New Roman" w:cs="Times New Roman"/>
          <w:b/>
          <w:sz w:val="24"/>
          <w:szCs w:val="24"/>
          <w:u w:val="single"/>
        </w:rPr>
        <w:t>xplain why display would be inappropriate.</w:t>
      </w:r>
    </w:p>
    <w:p w:rsidR="00020457" w:rsidRPr="005A1B3E" w:rsidRDefault="00020457" w:rsidP="005A1B3E">
      <w:pPr>
        <w:autoSpaceDE w:val="0"/>
        <w:autoSpaceDN w:val="0"/>
        <w:adjustRightInd w:val="0"/>
        <w:spacing w:after="0" w:line="240" w:lineRule="auto"/>
        <w:ind w:right="720"/>
        <w:rPr>
          <w:rFonts w:ascii="Times New Roman" w:hAnsi="Times New Roman" w:cs="Times New Roman"/>
          <w:sz w:val="24"/>
          <w:szCs w:val="24"/>
        </w:rPr>
      </w:pPr>
    </w:p>
    <w:p w:rsidR="005A1B3E" w:rsidRPr="005A1B3E" w:rsidRDefault="005A1B3E" w:rsidP="005A1B3E">
      <w:pPr>
        <w:autoSpaceDE w:val="0"/>
        <w:autoSpaceDN w:val="0"/>
        <w:adjustRightInd w:val="0"/>
        <w:spacing w:after="0" w:line="240" w:lineRule="auto"/>
        <w:ind w:right="720"/>
        <w:rPr>
          <w:rFonts w:ascii="Times New Roman" w:hAnsi="Times New Roman" w:cs="Times New Roman"/>
          <w:sz w:val="24"/>
          <w:szCs w:val="24"/>
        </w:rPr>
      </w:pPr>
      <w:r w:rsidRPr="005A1B3E">
        <w:rPr>
          <w:rFonts w:ascii="Times New Roman" w:hAnsi="Times New Roman" w:cs="Times New Roman"/>
          <w:sz w:val="24"/>
          <w:szCs w:val="24"/>
        </w:rPr>
        <w:t>NA - DOE is not seeking approval not to display expiration date.</w:t>
      </w:r>
    </w:p>
    <w:p w:rsidR="00020457" w:rsidRDefault="00020457" w:rsidP="005A1B3E">
      <w:pPr>
        <w:autoSpaceDE w:val="0"/>
        <w:autoSpaceDN w:val="0"/>
        <w:adjustRightInd w:val="0"/>
        <w:spacing w:after="0" w:line="240" w:lineRule="auto"/>
        <w:ind w:right="720"/>
        <w:rPr>
          <w:rFonts w:ascii="Times New Roman" w:hAnsi="Times New Roman" w:cs="Times New Roman"/>
          <w:b/>
          <w:bCs/>
          <w:sz w:val="24"/>
          <w:szCs w:val="24"/>
        </w:rPr>
      </w:pPr>
    </w:p>
    <w:p w:rsidR="005A1B3E" w:rsidRPr="00020457" w:rsidRDefault="005A1B3E" w:rsidP="005A1B3E">
      <w:pPr>
        <w:autoSpaceDE w:val="0"/>
        <w:autoSpaceDN w:val="0"/>
        <w:adjustRightInd w:val="0"/>
        <w:spacing w:after="0" w:line="240" w:lineRule="auto"/>
        <w:ind w:right="720"/>
        <w:rPr>
          <w:rFonts w:ascii="Times New Roman" w:hAnsi="Times New Roman" w:cs="Times New Roman"/>
          <w:b/>
          <w:bCs/>
          <w:sz w:val="24"/>
          <w:szCs w:val="24"/>
          <w:u w:val="single"/>
        </w:rPr>
      </w:pPr>
      <w:r w:rsidRPr="00020457">
        <w:rPr>
          <w:rFonts w:ascii="Times New Roman" w:hAnsi="Times New Roman" w:cs="Times New Roman"/>
          <w:b/>
          <w:bCs/>
          <w:sz w:val="24"/>
          <w:szCs w:val="24"/>
          <w:u w:val="single"/>
        </w:rPr>
        <w:t>18. Explain each exception to the certification statement identified in item 19 of</w:t>
      </w:r>
    </w:p>
    <w:p w:rsidR="005A1B3E" w:rsidRDefault="005A1B3E" w:rsidP="005A1B3E">
      <w:pPr>
        <w:autoSpaceDE w:val="0"/>
        <w:autoSpaceDN w:val="0"/>
        <w:adjustRightInd w:val="0"/>
        <w:spacing w:after="0" w:line="240" w:lineRule="auto"/>
        <w:ind w:right="720"/>
        <w:rPr>
          <w:rFonts w:ascii="Times New Roman" w:hAnsi="Times New Roman" w:cs="Times New Roman"/>
          <w:b/>
          <w:sz w:val="24"/>
          <w:szCs w:val="24"/>
          <w:u w:val="single"/>
        </w:rPr>
      </w:pPr>
      <w:r w:rsidRPr="00020457">
        <w:rPr>
          <w:rFonts w:ascii="Times New Roman" w:hAnsi="Times New Roman" w:cs="Times New Roman"/>
          <w:b/>
          <w:sz w:val="24"/>
          <w:szCs w:val="24"/>
          <w:u w:val="single"/>
        </w:rPr>
        <w:t>OMB form 83-1.</w:t>
      </w:r>
    </w:p>
    <w:p w:rsidR="00020457" w:rsidRPr="00020457" w:rsidRDefault="00020457" w:rsidP="005A1B3E">
      <w:pPr>
        <w:autoSpaceDE w:val="0"/>
        <w:autoSpaceDN w:val="0"/>
        <w:adjustRightInd w:val="0"/>
        <w:spacing w:after="0" w:line="240" w:lineRule="auto"/>
        <w:ind w:right="720"/>
        <w:rPr>
          <w:rFonts w:ascii="Times New Roman" w:hAnsi="Times New Roman" w:cs="Times New Roman"/>
          <w:b/>
          <w:sz w:val="24"/>
          <w:szCs w:val="24"/>
          <w:u w:val="single"/>
        </w:rPr>
      </w:pPr>
    </w:p>
    <w:p w:rsidR="00C4278C" w:rsidRPr="005A1B3E" w:rsidRDefault="005A1B3E" w:rsidP="005A1B3E">
      <w:pPr>
        <w:ind w:right="720"/>
        <w:rPr>
          <w:rFonts w:ascii="Times New Roman" w:hAnsi="Times New Roman" w:cs="Times New Roman"/>
          <w:sz w:val="24"/>
          <w:szCs w:val="24"/>
        </w:rPr>
      </w:pPr>
      <w:r w:rsidRPr="005A1B3E">
        <w:rPr>
          <w:rFonts w:ascii="Times New Roman" w:hAnsi="Times New Roman" w:cs="Times New Roman"/>
          <w:sz w:val="24"/>
          <w:szCs w:val="24"/>
        </w:rPr>
        <w:t>NA - no exceptions are being requested.</w:t>
      </w:r>
    </w:p>
    <w:sectPr w:rsidR="00C4278C" w:rsidRPr="005A1B3E" w:rsidSect="00C427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1251B"/>
    <w:multiLevelType w:val="hybridMultilevel"/>
    <w:tmpl w:val="873A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E01B5"/>
    <w:multiLevelType w:val="hybridMultilevel"/>
    <w:tmpl w:val="62FCB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70E6CC7"/>
    <w:multiLevelType w:val="hybridMultilevel"/>
    <w:tmpl w:val="DEF8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5A1B3E"/>
    <w:rsid w:val="00001224"/>
    <w:rsid w:val="00014710"/>
    <w:rsid w:val="00016F51"/>
    <w:rsid w:val="00020457"/>
    <w:rsid w:val="00023C6C"/>
    <w:rsid w:val="000348C4"/>
    <w:rsid w:val="00040FDD"/>
    <w:rsid w:val="00041E3B"/>
    <w:rsid w:val="00050D1D"/>
    <w:rsid w:val="00053F94"/>
    <w:rsid w:val="00060E58"/>
    <w:rsid w:val="000641EC"/>
    <w:rsid w:val="00067465"/>
    <w:rsid w:val="0007201E"/>
    <w:rsid w:val="00074545"/>
    <w:rsid w:val="00076BDD"/>
    <w:rsid w:val="000775D6"/>
    <w:rsid w:val="00083CF7"/>
    <w:rsid w:val="000A14EA"/>
    <w:rsid w:val="000A517B"/>
    <w:rsid w:val="000D208C"/>
    <w:rsid w:val="000D58F3"/>
    <w:rsid w:val="000F3FF3"/>
    <w:rsid w:val="000F7833"/>
    <w:rsid w:val="001063F9"/>
    <w:rsid w:val="00110F7D"/>
    <w:rsid w:val="00111020"/>
    <w:rsid w:val="00122B5A"/>
    <w:rsid w:val="00146093"/>
    <w:rsid w:val="00147419"/>
    <w:rsid w:val="00151838"/>
    <w:rsid w:val="00156BA3"/>
    <w:rsid w:val="001638D9"/>
    <w:rsid w:val="0016713A"/>
    <w:rsid w:val="00184658"/>
    <w:rsid w:val="00185C48"/>
    <w:rsid w:val="0019677E"/>
    <w:rsid w:val="001A4FF5"/>
    <w:rsid w:val="001A7441"/>
    <w:rsid w:val="001C65D7"/>
    <w:rsid w:val="001D4495"/>
    <w:rsid w:val="001F1075"/>
    <w:rsid w:val="001F57AA"/>
    <w:rsid w:val="00201888"/>
    <w:rsid w:val="00213329"/>
    <w:rsid w:val="00220307"/>
    <w:rsid w:val="00225A76"/>
    <w:rsid w:val="0022622D"/>
    <w:rsid w:val="0023247D"/>
    <w:rsid w:val="00237D17"/>
    <w:rsid w:val="00265378"/>
    <w:rsid w:val="002667B0"/>
    <w:rsid w:val="00267375"/>
    <w:rsid w:val="0026747B"/>
    <w:rsid w:val="00276E1C"/>
    <w:rsid w:val="00276EF9"/>
    <w:rsid w:val="00280DA7"/>
    <w:rsid w:val="00281D5B"/>
    <w:rsid w:val="00283182"/>
    <w:rsid w:val="00283D5D"/>
    <w:rsid w:val="00284D59"/>
    <w:rsid w:val="002857E1"/>
    <w:rsid w:val="00293864"/>
    <w:rsid w:val="002A37AB"/>
    <w:rsid w:val="002A4543"/>
    <w:rsid w:val="002B34DE"/>
    <w:rsid w:val="002C421B"/>
    <w:rsid w:val="002C6C6D"/>
    <w:rsid w:val="002D48BB"/>
    <w:rsid w:val="002E103C"/>
    <w:rsid w:val="002E1A50"/>
    <w:rsid w:val="002E3139"/>
    <w:rsid w:val="002E4C49"/>
    <w:rsid w:val="002E781B"/>
    <w:rsid w:val="002F251F"/>
    <w:rsid w:val="002F4348"/>
    <w:rsid w:val="00305D46"/>
    <w:rsid w:val="00313F7F"/>
    <w:rsid w:val="0031499D"/>
    <w:rsid w:val="00322DC7"/>
    <w:rsid w:val="00331F78"/>
    <w:rsid w:val="00335EF9"/>
    <w:rsid w:val="00341C7D"/>
    <w:rsid w:val="0036081E"/>
    <w:rsid w:val="003638CF"/>
    <w:rsid w:val="0036648E"/>
    <w:rsid w:val="00366F3F"/>
    <w:rsid w:val="0036753F"/>
    <w:rsid w:val="00371C15"/>
    <w:rsid w:val="00382268"/>
    <w:rsid w:val="003828C4"/>
    <w:rsid w:val="00383BED"/>
    <w:rsid w:val="00384021"/>
    <w:rsid w:val="0038757E"/>
    <w:rsid w:val="003956AE"/>
    <w:rsid w:val="003958F0"/>
    <w:rsid w:val="003977ED"/>
    <w:rsid w:val="003B31B1"/>
    <w:rsid w:val="003B5806"/>
    <w:rsid w:val="003C4273"/>
    <w:rsid w:val="003D5211"/>
    <w:rsid w:val="003D6E6B"/>
    <w:rsid w:val="003E0D36"/>
    <w:rsid w:val="003E2BA0"/>
    <w:rsid w:val="00411626"/>
    <w:rsid w:val="004151C9"/>
    <w:rsid w:val="00423525"/>
    <w:rsid w:val="004274B9"/>
    <w:rsid w:val="00427BF1"/>
    <w:rsid w:val="004341E5"/>
    <w:rsid w:val="00440BE5"/>
    <w:rsid w:val="0044593F"/>
    <w:rsid w:val="00447219"/>
    <w:rsid w:val="00451320"/>
    <w:rsid w:val="00453E10"/>
    <w:rsid w:val="004543D7"/>
    <w:rsid w:val="004603DF"/>
    <w:rsid w:val="00462BBA"/>
    <w:rsid w:val="00465146"/>
    <w:rsid w:val="00473A69"/>
    <w:rsid w:val="00473EA6"/>
    <w:rsid w:val="00474197"/>
    <w:rsid w:val="004779DF"/>
    <w:rsid w:val="004863E0"/>
    <w:rsid w:val="004901F6"/>
    <w:rsid w:val="004919F1"/>
    <w:rsid w:val="004951E3"/>
    <w:rsid w:val="004B0320"/>
    <w:rsid w:val="004B3602"/>
    <w:rsid w:val="004C09C9"/>
    <w:rsid w:val="004C54EA"/>
    <w:rsid w:val="004C68BF"/>
    <w:rsid w:val="004C70DC"/>
    <w:rsid w:val="004D0039"/>
    <w:rsid w:val="004D2A38"/>
    <w:rsid w:val="004E5BDD"/>
    <w:rsid w:val="004E70F9"/>
    <w:rsid w:val="004F0C79"/>
    <w:rsid w:val="004F0E8E"/>
    <w:rsid w:val="004F455D"/>
    <w:rsid w:val="004F5E04"/>
    <w:rsid w:val="004F6082"/>
    <w:rsid w:val="00513194"/>
    <w:rsid w:val="00513FD4"/>
    <w:rsid w:val="00515A51"/>
    <w:rsid w:val="00522BA2"/>
    <w:rsid w:val="00523F0C"/>
    <w:rsid w:val="00526A90"/>
    <w:rsid w:val="00536EE3"/>
    <w:rsid w:val="005433AD"/>
    <w:rsid w:val="00546D69"/>
    <w:rsid w:val="005506AF"/>
    <w:rsid w:val="005553CD"/>
    <w:rsid w:val="00555611"/>
    <w:rsid w:val="0055657C"/>
    <w:rsid w:val="00557400"/>
    <w:rsid w:val="0056328D"/>
    <w:rsid w:val="005704C6"/>
    <w:rsid w:val="00571DD3"/>
    <w:rsid w:val="00572BDD"/>
    <w:rsid w:val="00574C19"/>
    <w:rsid w:val="005759CE"/>
    <w:rsid w:val="005771AE"/>
    <w:rsid w:val="005772A0"/>
    <w:rsid w:val="00581C8A"/>
    <w:rsid w:val="00584F3C"/>
    <w:rsid w:val="005966DD"/>
    <w:rsid w:val="00597198"/>
    <w:rsid w:val="00597A9A"/>
    <w:rsid w:val="005A1B3E"/>
    <w:rsid w:val="005A26CB"/>
    <w:rsid w:val="005A629F"/>
    <w:rsid w:val="005B0F77"/>
    <w:rsid w:val="005B75BD"/>
    <w:rsid w:val="005B7C3C"/>
    <w:rsid w:val="005C5609"/>
    <w:rsid w:val="005D42B2"/>
    <w:rsid w:val="005D6A2F"/>
    <w:rsid w:val="005E3A1E"/>
    <w:rsid w:val="005E4EA8"/>
    <w:rsid w:val="005E6438"/>
    <w:rsid w:val="005F2260"/>
    <w:rsid w:val="005F5744"/>
    <w:rsid w:val="005F7B03"/>
    <w:rsid w:val="006023A5"/>
    <w:rsid w:val="00603750"/>
    <w:rsid w:val="00604F89"/>
    <w:rsid w:val="00605BD0"/>
    <w:rsid w:val="00606407"/>
    <w:rsid w:val="00610CE4"/>
    <w:rsid w:val="0061404D"/>
    <w:rsid w:val="0061450F"/>
    <w:rsid w:val="00616A97"/>
    <w:rsid w:val="006231F1"/>
    <w:rsid w:val="00625DFA"/>
    <w:rsid w:val="00652A44"/>
    <w:rsid w:val="00654D6A"/>
    <w:rsid w:val="00660289"/>
    <w:rsid w:val="00663F9C"/>
    <w:rsid w:val="0066638B"/>
    <w:rsid w:val="00666A4C"/>
    <w:rsid w:val="00667FE3"/>
    <w:rsid w:val="006733B5"/>
    <w:rsid w:val="006A1742"/>
    <w:rsid w:val="006C09C6"/>
    <w:rsid w:val="006C0B99"/>
    <w:rsid w:val="006D56C7"/>
    <w:rsid w:val="006D7A72"/>
    <w:rsid w:val="006E613E"/>
    <w:rsid w:val="006F135E"/>
    <w:rsid w:val="006F3104"/>
    <w:rsid w:val="006F5D5C"/>
    <w:rsid w:val="006F6997"/>
    <w:rsid w:val="00716A63"/>
    <w:rsid w:val="00724F4E"/>
    <w:rsid w:val="00731AC3"/>
    <w:rsid w:val="00737664"/>
    <w:rsid w:val="00741C94"/>
    <w:rsid w:val="00751ABE"/>
    <w:rsid w:val="00751FE6"/>
    <w:rsid w:val="00753901"/>
    <w:rsid w:val="00754A41"/>
    <w:rsid w:val="00762D40"/>
    <w:rsid w:val="00763256"/>
    <w:rsid w:val="007733C9"/>
    <w:rsid w:val="00773B06"/>
    <w:rsid w:val="00773FF2"/>
    <w:rsid w:val="0079020D"/>
    <w:rsid w:val="00790F2A"/>
    <w:rsid w:val="0079319B"/>
    <w:rsid w:val="007A3375"/>
    <w:rsid w:val="007A4EC2"/>
    <w:rsid w:val="007B1B49"/>
    <w:rsid w:val="007B1FBF"/>
    <w:rsid w:val="007C4A40"/>
    <w:rsid w:val="007C672B"/>
    <w:rsid w:val="007D245C"/>
    <w:rsid w:val="007D29DD"/>
    <w:rsid w:val="007D649F"/>
    <w:rsid w:val="007E4D5E"/>
    <w:rsid w:val="007F4ACB"/>
    <w:rsid w:val="007F4D67"/>
    <w:rsid w:val="0080148A"/>
    <w:rsid w:val="0081500A"/>
    <w:rsid w:val="008151A9"/>
    <w:rsid w:val="008159BA"/>
    <w:rsid w:val="00817108"/>
    <w:rsid w:val="00820CD9"/>
    <w:rsid w:val="008227A4"/>
    <w:rsid w:val="00833C33"/>
    <w:rsid w:val="00841BCE"/>
    <w:rsid w:val="008434CC"/>
    <w:rsid w:val="00846EF9"/>
    <w:rsid w:val="0085156D"/>
    <w:rsid w:val="00861AA4"/>
    <w:rsid w:val="00864BA7"/>
    <w:rsid w:val="008662FF"/>
    <w:rsid w:val="00866396"/>
    <w:rsid w:val="008774C0"/>
    <w:rsid w:val="00882663"/>
    <w:rsid w:val="00894134"/>
    <w:rsid w:val="008A1344"/>
    <w:rsid w:val="008A3D01"/>
    <w:rsid w:val="008A51F8"/>
    <w:rsid w:val="008B08CF"/>
    <w:rsid w:val="008B09F1"/>
    <w:rsid w:val="008C6E74"/>
    <w:rsid w:val="008C7740"/>
    <w:rsid w:val="008D5E05"/>
    <w:rsid w:val="008D78E0"/>
    <w:rsid w:val="008E5A2F"/>
    <w:rsid w:val="008E6E95"/>
    <w:rsid w:val="008F7B65"/>
    <w:rsid w:val="0091676C"/>
    <w:rsid w:val="00943E7F"/>
    <w:rsid w:val="0094730F"/>
    <w:rsid w:val="009533D0"/>
    <w:rsid w:val="00956E6D"/>
    <w:rsid w:val="00957859"/>
    <w:rsid w:val="00960B9B"/>
    <w:rsid w:val="00986FCC"/>
    <w:rsid w:val="00991C99"/>
    <w:rsid w:val="00996D46"/>
    <w:rsid w:val="00996F43"/>
    <w:rsid w:val="009B5EF6"/>
    <w:rsid w:val="009C332C"/>
    <w:rsid w:val="009C4304"/>
    <w:rsid w:val="009C54C7"/>
    <w:rsid w:val="009C69A0"/>
    <w:rsid w:val="009E7CA0"/>
    <w:rsid w:val="009F2CA0"/>
    <w:rsid w:val="009F45EF"/>
    <w:rsid w:val="00A07F23"/>
    <w:rsid w:val="00A13579"/>
    <w:rsid w:val="00A23C93"/>
    <w:rsid w:val="00A24AE0"/>
    <w:rsid w:val="00A34F01"/>
    <w:rsid w:val="00A41E14"/>
    <w:rsid w:val="00A54603"/>
    <w:rsid w:val="00A57425"/>
    <w:rsid w:val="00A6036A"/>
    <w:rsid w:val="00A6128A"/>
    <w:rsid w:val="00A62696"/>
    <w:rsid w:val="00A6762A"/>
    <w:rsid w:val="00A80792"/>
    <w:rsid w:val="00A81B7E"/>
    <w:rsid w:val="00A81FF3"/>
    <w:rsid w:val="00A82F72"/>
    <w:rsid w:val="00A84ED0"/>
    <w:rsid w:val="00A9412E"/>
    <w:rsid w:val="00AA1A61"/>
    <w:rsid w:val="00AA21BA"/>
    <w:rsid w:val="00AA360D"/>
    <w:rsid w:val="00AA6D19"/>
    <w:rsid w:val="00AB4AD4"/>
    <w:rsid w:val="00AB72A9"/>
    <w:rsid w:val="00AC5C8D"/>
    <w:rsid w:val="00AC70E9"/>
    <w:rsid w:val="00AD7326"/>
    <w:rsid w:val="00AE0BA4"/>
    <w:rsid w:val="00AE5DEB"/>
    <w:rsid w:val="00AE7F39"/>
    <w:rsid w:val="00AF331C"/>
    <w:rsid w:val="00AF34D6"/>
    <w:rsid w:val="00B040C8"/>
    <w:rsid w:val="00B07116"/>
    <w:rsid w:val="00B169E0"/>
    <w:rsid w:val="00B16B1E"/>
    <w:rsid w:val="00B17061"/>
    <w:rsid w:val="00B34BDA"/>
    <w:rsid w:val="00B35D04"/>
    <w:rsid w:val="00B37F28"/>
    <w:rsid w:val="00B44361"/>
    <w:rsid w:val="00B517FA"/>
    <w:rsid w:val="00B51FD2"/>
    <w:rsid w:val="00B61209"/>
    <w:rsid w:val="00B72C96"/>
    <w:rsid w:val="00B767A1"/>
    <w:rsid w:val="00B954E7"/>
    <w:rsid w:val="00B95CB4"/>
    <w:rsid w:val="00BA7B03"/>
    <w:rsid w:val="00BA7BA9"/>
    <w:rsid w:val="00BA7C13"/>
    <w:rsid w:val="00BB013C"/>
    <w:rsid w:val="00BC6390"/>
    <w:rsid w:val="00BD1886"/>
    <w:rsid w:val="00BD5F8D"/>
    <w:rsid w:val="00BD6970"/>
    <w:rsid w:val="00BD7A1D"/>
    <w:rsid w:val="00BE38DD"/>
    <w:rsid w:val="00BF0AA2"/>
    <w:rsid w:val="00BF312F"/>
    <w:rsid w:val="00BF378A"/>
    <w:rsid w:val="00BF3F24"/>
    <w:rsid w:val="00BF6666"/>
    <w:rsid w:val="00BF677B"/>
    <w:rsid w:val="00C02814"/>
    <w:rsid w:val="00C061FF"/>
    <w:rsid w:val="00C07BB0"/>
    <w:rsid w:val="00C14302"/>
    <w:rsid w:val="00C15081"/>
    <w:rsid w:val="00C25187"/>
    <w:rsid w:val="00C27506"/>
    <w:rsid w:val="00C27DC5"/>
    <w:rsid w:val="00C3082F"/>
    <w:rsid w:val="00C4278C"/>
    <w:rsid w:val="00C5115F"/>
    <w:rsid w:val="00C62FDC"/>
    <w:rsid w:val="00C65C1A"/>
    <w:rsid w:val="00C66BC7"/>
    <w:rsid w:val="00C76FBC"/>
    <w:rsid w:val="00C77E4B"/>
    <w:rsid w:val="00C8413C"/>
    <w:rsid w:val="00C92221"/>
    <w:rsid w:val="00C93F4B"/>
    <w:rsid w:val="00C9601F"/>
    <w:rsid w:val="00CA4DA9"/>
    <w:rsid w:val="00CB19C1"/>
    <w:rsid w:val="00CB2463"/>
    <w:rsid w:val="00CC0A07"/>
    <w:rsid w:val="00CC134C"/>
    <w:rsid w:val="00CD4EA7"/>
    <w:rsid w:val="00CD7580"/>
    <w:rsid w:val="00CD7639"/>
    <w:rsid w:val="00CE0559"/>
    <w:rsid w:val="00CF0ACD"/>
    <w:rsid w:val="00D02557"/>
    <w:rsid w:val="00D060F1"/>
    <w:rsid w:val="00D1732C"/>
    <w:rsid w:val="00D21046"/>
    <w:rsid w:val="00D2148B"/>
    <w:rsid w:val="00D217BE"/>
    <w:rsid w:val="00D2322D"/>
    <w:rsid w:val="00D27A85"/>
    <w:rsid w:val="00D42A04"/>
    <w:rsid w:val="00D60F88"/>
    <w:rsid w:val="00D75616"/>
    <w:rsid w:val="00D83D3F"/>
    <w:rsid w:val="00D851A0"/>
    <w:rsid w:val="00D90403"/>
    <w:rsid w:val="00D90CBE"/>
    <w:rsid w:val="00D91A25"/>
    <w:rsid w:val="00D961E8"/>
    <w:rsid w:val="00DB057C"/>
    <w:rsid w:val="00DB2403"/>
    <w:rsid w:val="00DB28BA"/>
    <w:rsid w:val="00DB4C7F"/>
    <w:rsid w:val="00DC18A8"/>
    <w:rsid w:val="00DD0168"/>
    <w:rsid w:val="00DD4291"/>
    <w:rsid w:val="00DD5711"/>
    <w:rsid w:val="00DD5E1B"/>
    <w:rsid w:val="00DF12DC"/>
    <w:rsid w:val="00E03E57"/>
    <w:rsid w:val="00E07907"/>
    <w:rsid w:val="00E171B2"/>
    <w:rsid w:val="00E273FB"/>
    <w:rsid w:val="00E505C2"/>
    <w:rsid w:val="00E51872"/>
    <w:rsid w:val="00E533B0"/>
    <w:rsid w:val="00E57E55"/>
    <w:rsid w:val="00E63ACA"/>
    <w:rsid w:val="00E6676E"/>
    <w:rsid w:val="00E808EC"/>
    <w:rsid w:val="00E812E3"/>
    <w:rsid w:val="00E848FB"/>
    <w:rsid w:val="00E86A9F"/>
    <w:rsid w:val="00E86DE1"/>
    <w:rsid w:val="00E957CC"/>
    <w:rsid w:val="00EA12FA"/>
    <w:rsid w:val="00EA1465"/>
    <w:rsid w:val="00EB32F9"/>
    <w:rsid w:val="00EB7290"/>
    <w:rsid w:val="00EC212F"/>
    <w:rsid w:val="00EC7EA1"/>
    <w:rsid w:val="00ED2C0F"/>
    <w:rsid w:val="00EE1341"/>
    <w:rsid w:val="00EF3EFF"/>
    <w:rsid w:val="00EF428B"/>
    <w:rsid w:val="00EF5614"/>
    <w:rsid w:val="00F100C4"/>
    <w:rsid w:val="00F14D81"/>
    <w:rsid w:val="00F16B4D"/>
    <w:rsid w:val="00F20E8E"/>
    <w:rsid w:val="00F26A28"/>
    <w:rsid w:val="00F30195"/>
    <w:rsid w:val="00F35BDB"/>
    <w:rsid w:val="00F37DCB"/>
    <w:rsid w:val="00F423C2"/>
    <w:rsid w:val="00F47CCE"/>
    <w:rsid w:val="00F60F8A"/>
    <w:rsid w:val="00F62B00"/>
    <w:rsid w:val="00F62B55"/>
    <w:rsid w:val="00F63646"/>
    <w:rsid w:val="00F705AB"/>
    <w:rsid w:val="00F805D3"/>
    <w:rsid w:val="00F86041"/>
    <w:rsid w:val="00F862E6"/>
    <w:rsid w:val="00F9321B"/>
    <w:rsid w:val="00F93C9B"/>
    <w:rsid w:val="00F95CA0"/>
    <w:rsid w:val="00FA0BD4"/>
    <w:rsid w:val="00FB194C"/>
    <w:rsid w:val="00FB4B7D"/>
    <w:rsid w:val="00FB78AC"/>
    <w:rsid w:val="00FC149B"/>
    <w:rsid w:val="00FC3A1F"/>
    <w:rsid w:val="00FD10E4"/>
    <w:rsid w:val="00FF335B"/>
    <w:rsid w:val="00FF681A"/>
    <w:rsid w:val="00FF7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B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5A1B3E"/>
    <w:rPr>
      <w:b/>
      <w:bCs/>
      <w:i w:val="0"/>
      <w:iCs w:val="0"/>
    </w:rPr>
  </w:style>
  <w:style w:type="character" w:styleId="Hyperlink">
    <w:name w:val="Hyperlink"/>
    <w:basedOn w:val="DefaultParagraphFont"/>
    <w:uiPriority w:val="99"/>
    <w:semiHidden/>
    <w:unhideWhenUsed/>
    <w:rsid w:val="005A1B3E"/>
    <w:rPr>
      <w:color w:val="2200CC"/>
      <w:u w:val="single"/>
    </w:rPr>
  </w:style>
  <w:style w:type="paragraph" w:styleId="ListParagraph">
    <w:name w:val="List Paragraph"/>
    <w:basedOn w:val="Normal"/>
    <w:uiPriority w:val="34"/>
    <w:qFormat/>
    <w:rsid w:val="005A1B3E"/>
    <w:pPr>
      <w:ind w:left="720"/>
      <w:contextualSpacing/>
    </w:pPr>
  </w:style>
  <w:style w:type="character" w:styleId="CommentReference">
    <w:name w:val="annotation reference"/>
    <w:basedOn w:val="DefaultParagraphFont"/>
    <w:uiPriority w:val="99"/>
    <w:semiHidden/>
    <w:unhideWhenUsed/>
    <w:rsid w:val="00E07907"/>
    <w:rPr>
      <w:sz w:val="16"/>
      <w:szCs w:val="16"/>
    </w:rPr>
  </w:style>
  <w:style w:type="paragraph" w:styleId="CommentText">
    <w:name w:val="annotation text"/>
    <w:basedOn w:val="Normal"/>
    <w:link w:val="CommentTextChar"/>
    <w:uiPriority w:val="99"/>
    <w:semiHidden/>
    <w:unhideWhenUsed/>
    <w:rsid w:val="00E07907"/>
    <w:pPr>
      <w:spacing w:line="240" w:lineRule="auto"/>
    </w:pPr>
    <w:rPr>
      <w:sz w:val="20"/>
      <w:szCs w:val="20"/>
    </w:rPr>
  </w:style>
  <w:style w:type="character" w:customStyle="1" w:styleId="CommentTextChar">
    <w:name w:val="Comment Text Char"/>
    <w:basedOn w:val="DefaultParagraphFont"/>
    <w:link w:val="CommentText"/>
    <w:uiPriority w:val="99"/>
    <w:semiHidden/>
    <w:rsid w:val="00E07907"/>
    <w:rPr>
      <w:sz w:val="20"/>
      <w:szCs w:val="20"/>
    </w:rPr>
  </w:style>
  <w:style w:type="paragraph" w:styleId="CommentSubject">
    <w:name w:val="annotation subject"/>
    <w:basedOn w:val="CommentText"/>
    <w:next w:val="CommentText"/>
    <w:link w:val="CommentSubjectChar"/>
    <w:uiPriority w:val="99"/>
    <w:semiHidden/>
    <w:unhideWhenUsed/>
    <w:rsid w:val="00E07907"/>
    <w:rPr>
      <w:b/>
      <w:bCs/>
    </w:rPr>
  </w:style>
  <w:style w:type="character" w:customStyle="1" w:styleId="CommentSubjectChar">
    <w:name w:val="Comment Subject Char"/>
    <w:basedOn w:val="CommentTextChar"/>
    <w:link w:val="CommentSubject"/>
    <w:uiPriority w:val="99"/>
    <w:semiHidden/>
    <w:rsid w:val="00E07907"/>
    <w:rPr>
      <w:b/>
      <w:bCs/>
    </w:rPr>
  </w:style>
  <w:style w:type="paragraph" w:styleId="BalloonText">
    <w:name w:val="Balloon Text"/>
    <w:basedOn w:val="Normal"/>
    <w:link w:val="BalloonTextChar"/>
    <w:uiPriority w:val="99"/>
    <w:semiHidden/>
    <w:unhideWhenUsed/>
    <w:rsid w:val="00E0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9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92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2A7F3-405B-492C-A96B-3CE5899B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22312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dc:creator>
  <cp:keywords/>
  <dc:description/>
  <cp:lastModifiedBy>bryantl</cp:lastModifiedBy>
  <cp:revision>2</cp:revision>
  <cp:lastPrinted>2010-02-25T23:16:00Z</cp:lastPrinted>
  <dcterms:created xsi:type="dcterms:W3CDTF">2010-03-03T18:14:00Z</dcterms:created>
  <dcterms:modified xsi:type="dcterms:W3CDTF">2010-03-03T18:14:00Z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1308999288</vt:i4>
  </property>
  <property fmtid="{D5CDD505-2E9C-101B-9397-08002B2CF9AE}" pid="3" name="_NewReviewCycle">
    <vt:lpwstr/>
  </property>
  <property fmtid="{D5CDD505-2E9C-101B-9397-08002B2CF9AE}" pid="4" name="_EmailSubject">
    <vt:lpwstr>Revised EECBG supporting statement and Draft EECBG program guidance</vt:lpwstr>
  </property>
  <property fmtid="{D5CDD505-2E9C-101B-9397-08002B2CF9AE}" pid="5" name="_AuthorEmail">
    <vt:lpwstr>Christine_J._Kymn@omb.eop.gov</vt:lpwstr>
  </property>
  <property fmtid="{D5CDD505-2E9C-101B-9397-08002B2CF9AE}" pid="6" name="_AuthorEmailDisplayName">
    <vt:lpwstr>Kymn, Christine J.</vt:lpwstr>
  </property>
  <property fmtid="{D5CDD505-2E9C-101B-9397-08002B2CF9AE}" pid="7" name="_PreviousAdHocReviewCycleID">
    <vt:i4>929574630</vt:i4>
  </property>
  <property fmtid="{D5CDD505-2E9C-101B-9397-08002B2CF9AE}" pid="8" name="_ReviewingToolsShownOnce">
    <vt:lpwstr/>
  </property>
</Properties>
</file>