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106" w:rsidRPr="008D5106" w:rsidRDefault="008D5106" w:rsidP="008D5106">
      <w:pPr>
        <w:rPr>
          <w:rFonts w:ascii="Verdana" w:hAnsi="Verdana"/>
          <w:b/>
          <w:color w:val="000000"/>
          <w:sz w:val="19"/>
          <w:szCs w:val="19"/>
        </w:rPr>
      </w:pPr>
      <w:r w:rsidRPr="008D5106">
        <w:rPr>
          <w:rFonts w:ascii="Verdana" w:hAnsi="Verdana"/>
          <w:b/>
          <w:color w:val="000000"/>
          <w:sz w:val="19"/>
          <w:szCs w:val="19"/>
        </w:rPr>
        <w:t>15 U.S.C.A. § 636</w:t>
      </w:r>
      <w:r w:rsidRPr="008D5106">
        <w:rPr>
          <w:rFonts w:ascii="Verdana" w:hAnsi="Verdana"/>
          <w:b/>
          <w:bCs/>
          <w:color w:val="000000"/>
          <w:sz w:val="19"/>
          <w:szCs w:val="19"/>
        </w:rPr>
        <w:t xml:space="preserve"> Additional powers</w:t>
      </w:r>
      <w:r w:rsidRPr="008D5106">
        <w:rPr>
          <w:rFonts w:ascii="Verdana" w:hAnsi="Verdana"/>
          <w:b/>
          <w:color w:val="000000"/>
          <w:sz w:val="19"/>
          <w:szCs w:val="19"/>
        </w:rPr>
        <w:br/>
      </w:r>
    </w:p>
    <w:p w:rsidR="008D5106" w:rsidRPr="008D5106" w:rsidRDefault="008D5106" w:rsidP="008D5106">
      <w:pPr>
        <w:rPr>
          <w:rFonts w:ascii="Verdana" w:hAnsi="Verdana"/>
          <w:color w:val="000000"/>
          <w:sz w:val="19"/>
          <w:szCs w:val="19"/>
        </w:rPr>
      </w:pPr>
      <w:r w:rsidRPr="008D5106">
        <w:rPr>
          <w:rFonts w:ascii="Verdana" w:hAnsi="Verdana"/>
          <w:color w:val="000000"/>
          <w:sz w:val="19"/>
          <w:szCs w:val="19"/>
        </w:rPr>
        <w:t>(a) Loans to small business concerns; allowable purposes; qualified business; restrictions and limitations</w:t>
      </w:r>
    </w:p>
    <w:p w:rsidR="008D5106" w:rsidRPr="008D5106" w:rsidRDefault="008D5106" w:rsidP="008D5106">
      <w:pPr>
        <w:rPr>
          <w:rFonts w:ascii="Verdana" w:hAnsi="Verdana"/>
          <w:color w:val="000000"/>
          <w:sz w:val="19"/>
          <w:szCs w:val="19"/>
        </w:rPr>
      </w:pPr>
      <w:bookmarkStart w:id="0" w:name="I0FDDFB92BFDC11DE9A87F06A41EAC48E"/>
      <w:bookmarkEnd w:id="0"/>
    </w:p>
    <w:p w:rsidR="008D5106" w:rsidRPr="008D5106" w:rsidRDefault="008D5106" w:rsidP="008D5106">
      <w:pPr>
        <w:rPr>
          <w:rFonts w:ascii="Verdana" w:hAnsi="Verdana"/>
          <w:color w:val="000000"/>
          <w:sz w:val="19"/>
          <w:szCs w:val="19"/>
        </w:rPr>
      </w:pPr>
      <w:r w:rsidRPr="008D5106">
        <w:rPr>
          <w:rFonts w:ascii="Verdana" w:hAnsi="Verdana"/>
          <w:color w:val="000000"/>
          <w:sz w:val="19"/>
          <w:szCs w:val="19"/>
        </w:rPr>
        <w:t>The Administration is empowered to the extent and in such amounts as provided in advance in appropriation Acts to make loans for plant acquisition, construction, conversion, or expansion, including the acquisition of land, material, supplies, equipment, and working capital, and to make loans to any qualified small business concern, including those owned by qualified Indian tribes, for purposes of this chapter. Such financings may be made either directly or in cooperation with banks or other financial institutions through agreements to participate on an immediate or deferred (guaranteed) basis. These powers shall be subject, however, to the following restrictions, limitations, and provisions:</w:t>
      </w:r>
    </w:p>
    <w:p w:rsidR="008D5106" w:rsidRPr="008D5106" w:rsidRDefault="008D5106" w:rsidP="008D5106">
      <w:pPr>
        <w:rPr>
          <w:rFonts w:ascii="Verdana" w:hAnsi="Verdana"/>
          <w:color w:val="000000"/>
          <w:sz w:val="19"/>
          <w:szCs w:val="19"/>
        </w:rPr>
      </w:pPr>
      <w:bookmarkStart w:id="1" w:name="I1006B940BFDC11DE9A87F06A41EAC48E"/>
      <w:bookmarkStart w:id="2" w:name="I0FDE22A0BFDC11DE9A87F06A41EAC48E"/>
      <w:bookmarkEnd w:id="1"/>
      <w:bookmarkEnd w:id="2"/>
    </w:p>
    <w:p w:rsidR="008D5106" w:rsidRPr="008D5106" w:rsidRDefault="008D5106" w:rsidP="008D5106">
      <w:pPr>
        <w:rPr>
          <w:rFonts w:ascii="Verdana" w:hAnsi="Verdana"/>
          <w:color w:val="000000"/>
          <w:sz w:val="19"/>
          <w:szCs w:val="19"/>
        </w:rPr>
      </w:pPr>
      <w:bookmarkStart w:id="3" w:name="SP;7b9b000044381"/>
      <w:bookmarkEnd w:id="3"/>
      <w:r w:rsidRPr="008D5106">
        <w:rPr>
          <w:rFonts w:ascii="Verdana" w:hAnsi="Verdana"/>
          <w:color w:val="000000"/>
          <w:sz w:val="19"/>
          <w:szCs w:val="19"/>
        </w:rPr>
        <w:t xml:space="preserve">(1) In general </w:t>
      </w:r>
    </w:p>
    <w:p w:rsidR="008D5106" w:rsidRPr="008D5106" w:rsidRDefault="008D5106" w:rsidP="008D5106">
      <w:pPr>
        <w:rPr>
          <w:rFonts w:ascii="Verdana" w:hAnsi="Verdana"/>
          <w:color w:val="000000"/>
          <w:sz w:val="19"/>
          <w:szCs w:val="19"/>
        </w:rPr>
      </w:pPr>
      <w:bookmarkStart w:id="4" w:name="I1006B941BFDC11DE9A87F06A41EAC48E"/>
      <w:bookmarkStart w:id="5" w:name="I0FDE22A1BFDC11DE9A87F06A41EAC48E"/>
      <w:bookmarkEnd w:id="4"/>
      <w:bookmarkEnd w:id="5"/>
    </w:p>
    <w:p w:rsidR="008D5106" w:rsidRPr="008D5106" w:rsidRDefault="008D5106" w:rsidP="008D5106">
      <w:pPr>
        <w:rPr>
          <w:rFonts w:ascii="Verdana" w:hAnsi="Verdana"/>
          <w:color w:val="000000"/>
          <w:sz w:val="19"/>
          <w:szCs w:val="19"/>
        </w:rPr>
      </w:pPr>
      <w:bookmarkStart w:id="6" w:name="SP;a5e1000094854"/>
      <w:bookmarkEnd w:id="6"/>
      <w:r w:rsidRPr="008D5106">
        <w:rPr>
          <w:rFonts w:ascii="Verdana" w:hAnsi="Verdana"/>
          <w:color w:val="000000"/>
          <w:sz w:val="19"/>
          <w:szCs w:val="19"/>
        </w:rPr>
        <w:t xml:space="preserve">(A) Credit elsewhere </w:t>
      </w:r>
    </w:p>
    <w:p w:rsidR="008D5106" w:rsidRPr="008D5106" w:rsidRDefault="008D5106" w:rsidP="008D5106">
      <w:pPr>
        <w:rPr>
          <w:rFonts w:ascii="Verdana" w:hAnsi="Verdana"/>
          <w:color w:val="000000"/>
          <w:sz w:val="19"/>
          <w:szCs w:val="19"/>
        </w:rPr>
      </w:pPr>
      <w:bookmarkStart w:id="7" w:name="I0FDE22A2BFDC11DE9A87F06A41EAC48E"/>
      <w:bookmarkEnd w:id="7"/>
    </w:p>
    <w:p w:rsidR="008D5106" w:rsidRPr="008D5106" w:rsidRDefault="008D5106" w:rsidP="008D5106">
      <w:pPr>
        <w:rPr>
          <w:rFonts w:ascii="Verdana" w:hAnsi="Verdana"/>
          <w:color w:val="000000"/>
          <w:sz w:val="19"/>
          <w:szCs w:val="19"/>
        </w:rPr>
      </w:pPr>
      <w:r w:rsidRPr="008D5106">
        <w:rPr>
          <w:rFonts w:ascii="Verdana" w:hAnsi="Verdana"/>
          <w:color w:val="000000"/>
          <w:sz w:val="19"/>
          <w:szCs w:val="19"/>
        </w:rPr>
        <w:t xml:space="preserve">No financial assistance shall be extended pursuant to this subsection if the applicant can obtain credit elsewhere. No immediate participation may be purchased unless it is shown that a deferred participation is not available; and no direct financing may be made unless it is shown that </w:t>
      </w:r>
      <w:proofErr w:type="gramStart"/>
      <w:r w:rsidRPr="008D5106">
        <w:rPr>
          <w:rFonts w:ascii="Verdana" w:hAnsi="Verdana"/>
          <w:color w:val="000000"/>
          <w:sz w:val="19"/>
          <w:szCs w:val="19"/>
        </w:rPr>
        <w:t>a participation</w:t>
      </w:r>
      <w:proofErr w:type="gramEnd"/>
      <w:r w:rsidRPr="008D5106">
        <w:rPr>
          <w:rFonts w:ascii="Verdana" w:hAnsi="Verdana"/>
          <w:color w:val="000000"/>
          <w:sz w:val="19"/>
          <w:szCs w:val="19"/>
        </w:rPr>
        <w:t xml:space="preserve"> is not available. </w:t>
      </w:r>
    </w:p>
    <w:p w:rsidR="008D5106" w:rsidRPr="008D5106" w:rsidRDefault="008D5106" w:rsidP="008D5106">
      <w:pPr>
        <w:rPr>
          <w:rFonts w:ascii="Verdana" w:hAnsi="Verdana"/>
          <w:color w:val="000000"/>
          <w:sz w:val="19"/>
          <w:szCs w:val="19"/>
        </w:rPr>
      </w:pPr>
      <w:bookmarkStart w:id="8" w:name="I10070760BFDC11DE9A87F06A41EAC48E"/>
      <w:bookmarkStart w:id="9" w:name="I0FDE22A3BFDC11DE9A87F06A41EAC48E"/>
      <w:bookmarkEnd w:id="8"/>
      <w:bookmarkEnd w:id="9"/>
    </w:p>
    <w:p w:rsidR="008D5106" w:rsidRPr="008D5106" w:rsidRDefault="008D5106" w:rsidP="008D5106">
      <w:pPr>
        <w:rPr>
          <w:rFonts w:ascii="Verdana" w:hAnsi="Verdana"/>
          <w:color w:val="000000"/>
          <w:sz w:val="19"/>
          <w:szCs w:val="19"/>
        </w:rPr>
      </w:pPr>
      <w:bookmarkStart w:id="10" w:name="SP;50660000823d1"/>
      <w:bookmarkEnd w:id="10"/>
      <w:r w:rsidRPr="008D5106">
        <w:rPr>
          <w:rFonts w:ascii="Verdana" w:hAnsi="Verdana"/>
          <w:color w:val="000000"/>
          <w:sz w:val="19"/>
          <w:szCs w:val="19"/>
        </w:rPr>
        <w:t xml:space="preserve">(B) Background checks </w:t>
      </w:r>
    </w:p>
    <w:p w:rsidR="008D5106" w:rsidRPr="008D5106" w:rsidRDefault="008D5106" w:rsidP="008D5106">
      <w:pPr>
        <w:rPr>
          <w:rFonts w:ascii="Verdana" w:hAnsi="Verdana"/>
          <w:color w:val="000000"/>
          <w:sz w:val="19"/>
          <w:szCs w:val="19"/>
        </w:rPr>
      </w:pPr>
      <w:bookmarkStart w:id="11" w:name="I0FDE22A4BFDC11DE9A87F06A41EAC48E"/>
      <w:bookmarkEnd w:id="11"/>
    </w:p>
    <w:p w:rsidR="008D5106" w:rsidRPr="008D5106" w:rsidRDefault="008D5106" w:rsidP="008D5106">
      <w:pPr>
        <w:rPr>
          <w:rFonts w:ascii="Verdana" w:hAnsi="Verdana"/>
          <w:color w:val="000000"/>
          <w:sz w:val="19"/>
          <w:szCs w:val="19"/>
        </w:rPr>
      </w:pPr>
      <w:r w:rsidRPr="008D5106">
        <w:rPr>
          <w:rFonts w:ascii="Verdana" w:hAnsi="Verdana"/>
          <w:color w:val="000000"/>
          <w:sz w:val="19"/>
          <w:szCs w:val="19"/>
        </w:rPr>
        <w:t xml:space="preserve">Prior to the approval of any loan made pursuant to this subsection, or </w:t>
      </w:r>
      <w:hyperlink r:id="rId4" w:tgtFrame="_top" w:history="1">
        <w:r w:rsidRPr="008D5106">
          <w:rPr>
            <w:rFonts w:ascii="Verdana" w:hAnsi="Verdana"/>
            <w:color w:val="0000FF"/>
            <w:sz w:val="19"/>
            <w:szCs w:val="19"/>
            <w:u w:val="single"/>
          </w:rPr>
          <w:t>section 697</w:t>
        </w:r>
      </w:hyperlink>
      <w:r w:rsidRPr="008D5106">
        <w:rPr>
          <w:rFonts w:ascii="Verdana" w:hAnsi="Verdana"/>
          <w:color w:val="000000"/>
          <w:sz w:val="19"/>
          <w:szCs w:val="19"/>
        </w:rPr>
        <w:t xml:space="preserve"> of this title, the Administrator may verify the applicant's criminal background, or lack thereof, through the best available means, including, if possible, use of the National Crime Information Center computer system at the Federal Bureau of Investigation. </w:t>
      </w:r>
    </w:p>
    <w:p w:rsidR="00A33C8B" w:rsidRDefault="008D5106" w:rsidP="008D5106">
      <w:r w:rsidRPr="008D5106">
        <w:rPr>
          <w:rFonts w:ascii="Verdana" w:hAnsi="Verdana"/>
          <w:color w:val="000000"/>
          <w:sz w:val="19"/>
          <w:szCs w:val="19"/>
        </w:rPr>
        <w:br/>
      </w:r>
      <w:r w:rsidR="00170204">
        <w:t>* * * * *</w:t>
      </w:r>
    </w:p>
    <w:sectPr w:rsidR="00A33C8B" w:rsidSect="0081468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5106"/>
    <w:rsid w:val="000049E4"/>
    <w:rsid w:val="0001124E"/>
    <w:rsid w:val="000118EE"/>
    <w:rsid w:val="00015312"/>
    <w:rsid w:val="00015A72"/>
    <w:rsid w:val="000234A0"/>
    <w:rsid w:val="00034ACD"/>
    <w:rsid w:val="000367F7"/>
    <w:rsid w:val="0004092B"/>
    <w:rsid w:val="00041F1B"/>
    <w:rsid w:val="000508AF"/>
    <w:rsid w:val="0005503F"/>
    <w:rsid w:val="00070126"/>
    <w:rsid w:val="0008021C"/>
    <w:rsid w:val="00083A22"/>
    <w:rsid w:val="00083AD1"/>
    <w:rsid w:val="00085275"/>
    <w:rsid w:val="0009182C"/>
    <w:rsid w:val="00092B1D"/>
    <w:rsid w:val="000A3C32"/>
    <w:rsid w:val="000C136C"/>
    <w:rsid w:val="000E194E"/>
    <w:rsid w:val="000E3227"/>
    <w:rsid w:val="000E424D"/>
    <w:rsid w:val="000E585A"/>
    <w:rsid w:val="000E6384"/>
    <w:rsid w:val="000E684F"/>
    <w:rsid w:val="000F0402"/>
    <w:rsid w:val="000F6570"/>
    <w:rsid w:val="00100F26"/>
    <w:rsid w:val="00105D36"/>
    <w:rsid w:val="00115374"/>
    <w:rsid w:val="00121CCE"/>
    <w:rsid w:val="001254BC"/>
    <w:rsid w:val="001258B7"/>
    <w:rsid w:val="00126935"/>
    <w:rsid w:val="00127827"/>
    <w:rsid w:val="00127929"/>
    <w:rsid w:val="00135F96"/>
    <w:rsid w:val="00140F16"/>
    <w:rsid w:val="001461B2"/>
    <w:rsid w:val="0014645C"/>
    <w:rsid w:val="00153CDD"/>
    <w:rsid w:val="00156723"/>
    <w:rsid w:val="00160FE8"/>
    <w:rsid w:val="001634CF"/>
    <w:rsid w:val="00165059"/>
    <w:rsid w:val="00165756"/>
    <w:rsid w:val="00167EDA"/>
    <w:rsid w:val="00170204"/>
    <w:rsid w:val="00176F30"/>
    <w:rsid w:val="00180B85"/>
    <w:rsid w:val="001814C9"/>
    <w:rsid w:val="001816FC"/>
    <w:rsid w:val="001828A8"/>
    <w:rsid w:val="001838E2"/>
    <w:rsid w:val="001A297B"/>
    <w:rsid w:val="001B04BE"/>
    <w:rsid w:val="001B1F78"/>
    <w:rsid w:val="001C5BAC"/>
    <w:rsid w:val="001D038C"/>
    <w:rsid w:val="001D0DCD"/>
    <w:rsid w:val="001D0F07"/>
    <w:rsid w:val="001D3F13"/>
    <w:rsid w:val="001E002E"/>
    <w:rsid w:val="001E06A2"/>
    <w:rsid w:val="001E68B3"/>
    <w:rsid w:val="001F601C"/>
    <w:rsid w:val="002034DE"/>
    <w:rsid w:val="00204E43"/>
    <w:rsid w:val="002119A1"/>
    <w:rsid w:val="00214585"/>
    <w:rsid w:val="0021478C"/>
    <w:rsid w:val="002160E3"/>
    <w:rsid w:val="0021751D"/>
    <w:rsid w:val="0023179C"/>
    <w:rsid w:val="002357AE"/>
    <w:rsid w:val="0024154D"/>
    <w:rsid w:val="00244F7A"/>
    <w:rsid w:val="00245CE1"/>
    <w:rsid w:val="002533E8"/>
    <w:rsid w:val="002634C4"/>
    <w:rsid w:val="00276D70"/>
    <w:rsid w:val="0028066C"/>
    <w:rsid w:val="00281F5E"/>
    <w:rsid w:val="00284B24"/>
    <w:rsid w:val="00294236"/>
    <w:rsid w:val="00294892"/>
    <w:rsid w:val="00296847"/>
    <w:rsid w:val="002A5861"/>
    <w:rsid w:val="002B3F36"/>
    <w:rsid w:val="002C2743"/>
    <w:rsid w:val="002C7FB8"/>
    <w:rsid w:val="002D24CE"/>
    <w:rsid w:val="002D7C16"/>
    <w:rsid w:val="002E3BA5"/>
    <w:rsid w:val="002E6C2F"/>
    <w:rsid w:val="002F74DE"/>
    <w:rsid w:val="00306C18"/>
    <w:rsid w:val="00307C3F"/>
    <w:rsid w:val="00317892"/>
    <w:rsid w:val="00317B08"/>
    <w:rsid w:val="00324FDC"/>
    <w:rsid w:val="00326916"/>
    <w:rsid w:val="0033049F"/>
    <w:rsid w:val="00332947"/>
    <w:rsid w:val="00334D16"/>
    <w:rsid w:val="00343568"/>
    <w:rsid w:val="00343BC4"/>
    <w:rsid w:val="00344394"/>
    <w:rsid w:val="00345A83"/>
    <w:rsid w:val="003500B9"/>
    <w:rsid w:val="003509D2"/>
    <w:rsid w:val="00353C90"/>
    <w:rsid w:val="0035601E"/>
    <w:rsid w:val="003564E7"/>
    <w:rsid w:val="00356F00"/>
    <w:rsid w:val="0036384E"/>
    <w:rsid w:val="00364907"/>
    <w:rsid w:val="00367035"/>
    <w:rsid w:val="0036792D"/>
    <w:rsid w:val="0038146B"/>
    <w:rsid w:val="00381E83"/>
    <w:rsid w:val="00391462"/>
    <w:rsid w:val="0039317E"/>
    <w:rsid w:val="003A4160"/>
    <w:rsid w:val="003A7489"/>
    <w:rsid w:val="003B12E7"/>
    <w:rsid w:val="003B16D6"/>
    <w:rsid w:val="003B18C7"/>
    <w:rsid w:val="003C0483"/>
    <w:rsid w:val="003C2019"/>
    <w:rsid w:val="003C750A"/>
    <w:rsid w:val="003D4D30"/>
    <w:rsid w:val="003D564C"/>
    <w:rsid w:val="003E0B71"/>
    <w:rsid w:val="003E117C"/>
    <w:rsid w:val="003E2751"/>
    <w:rsid w:val="003E3674"/>
    <w:rsid w:val="003E63E4"/>
    <w:rsid w:val="003E7683"/>
    <w:rsid w:val="004012AF"/>
    <w:rsid w:val="00401D69"/>
    <w:rsid w:val="00401E4F"/>
    <w:rsid w:val="00402EA8"/>
    <w:rsid w:val="00413DC1"/>
    <w:rsid w:val="00446347"/>
    <w:rsid w:val="00446C10"/>
    <w:rsid w:val="00447384"/>
    <w:rsid w:val="0045043C"/>
    <w:rsid w:val="004621ED"/>
    <w:rsid w:val="004655D2"/>
    <w:rsid w:val="00481E7A"/>
    <w:rsid w:val="00482C2F"/>
    <w:rsid w:val="00486AF8"/>
    <w:rsid w:val="0049535E"/>
    <w:rsid w:val="004A3D51"/>
    <w:rsid w:val="004A4E74"/>
    <w:rsid w:val="004B2180"/>
    <w:rsid w:val="004C3757"/>
    <w:rsid w:val="004D029C"/>
    <w:rsid w:val="004D49A6"/>
    <w:rsid w:val="004D7ADB"/>
    <w:rsid w:val="004E70A5"/>
    <w:rsid w:val="004F32A0"/>
    <w:rsid w:val="004F45C7"/>
    <w:rsid w:val="004F7005"/>
    <w:rsid w:val="00504C2A"/>
    <w:rsid w:val="00512F91"/>
    <w:rsid w:val="005165DC"/>
    <w:rsid w:val="00516B1B"/>
    <w:rsid w:val="00520B47"/>
    <w:rsid w:val="00522454"/>
    <w:rsid w:val="005239ED"/>
    <w:rsid w:val="00533DD3"/>
    <w:rsid w:val="005469DC"/>
    <w:rsid w:val="00556255"/>
    <w:rsid w:val="00567988"/>
    <w:rsid w:val="00577043"/>
    <w:rsid w:val="00577B5A"/>
    <w:rsid w:val="0058147B"/>
    <w:rsid w:val="00583670"/>
    <w:rsid w:val="005952FF"/>
    <w:rsid w:val="005A6A0B"/>
    <w:rsid w:val="005A6B7F"/>
    <w:rsid w:val="005B5BEA"/>
    <w:rsid w:val="005B69EA"/>
    <w:rsid w:val="005B7E9F"/>
    <w:rsid w:val="005C2FB9"/>
    <w:rsid w:val="005C62D4"/>
    <w:rsid w:val="005D14E3"/>
    <w:rsid w:val="005E0DBD"/>
    <w:rsid w:val="005E622B"/>
    <w:rsid w:val="005F1F04"/>
    <w:rsid w:val="005F2976"/>
    <w:rsid w:val="005F670E"/>
    <w:rsid w:val="005F75FE"/>
    <w:rsid w:val="00601321"/>
    <w:rsid w:val="00606C6E"/>
    <w:rsid w:val="006152AC"/>
    <w:rsid w:val="00634EA9"/>
    <w:rsid w:val="00636DDD"/>
    <w:rsid w:val="0063785F"/>
    <w:rsid w:val="0065366F"/>
    <w:rsid w:val="00657431"/>
    <w:rsid w:val="00683FED"/>
    <w:rsid w:val="00685768"/>
    <w:rsid w:val="0068602F"/>
    <w:rsid w:val="006932E3"/>
    <w:rsid w:val="006A787C"/>
    <w:rsid w:val="006B5FD6"/>
    <w:rsid w:val="006C169C"/>
    <w:rsid w:val="006D1C61"/>
    <w:rsid w:val="006D2A6E"/>
    <w:rsid w:val="006D484B"/>
    <w:rsid w:val="006E53D1"/>
    <w:rsid w:val="006E7C31"/>
    <w:rsid w:val="006F2681"/>
    <w:rsid w:val="0070261D"/>
    <w:rsid w:val="0070410D"/>
    <w:rsid w:val="00705FC3"/>
    <w:rsid w:val="007110E3"/>
    <w:rsid w:val="007268CF"/>
    <w:rsid w:val="00727655"/>
    <w:rsid w:val="007336B4"/>
    <w:rsid w:val="00737D63"/>
    <w:rsid w:val="00756CE7"/>
    <w:rsid w:val="00757672"/>
    <w:rsid w:val="007641B3"/>
    <w:rsid w:val="00766E09"/>
    <w:rsid w:val="0076701B"/>
    <w:rsid w:val="0076772F"/>
    <w:rsid w:val="0077097F"/>
    <w:rsid w:val="00780DE8"/>
    <w:rsid w:val="007826DD"/>
    <w:rsid w:val="0078742D"/>
    <w:rsid w:val="00787B3A"/>
    <w:rsid w:val="007A033B"/>
    <w:rsid w:val="007A717B"/>
    <w:rsid w:val="007B2C1A"/>
    <w:rsid w:val="007C0ABC"/>
    <w:rsid w:val="007C23BB"/>
    <w:rsid w:val="007C7F24"/>
    <w:rsid w:val="007D35D7"/>
    <w:rsid w:val="007D754C"/>
    <w:rsid w:val="007F1BCE"/>
    <w:rsid w:val="007F3D23"/>
    <w:rsid w:val="0080655A"/>
    <w:rsid w:val="0081468E"/>
    <w:rsid w:val="008172EE"/>
    <w:rsid w:val="00817BF6"/>
    <w:rsid w:val="0082575E"/>
    <w:rsid w:val="00831CBD"/>
    <w:rsid w:val="00835E27"/>
    <w:rsid w:val="0084741C"/>
    <w:rsid w:val="008563B5"/>
    <w:rsid w:val="00857132"/>
    <w:rsid w:val="0086486C"/>
    <w:rsid w:val="00865268"/>
    <w:rsid w:val="00867618"/>
    <w:rsid w:val="00884CB2"/>
    <w:rsid w:val="0089108B"/>
    <w:rsid w:val="008948A8"/>
    <w:rsid w:val="0089678B"/>
    <w:rsid w:val="008A44FC"/>
    <w:rsid w:val="008A6AD3"/>
    <w:rsid w:val="008A6F37"/>
    <w:rsid w:val="008A78FF"/>
    <w:rsid w:val="008B29EC"/>
    <w:rsid w:val="008B7F04"/>
    <w:rsid w:val="008C1C8C"/>
    <w:rsid w:val="008C752A"/>
    <w:rsid w:val="008D5106"/>
    <w:rsid w:val="008E2595"/>
    <w:rsid w:val="008E25D4"/>
    <w:rsid w:val="008E41B5"/>
    <w:rsid w:val="008E6FBD"/>
    <w:rsid w:val="008E73E4"/>
    <w:rsid w:val="008F1194"/>
    <w:rsid w:val="009019A4"/>
    <w:rsid w:val="00905CC7"/>
    <w:rsid w:val="00921A0F"/>
    <w:rsid w:val="00922255"/>
    <w:rsid w:val="00933A1D"/>
    <w:rsid w:val="009376EC"/>
    <w:rsid w:val="00945AE3"/>
    <w:rsid w:val="00945B18"/>
    <w:rsid w:val="00953E83"/>
    <w:rsid w:val="00955730"/>
    <w:rsid w:val="00973FFA"/>
    <w:rsid w:val="009809CB"/>
    <w:rsid w:val="00986193"/>
    <w:rsid w:val="00986834"/>
    <w:rsid w:val="00986B90"/>
    <w:rsid w:val="009968BF"/>
    <w:rsid w:val="009A0DCF"/>
    <w:rsid w:val="009B6514"/>
    <w:rsid w:val="009B69B1"/>
    <w:rsid w:val="009C33BB"/>
    <w:rsid w:val="009D0E69"/>
    <w:rsid w:val="009D2A20"/>
    <w:rsid w:val="009D5C5E"/>
    <w:rsid w:val="009D6B00"/>
    <w:rsid w:val="009E6BA6"/>
    <w:rsid w:val="009F5C64"/>
    <w:rsid w:val="00A00A37"/>
    <w:rsid w:val="00A0639B"/>
    <w:rsid w:val="00A14A7A"/>
    <w:rsid w:val="00A2265E"/>
    <w:rsid w:val="00A22F7B"/>
    <w:rsid w:val="00A328DD"/>
    <w:rsid w:val="00A33C8B"/>
    <w:rsid w:val="00A34319"/>
    <w:rsid w:val="00A415C1"/>
    <w:rsid w:val="00A55248"/>
    <w:rsid w:val="00A62D3E"/>
    <w:rsid w:val="00A63C7A"/>
    <w:rsid w:val="00A654E4"/>
    <w:rsid w:val="00A7297F"/>
    <w:rsid w:val="00A73E6F"/>
    <w:rsid w:val="00A8447E"/>
    <w:rsid w:val="00A923CF"/>
    <w:rsid w:val="00A95F4E"/>
    <w:rsid w:val="00AA4F8D"/>
    <w:rsid w:val="00AA5FFE"/>
    <w:rsid w:val="00AB0BA3"/>
    <w:rsid w:val="00AB2B7D"/>
    <w:rsid w:val="00AC0B2C"/>
    <w:rsid w:val="00AC1087"/>
    <w:rsid w:val="00AC2A2B"/>
    <w:rsid w:val="00AC32B6"/>
    <w:rsid w:val="00AC37E5"/>
    <w:rsid w:val="00AC45F0"/>
    <w:rsid w:val="00AC4B88"/>
    <w:rsid w:val="00AD34BF"/>
    <w:rsid w:val="00AD5F40"/>
    <w:rsid w:val="00AE12BF"/>
    <w:rsid w:val="00AF55DC"/>
    <w:rsid w:val="00B00CAB"/>
    <w:rsid w:val="00B05030"/>
    <w:rsid w:val="00B06604"/>
    <w:rsid w:val="00B109D2"/>
    <w:rsid w:val="00B11B50"/>
    <w:rsid w:val="00B17061"/>
    <w:rsid w:val="00B2019D"/>
    <w:rsid w:val="00B3113B"/>
    <w:rsid w:val="00B341B1"/>
    <w:rsid w:val="00B344C2"/>
    <w:rsid w:val="00B374CF"/>
    <w:rsid w:val="00B4181B"/>
    <w:rsid w:val="00B44C3E"/>
    <w:rsid w:val="00B502F4"/>
    <w:rsid w:val="00B5531B"/>
    <w:rsid w:val="00B6201C"/>
    <w:rsid w:val="00B6473C"/>
    <w:rsid w:val="00B6664A"/>
    <w:rsid w:val="00B67A8A"/>
    <w:rsid w:val="00B7429E"/>
    <w:rsid w:val="00B75AAF"/>
    <w:rsid w:val="00B81DCB"/>
    <w:rsid w:val="00B821EA"/>
    <w:rsid w:val="00B84821"/>
    <w:rsid w:val="00B87430"/>
    <w:rsid w:val="00B879B8"/>
    <w:rsid w:val="00B901D1"/>
    <w:rsid w:val="00B9460C"/>
    <w:rsid w:val="00BA7A0E"/>
    <w:rsid w:val="00BD34CB"/>
    <w:rsid w:val="00BF3AD5"/>
    <w:rsid w:val="00BF5595"/>
    <w:rsid w:val="00BF64D0"/>
    <w:rsid w:val="00C1142E"/>
    <w:rsid w:val="00C1453F"/>
    <w:rsid w:val="00C20E2E"/>
    <w:rsid w:val="00C21973"/>
    <w:rsid w:val="00C2308E"/>
    <w:rsid w:val="00C23F09"/>
    <w:rsid w:val="00C36085"/>
    <w:rsid w:val="00C3725E"/>
    <w:rsid w:val="00C406A3"/>
    <w:rsid w:val="00C52DAD"/>
    <w:rsid w:val="00C5478F"/>
    <w:rsid w:val="00C607D2"/>
    <w:rsid w:val="00C7038E"/>
    <w:rsid w:val="00C800EF"/>
    <w:rsid w:val="00C92189"/>
    <w:rsid w:val="00C94A59"/>
    <w:rsid w:val="00C94F9E"/>
    <w:rsid w:val="00C979CD"/>
    <w:rsid w:val="00CA57A4"/>
    <w:rsid w:val="00CB6E92"/>
    <w:rsid w:val="00CC433C"/>
    <w:rsid w:val="00CD0064"/>
    <w:rsid w:val="00CD6665"/>
    <w:rsid w:val="00CE24D9"/>
    <w:rsid w:val="00CE2B46"/>
    <w:rsid w:val="00CE5569"/>
    <w:rsid w:val="00CF0467"/>
    <w:rsid w:val="00D10D9D"/>
    <w:rsid w:val="00D13A63"/>
    <w:rsid w:val="00D16A2B"/>
    <w:rsid w:val="00D17B4A"/>
    <w:rsid w:val="00D218E9"/>
    <w:rsid w:val="00D30D3F"/>
    <w:rsid w:val="00D358A8"/>
    <w:rsid w:val="00D40EC6"/>
    <w:rsid w:val="00D41A2E"/>
    <w:rsid w:val="00D51919"/>
    <w:rsid w:val="00D52238"/>
    <w:rsid w:val="00D5696C"/>
    <w:rsid w:val="00D570A1"/>
    <w:rsid w:val="00D66729"/>
    <w:rsid w:val="00D71A3B"/>
    <w:rsid w:val="00D71C95"/>
    <w:rsid w:val="00D759DC"/>
    <w:rsid w:val="00D82154"/>
    <w:rsid w:val="00D84A91"/>
    <w:rsid w:val="00D87C62"/>
    <w:rsid w:val="00D87D38"/>
    <w:rsid w:val="00D92991"/>
    <w:rsid w:val="00D93938"/>
    <w:rsid w:val="00D95E12"/>
    <w:rsid w:val="00D97432"/>
    <w:rsid w:val="00DA0A01"/>
    <w:rsid w:val="00DA1AF5"/>
    <w:rsid w:val="00DA3FC2"/>
    <w:rsid w:val="00DA46A7"/>
    <w:rsid w:val="00DB1F59"/>
    <w:rsid w:val="00DB42F5"/>
    <w:rsid w:val="00DC1149"/>
    <w:rsid w:val="00DC5240"/>
    <w:rsid w:val="00DC5BEE"/>
    <w:rsid w:val="00DC5DE1"/>
    <w:rsid w:val="00DC6B79"/>
    <w:rsid w:val="00DC70F1"/>
    <w:rsid w:val="00DD5C66"/>
    <w:rsid w:val="00DD6598"/>
    <w:rsid w:val="00DE29BF"/>
    <w:rsid w:val="00DE380E"/>
    <w:rsid w:val="00DF3FB1"/>
    <w:rsid w:val="00E02771"/>
    <w:rsid w:val="00E02FF6"/>
    <w:rsid w:val="00E125DA"/>
    <w:rsid w:val="00E17B74"/>
    <w:rsid w:val="00E21171"/>
    <w:rsid w:val="00E23875"/>
    <w:rsid w:val="00E24F22"/>
    <w:rsid w:val="00E40716"/>
    <w:rsid w:val="00E44C4A"/>
    <w:rsid w:val="00E45DD7"/>
    <w:rsid w:val="00E627C6"/>
    <w:rsid w:val="00E6592E"/>
    <w:rsid w:val="00E71E24"/>
    <w:rsid w:val="00E7508A"/>
    <w:rsid w:val="00E755FE"/>
    <w:rsid w:val="00E772CD"/>
    <w:rsid w:val="00E80253"/>
    <w:rsid w:val="00E813CC"/>
    <w:rsid w:val="00E8231D"/>
    <w:rsid w:val="00E846C2"/>
    <w:rsid w:val="00E852B0"/>
    <w:rsid w:val="00E87792"/>
    <w:rsid w:val="00EA0C94"/>
    <w:rsid w:val="00EA3D43"/>
    <w:rsid w:val="00EA3E91"/>
    <w:rsid w:val="00EA4B2F"/>
    <w:rsid w:val="00EC4886"/>
    <w:rsid w:val="00EC7D4B"/>
    <w:rsid w:val="00ED5740"/>
    <w:rsid w:val="00ED686F"/>
    <w:rsid w:val="00ED71CB"/>
    <w:rsid w:val="00EE0533"/>
    <w:rsid w:val="00EE28B6"/>
    <w:rsid w:val="00EE70F7"/>
    <w:rsid w:val="00EE7D55"/>
    <w:rsid w:val="00EF4E36"/>
    <w:rsid w:val="00F06085"/>
    <w:rsid w:val="00F0741B"/>
    <w:rsid w:val="00F25E25"/>
    <w:rsid w:val="00F3427A"/>
    <w:rsid w:val="00F3509E"/>
    <w:rsid w:val="00F4431D"/>
    <w:rsid w:val="00F47E38"/>
    <w:rsid w:val="00F532E7"/>
    <w:rsid w:val="00F553B5"/>
    <w:rsid w:val="00F645B7"/>
    <w:rsid w:val="00F72246"/>
    <w:rsid w:val="00F75F55"/>
    <w:rsid w:val="00F8284D"/>
    <w:rsid w:val="00F82AB5"/>
    <w:rsid w:val="00F82D06"/>
    <w:rsid w:val="00F83716"/>
    <w:rsid w:val="00F84A6F"/>
    <w:rsid w:val="00F85E48"/>
    <w:rsid w:val="00F95DDF"/>
    <w:rsid w:val="00FA1B6C"/>
    <w:rsid w:val="00FA504D"/>
    <w:rsid w:val="00FB0BCB"/>
    <w:rsid w:val="00FC1830"/>
    <w:rsid w:val="00FC5C1B"/>
    <w:rsid w:val="00FD5825"/>
    <w:rsid w:val="00FE7545"/>
    <w:rsid w:val="00FF75A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6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9385157">
      <w:bodyDiv w:val="1"/>
      <w:marLeft w:val="30"/>
      <w:marRight w:val="30"/>
      <w:marTop w:val="30"/>
      <w:marBottom w:val="30"/>
      <w:divBdr>
        <w:top w:val="none" w:sz="0" w:space="0" w:color="auto"/>
        <w:left w:val="none" w:sz="0" w:space="0" w:color="auto"/>
        <w:bottom w:val="none" w:sz="0" w:space="0" w:color="auto"/>
        <w:right w:val="none" w:sz="0" w:space="0" w:color="auto"/>
      </w:divBdr>
      <w:divsChild>
        <w:div w:id="1662852894">
          <w:marLeft w:val="0"/>
          <w:marRight w:val="0"/>
          <w:marTop w:val="0"/>
          <w:marBottom w:val="0"/>
          <w:divBdr>
            <w:top w:val="none" w:sz="0" w:space="0" w:color="auto"/>
            <w:left w:val="none" w:sz="0" w:space="0" w:color="auto"/>
            <w:bottom w:val="none" w:sz="0" w:space="0" w:color="auto"/>
            <w:right w:val="none" w:sz="0" w:space="0" w:color="auto"/>
          </w:divBdr>
          <w:divsChild>
            <w:div w:id="1863857291">
              <w:marLeft w:val="45"/>
              <w:marRight w:val="45"/>
              <w:marTop w:val="45"/>
              <w:marBottom w:val="45"/>
              <w:divBdr>
                <w:top w:val="none" w:sz="0" w:space="0" w:color="auto"/>
                <w:left w:val="none" w:sz="0" w:space="0" w:color="auto"/>
                <w:bottom w:val="none" w:sz="0" w:space="0" w:color="auto"/>
                <w:right w:val="none" w:sz="0" w:space="0" w:color="auto"/>
              </w:divBdr>
              <w:divsChild>
                <w:div w:id="1965883615">
                  <w:marLeft w:val="0"/>
                  <w:marRight w:val="0"/>
                  <w:marTop w:val="0"/>
                  <w:marBottom w:val="0"/>
                  <w:divBdr>
                    <w:top w:val="none" w:sz="0" w:space="0" w:color="auto"/>
                    <w:left w:val="none" w:sz="0" w:space="0" w:color="auto"/>
                    <w:bottom w:val="none" w:sz="0" w:space="0" w:color="auto"/>
                    <w:right w:val="none" w:sz="0" w:space="0" w:color="auto"/>
                  </w:divBdr>
                  <w:divsChild>
                    <w:div w:id="2138178928">
                      <w:marLeft w:val="0"/>
                      <w:marRight w:val="0"/>
                      <w:marTop w:val="0"/>
                      <w:marBottom w:val="0"/>
                      <w:divBdr>
                        <w:top w:val="none" w:sz="0" w:space="0" w:color="auto"/>
                        <w:left w:val="none" w:sz="0" w:space="0" w:color="auto"/>
                        <w:bottom w:val="none" w:sz="0" w:space="0" w:color="auto"/>
                        <w:right w:val="none" w:sz="0" w:space="0" w:color="auto"/>
                      </w:divBdr>
                    </w:div>
                    <w:div w:id="673460051">
                      <w:marLeft w:val="0"/>
                      <w:marRight w:val="0"/>
                      <w:marTop w:val="0"/>
                      <w:marBottom w:val="0"/>
                      <w:divBdr>
                        <w:top w:val="none" w:sz="0" w:space="0" w:color="auto"/>
                        <w:left w:val="none" w:sz="0" w:space="0" w:color="auto"/>
                        <w:bottom w:val="none" w:sz="0" w:space="0" w:color="auto"/>
                        <w:right w:val="none" w:sz="0" w:space="0" w:color="auto"/>
                      </w:divBdr>
                    </w:div>
                    <w:div w:id="625284180">
                      <w:marLeft w:val="180"/>
                      <w:marRight w:val="0"/>
                      <w:marTop w:val="0"/>
                      <w:marBottom w:val="0"/>
                      <w:divBdr>
                        <w:top w:val="none" w:sz="0" w:space="0" w:color="auto"/>
                        <w:left w:val="none" w:sz="0" w:space="0" w:color="auto"/>
                        <w:bottom w:val="none" w:sz="0" w:space="0" w:color="auto"/>
                        <w:right w:val="none" w:sz="0" w:space="0" w:color="auto"/>
                      </w:divBdr>
                    </w:div>
                    <w:div w:id="1858690624">
                      <w:marLeft w:val="360"/>
                      <w:marRight w:val="0"/>
                      <w:marTop w:val="0"/>
                      <w:marBottom w:val="0"/>
                      <w:divBdr>
                        <w:top w:val="none" w:sz="0" w:space="0" w:color="auto"/>
                        <w:left w:val="none" w:sz="0" w:space="0" w:color="auto"/>
                        <w:bottom w:val="none" w:sz="0" w:space="0" w:color="auto"/>
                        <w:right w:val="none" w:sz="0" w:space="0" w:color="auto"/>
                      </w:divBdr>
                    </w:div>
                    <w:div w:id="1715038536">
                      <w:marLeft w:val="360"/>
                      <w:marRight w:val="0"/>
                      <w:marTop w:val="0"/>
                      <w:marBottom w:val="0"/>
                      <w:divBdr>
                        <w:top w:val="none" w:sz="0" w:space="0" w:color="auto"/>
                        <w:left w:val="none" w:sz="0" w:space="0" w:color="auto"/>
                        <w:bottom w:val="none" w:sz="0" w:space="0" w:color="auto"/>
                        <w:right w:val="none" w:sz="0" w:space="0" w:color="auto"/>
                      </w:divBdr>
                    </w:div>
                    <w:div w:id="658726283">
                      <w:marLeft w:val="360"/>
                      <w:marRight w:val="0"/>
                      <w:marTop w:val="0"/>
                      <w:marBottom w:val="0"/>
                      <w:divBdr>
                        <w:top w:val="none" w:sz="0" w:space="0" w:color="auto"/>
                        <w:left w:val="none" w:sz="0" w:space="0" w:color="auto"/>
                        <w:bottom w:val="none" w:sz="0" w:space="0" w:color="auto"/>
                        <w:right w:val="none" w:sz="0" w:space="0" w:color="auto"/>
                      </w:divBdr>
                    </w:div>
                    <w:div w:id="83152843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b2.westlaw.com/find/default.wl?tf=-1&amp;rs=WLW9.11&amp;fn=_top&amp;sv=Split&amp;docname=15USCAS697&amp;tc=-1&amp;pbc=30D934D4&amp;ordoc=2118365&amp;findtype=L&amp;db=1000546&amp;vr=2.0&amp;rp=%2ffind%2fdefault.wl&amp;mt=West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1563</Characters>
  <Application>Microsoft Office Word</Application>
  <DocSecurity>0</DocSecurity>
  <Lines>13</Lines>
  <Paragraphs>3</Paragraphs>
  <ScaleCrop>false</ScaleCrop>
  <Company>Small Business Administration</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Farris, Travis J. (Off. Inspector Gen.)</dc:creator>
  <cp:keywords/>
  <dc:description/>
  <cp:lastModifiedBy>CBRICH</cp:lastModifiedBy>
  <cp:revision>2</cp:revision>
  <dcterms:created xsi:type="dcterms:W3CDTF">2009-12-17T16:43:00Z</dcterms:created>
  <dcterms:modified xsi:type="dcterms:W3CDTF">2009-12-17T16:43:00Z</dcterms:modified>
</cp:coreProperties>
</file>