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AC9" w:rsidRDefault="00766AC9">
      <w:pPr>
        <w:jc w:val="center"/>
      </w:pPr>
      <w:bookmarkStart w:id="0" w:name="SelTemp"/>
      <w:bookmarkEnd w:id="0"/>
      <w:r>
        <w:rPr>
          <w:rFonts w:ascii="Arial" w:hAnsi="Arial" w:cs="Arial"/>
          <w:sz w:val="20"/>
          <w:szCs w:val="20"/>
        </w:rPr>
        <w:t xml:space="preserve">             </w:t>
      </w:r>
      <w:r>
        <w:t xml:space="preserve">                     </w:t>
      </w:r>
    </w:p>
    <w:p w:rsidR="00766AC9" w:rsidRPr="00E80FDA" w:rsidRDefault="00766AC9"/>
    <w:p w:rsidR="00766AC9" w:rsidRPr="00E80FDA" w:rsidRDefault="00564FFC">
      <w:pPr>
        <w:jc w:val="center"/>
        <w:rPr>
          <w:b/>
          <w:sz w:val="28"/>
          <w:szCs w:val="28"/>
          <w:u w:val="single"/>
        </w:rPr>
      </w:pPr>
      <w:r w:rsidRPr="00E80FDA">
        <w:rPr>
          <w:b/>
          <w:sz w:val="28"/>
          <w:szCs w:val="28"/>
          <w:u w:val="single"/>
        </w:rPr>
        <w:t xml:space="preserve">Application Guidelines for </w:t>
      </w:r>
      <w:r>
        <w:rPr>
          <w:b/>
          <w:sz w:val="28"/>
          <w:szCs w:val="28"/>
          <w:u w:val="single"/>
        </w:rPr>
        <w:t xml:space="preserve">TARP Community Development Capital Initiative </w:t>
      </w:r>
      <w:r w:rsidR="00055E3C">
        <w:rPr>
          <w:b/>
          <w:sz w:val="28"/>
          <w:szCs w:val="28"/>
          <w:u w:val="single"/>
        </w:rPr>
        <w:t>Exchange Application</w:t>
      </w:r>
    </w:p>
    <w:p w:rsidR="00766AC9" w:rsidRPr="00E80FDA" w:rsidRDefault="00766AC9"/>
    <w:p w:rsidR="00766AC9" w:rsidRDefault="00992DB1" w:rsidP="00564FFC">
      <w:r>
        <w:t xml:space="preserve">This application is used </w:t>
      </w:r>
      <w:r w:rsidR="00054565">
        <w:t>by certified Community Development Financial Institutions (“CDFIs”)</w:t>
      </w:r>
      <w:r w:rsidR="004E41AA">
        <w:t xml:space="preserve"> </w:t>
      </w:r>
      <w:r w:rsidR="00055E3C">
        <w:t>that have participated in the Capital Purchase Program (“CPP”) under the Troubled Asset Relief Program (“TARP”)</w:t>
      </w:r>
      <w:r w:rsidR="004E41AA">
        <w:t xml:space="preserve"> </w:t>
      </w:r>
      <w:r w:rsidR="00766AC9">
        <w:t xml:space="preserve">to request participation in the </w:t>
      </w:r>
      <w:r w:rsidR="006003FC">
        <w:t>Community Development</w:t>
      </w:r>
      <w:r w:rsidR="00FE1A5E">
        <w:t xml:space="preserve"> Capital </w:t>
      </w:r>
      <w:r w:rsidR="005E364A">
        <w:t>Initiative</w:t>
      </w:r>
      <w:r w:rsidR="00FE1A5E">
        <w:t xml:space="preserve"> (</w:t>
      </w:r>
      <w:r w:rsidR="004E41AA">
        <w:t>“</w:t>
      </w:r>
      <w:r w:rsidR="005E364A">
        <w:t>CDCI</w:t>
      </w:r>
      <w:r w:rsidR="004E41AA">
        <w:t>”</w:t>
      </w:r>
      <w:r w:rsidR="00FE1A5E">
        <w:t>)</w:t>
      </w:r>
      <w:r w:rsidR="00D143F6">
        <w:t xml:space="preserve"> under </w:t>
      </w:r>
      <w:r w:rsidR="00054565">
        <w:t>TARP</w:t>
      </w:r>
      <w:r w:rsidR="00766AC9">
        <w:t xml:space="preserve">.  </w:t>
      </w:r>
      <w:r w:rsidR="00D143F6">
        <w:t xml:space="preserve">Through </w:t>
      </w:r>
      <w:r w:rsidR="00055E3C">
        <w:t xml:space="preserve">this application, </w:t>
      </w:r>
      <w:r w:rsidR="00766AC9">
        <w:t xml:space="preserve">the </w:t>
      </w:r>
      <w:r w:rsidR="00055E3C">
        <w:t xml:space="preserve">applying institution may </w:t>
      </w:r>
      <w:r w:rsidR="0090664F">
        <w:t xml:space="preserve">solely request an exchange of </w:t>
      </w:r>
      <w:r w:rsidR="00055E3C">
        <w:t xml:space="preserve">securities purchased under CPP by the U.S. Department of the Treasury (“Treasury”) for securities to be issued to Treasury under </w:t>
      </w:r>
      <w:r w:rsidR="005E364A">
        <w:t>CDCI</w:t>
      </w:r>
      <w:r w:rsidR="00766AC9">
        <w:t xml:space="preserve">.  </w:t>
      </w:r>
    </w:p>
    <w:p w:rsidR="00766AC9" w:rsidRDefault="00766AC9" w:rsidP="00564FFC"/>
    <w:p w:rsidR="00766AC9" w:rsidRDefault="00766AC9" w:rsidP="00564FFC">
      <w:pPr>
        <w:autoSpaceDE w:val="0"/>
        <w:autoSpaceDN w:val="0"/>
        <w:adjustRightInd w:val="0"/>
      </w:pPr>
      <w:r w:rsidRPr="002361ED">
        <w:t xml:space="preserve">The application must be submitted to </w:t>
      </w:r>
      <w:r w:rsidR="003F7025">
        <w:t>Treasury</w:t>
      </w:r>
      <w:r w:rsidR="00564FFC">
        <w:t xml:space="preserve">.  All inquiries </w:t>
      </w:r>
      <w:r w:rsidRPr="002361ED">
        <w:t xml:space="preserve">regarding preparation of the application should be directed to </w:t>
      </w:r>
      <w:r w:rsidR="003F7025">
        <w:t>Treasury</w:t>
      </w:r>
      <w:r w:rsidRPr="002361ED">
        <w:t>.</w:t>
      </w:r>
    </w:p>
    <w:p w:rsidR="00766AC9" w:rsidRDefault="00766AC9" w:rsidP="00564FFC">
      <w:pPr>
        <w:autoSpaceDE w:val="0"/>
        <w:autoSpaceDN w:val="0"/>
        <w:adjustRightInd w:val="0"/>
      </w:pPr>
    </w:p>
    <w:p w:rsidR="00766AC9" w:rsidRDefault="00766AC9" w:rsidP="00564FFC">
      <w:pPr>
        <w:autoSpaceDE w:val="0"/>
        <w:autoSpaceDN w:val="0"/>
        <w:adjustRightInd w:val="0"/>
      </w:pPr>
      <w:r w:rsidRPr="002361ED">
        <w:t xml:space="preserve">All applications must be submitted no later than 5pm (EST), </w:t>
      </w:r>
      <w:r w:rsidR="005E364A">
        <w:t>April 2</w:t>
      </w:r>
      <w:r>
        <w:t>, 20</w:t>
      </w:r>
      <w:r w:rsidR="00FE1A5E">
        <w:t>10</w:t>
      </w:r>
      <w:r w:rsidRPr="002361ED">
        <w:t>.</w:t>
      </w:r>
      <w:r>
        <w:t xml:space="preserve">  Institutions will have up to </w:t>
      </w:r>
      <w:r w:rsidR="00603778">
        <w:t>30</w:t>
      </w:r>
      <w:r w:rsidR="000D665D">
        <w:t xml:space="preserve"> </w:t>
      </w:r>
      <w:r w:rsidR="00603778">
        <w:t xml:space="preserve">calendar </w:t>
      </w:r>
      <w:r w:rsidR="000D665D">
        <w:t>days</w:t>
      </w:r>
      <w:r>
        <w:t xml:space="preserve"> </w:t>
      </w:r>
      <w:r w:rsidR="0047277B">
        <w:t xml:space="preserve">after receiving preliminary </w:t>
      </w:r>
      <w:r>
        <w:t xml:space="preserve">approval to close the transaction.  </w:t>
      </w:r>
    </w:p>
    <w:p w:rsidR="00766AC9" w:rsidRDefault="00766AC9">
      <w:pPr>
        <w:autoSpaceDE w:val="0"/>
        <w:autoSpaceDN w:val="0"/>
        <w:adjustRightInd w:val="0"/>
      </w:pPr>
    </w:p>
    <w:p w:rsidR="00766AC9" w:rsidRDefault="00766AC9">
      <w:r w:rsidRPr="00E80FDA">
        <w:t>More detailed information, including submission instructions,</w:t>
      </w:r>
      <w:r w:rsidR="003F7025">
        <w:t xml:space="preserve"> are available from Treasury online at </w:t>
      </w:r>
      <w:hyperlink r:id="rId7" w:history="1">
        <w:r w:rsidR="003F7025" w:rsidRPr="00E02B07">
          <w:rPr>
            <w:rStyle w:val="Hyperlink"/>
          </w:rPr>
          <w:t>http://FinancialStability.gov/</w:t>
        </w:r>
      </w:hyperlink>
      <w:r w:rsidR="003F7025">
        <w:t xml:space="preserve">.  </w:t>
      </w:r>
      <w:r>
        <w:t xml:space="preserve">The terms of the </w:t>
      </w:r>
      <w:r w:rsidR="005E364A">
        <w:t>CDCI</w:t>
      </w:r>
      <w:r>
        <w:t xml:space="preserve"> are described generally in this application.  However, this description is not binding on Treasury and is intended to provide general information only.  The actual terms and con</w:t>
      </w:r>
      <w:r w:rsidR="00D143F6">
        <w:t xml:space="preserve">ditions of the </w:t>
      </w:r>
      <w:r w:rsidR="005E364A">
        <w:t>CDCI</w:t>
      </w:r>
      <w:r>
        <w:t xml:space="preserve"> are contained in documentation that will be available from Treasury </w:t>
      </w:r>
      <w:r w:rsidR="00EE6E0F">
        <w:t xml:space="preserve">online </w:t>
      </w:r>
      <w:r w:rsidR="0047277B">
        <w:t xml:space="preserve">at </w:t>
      </w:r>
      <w:hyperlink r:id="rId8" w:history="1">
        <w:r w:rsidR="0047277B" w:rsidRPr="00E02B07">
          <w:rPr>
            <w:rStyle w:val="Hyperlink"/>
          </w:rPr>
          <w:t>http://FinancialStability.gov/</w:t>
        </w:r>
      </w:hyperlink>
      <w:r>
        <w:t xml:space="preserve">.  </w:t>
      </w:r>
    </w:p>
    <w:p w:rsidR="00766AC9" w:rsidRDefault="00766AC9"/>
    <w:p w:rsidR="00766AC9" w:rsidRDefault="003F7025">
      <w:pPr>
        <w:rPr>
          <w:u w:val="single"/>
        </w:rPr>
      </w:pPr>
      <w:r>
        <w:rPr>
          <w:u w:val="single"/>
        </w:rPr>
        <w:t xml:space="preserve">Exchange </w:t>
      </w:r>
      <w:r w:rsidR="00766AC9">
        <w:rPr>
          <w:u w:val="single"/>
        </w:rPr>
        <w:t>Eligible Institutions</w:t>
      </w:r>
    </w:p>
    <w:p w:rsidR="00766AC9" w:rsidRDefault="00766AC9"/>
    <w:p w:rsidR="00766AC9" w:rsidRPr="003359FE" w:rsidRDefault="003F7025" w:rsidP="003F7025">
      <w:pPr>
        <w:rPr>
          <w:i/>
        </w:rPr>
      </w:pPr>
      <w:r>
        <w:t>Exchanges under t</w:t>
      </w:r>
      <w:r w:rsidR="00D143F6">
        <w:t xml:space="preserve">he </w:t>
      </w:r>
      <w:r w:rsidR="005E364A">
        <w:t>CDCI</w:t>
      </w:r>
      <w:r w:rsidR="0047277B">
        <w:t xml:space="preserve"> </w:t>
      </w:r>
      <w:r>
        <w:t>are</w:t>
      </w:r>
      <w:r w:rsidR="00766AC9">
        <w:t xml:space="preserve"> available to</w:t>
      </w:r>
      <w:r>
        <w:t xml:space="preserve"> certified</w:t>
      </w:r>
      <w:r w:rsidR="00766AC9">
        <w:t xml:space="preserve"> </w:t>
      </w:r>
      <w:r>
        <w:t xml:space="preserve">CDFIs that have participated in, and have outstanding obligations under, CPP.  Eligibility to participate in </w:t>
      </w:r>
      <w:r w:rsidR="005E364A">
        <w:t>CDCI</w:t>
      </w:r>
      <w:r>
        <w:t xml:space="preserve"> solely for purposes of exchanging outstanding obligations under CP</w:t>
      </w:r>
      <w:r w:rsidR="0090664F">
        <w:t xml:space="preserve">P shall occur without regard to whether the institution seeks to </w:t>
      </w:r>
      <w:r>
        <w:t xml:space="preserve">participate in the </w:t>
      </w:r>
      <w:r w:rsidR="005E364A">
        <w:t>CDCI</w:t>
      </w:r>
      <w:r>
        <w:t xml:space="preserve"> for purposes of receiving additional capital.  Institutions seeking additional capital under </w:t>
      </w:r>
      <w:r w:rsidR="005E364A">
        <w:t>CDCI</w:t>
      </w:r>
      <w:r>
        <w:t xml:space="preserve"> shall submit a separate application for that purpose.</w:t>
      </w:r>
    </w:p>
    <w:p w:rsidR="00766AC9" w:rsidRDefault="00766AC9"/>
    <w:p w:rsidR="00766AC9" w:rsidRDefault="00766AC9">
      <w:pPr>
        <w:rPr>
          <w:u w:val="single"/>
        </w:rPr>
      </w:pPr>
      <w:r>
        <w:rPr>
          <w:u w:val="single"/>
        </w:rPr>
        <w:t xml:space="preserve">Certain Conditions for Participation in the </w:t>
      </w:r>
      <w:r w:rsidR="005E364A">
        <w:rPr>
          <w:u w:val="single"/>
        </w:rPr>
        <w:t>CDCI</w:t>
      </w:r>
    </w:p>
    <w:p w:rsidR="00766AC9" w:rsidRDefault="00766AC9"/>
    <w:p w:rsidR="00766AC9" w:rsidRDefault="00D143F6">
      <w:r>
        <w:t>To</w:t>
      </w:r>
      <w:r w:rsidR="003F7025">
        <w:t xml:space="preserve"> be eligible for an exchange under</w:t>
      </w:r>
      <w:r>
        <w:t xml:space="preserve"> </w:t>
      </w:r>
      <w:r w:rsidR="005E364A">
        <w:t>CDCI</w:t>
      </w:r>
      <w:r w:rsidR="00766AC9">
        <w:t xml:space="preserve">, the applicant must receive approval </w:t>
      </w:r>
      <w:r w:rsidR="008379E1">
        <w:t>from</w:t>
      </w:r>
      <w:r w:rsidR="00766AC9">
        <w:t xml:space="preserve"> Treasury.  In addition, the applicant must agree to certain terms and conditions and make certain representations and warranties described in various agreements that will be prepared by Treasury and available </w:t>
      </w:r>
      <w:r w:rsidR="008379E1">
        <w:t>online at</w:t>
      </w:r>
      <w:r w:rsidR="00EE6E0F">
        <w:t xml:space="preserve"> </w:t>
      </w:r>
      <w:hyperlink r:id="rId9" w:history="1">
        <w:r w:rsidR="00EE6E0F" w:rsidRPr="00E02B07">
          <w:rPr>
            <w:rStyle w:val="Hyperlink"/>
          </w:rPr>
          <w:t>http://FinancialStability.gov/</w:t>
        </w:r>
      </w:hyperlink>
      <w:r w:rsidR="00766AC9">
        <w:t xml:space="preserve">.  </w:t>
      </w:r>
      <w:r w:rsidR="00B05719">
        <w:t xml:space="preserve">Failure to agree to all terms and conditions may result in disqualification from the </w:t>
      </w:r>
      <w:r w:rsidR="005E364A">
        <w:t>CDCI</w:t>
      </w:r>
      <w:r w:rsidR="00B05719">
        <w:t xml:space="preserve">.  </w:t>
      </w:r>
      <w:r w:rsidR="00766AC9">
        <w:t>A summary term sheet currently</w:t>
      </w:r>
      <w:r w:rsidR="00B05719">
        <w:t xml:space="preserve"> is</w:t>
      </w:r>
      <w:r w:rsidR="00766AC9">
        <w:t xml:space="preserve"> available </w:t>
      </w:r>
      <w:r w:rsidR="008379E1">
        <w:t xml:space="preserve">online at </w:t>
      </w:r>
      <w:hyperlink r:id="rId10" w:history="1">
        <w:r w:rsidR="008379E1" w:rsidRPr="00E02B07">
          <w:rPr>
            <w:rStyle w:val="Hyperlink"/>
          </w:rPr>
          <w:t>http://FinancialStability.gov/</w:t>
        </w:r>
      </w:hyperlink>
      <w:r w:rsidR="00766AC9">
        <w:t xml:space="preserve">.  Detailed </w:t>
      </w:r>
      <w:r w:rsidR="00BF457F">
        <w:t xml:space="preserve">exchange </w:t>
      </w:r>
      <w:r w:rsidR="00766AC9">
        <w:t>agreements and associated documentation will be posted soon.  Each applicant must obtain and review a copy of these agreements and agree to all of the terms and conditions, including representations and warranties, contained in these</w:t>
      </w:r>
      <w:r w:rsidR="0090664F">
        <w:t xml:space="preserve"> agreements.</w:t>
      </w:r>
    </w:p>
    <w:p w:rsidR="00766AC9" w:rsidRDefault="00766AC9"/>
    <w:p w:rsidR="00766AC9" w:rsidRDefault="00766AC9">
      <w:r>
        <w:lastRenderedPageBreak/>
        <w:t>If the applicant receives preliminary</w:t>
      </w:r>
      <w:r w:rsidR="00A437EA">
        <w:t xml:space="preserve"> </w:t>
      </w:r>
      <w:r>
        <w:t xml:space="preserve">approval to participate in the </w:t>
      </w:r>
      <w:r w:rsidR="005E364A">
        <w:t>CDCI</w:t>
      </w:r>
      <w:r>
        <w:t xml:space="preserve"> from Treasury, the applicant will have </w:t>
      </w:r>
      <w:r w:rsidR="00D455CD">
        <w:t xml:space="preserve">30 </w:t>
      </w:r>
      <w:r w:rsidR="00603778">
        <w:t xml:space="preserve">calendar </w:t>
      </w:r>
      <w:r w:rsidR="00D455CD">
        <w:t>days</w:t>
      </w:r>
      <w:r>
        <w:t xml:space="preserve"> from the date of notification to submit the </w:t>
      </w:r>
      <w:r w:rsidR="0090664F">
        <w:t>exchange</w:t>
      </w:r>
      <w:r>
        <w:t xml:space="preserve"> agreements and related documentation.    </w:t>
      </w:r>
    </w:p>
    <w:p w:rsidR="00766AC9" w:rsidRDefault="00766AC9"/>
    <w:p w:rsidR="00766AC9" w:rsidRDefault="00766AC9">
      <w:r>
        <w:t xml:space="preserve">Among the conditions to participation in the </w:t>
      </w:r>
      <w:r w:rsidR="005E364A">
        <w:t>CDCI</w:t>
      </w:r>
      <w:r>
        <w:t xml:space="preserve"> is the requirement that the applicant</w:t>
      </w:r>
      <w:r w:rsidRPr="00E53E7A">
        <w:t xml:space="preserve"> </w:t>
      </w:r>
      <w:r>
        <w:t>and its covered officers and employees must agree to comply with the rules, regulations and guidance of Treasury with respect to executive compensation, transparency, accountability and monitoring, as published and in effect at the time of the investment closing. These rules, regulations and guidance are explained on</w:t>
      </w:r>
      <w:r w:rsidR="008379E1">
        <w:t>line at</w:t>
      </w:r>
      <w:r>
        <w:t xml:space="preserve"> </w:t>
      </w:r>
      <w:hyperlink r:id="rId11" w:history="1">
        <w:r w:rsidR="00D455CD" w:rsidRPr="00E02B07">
          <w:rPr>
            <w:rStyle w:val="Hyperlink"/>
          </w:rPr>
          <w:t>http://FinancialStability.gov/</w:t>
        </w:r>
      </w:hyperlink>
      <w:r>
        <w:t xml:space="preserve">. </w:t>
      </w:r>
    </w:p>
    <w:p w:rsidR="00766AC9" w:rsidRDefault="00766AC9"/>
    <w:p w:rsidR="00766AC9" w:rsidRDefault="00766AC9">
      <w:r w:rsidRPr="00A95F3D">
        <w:rPr>
          <w:u w:val="single"/>
        </w:rPr>
        <w:t>Other Information</w:t>
      </w:r>
    </w:p>
    <w:p w:rsidR="00766AC9" w:rsidRDefault="00766AC9"/>
    <w:p w:rsidR="00766AC9" w:rsidRDefault="00766AC9">
      <w:r>
        <w:t>The applicant must identify and describe any mergers, acquisitions, or other capital raisings that are currently pending or are under negotiation and the expected consummation date.</w:t>
      </w:r>
    </w:p>
    <w:p w:rsidR="00766AC9" w:rsidRDefault="00766AC9"/>
    <w:p w:rsidR="00766AC9" w:rsidRPr="00F2671E" w:rsidRDefault="00766AC9">
      <w:pPr>
        <w:rPr>
          <w:u w:val="single"/>
        </w:rPr>
      </w:pPr>
      <w:r w:rsidRPr="00F2671E">
        <w:rPr>
          <w:u w:val="single"/>
        </w:rPr>
        <w:t>Confidentiality</w:t>
      </w:r>
    </w:p>
    <w:p w:rsidR="00766AC9" w:rsidRPr="008947E6" w:rsidRDefault="00766AC9"/>
    <w:p w:rsidR="00766AC9" w:rsidRPr="00F2671E" w:rsidRDefault="00766AC9">
      <w:pPr>
        <w:pStyle w:val="Default"/>
        <w:rPr>
          <w:color w:val="auto"/>
        </w:rPr>
      </w:pPr>
      <w:r w:rsidRPr="00F2671E">
        <w:rPr>
          <w:color w:val="auto"/>
        </w:rPr>
        <w:t xml:space="preserve">Any </w:t>
      </w:r>
      <w:r>
        <w:rPr>
          <w:color w:val="auto"/>
        </w:rPr>
        <w:t>a</w:t>
      </w:r>
      <w:r w:rsidRPr="00F2671E">
        <w:rPr>
          <w:color w:val="auto"/>
        </w:rPr>
        <w:t xml:space="preserve">pplicant desiring confidential treatment of specific portions of the application must submit a request in writing with the application. The request must discuss the justification for the requested treatment. </w:t>
      </w:r>
      <w:r w:rsidR="00D66441">
        <w:rPr>
          <w:color w:val="auto"/>
        </w:rPr>
        <w:t xml:space="preserve"> </w:t>
      </w:r>
      <w:r w:rsidRPr="00F2671E">
        <w:rPr>
          <w:color w:val="auto"/>
        </w:rPr>
        <w:t xml:space="preserve">The </w:t>
      </w:r>
      <w:r>
        <w:rPr>
          <w:color w:val="auto"/>
        </w:rPr>
        <w:t>a</w:t>
      </w:r>
      <w:r w:rsidRPr="00F2671E">
        <w:rPr>
          <w:color w:val="auto"/>
        </w:rPr>
        <w:t>pplicant</w:t>
      </w:r>
      <w:r w:rsidR="00D66441">
        <w:rPr>
          <w:color w:val="auto"/>
        </w:rPr>
        <w:t>’</w:t>
      </w:r>
      <w:r w:rsidRPr="00F2671E">
        <w:rPr>
          <w:color w:val="auto"/>
        </w:rPr>
        <w:t>s reasons for requesting confidentiality should specifically demonstrate the harm (for example, loss of competitive position, invasion of privacy) that would result from public release of information (</w:t>
      </w:r>
      <w:r w:rsidR="00D66441" w:rsidRPr="00D66441">
        <w:rPr>
          <w:i/>
          <w:color w:val="auto"/>
        </w:rPr>
        <w:t>See</w:t>
      </w:r>
      <w:r w:rsidR="00D66441">
        <w:rPr>
          <w:color w:val="auto"/>
        </w:rPr>
        <w:t xml:space="preserve"> </w:t>
      </w:r>
      <w:r w:rsidRPr="00F2671E">
        <w:rPr>
          <w:color w:val="auto"/>
        </w:rPr>
        <w:t xml:space="preserve">5 U.S.C. 552). </w:t>
      </w:r>
      <w:r w:rsidR="00D66441">
        <w:rPr>
          <w:color w:val="auto"/>
        </w:rPr>
        <w:t xml:space="preserve"> </w:t>
      </w:r>
      <w:r w:rsidRPr="00F2671E">
        <w:rPr>
          <w:color w:val="auto"/>
        </w:rPr>
        <w:t xml:space="preserve">Information for which confidential treatment is requested should be: (1) specifically identified in the public portion of the application (by reference to the confidential section); (2) separately bound; and (3) labeled </w:t>
      </w:r>
      <w:r w:rsidR="00D66441">
        <w:rPr>
          <w:color w:val="auto"/>
        </w:rPr>
        <w:t>“</w:t>
      </w:r>
      <w:r w:rsidRPr="00F2671E">
        <w:rPr>
          <w:color w:val="auto"/>
        </w:rPr>
        <w:t>Confidential.</w:t>
      </w:r>
      <w:r w:rsidR="00D66441">
        <w:rPr>
          <w:color w:val="auto"/>
        </w:rPr>
        <w:t xml:space="preserve">”  </w:t>
      </w:r>
      <w:r w:rsidRPr="00F2671E">
        <w:rPr>
          <w:color w:val="auto"/>
        </w:rPr>
        <w:t xml:space="preserve">The </w:t>
      </w:r>
      <w:r>
        <w:rPr>
          <w:color w:val="auto"/>
        </w:rPr>
        <w:t>a</w:t>
      </w:r>
      <w:r w:rsidRPr="00F2671E">
        <w:rPr>
          <w:color w:val="auto"/>
        </w:rPr>
        <w:t xml:space="preserve">pplicant should follow the same procedure when requesting confidential treatment for the subsequent filing of supplemental information to the application. </w:t>
      </w:r>
    </w:p>
    <w:p w:rsidR="00766AC9" w:rsidRDefault="00766AC9"/>
    <w:p w:rsidR="00766AC9" w:rsidRDefault="00766AC9"/>
    <w:p w:rsidR="00766AC9" w:rsidRDefault="00766AC9">
      <w:pPr>
        <w:rPr>
          <w:rFonts w:ascii="Arial" w:hAnsi="Arial" w:cs="Arial"/>
          <w:sz w:val="20"/>
          <w:szCs w:val="20"/>
        </w:rPr>
        <w:sectPr w:rsidR="00766AC9">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rsidR="00766AC9" w:rsidRDefault="00766AC9"/>
    <w:p w:rsidR="00766AC9" w:rsidRDefault="00766AC9">
      <w:pPr>
        <w:jc w:val="center"/>
      </w:pPr>
    </w:p>
    <w:p w:rsidR="00766AC9" w:rsidRPr="007531E5" w:rsidRDefault="00766AC9">
      <w:pPr>
        <w:jc w:val="center"/>
        <w:rPr>
          <w:b/>
          <w:sz w:val="10"/>
          <w:szCs w:val="10"/>
          <w:u w:val="single"/>
        </w:rPr>
      </w:pPr>
    </w:p>
    <w:p w:rsidR="00766AC9" w:rsidRDefault="00564FFC">
      <w:pPr>
        <w:jc w:val="center"/>
        <w:rPr>
          <w:b/>
          <w:sz w:val="28"/>
          <w:szCs w:val="28"/>
          <w:u w:val="single"/>
        </w:rPr>
      </w:pPr>
      <w:r w:rsidRPr="00E80FDA">
        <w:rPr>
          <w:b/>
          <w:sz w:val="28"/>
          <w:szCs w:val="28"/>
          <w:u w:val="single"/>
        </w:rPr>
        <w:t xml:space="preserve">Application for </w:t>
      </w:r>
      <w:r>
        <w:rPr>
          <w:b/>
          <w:sz w:val="28"/>
          <w:szCs w:val="28"/>
          <w:u w:val="single"/>
        </w:rPr>
        <w:t>TARP Community Development Capital Initiative</w:t>
      </w:r>
      <w:r w:rsidR="0090664F">
        <w:rPr>
          <w:b/>
          <w:sz w:val="28"/>
          <w:szCs w:val="28"/>
          <w:u w:val="single"/>
        </w:rPr>
        <w:br/>
        <w:t>Exchange</w:t>
      </w:r>
    </w:p>
    <w:p w:rsidR="00766AC9" w:rsidRDefault="00766AC9">
      <w:pPr>
        <w:jc w:val="center"/>
        <w:rPr>
          <w:b/>
          <w:sz w:val="28"/>
          <w:szCs w:val="28"/>
          <w:u w:val="single"/>
        </w:rPr>
      </w:pPr>
    </w:p>
    <w:p w:rsidR="00766AC9" w:rsidRDefault="00766AC9">
      <w:pPr>
        <w:rPr>
          <w:i/>
        </w:rPr>
      </w:pPr>
      <w:r>
        <w:rPr>
          <w:i/>
        </w:rPr>
        <w:t>Please complete the following information and follow the submission in</w:t>
      </w:r>
      <w:r w:rsidR="0090664F">
        <w:rPr>
          <w:i/>
        </w:rPr>
        <w:t xml:space="preserve">structions as described on Treasury’s </w:t>
      </w:r>
      <w:r>
        <w:rPr>
          <w:i/>
        </w:rPr>
        <w:t xml:space="preserve">website.  </w:t>
      </w:r>
      <w:r w:rsidRPr="0013745F">
        <w:rPr>
          <w:i/>
        </w:rPr>
        <w:t xml:space="preserve">In addition to completing the information on this form, </w:t>
      </w:r>
      <w:r>
        <w:rPr>
          <w:i/>
        </w:rPr>
        <w:t>please provide a</w:t>
      </w:r>
      <w:r w:rsidRPr="00AA0F9B">
        <w:rPr>
          <w:i/>
        </w:rPr>
        <w:t xml:space="preserve"> description of any mergers, acquisitions, or other capital raisings that are currently pending or are under negotiation and the expected consummation date (no longer than 1 page).</w:t>
      </w:r>
    </w:p>
    <w:p w:rsidR="00766AC9" w:rsidRDefault="00766AC9">
      <w:pPr>
        <w:rPr>
          <w:i/>
        </w:rPr>
      </w:pPr>
    </w:p>
    <w:tbl>
      <w:tblPr>
        <w:tblW w:w="9288" w:type="dxa"/>
        <w:tblBorders>
          <w:bottom w:val="single" w:sz="4" w:space="0" w:color="auto"/>
          <w:insideH w:val="single" w:sz="4" w:space="0" w:color="auto"/>
        </w:tblBorders>
        <w:tblLook w:val="01E0"/>
      </w:tblPr>
      <w:tblGrid>
        <w:gridCol w:w="3708"/>
        <w:gridCol w:w="5580"/>
      </w:tblGrid>
      <w:tr w:rsidR="00766AC9">
        <w:trPr>
          <w:trHeight w:hRule="exact" w:val="504"/>
        </w:trPr>
        <w:tc>
          <w:tcPr>
            <w:tcW w:w="3708" w:type="dxa"/>
            <w:tcBorders>
              <w:top w:val="nil"/>
              <w:bottom w:val="nil"/>
            </w:tcBorders>
            <w:vAlign w:val="bottom"/>
          </w:tcPr>
          <w:p w:rsidR="00766AC9" w:rsidRDefault="00766AC9">
            <w:r>
              <w:t>Institution Name:</w:t>
            </w:r>
          </w:p>
        </w:tc>
        <w:tc>
          <w:tcPr>
            <w:tcW w:w="5580" w:type="dxa"/>
          </w:tcPr>
          <w:p w:rsidR="00766AC9" w:rsidRDefault="00766AC9"/>
        </w:tc>
      </w:tr>
      <w:tr w:rsidR="00766AC9">
        <w:trPr>
          <w:trHeight w:hRule="exact" w:val="504"/>
        </w:trPr>
        <w:tc>
          <w:tcPr>
            <w:tcW w:w="3708" w:type="dxa"/>
            <w:tcBorders>
              <w:top w:val="nil"/>
              <w:bottom w:val="nil"/>
            </w:tcBorders>
            <w:vAlign w:val="bottom"/>
          </w:tcPr>
          <w:p w:rsidR="00766AC9" w:rsidRDefault="00766AC9">
            <w:r>
              <w:t>Address of Institution:</w:t>
            </w:r>
          </w:p>
        </w:tc>
        <w:tc>
          <w:tcPr>
            <w:tcW w:w="5580" w:type="dxa"/>
          </w:tcPr>
          <w:p w:rsidR="00766AC9" w:rsidRDefault="00766AC9"/>
        </w:tc>
      </w:tr>
      <w:tr w:rsidR="00766AC9">
        <w:trPr>
          <w:trHeight w:hRule="exact" w:val="504"/>
        </w:trPr>
        <w:tc>
          <w:tcPr>
            <w:tcW w:w="3708" w:type="dxa"/>
            <w:tcBorders>
              <w:top w:val="nil"/>
              <w:bottom w:val="nil"/>
            </w:tcBorders>
            <w:vAlign w:val="bottom"/>
          </w:tcPr>
          <w:p w:rsidR="00766AC9" w:rsidRDefault="00766AC9"/>
        </w:tc>
        <w:tc>
          <w:tcPr>
            <w:tcW w:w="5580" w:type="dxa"/>
          </w:tcPr>
          <w:p w:rsidR="00766AC9" w:rsidRDefault="00766AC9"/>
        </w:tc>
      </w:tr>
      <w:tr w:rsidR="00766AC9">
        <w:trPr>
          <w:trHeight w:hRule="exact" w:val="766"/>
        </w:trPr>
        <w:tc>
          <w:tcPr>
            <w:tcW w:w="3708" w:type="dxa"/>
            <w:tcBorders>
              <w:top w:val="nil"/>
              <w:bottom w:val="nil"/>
            </w:tcBorders>
            <w:vAlign w:val="bottom"/>
          </w:tcPr>
          <w:p w:rsidR="00766AC9" w:rsidRDefault="00766AC9">
            <w:r>
              <w:t>Primary Contact Name:</w:t>
            </w:r>
          </w:p>
        </w:tc>
        <w:tc>
          <w:tcPr>
            <w:tcW w:w="5580" w:type="dxa"/>
          </w:tcPr>
          <w:p w:rsidR="00766AC9" w:rsidRDefault="00766AC9"/>
        </w:tc>
      </w:tr>
      <w:tr w:rsidR="00766AC9">
        <w:trPr>
          <w:trHeight w:hRule="exact" w:val="504"/>
        </w:trPr>
        <w:tc>
          <w:tcPr>
            <w:tcW w:w="3708" w:type="dxa"/>
            <w:tcBorders>
              <w:top w:val="nil"/>
              <w:bottom w:val="nil"/>
            </w:tcBorders>
            <w:vAlign w:val="bottom"/>
          </w:tcPr>
          <w:p w:rsidR="00766AC9" w:rsidRDefault="00766AC9">
            <w:r>
              <w:t>Primary Contact Phone Number:</w:t>
            </w:r>
          </w:p>
        </w:tc>
        <w:tc>
          <w:tcPr>
            <w:tcW w:w="5580" w:type="dxa"/>
          </w:tcPr>
          <w:p w:rsidR="00766AC9" w:rsidRDefault="00766AC9"/>
        </w:tc>
      </w:tr>
      <w:tr w:rsidR="00766AC9">
        <w:trPr>
          <w:trHeight w:hRule="exact" w:val="504"/>
        </w:trPr>
        <w:tc>
          <w:tcPr>
            <w:tcW w:w="3708" w:type="dxa"/>
            <w:tcBorders>
              <w:top w:val="nil"/>
              <w:bottom w:val="nil"/>
            </w:tcBorders>
            <w:vAlign w:val="bottom"/>
          </w:tcPr>
          <w:p w:rsidR="00766AC9" w:rsidRDefault="00766AC9">
            <w:r>
              <w:t>Primary Contact Fax Number:</w:t>
            </w:r>
          </w:p>
        </w:tc>
        <w:tc>
          <w:tcPr>
            <w:tcW w:w="5580" w:type="dxa"/>
          </w:tcPr>
          <w:p w:rsidR="00766AC9" w:rsidRDefault="00766AC9"/>
        </w:tc>
      </w:tr>
      <w:tr w:rsidR="00766AC9">
        <w:trPr>
          <w:trHeight w:hRule="exact" w:val="504"/>
        </w:trPr>
        <w:tc>
          <w:tcPr>
            <w:tcW w:w="3708" w:type="dxa"/>
            <w:tcBorders>
              <w:top w:val="nil"/>
              <w:bottom w:val="nil"/>
            </w:tcBorders>
            <w:vAlign w:val="bottom"/>
          </w:tcPr>
          <w:p w:rsidR="00766AC9" w:rsidRDefault="00766AC9">
            <w:r>
              <w:t>Primary Contact Email Address:</w:t>
            </w:r>
          </w:p>
        </w:tc>
        <w:tc>
          <w:tcPr>
            <w:tcW w:w="5580" w:type="dxa"/>
          </w:tcPr>
          <w:p w:rsidR="00766AC9" w:rsidRDefault="00766AC9"/>
        </w:tc>
      </w:tr>
      <w:tr w:rsidR="00766AC9">
        <w:trPr>
          <w:trHeight w:hRule="exact" w:val="982"/>
        </w:trPr>
        <w:tc>
          <w:tcPr>
            <w:tcW w:w="3708" w:type="dxa"/>
            <w:tcBorders>
              <w:top w:val="nil"/>
              <w:bottom w:val="nil"/>
            </w:tcBorders>
            <w:vAlign w:val="bottom"/>
          </w:tcPr>
          <w:p w:rsidR="00766AC9" w:rsidRDefault="00766AC9">
            <w:r>
              <w:t>Secondary Contact Name:</w:t>
            </w:r>
          </w:p>
        </w:tc>
        <w:tc>
          <w:tcPr>
            <w:tcW w:w="5580" w:type="dxa"/>
          </w:tcPr>
          <w:p w:rsidR="00766AC9" w:rsidRDefault="00766AC9"/>
        </w:tc>
      </w:tr>
      <w:tr w:rsidR="00766AC9">
        <w:trPr>
          <w:trHeight w:hRule="exact" w:val="504"/>
        </w:trPr>
        <w:tc>
          <w:tcPr>
            <w:tcW w:w="3708" w:type="dxa"/>
            <w:tcBorders>
              <w:top w:val="nil"/>
              <w:bottom w:val="nil"/>
            </w:tcBorders>
            <w:vAlign w:val="bottom"/>
          </w:tcPr>
          <w:p w:rsidR="00766AC9" w:rsidRDefault="00766AC9">
            <w:r>
              <w:t>Secondary Contact Phone Number:</w:t>
            </w:r>
          </w:p>
        </w:tc>
        <w:tc>
          <w:tcPr>
            <w:tcW w:w="5580" w:type="dxa"/>
          </w:tcPr>
          <w:p w:rsidR="00766AC9" w:rsidRDefault="00766AC9"/>
        </w:tc>
      </w:tr>
      <w:tr w:rsidR="00766AC9">
        <w:trPr>
          <w:trHeight w:hRule="exact" w:val="504"/>
        </w:trPr>
        <w:tc>
          <w:tcPr>
            <w:tcW w:w="3708" w:type="dxa"/>
            <w:tcBorders>
              <w:top w:val="nil"/>
              <w:bottom w:val="nil"/>
            </w:tcBorders>
            <w:vAlign w:val="bottom"/>
          </w:tcPr>
          <w:p w:rsidR="00766AC9" w:rsidRDefault="00766AC9">
            <w:r>
              <w:t>Secondary Contact Fax Number:</w:t>
            </w:r>
          </w:p>
        </w:tc>
        <w:tc>
          <w:tcPr>
            <w:tcW w:w="5580" w:type="dxa"/>
          </w:tcPr>
          <w:p w:rsidR="00766AC9" w:rsidRDefault="00766AC9"/>
        </w:tc>
      </w:tr>
      <w:tr w:rsidR="00766AC9">
        <w:trPr>
          <w:trHeight w:hRule="exact" w:val="504"/>
        </w:trPr>
        <w:tc>
          <w:tcPr>
            <w:tcW w:w="3708" w:type="dxa"/>
            <w:tcBorders>
              <w:top w:val="nil"/>
              <w:bottom w:val="nil"/>
            </w:tcBorders>
            <w:vAlign w:val="bottom"/>
          </w:tcPr>
          <w:p w:rsidR="00766AC9" w:rsidRDefault="00766AC9">
            <w:r>
              <w:t>Secondary Contact Email Address:</w:t>
            </w:r>
          </w:p>
        </w:tc>
        <w:tc>
          <w:tcPr>
            <w:tcW w:w="5580" w:type="dxa"/>
          </w:tcPr>
          <w:p w:rsidR="00766AC9" w:rsidRDefault="00766AC9"/>
        </w:tc>
      </w:tr>
      <w:tr w:rsidR="00766AC9">
        <w:trPr>
          <w:trHeight w:hRule="exact" w:val="1117"/>
        </w:trPr>
        <w:tc>
          <w:tcPr>
            <w:tcW w:w="3708" w:type="dxa"/>
            <w:tcBorders>
              <w:top w:val="nil"/>
              <w:bottom w:val="nil"/>
            </w:tcBorders>
            <w:vAlign w:val="bottom"/>
          </w:tcPr>
          <w:p w:rsidR="00766AC9" w:rsidRDefault="00766AC9">
            <w:r>
              <w:t>RSSD, Holding Company Docket Number and/or FDIC Certificate Number, as Relevant:</w:t>
            </w:r>
          </w:p>
        </w:tc>
        <w:tc>
          <w:tcPr>
            <w:tcW w:w="5580" w:type="dxa"/>
          </w:tcPr>
          <w:p w:rsidR="00766AC9" w:rsidRDefault="00766AC9"/>
        </w:tc>
      </w:tr>
      <w:tr w:rsidR="00766AC9" w:rsidTr="008406EE">
        <w:trPr>
          <w:trHeight w:hRule="exact" w:val="1252"/>
        </w:trPr>
        <w:tc>
          <w:tcPr>
            <w:tcW w:w="3708" w:type="dxa"/>
            <w:tcBorders>
              <w:top w:val="nil"/>
              <w:bottom w:val="nil"/>
            </w:tcBorders>
            <w:vAlign w:val="bottom"/>
          </w:tcPr>
          <w:p w:rsidR="00766AC9" w:rsidRDefault="00766AC9" w:rsidP="0090664F">
            <w:r>
              <w:t xml:space="preserve">Amount of </w:t>
            </w:r>
            <w:r w:rsidR="0090664F">
              <w:t>outstanding Preferred Shares under the Capital Purchase Program</w:t>
            </w:r>
            <w:r>
              <w:t>:</w:t>
            </w:r>
          </w:p>
        </w:tc>
        <w:tc>
          <w:tcPr>
            <w:tcW w:w="5580" w:type="dxa"/>
          </w:tcPr>
          <w:p w:rsidR="00766AC9" w:rsidRDefault="00766AC9"/>
        </w:tc>
      </w:tr>
      <w:tr w:rsidR="007C09FF" w:rsidTr="008406EE">
        <w:trPr>
          <w:trHeight w:hRule="exact" w:val="1252"/>
        </w:trPr>
        <w:tc>
          <w:tcPr>
            <w:tcW w:w="3708" w:type="dxa"/>
            <w:tcBorders>
              <w:top w:val="nil"/>
              <w:bottom w:val="nil"/>
            </w:tcBorders>
            <w:vAlign w:val="bottom"/>
          </w:tcPr>
          <w:p w:rsidR="007C09FF" w:rsidRDefault="007C09FF" w:rsidP="0090664F">
            <w:r>
              <w:t>UST Sequence Number</w:t>
            </w:r>
          </w:p>
        </w:tc>
        <w:tc>
          <w:tcPr>
            <w:tcW w:w="5580" w:type="dxa"/>
          </w:tcPr>
          <w:p w:rsidR="007C09FF" w:rsidRDefault="007C09FF"/>
        </w:tc>
      </w:tr>
      <w:tr w:rsidR="00766AC9">
        <w:trPr>
          <w:trHeight w:val="1619"/>
        </w:trPr>
        <w:tc>
          <w:tcPr>
            <w:tcW w:w="3708" w:type="dxa"/>
            <w:tcBorders>
              <w:top w:val="nil"/>
              <w:bottom w:val="nil"/>
            </w:tcBorders>
            <w:vAlign w:val="bottom"/>
          </w:tcPr>
          <w:p w:rsidR="00766AC9" w:rsidRDefault="00766AC9" w:rsidP="0090664F">
            <w:r w:rsidRPr="00FF25E0">
              <w:t xml:space="preserve">Indicate </w:t>
            </w:r>
            <w:r w:rsidR="0090664F">
              <w:t>the amount of</w:t>
            </w:r>
            <w:r w:rsidRPr="00FF25E0">
              <w:t xml:space="preserve"> Preferred Shares under the Capital Purchase Program to be </w:t>
            </w:r>
            <w:r w:rsidR="00F77B73">
              <w:t>exchange</w:t>
            </w:r>
            <w:r w:rsidR="005E5E04">
              <w:t>d</w:t>
            </w:r>
            <w:r w:rsidRPr="00FF25E0">
              <w:t>:</w:t>
            </w:r>
          </w:p>
        </w:tc>
        <w:tc>
          <w:tcPr>
            <w:tcW w:w="5580" w:type="dxa"/>
          </w:tcPr>
          <w:p w:rsidR="00766AC9" w:rsidRDefault="00766AC9"/>
        </w:tc>
      </w:tr>
      <w:tr w:rsidR="00766AC9">
        <w:trPr>
          <w:trHeight w:val="1619"/>
        </w:trPr>
        <w:tc>
          <w:tcPr>
            <w:tcW w:w="3708" w:type="dxa"/>
            <w:tcBorders>
              <w:top w:val="nil"/>
              <w:bottom w:val="nil"/>
            </w:tcBorders>
            <w:vAlign w:val="bottom"/>
          </w:tcPr>
          <w:p w:rsidR="00766AC9" w:rsidRDefault="00766AC9">
            <w:r>
              <w:t>Amount of Total Risk-Weighted Assets as Reported on the Holding Company’s or Applicable Institution’s Most Recent FR-Y9, Call Report, or TFR, as Relevant:</w:t>
            </w:r>
          </w:p>
        </w:tc>
        <w:tc>
          <w:tcPr>
            <w:tcW w:w="5580" w:type="dxa"/>
          </w:tcPr>
          <w:p w:rsidR="00766AC9" w:rsidRDefault="00766AC9"/>
        </w:tc>
      </w:tr>
      <w:tr w:rsidR="00766AC9">
        <w:trPr>
          <w:trHeight w:val="1421"/>
        </w:trPr>
        <w:tc>
          <w:tcPr>
            <w:tcW w:w="3708" w:type="dxa"/>
            <w:tcBorders>
              <w:top w:val="nil"/>
              <w:bottom w:val="nil"/>
            </w:tcBorders>
            <w:vAlign w:val="bottom"/>
          </w:tcPr>
          <w:p w:rsidR="00766AC9" w:rsidRDefault="00766AC9" w:rsidP="00BF457F">
            <w:r>
              <w:t xml:space="preserve">Institution has Reviewed the </w:t>
            </w:r>
            <w:r w:rsidR="00BF457F">
              <w:t>Term Sheets</w:t>
            </w:r>
            <w:r>
              <w:t xml:space="preserve"> and Related Documentation on Treasury’s Website (Yes/No):</w:t>
            </w:r>
          </w:p>
        </w:tc>
        <w:tc>
          <w:tcPr>
            <w:tcW w:w="5580" w:type="dxa"/>
          </w:tcPr>
          <w:p w:rsidR="00766AC9" w:rsidRDefault="00766AC9"/>
        </w:tc>
      </w:tr>
      <w:tr w:rsidR="00EC0629">
        <w:trPr>
          <w:trHeight w:val="710"/>
        </w:trPr>
        <w:tc>
          <w:tcPr>
            <w:tcW w:w="3708" w:type="dxa"/>
            <w:tcBorders>
              <w:top w:val="nil"/>
              <w:bottom w:val="nil"/>
            </w:tcBorders>
            <w:vAlign w:val="bottom"/>
          </w:tcPr>
          <w:p w:rsidR="00EC0629" w:rsidRDefault="00EC0629">
            <w:r>
              <w:t>Signature of Chief Executive Officer (or Authorized Designee):</w:t>
            </w:r>
          </w:p>
        </w:tc>
        <w:tc>
          <w:tcPr>
            <w:tcW w:w="5580" w:type="dxa"/>
          </w:tcPr>
          <w:p w:rsidR="00EC0629" w:rsidRDefault="00EC0629"/>
        </w:tc>
      </w:tr>
      <w:tr w:rsidR="00766AC9">
        <w:trPr>
          <w:trHeight w:val="710"/>
        </w:trPr>
        <w:tc>
          <w:tcPr>
            <w:tcW w:w="3708" w:type="dxa"/>
            <w:tcBorders>
              <w:top w:val="nil"/>
              <w:bottom w:val="nil"/>
            </w:tcBorders>
            <w:vAlign w:val="bottom"/>
          </w:tcPr>
          <w:p w:rsidR="00766AC9" w:rsidRDefault="00766AC9">
            <w:r>
              <w:t>Date of Signature:</w:t>
            </w:r>
          </w:p>
        </w:tc>
        <w:tc>
          <w:tcPr>
            <w:tcW w:w="5580" w:type="dxa"/>
          </w:tcPr>
          <w:p w:rsidR="00766AC9" w:rsidRDefault="00766AC9"/>
        </w:tc>
      </w:tr>
    </w:tbl>
    <w:p w:rsidR="00766AC9" w:rsidRPr="007531E5" w:rsidRDefault="00766AC9">
      <w:pPr>
        <w:rPr>
          <w:sz w:val="2"/>
          <w:szCs w:val="2"/>
        </w:rPr>
      </w:pPr>
    </w:p>
    <w:sectPr w:rsidR="00766AC9" w:rsidRPr="007531E5" w:rsidSect="006E213E">
      <w:headerReference w:type="default" r:id="rId16"/>
      <w:footerReference w:type="default" r:id="rId17"/>
      <w:head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3EA" w:rsidRDefault="00CD23EA">
      <w:r>
        <w:separator/>
      </w:r>
    </w:p>
  </w:endnote>
  <w:endnote w:type="continuationSeparator" w:id="0">
    <w:p w:rsidR="00CD23EA" w:rsidRDefault="00CD2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053" w:rsidRDefault="00997053">
    <w:pPr>
      <w:pStyle w:val="Footer"/>
    </w:pPr>
    <w:r>
      <w:rPr>
        <w:rStyle w:val="DocID"/>
      </w:rPr>
      <w:tab/>
    </w:r>
    <w:r w:rsidR="000305BA">
      <w:rPr>
        <w:rStyle w:val="PageNumber"/>
      </w:rPr>
      <w:fldChar w:fldCharType="begin"/>
    </w:r>
    <w:r>
      <w:rPr>
        <w:rStyle w:val="PageNumber"/>
      </w:rPr>
      <w:instrText xml:space="preserve"> PAGE </w:instrText>
    </w:r>
    <w:r w:rsidR="000305BA">
      <w:rPr>
        <w:rStyle w:val="PageNumber"/>
      </w:rPr>
      <w:fldChar w:fldCharType="separate"/>
    </w:r>
    <w:r w:rsidR="008F473D">
      <w:rPr>
        <w:rStyle w:val="PageNumber"/>
        <w:noProof/>
      </w:rPr>
      <w:t>2</w:t>
    </w:r>
    <w:r w:rsidR="000305BA">
      <w:rPr>
        <w:rStyle w:val="PageNumber"/>
      </w:rPr>
      <w:fldChar w:fldCharType="end"/>
    </w:r>
    <w:r>
      <w:rPr>
        <w:rStyle w:val="DocID"/>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B80" w:rsidRDefault="000305BA">
    <w:pPr>
      <w:pStyle w:val="Footer"/>
      <w:jc w:val="center"/>
    </w:pPr>
    <w:fldSimple w:instr=" PAGE   \* MERGEFORMAT ">
      <w:r w:rsidR="008F473D">
        <w:rPr>
          <w:noProof/>
        </w:rPr>
        <w:t>1</w:t>
      </w:r>
    </w:fldSimple>
  </w:p>
  <w:p w:rsidR="003D0B80" w:rsidRDefault="003D0B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053" w:rsidRDefault="009970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3EA" w:rsidRDefault="00CD23EA">
      <w:r>
        <w:separator/>
      </w:r>
    </w:p>
  </w:footnote>
  <w:footnote w:type="continuationSeparator" w:id="0">
    <w:p w:rsidR="00CD23EA" w:rsidRDefault="00CD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053" w:rsidRDefault="00997053">
    <w:pPr>
      <w:pStyle w:val="Heade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FC" w:rsidRDefault="00564FFC" w:rsidP="00564FFC">
    <w:pPr>
      <w:pStyle w:val="Header"/>
      <w:jc w:val="right"/>
    </w:pPr>
    <w:r>
      <w:t>OMB Control Number 1505-</w:t>
    </w:r>
    <w:r w:rsidR="008F473D">
      <w:t>0223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053" w:rsidRDefault="00997053">
    <w:pPr>
      <w:pStyle w:val="Header"/>
    </w:pPr>
    <w:r>
      <w:tab/>
    </w:r>
    <w:r>
      <w:tab/>
    </w:r>
    <w:r w:rsidR="000305BA">
      <w:rPr>
        <w:rStyle w:val="PageNumber"/>
      </w:rPr>
      <w:fldChar w:fldCharType="begin"/>
    </w:r>
    <w:r>
      <w:rPr>
        <w:rStyle w:val="PageNumber"/>
      </w:rPr>
      <w:instrText xml:space="preserve"> PAGE </w:instrText>
    </w:r>
    <w:r w:rsidR="000305BA">
      <w:rPr>
        <w:rStyle w:val="PageNumber"/>
      </w:rPr>
      <w:fldChar w:fldCharType="separate"/>
    </w:r>
    <w:r w:rsidR="008F473D">
      <w:rPr>
        <w:rStyle w:val="PageNumber"/>
        <w:noProof/>
      </w:rPr>
      <w:t>2</w:t>
    </w:r>
    <w:r w:rsidR="000305BA">
      <w:rPr>
        <w:rStyle w:val="PageNumber"/>
      </w:rPr>
      <w:fldChar w:fldCharType="end"/>
    </w:r>
    <w:r>
      <w:tab/>
    </w:r>
    <w:r>
      <w:tab/>
    </w:r>
    <w:r>
      <w:tab/>
    </w: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FC" w:rsidRDefault="00564FFC" w:rsidP="00564FFC">
    <w:pPr>
      <w:pStyle w:val="Header"/>
      <w:jc w:val="right"/>
    </w:pPr>
    <w:r>
      <w:t>OMB Control Number 1505-</w:t>
    </w:r>
    <w:r w:rsidR="008F473D">
      <w:t>0223</w:t>
    </w:r>
  </w:p>
  <w:p w:rsidR="00997053" w:rsidRDefault="00997053" w:rsidP="00564FF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D7ED4"/>
    <w:multiLevelType w:val="multilevel"/>
    <w:tmpl w:val="AF0CD4C2"/>
    <w:lvl w:ilvl="0">
      <w:start w:val="1"/>
      <w:numFmt w:val="bullet"/>
      <w:lvlText w:val="–"/>
      <w:lvlJc w:val="left"/>
      <w:pPr>
        <w:tabs>
          <w:tab w:val="num" w:pos="648"/>
        </w:tabs>
        <w:ind w:left="648" w:hanging="21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5831842"/>
    <w:multiLevelType w:val="multilevel"/>
    <w:tmpl w:val="E556C644"/>
    <w:lvl w:ilvl="0">
      <w:start w:val="1"/>
      <w:numFmt w:val="bullet"/>
      <w:lvlText w:val=""/>
      <w:lvlJc w:val="left"/>
      <w:pPr>
        <w:tabs>
          <w:tab w:val="num" w:pos="648"/>
        </w:tabs>
        <w:ind w:left="648"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0324E58"/>
    <w:multiLevelType w:val="hybridMultilevel"/>
    <w:tmpl w:val="AF0CD4C2"/>
    <w:lvl w:ilvl="0" w:tplc="A3DA8E22">
      <w:start w:val="1"/>
      <w:numFmt w:val="bullet"/>
      <w:lvlText w:val="–"/>
      <w:lvlJc w:val="left"/>
      <w:pPr>
        <w:tabs>
          <w:tab w:val="num" w:pos="648"/>
        </w:tabs>
        <w:ind w:left="648"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8FA4193"/>
    <w:multiLevelType w:val="hybridMultilevel"/>
    <w:tmpl w:val="5E789D14"/>
    <w:lvl w:ilvl="0" w:tplc="8AAC6F9E">
      <w:start w:val="1"/>
      <w:numFmt w:val="bullet"/>
      <w:lvlText w:val=""/>
      <w:lvlJc w:val="left"/>
      <w:pPr>
        <w:tabs>
          <w:tab w:val="num" w:pos="648"/>
        </w:tabs>
        <w:ind w:left="64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E207120"/>
    <w:multiLevelType w:val="hybridMultilevel"/>
    <w:tmpl w:val="3D7C3BD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comments="0" w:insDel="0" w:formatting="0" w:inkAnnotations="0"/>
  <w:defaultTabStop w:val="720"/>
  <w:noPunctuationKerning/>
  <w:characterSpacingControl w:val="doNotCompress"/>
  <w:footnotePr>
    <w:footnote w:id="-1"/>
    <w:footnote w:id="0"/>
  </w:footnotePr>
  <w:endnotePr>
    <w:endnote w:id="-1"/>
    <w:endnote w:id="0"/>
  </w:endnotePr>
  <w:compat/>
  <w:docVars>
    <w:docVar w:name="CMRemoved" w:val="True"/>
    <w:docVar w:name="DateRemoved" w:val="False"/>
    <w:docVar w:name="DocIDAuthor" w:val="True"/>
    <w:docVar w:name="DocIDClientMatter" w:val="True"/>
    <w:docVar w:name="DocIDDate" w:val="True"/>
    <w:docVar w:name="DocIDDateText" w:val="False"/>
    <w:docVar w:name="DocIDLongDate" w:val="False"/>
    <w:docVar w:name="DocIDRemoved" w:val="True"/>
    <w:docVar w:name="DocIDTime" w:val="False"/>
    <w:docVar w:name="DocIDType" w:val="AllPages"/>
    <w:docVar w:name="DocIDVersion" w:val="True"/>
    <w:docVar w:name="TimeRemoved" w:val="False"/>
  </w:docVars>
  <w:rsids>
    <w:rsidRoot w:val="00902FE0"/>
    <w:rsid w:val="000305BA"/>
    <w:rsid w:val="00054565"/>
    <w:rsid w:val="00055E3C"/>
    <w:rsid w:val="00082140"/>
    <w:rsid w:val="000B047C"/>
    <w:rsid w:val="000D665D"/>
    <w:rsid w:val="0012086C"/>
    <w:rsid w:val="001D3408"/>
    <w:rsid w:val="00210919"/>
    <w:rsid w:val="00212482"/>
    <w:rsid w:val="00281573"/>
    <w:rsid w:val="002C4477"/>
    <w:rsid w:val="00355D75"/>
    <w:rsid w:val="003641BC"/>
    <w:rsid w:val="003B46BB"/>
    <w:rsid w:val="003B7099"/>
    <w:rsid w:val="003D0B80"/>
    <w:rsid w:val="003E570F"/>
    <w:rsid w:val="003F7025"/>
    <w:rsid w:val="004535E5"/>
    <w:rsid w:val="0047277B"/>
    <w:rsid w:val="00494377"/>
    <w:rsid w:val="004E41AA"/>
    <w:rsid w:val="004F4898"/>
    <w:rsid w:val="00564BD1"/>
    <w:rsid w:val="00564FFC"/>
    <w:rsid w:val="005D6503"/>
    <w:rsid w:val="005E364A"/>
    <w:rsid w:val="005E5E04"/>
    <w:rsid w:val="006003FC"/>
    <w:rsid w:val="006026CC"/>
    <w:rsid w:val="00603778"/>
    <w:rsid w:val="00631418"/>
    <w:rsid w:val="0067382C"/>
    <w:rsid w:val="006C6D87"/>
    <w:rsid w:val="006E213E"/>
    <w:rsid w:val="00704296"/>
    <w:rsid w:val="007650B6"/>
    <w:rsid w:val="00766AC9"/>
    <w:rsid w:val="007857E2"/>
    <w:rsid w:val="00795A0E"/>
    <w:rsid w:val="007C09FF"/>
    <w:rsid w:val="007C381A"/>
    <w:rsid w:val="008379E1"/>
    <w:rsid w:val="008406EE"/>
    <w:rsid w:val="00860B8E"/>
    <w:rsid w:val="00872092"/>
    <w:rsid w:val="00875EB0"/>
    <w:rsid w:val="00890428"/>
    <w:rsid w:val="00890508"/>
    <w:rsid w:val="00894973"/>
    <w:rsid w:val="008F473D"/>
    <w:rsid w:val="008F6CA9"/>
    <w:rsid w:val="00902FE0"/>
    <w:rsid w:val="0090664F"/>
    <w:rsid w:val="009565B8"/>
    <w:rsid w:val="00992DB1"/>
    <w:rsid w:val="00997053"/>
    <w:rsid w:val="009A686A"/>
    <w:rsid w:val="009D300B"/>
    <w:rsid w:val="00A156D3"/>
    <w:rsid w:val="00A437EA"/>
    <w:rsid w:val="00B05719"/>
    <w:rsid w:val="00B45343"/>
    <w:rsid w:val="00B97BAF"/>
    <w:rsid w:val="00BA7B55"/>
    <w:rsid w:val="00BD25FB"/>
    <w:rsid w:val="00BF457F"/>
    <w:rsid w:val="00C23F8C"/>
    <w:rsid w:val="00CD23EA"/>
    <w:rsid w:val="00D143F6"/>
    <w:rsid w:val="00D455CD"/>
    <w:rsid w:val="00D66441"/>
    <w:rsid w:val="00E44896"/>
    <w:rsid w:val="00E85750"/>
    <w:rsid w:val="00EA3A9D"/>
    <w:rsid w:val="00EC0629"/>
    <w:rsid w:val="00EC2B90"/>
    <w:rsid w:val="00EE4733"/>
    <w:rsid w:val="00EE6E0F"/>
    <w:rsid w:val="00F567DC"/>
    <w:rsid w:val="00F77B73"/>
    <w:rsid w:val="00F9765C"/>
    <w:rsid w:val="00FE1A5E"/>
    <w:rsid w:val="00FF25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213E"/>
    <w:rPr>
      <w:sz w:val="24"/>
      <w:szCs w:val="24"/>
    </w:rPr>
  </w:style>
  <w:style w:type="paragraph" w:styleId="Heading1">
    <w:name w:val="heading 1"/>
    <w:basedOn w:val="Normal"/>
    <w:next w:val="Normal"/>
    <w:qFormat/>
    <w:rsid w:val="006E213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1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E213E"/>
    <w:pPr>
      <w:tabs>
        <w:tab w:val="center" w:pos="4320"/>
        <w:tab w:val="right" w:pos="8640"/>
      </w:tabs>
    </w:pPr>
  </w:style>
  <w:style w:type="paragraph" w:styleId="Footer">
    <w:name w:val="footer"/>
    <w:basedOn w:val="Normal"/>
    <w:link w:val="FooterChar"/>
    <w:uiPriority w:val="99"/>
    <w:rsid w:val="006E213E"/>
    <w:pPr>
      <w:tabs>
        <w:tab w:val="center" w:pos="4320"/>
        <w:tab w:val="right" w:pos="8640"/>
      </w:tabs>
    </w:pPr>
  </w:style>
  <w:style w:type="paragraph" w:styleId="FootnoteText">
    <w:name w:val="footnote text"/>
    <w:basedOn w:val="Normal"/>
    <w:semiHidden/>
    <w:rsid w:val="006E213E"/>
    <w:rPr>
      <w:sz w:val="20"/>
      <w:szCs w:val="20"/>
    </w:rPr>
  </w:style>
  <w:style w:type="character" w:styleId="FootnoteReference">
    <w:name w:val="footnote reference"/>
    <w:basedOn w:val="DefaultParagraphFont"/>
    <w:semiHidden/>
    <w:rsid w:val="006E213E"/>
    <w:rPr>
      <w:vertAlign w:val="superscript"/>
    </w:rPr>
  </w:style>
  <w:style w:type="character" w:styleId="Hyperlink">
    <w:name w:val="Hyperlink"/>
    <w:basedOn w:val="DefaultParagraphFont"/>
    <w:rsid w:val="006E213E"/>
    <w:rPr>
      <w:color w:val="0000FF"/>
      <w:u w:val="single"/>
    </w:rPr>
  </w:style>
  <w:style w:type="character" w:styleId="CommentReference">
    <w:name w:val="annotation reference"/>
    <w:basedOn w:val="DefaultParagraphFont"/>
    <w:semiHidden/>
    <w:rsid w:val="006E213E"/>
    <w:rPr>
      <w:sz w:val="16"/>
      <w:szCs w:val="16"/>
    </w:rPr>
  </w:style>
  <w:style w:type="paragraph" w:styleId="CommentText">
    <w:name w:val="annotation text"/>
    <w:basedOn w:val="Normal"/>
    <w:semiHidden/>
    <w:rsid w:val="006E213E"/>
    <w:rPr>
      <w:sz w:val="20"/>
      <w:szCs w:val="20"/>
    </w:rPr>
  </w:style>
  <w:style w:type="paragraph" w:styleId="CommentSubject">
    <w:name w:val="annotation subject"/>
    <w:basedOn w:val="CommentText"/>
    <w:next w:val="CommentText"/>
    <w:semiHidden/>
    <w:rsid w:val="006E213E"/>
    <w:rPr>
      <w:b/>
      <w:bCs/>
    </w:rPr>
  </w:style>
  <w:style w:type="paragraph" w:styleId="BalloonText">
    <w:name w:val="Balloon Text"/>
    <w:basedOn w:val="Normal"/>
    <w:semiHidden/>
    <w:rsid w:val="006E213E"/>
    <w:rPr>
      <w:rFonts w:ascii="Tahoma" w:hAnsi="Tahoma" w:cs="Tahoma"/>
      <w:sz w:val="16"/>
      <w:szCs w:val="16"/>
    </w:rPr>
  </w:style>
  <w:style w:type="paragraph" w:customStyle="1" w:styleId="Default">
    <w:name w:val="Default"/>
    <w:rsid w:val="006E213E"/>
    <w:pPr>
      <w:autoSpaceDE w:val="0"/>
      <w:autoSpaceDN w:val="0"/>
      <w:adjustRightInd w:val="0"/>
    </w:pPr>
    <w:rPr>
      <w:color w:val="000000"/>
      <w:sz w:val="24"/>
      <w:szCs w:val="24"/>
    </w:rPr>
  </w:style>
  <w:style w:type="character" w:customStyle="1" w:styleId="DocID">
    <w:name w:val="DocID"/>
    <w:basedOn w:val="DefaultParagraphFont"/>
    <w:rsid w:val="006E213E"/>
    <w:rPr>
      <w:rFonts w:ascii="Times New Roman" w:hAnsi="Times New Roman" w:cs="Times New Roman"/>
      <w:b w:val="0"/>
      <w:color w:val="000000"/>
      <w:sz w:val="14"/>
      <w:szCs w:val="20"/>
      <w:u w:val="none"/>
    </w:rPr>
  </w:style>
  <w:style w:type="paragraph" w:customStyle="1" w:styleId="Char1CharChar1Char">
    <w:name w:val="Char1 Char Char1 Char"/>
    <w:basedOn w:val="Normal"/>
    <w:rsid w:val="006E213E"/>
    <w:pPr>
      <w:tabs>
        <w:tab w:val="left" w:pos="540"/>
        <w:tab w:val="left" w:pos="1260"/>
        <w:tab w:val="left" w:pos="1800"/>
      </w:tabs>
      <w:spacing w:before="240" w:after="160" w:line="240" w:lineRule="exact"/>
    </w:pPr>
    <w:rPr>
      <w:rFonts w:eastAsia="MS Mincho"/>
      <w:sz w:val="20"/>
      <w:szCs w:val="20"/>
    </w:rPr>
  </w:style>
  <w:style w:type="character" w:styleId="PageNumber">
    <w:name w:val="page number"/>
    <w:basedOn w:val="DefaultParagraphFont"/>
    <w:rsid w:val="006E213E"/>
  </w:style>
  <w:style w:type="character" w:customStyle="1" w:styleId="HeaderChar">
    <w:name w:val="Header Char"/>
    <w:basedOn w:val="DefaultParagraphFont"/>
    <w:link w:val="Header"/>
    <w:uiPriority w:val="99"/>
    <w:rsid w:val="00FE1A5E"/>
    <w:rPr>
      <w:sz w:val="24"/>
      <w:szCs w:val="24"/>
    </w:rPr>
  </w:style>
  <w:style w:type="character" w:customStyle="1" w:styleId="FooterChar">
    <w:name w:val="Footer Char"/>
    <w:basedOn w:val="DefaultParagraphFont"/>
    <w:link w:val="Footer"/>
    <w:uiPriority w:val="99"/>
    <w:rsid w:val="003D0B8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nancialStability.gov/"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FinancialStability.gov/"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nancialStability.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FinancialStability.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inancialStability.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[OTS]</vt:lpstr>
    </vt:vector>
  </TitlesOfParts>
  <Company>U.S. Department of the Treasury</Company>
  <LinksUpToDate>false</LinksUpToDate>
  <CharactersWithSpaces>6098</CharactersWithSpaces>
  <SharedDoc>false</SharedDoc>
  <HLinks>
    <vt:vector size="30" baseType="variant">
      <vt:variant>
        <vt:i4>2621561</vt:i4>
      </vt:variant>
      <vt:variant>
        <vt:i4>12</vt:i4>
      </vt:variant>
      <vt:variant>
        <vt:i4>0</vt:i4>
      </vt:variant>
      <vt:variant>
        <vt:i4>5</vt:i4>
      </vt:variant>
      <vt:variant>
        <vt:lpwstr>http://financialstability.gov/</vt:lpwstr>
      </vt:variant>
      <vt:variant>
        <vt:lpwstr/>
      </vt:variant>
      <vt:variant>
        <vt:i4>2621561</vt:i4>
      </vt:variant>
      <vt:variant>
        <vt:i4>9</vt:i4>
      </vt:variant>
      <vt:variant>
        <vt:i4>0</vt:i4>
      </vt:variant>
      <vt:variant>
        <vt:i4>5</vt:i4>
      </vt:variant>
      <vt:variant>
        <vt:lpwstr>http://financialstability.gov/</vt:lpwstr>
      </vt:variant>
      <vt:variant>
        <vt:lpwstr/>
      </vt:variant>
      <vt:variant>
        <vt:i4>2621561</vt:i4>
      </vt:variant>
      <vt:variant>
        <vt:i4>6</vt:i4>
      </vt:variant>
      <vt:variant>
        <vt:i4>0</vt:i4>
      </vt:variant>
      <vt:variant>
        <vt:i4>5</vt:i4>
      </vt:variant>
      <vt:variant>
        <vt:lpwstr>http://financialstability.gov/</vt:lpwstr>
      </vt:variant>
      <vt:variant>
        <vt:lpwstr/>
      </vt:variant>
      <vt:variant>
        <vt:i4>2621561</vt:i4>
      </vt:variant>
      <vt:variant>
        <vt:i4>3</vt:i4>
      </vt:variant>
      <vt:variant>
        <vt:i4>0</vt:i4>
      </vt:variant>
      <vt:variant>
        <vt:i4>5</vt:i4>
      </vt:variant>
      <vt:variant>
        <vt:lpwstr>http://financialstability.gov/</vt:lpwstr>
      </vt:variant>
      <vt:variant>
        <vt:lpwstr/>
      </vt:variant>
      <vt:variant>
        <vt:i4>2621561</vt:i4>
      </vt:variant>
      <vt:variant>
        <vt:i4>0</vt:i4>
      </vt:variant>
      <vt:variant>
        <vt:i4>0</vt:i4>
      </vt:variant>
      <vt:variant>
        <vt:i4>5</vt:i4>
      </vt:variant>
      <vt:variant>
        <vt:lpwstr>http://financialstability.gov/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[OTS]</dc:title>
  <dc:subject/>
  <dc:creator>Trip Foley</dc:creator>
  <cp:keywords/>
  <dc:description/>
  <cp:lastModifiedBy>US Department of Treasury</cp:lastModifiedBy>
  <cp:revision>2</cp:revision>
  <cp:lastPrinted>2010-01-26T20:24:00Z</cp:lastPrinted>
  <dcterms:created xsi:type="dcterms:W3CDTF">2010-02-17T17:11:00Z</dcterms:created>
  <dcterms:modified xsi:type="dcterms:W3CDTF">2010-02-17T17:11:00Z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095331-0002-00127-Active.11556951.6</vt:lpwstr>
  </property>
</Properties>
</file>