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60" w:rsidRPr="00BB4827" w:rsidRDefault="006D3D60" w:rsidP="006D3D60">
      <w:pPr>
        <w:ind w:left="720" w:firstLine="720"/>
        <w:jc w:val="both"/>
        <w:rPr>
          <w:rFonts w:ascii="Verdana" w:hAnsi="Verdana"/>
          <w:b/>
          <w:bCs/>
        </w:rPr>
      </w:pPr>
      <w:r w:rsidRPr="00BB4827">
        <w:rPr>
          <w:rFonts w:ascii="Verdana" w:hAnsi="Verdana"/>
          <w:b/>
          <w:bCs/>
        </w:rPr>
        <w:t>Supporting Statement for Paperwork Reduction Act Submission</w:t>
      </w:r>
    </w:p>
    <w:p w:rsidR="006D3D60" w:rsidRDefault="006D3D60" w:rsidP="006D3D60">
      <w:pPr>
        <w:ind w:left="2160" w:firstLine="720"/>
        <w:jc w:val="both"/>
        <w:rPr>
          <w:rFonts w:ascii="Verdana" w:hAnsi="Verdana"/>
          <w:b/>
          <w:bCs/>
        </w:rPr>
      </w:pPr>
      <w:r w:rsidRPr="00BB4827">
        <w:rPr>
          <w:rFonts w:ascii="Verdana" w:hAnsi="Verdana"/>
          <w:b/>
          <w:bCs/>
        </w:rPr>
        <w:t>Office of Pu</w:t>
      </w:r>
      <w:r>
        <w:rPr>
          <w:rFonts w:ascii="Verdana" w:hAnsi="Verdana"/>
          <w:b/>
          <w:bCs/>
        </w:rPr>
        <w:t>blic and Indian Housing (PIH)</w:t>
      </w:r>
    </w:p>
    <w:p w:rsidR="006D3D60" w:rsidRPr="008929EB" w:rsidRDefault="006D3D60" w:rsidP="006D3D60">
      <w:pPr>
        <w:ind w:left="720" w:firstLine="720"/>
        <w:jc w:val="both"/>
        <w:rPr>
          <w:rFonts w:ascii="Verdana" w:hAnsi="Verdana"/>
          <w:b/>
          <w:bCs/>
        </w:rPr>
      </w:pPr>
      <w:r>
        <w:rPr>
          <w:rFonts w:ascii="Verdana" w:hAnsi="Verdana"/>
          <w:b/>
          <w:bCs/>
        </w:rPr>
        <w:t xml:space="preserve">Renewal Request of </w:t>
      </w:r>
      <w:r>
        <w:rPr>
          <w:rFonts w:ascii="Verdana" w:hAnsi="Verdana" w:cs="Arial"/>
          <w:b/>
        </w:rPr>
        <w:t>Form HUD-50058, Form HUD -50058 MTW</w:t>
      </w:r>
    </w:p>
    <w:p w:rsidR="006D3D60" w:rsidRDefault="006D3D60" w:rsidP="006D3D60">
      <w:pPr>
        <w:ind w:left="720"/>
        <w:jc w:val="both"/>
        <w:rPr>
          <w:rFonts w:ascii="Verdana" w:hAnsi="Verdana" w:cs="Arial"/>
          <w:b/>
        </w:rPr>
      </w:pPr>
      <w:r>
        <w:rPr>
          <w:rFonts w:ascii="Verdana" w:hAnsi="Verdana" w:cs="Arial"/>
          <w:b/>
        </w:rPr>
        <w:t xml:space="preserve">   </w:t>
      </w:r>
      <w:r>
        <w:rPr>
          <w:rFonts w:ascii="Verdana" w:hAnsi="Verdana" w:cs="Arial"/>
          <w:b/>
        </w:rPr>
        <w:tab/>
      </w:r>
      <w:r>
        <w:rPr>
          <w:rFonts w:ascii="Verdana" w:hAnsi="Verdana" w:cs="Arial"/>
          <w:b/>
        </w:rPr>
        <w:tab/>
      </w:r>
      <w:r w:rsidRPr="00BB4827">
        <w:rPr>
          <w:rFonts w:ascii="Verdana" w:hAnsi="Verdana" w:cs="Arial"/>
          <w:b/>
        </w:rPr>
        <w:t>Multifamily Tenant Characteristics Family Report</w:t>
      </w:r>
    </w:p>
    <w:p w:rsidR="006D3D60" w:rsidRPr="00BB4827" w:rsidRDefault="006D3D60" w:rsidP="006D3D60">
      <w:pPr>
        <w:ind w:left="2160"/>
        <w:jc w:val="both"/>
        <w:rPr>
          <w:rFonts w:ascii="Verdana" w:hAnsi="Verdana"/>
          <w:b/>
          <w:bCs/>
        </w:rPr>
      </w:pPr>
      <w:r>
        <w:rPr>
          <w:rFonts w:ascii="Verdana" w:hAnsi="Verdana" w:cs="Arial"/>
          <w:b/>
        </w:rPr>
        <w:t xml:space="preserve">       </w:t>
      </w:r>
      <w:r>
        <w:rPr>
          <w:rFonts w:ascii="Verdana" w:hAnsi="Verdana" w:cs="Arial"/>
          <w:b/>
        </w:rPr>
        <w:tab/>
      </w:r>
      <w:r>
        <w:rPr>
          <w:rFonts w:ascii="Verdana" w:hAnsi="Verdana" w:cs="Arial"/>
          <w:b/>
        </w:rPr>
        <w:tab/>
        <w:t xml:space="preserve">   OMB # 2577-0083     </w:t>
      </w:r>
    </w:p>
    <w:p w:rsidR="006D3D60" w:rsidRPr="00D9454A" w:rsidRDefault="006D3D60" w:rsidP="006D3D60">
      <w:pPr>
        <w:jc w:val="both"/>
        <w:rPr>
          <w:b/>
          <w:bCs/>
          <w:sz w:val="24"/>
          <w:szCs w:val="24"/>
        </w:rPr>
      </w:pPr>
    </w:p>
    <w:p w:rsidR="006D3D60" w:rsidRPr="00BB1D5D" w:rsidRDefault="006D3D60" w:rsidP="006D3D60">
      <w:pPr>
        <w:pStyle w:val="ListParagraph"/>
        <w:numPr>
          <w:ilvl w:val="0"/>
          <w:numId w:val="8"/>
        </w:numPr>
        <w:autoSpaceDE w:val="0"/>
        <w:autoSpaceDN w:val="0"/>
        <w:adjustRightInd w:val="0"/>
        <w:spacing w:after="0" w:line="240" w:lineRule="auto"/>
        <w:jc w:val="both"/>
        <w:rPr>
          <w:rFonts w:ascii="Verdana" w:hAnsi="Verdana"/>
          <w:b/>
          <w:bCs/>
          <w:u w:val="single"/>
        </w:rPr>
      </w:pPr>
      <w:r w:rsidRPr="00BB1D5D">
        <w:rPr>
          <w:rFonts w:ascii="Verdana" w:hAnsi="Verdana"/>
          <w:b/>
          <w:bCs/>
          <w:u w:val="single"/>
        </w:rPr>
        <w:t>Justification:</w:t>
      </w:r>
    </w:p>
    <w:p w:rsidR="006D3D60" w:rsidRPr="00BB4827" w:rsidRDefault="006D3D60" w:rsidP="006D3D60">
      <w:pPr>
        <w:jc w:val="both"/>
        <w:rPr>
          <w:rFonts w:ascii="Verdana" w:hAnsi="Verdana"/>
          <w:b/>
          <w:bCs/>
        </w:rPr>
      </w:pPr>
    </w:p>
    <w:p w:rsidR="006D3D60" w:rsidRPr="00BB4827" w:rsidRDefault="006D3D60" w:rsidP="006D3D60">
      <w:pPr>
        <w:jc w:val="both"/>
        <w:rPr>
          <w:rFonts w:ascii="Verdana" w:hAnsi="Verdana"/>
          <w:b/>
        </w:rPr>
      </w:pPr>
      <w:r w:rsidRPr="00BB4827">
        <w:rPr>
          <w:rFonts w:ascii="Verdana" w:hAnsi="Verdana"/>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D3D60" w:rsidRDefault="006D3D60" w:rsidP="006D3D60">
      <w:pPr>
        <w:jc w:val="both"/>
        <w:rPr>
          <w:rFonts w:ascii="Verdana" w:hAnsi="Verdana"/>
        </w:rPr>
      </w:pPr>
    </w:p>
    <w:p w:rsidR="006D3D60" w:rsidRDefault="006D3D60" w:rsidP="006D3D60">
      <w:pPr>
        <w:jc w:val="both"/>
        <w:rPr>
          <w:rFonts w:ascii="Verdana" w:hAnsi="Verdana"/>
        </w:rPr>
      </w:pPr>
      <w:r>
        <w:rPr>
          <w:rFonts w:ascii="Verdana" w:hAnsi="Verdana"/>
        </w:rPr>
        <w:t xml:space="preserve">This Paperwork Reduction Act submission describes the proposed renewal of Form HUD-50058 Family Report and Form HUD-50058 Moving to Work (MTW) Family Report, a derivative of the Form HUD-50058. </w:t>
      </w:r>
    </w:p>
    <w:p w:rsidR="006D3D60" w:rsidRDefault="006D3D60" w:rsidP="006D3D60">
      <w:pPr>
        <w:jc w:val="both"/>
        <w:rPr>
          <w:rFonts w:ascii="Verdana" w:hAnsi="Verdana"/>
        </w:rPr>
      </w:pPr>
    </w:p>
    <w:p w:rsidR="006D3D60" w:rsidRDefault="006D3D60" w:rsidP="006D3D60">
      <w:pPr>
        <w:jc w:val="both"/>
        <w:rPr>
          <w:rFonts w:ascii="Verdana" w:hAnsi="Verdana"/>
        </w:rPr>
      </w:pPr>
      <w:r>
        <w:rPr>
          <w:rFonts w:ascii="Verdana" w:hAnsi="Verdana"/>
        </w:rPr>
        <w:t xml:space="preserve">The Office of Public and Indian Housing of the Department of Housing and Urban Development (HUD) provides funding to Public Housing Agencies (PHAs) to administer assisted housing programs. </w:t>
      </w:r>
      <w:r w:rsidRPr="00E44497">
        <w:rPr>
          <w:rFonts w:ascii="Verdana" w:hAnsi="Verdana"/>
        </w:rPr>
        <w:t>Fo</w:t>
      </w:r>
      <w:r>
        <w:rPr>
          <w:rFonts w:ascii="Verdana" w:hAnsi="Verdana"/>
        </w:rPr>
        <w:t xml:space="preserve">rm HUD-50058 and </w:t>
      </w:r>
      <w:r w:rsidRPr="00E44497">
        <w:rPr>
          <w:rFonts w:ascii="Verdana" w:hAnsi="Verdana"/>
        </w:rPr>
        <w:t>Form H</w:t>
      </w:r>
      <w:r>
        <w:rPr>
          <w:rFonts w:ascii="Verdana" w:hAnsi="Verdana"/>
        </w:rPr>
        <w:t>UD-50058 MTW Family Reports solicit demographic, family profile, income and housing information on the entire nationwide</w:t>
      </w:r>
      <w:r w:rsidRPr="00E44497">
        <w:rPr>
          <w:rFonts w:ascii="Verdana" w:hAnsi="Verdana"/>
        </w:rPr>
        <w:t xml:space="preserve"> population o</w:t>
      </w:r>
      <w:r>
        <w:rPr>
          <w:rFonts w:ascii="Verdana" w:hAnsi="Verdana"/>
        </w:rPr>
        <w:t>f tenants residing in assisted housing. This information allows HUD to monitor and evaluate its programs as required under the following:</w:t>
      </w:r>
    </w:p>
    <w:p w:rsidR="006D3D60" w:rsidRDefault="006D3D60" w:rsidP="006D3D60">
      <w:pPr>
        <w:jc w:val="both"/>
        <w:rPr>
          <w:rFonts w:ascii="Verdana" w:hAnsi="Verdana"/>
        </w:rPr>
      </w:pPr>
    </w:p>
    <w:p w:rsidR="006D3D60" w:rsidRDefault="006D3D60" w:rsidP="006D3D60">
      <w:pPr>
        <w:numPr>
          <w:ilvl w:val="0"/>
          <w:numId w:val="11"/>
        </w:numPr>
        <w:overflowPunct/>
        <w:jc w:val="both"/>
        <w:textAlignment w:val="auto"/>
        <w:rPr>
          <w:rFonts w:ascii="Verdana" w:hAnsi="Verdana"/>
        </w:rPr>
      </w:pPr>
      <w:smartTag w:uri="urn:schemas-microsoft-com:office:smarttags" w:element="place">
        <w:smartTag w:uri="urn:schemas-microsoft-com:office:smarttags" w:element="country-region">
          <w:r w:rsidRPr="003B6368">
            <w:rPr>
              <w:rFonts w:ascii="Verdana" w:hAnsi="Verdana"/>
            </w:rPr>
            <w:t>United States</w:t>
          </w:r>
        </w:smartTag>
      </w:smartTag>
      <w:r w:rsidRPr="003B6368">
        <w:rPr>
          <w:rFonts w:ascii="Verdana" w:hAnsi="Verdana"/>
        </w:rPr>
        <w:t xml:space="preserve"> Housing Act of 1937</w:t>
      </w:r>
      <w:r w:rsidRPr="00E44497">
        <w:rPr>
          <w:rFonts w:ascii="Verdana" w:hAnsi="Verdana"/>
        </w:rPr>
        <w:t>(42 U.S.C. 1437 et seq.)</w:t>
      </w:r>
    </w:p>
    <w:p w:rsidR="006D3D60" w:rsidRDefault="006D3D60" w:rsidP="006D3D60">
      <w:pPr>
        <w:numPr>
          <w:ilvl w:val="0"/>
          <w:numId w:val="11"/>
        </w:numPr>
        <w:overflowPunct/>
        <w:jc w:val="both"/>
        <w:textAlignment w:val="auto"/>
        <w:rPr>
          <w:rFonts w:ascii="Verdana" w:hAnsi="Verdana"/>
        </w:rPr>
      </w:pPr>
      <w:r w:rsidRPr="003B6368">
        <w:rPr>
          <w:rFonts w:ascii="Verdana" w:hAnsi="Verdana"/>
        </w:rPr>
        <w:t>Quality Housing an</w:t>
      </w:r>
      <w:r>
        <w:rPr>
          <w:rFonts w:ascii="Verdana" w:hAnsi="Verdana"/>
        </w:rPr>
        <w:t>d Work Responsibility A</w:t>
      </w:r>
      <w:r w:rsidRPr="003B6368">
        <w:rPr>
          <w:rFonts w:ascii="Verdana" w:hAnsi="Verdana"/>
        </w:rPr>
        <w:t>ct of 1998</w:t>
      </w:r>
      <w:r>
        <w:rPr>
          <w:rFonts w:ascii="Verdana" w:hAnsi="Verdana"/>
        </w:rPr>
        <w:t xml:space="preserve"> (Public Law 105-276)</w:t>
      </w:r>
      <w:r w:rsidRPr="003B6368">
        <w:rPr>
          <w:rFonts w:ascii="Verdana" w:hAnsi="Verdana"/>
        </w:rPr>
        <w:t xml:space="preserve"> </w:t>
      </w:r>
    </w:p>
    <w:p w:rsidR="006D3D60" w:rsidRDefault="006D3D60" w:rsidP="006D3D60">
      <w:pPr>
        <w:numPr>
          <w:ilvl w:val="0"/>
          <w:numId w:val="11"/>
        </w:numPr>
        <w:overflowPunct/>
        <w:jc w:val="both"/>
        <w:textAlignment w:val="auto"/>
        <w:rPr>
          <w:rFonts w:ascii="Verdana" w:hAnsi="Verdana"/>
          <w:b/>
        </w:rPr>
      </w:pPr>
      <w:r>
        <w:rPr>
          <w:rFonts w:ascii="Verdana" w:hAnsi="Verdana"/>
        </w:rPr>
        <w:t>HUD Appropriations Act</w:t>
      </w:r>
      <w:r w:rsidRPr="003B6368">
        <w:rPr>
          <w:rFonts w:ascii="Verdana" w:hAnsi="Verdana"/>
        </w:rPr>
        <w:t xml:space="preserve"> </w:t>
      </w:r>
      <w:r>
        <w:rPr>
          <w:rFonts w:ascii="Verdana" w:hAnsi="Verdana"/>
        </w:rPr>
        <w:t xml:space="preserve">1996 (Public Law 104-134 </w:t>
      </w:r>
      <w:r w:rsidRPr="003B6368">
        <w:rPr>
          <w:rFonts w:ascii="Verdana" w:hAnsi="Verdana"/>
        </w:rPr>
        <w:t>Section 204</w:t>
      </w:r>
      <w:r>
        <w:rPr>
          <w:rFonts w:ascii="Verdana" w:hAnsi="Verdana"/>
        </w:rPr>
        <w:t xml:space="preserve">) </w:t>
      </w:r>
    </w:p>
    <w:p w:rsidR="006D3D60" w:rsidRPr="00E65FE1" w:rsidRDefault="006D3D60" w:rsidP="006D3D60">
      <w:pPr>
        <w:numPr>
          <w:ilvl w:val="0"/>
          <w:numId w:val="11"/>
        </w:numPr>
        <w:overflowPunct/>
        <w:jc w:val="both"/>
        <w:textAlignment w:val="auto"/>
        <w:rPr>
          <w:rFonts w:ascii="Verdana" w:hAnsi="Verdana"/>
          <w:b/>
        </w:rPr>
      </w:pPr>
      <w:r>
        <w:rPr>
          <w:rFonts w:ascii="Verdana" w:hAnsi="Verdana"/>
        </w:rPr>
        <w:t>“Electronic Transmission of Required Family Data for Public Housing, Indian Housing, and the Section 8 Rental Certificate, Rental Voucher, and Moderate Rehabilitation Programs” (24 CFR Part 908)</w:t>
      </w:r>
    </w:p>
    <w:p w:rsidR="006D3D60" w:rsidRDefault="006D3D60" w:rsidP="006D3D60">
      <w:pPr>
        <w:jc w:val="both"/>
        <w:rPr>
          <w:rFonts w:ascii="Verdana" w:hAnsi="Verdana"/>
        </w:rPr>
      </w:pPr>
    </w:p>
    <w:p w:rsidR="006D3D60" w:rsidRDefault="006D3D60" w:rsidP="006D3D60">
      <w:pPr>
        <w:jc w:val="both"/>
        <w:rPr>
          <w:rFonts w:ascii="Verdana" w:hAnsi="Verdana"/>
          <w:b/>
        </w:rPr>
      </w:pPr>
      <w:r w:rsidRPr="006E0086">
        <w:rPr>
          <w:rFonts w:ascii="Verdana" w:hAnsi="Verdana"/>
          <w:b/>
        </w:rPr>
        <w:t xml:space="preserve">2. Indicate how, by whom, and for what purpose the information is to be used. Except for a new collection, indicate the actual use the agency has made of the </w:t>
      </w:r>
      <w:r w:rsidRPr="00182AAD">
        <w:rPr>
          <w:rFonts w:ascii="Verdana" w:hAnsi="Verdana"/>
          <w:b/>
        </w:rPr>
        <w:t>information received from the current collection</w:t>
      </w:r>
      <w:r>
        <w:rPr>
          <w:rFonts w:ascii="Verdana" w:hAnsi="Verdana"/>
          <w:b/>
        </w:rPr>
        <w:t xml:space="preserve">. </w:t>
      </w:r>
    </w:p>
    <w:p w:rsidR="006D3D60" w:rsidRDefault="006D3D60" w:rsidP="006D3D60">
      <w:pPr>
        <w:jc w:val="both"/>
        <w:rPr>
          <w:rFonts w:ascii="Verdana" w:hAnsi="Verdana"/>
        </w:rPr>
      </w:pPr>
    </w:p>
    <w:p w:rsidR="006D3D60" w:rsidRDefault="006D3D60" w:rsidP="006D3D60">
      <w:pPr>
        <w:jc w:val="both"/>
        <w:rPr>
          <w:rFonts w:ascii="Verdana" w:hAnsi="Verdana"/>
        </w:rPr>
      </w:pPr>
      <w:r>
        <w:rPr>
          <w:rFonts w:ascii="Verdana" w:hAnsi="Verdana"/>
        </w:rPr>
        <w:t xml:space="preserve">PHAs collect and submit information collected from Form HUD-50058 and Form HUD-50058 MTW Family Reports to HUD. This information is utilized for </w:t>
      </w:r>
      <w:r w:rsidRPr="00027D16">
        <w:rPr>
          <w:rFonts w:ascii="Verdana" w:hAnsi="Verdana"/>
        </w:rPr>
        <w:t>the subsequent purposes:</w:t>
      </w:r>
      <w:r>
        <w:rPr>
          <w:rFonts w:ascii="Verdana" w:hAnsi="Verdana"/>
        </w:rPr>
        <w:t xml:space="preserve"> </w:t>
      </w:r>
    </w:p>
    <w:p w:rsidR="006D3D60" w:rsidRDefault="006D3D60" w:rsidP="006D3D60">
      <w:pPr>
        <w:jc w:val="both"/>
        <w:rPr>
          <w:rFonts w:ascii="Verdana" w:hAnsi="Verdana"/>
        </w:rPr>
      </w:pPr>
    </w:p>
    <w:p w:rsidR="006D3D60" w:rsidRDefault="006D3D60" w:rsidP="006D3D60">
      <w:pPr>
        <w:pStyle w:val="ListParagraph"/>
        <w:numPr>
          <w:ilvl w:val="0"/>
          <w:numId w:val="7"/>
        </w:numPr>
        <w:spacing w:line="240" w:lineRule="auto"/>
        <w:jc w:val="both"/>
        <w:rPr>
          <w:rFonts w:ascii="Verdana" w:hAnsi="Verdana"/>
          <w:sz w:val="20"/>
          <w:szCs w:val="20"/>
        </w:rPr>
      </w:pPr>
      <w:r>
        <w:rPr>
          <w:rFonts w:ascii="Verdana" w:hAnsi="Verdana"/>
          <w:sz w:val="20"/>
          <w:szCs w:val="20"/>
        </w:rPr>
        <w:t xml:space="preserve">Analyze </w:t>
      </w:r>
      <w:r w:rsidRPr="006935C4">
        <w:rPr>
          <w:rFonts w:ascii="Verdana" w:hAnsi="Verdana"/>
          <w:sz w:val="20"/>
          <w:szCs w:val="20"/>
        </w:rPr>
        <w:t>assisted housing programs</w:t>
      </w:r>
      <w:r>
        <w:rPr>
          <w:rFonts w:ascii="Verdana" w:hAnsi="Verdana"/>
          <w:sz w:val="20"/>
          <w:szCs w:val="20"/>
        </w:rPr>
        <w:t>;</w:t>
      </w:r>
      <w:r w:rsidRPr="006935C4">
        <w:rPr>
          <w:rFonts w:ascii="Verdana" w:hAnsi="Verdana"/>
          <w:sz w:val="20"/>
          <w:szCs w:val="20"/>
        </w:rPr>
        <w:t xml:space="preserve"> </w:t>
      </w:r>
    </w:p>
    <w:p w:rsidR="006D3D60" w:rsidRPr="006935C4" w:rsidRDefault="006D3D60" w:rsidP="006D3D60">
      <w:pPr>
        <w:pStyle w:val="ListParagraph"/>
        <w:numPr>
          <w:ilvl w:val="0"/>
          <w:numId w:val="7"/>
        </w:numPr>
        <w:spacing w:line="240" w:lineRule="auto"/>
        <w:jc w:val="both"/>
        <w:rPr>
          <w:rFonts w:ascii="Verdana" w:hAnsi="Verdana"/>
          <w:sz w:val="20"/>
          <w:szCs w:val="20"/>
        </w:rPr>
      </w:pPr>
      <w:r>
        <w:rPr>
          <w:rFonts w:ascii="Verdana" w:hAnsi="Verdana"/>
          <w:sz w:val="20"/>
          <w:szCs w:val="20"/>
        </w:rPr>
        <w:t>Permit PHAs to monitor their own reporting to identify favorable and unfavorable trends;</w:t>
      </w:r>
    </w:p>
    <w:p w:rsidR="006D3D60" w:rsidRDefault="006D3D60" w:rsidP="006D3D60">
      <w:pPr>
        <w:pStyle w:val="ListParagraph"/>
        <w:numPr>
          <w:ilvl w:val="0"/>
          <w:numId w:val="7"/>
        </w:numPr>
        <w:spacing w:line="240" w:lineRule="auto"/>
        <w:jc w:val="both"/>
        <w:rPr>
          <w:rFonts w:ascii="Verdana" w:hAnsi="Verdana"/>
          <w:sz w:val="20"/>
          <w:szCs w:val="20"/>
        </w:rPr>
      </w:pPr>
      <w:r>
        <w:rPr>
          <w:rFonts w:ascii="Verdana" w:hAnsi="Verdana"/>
          <w:sz w:val="20"/>
          <w:szCs w:val="20"/>
        </w:rPr>
        <w:t>Monitor PHAs</w:t>
      </w:r>
      <w:r w:rsidRPr="006935C4">
        <w:rPr>
          <w:rFonts w:ascii="Verdana" w:hAnsi="Verdana"/>
          <w:sz w:val="20"/>
          <w:szCs w:val="20"/>
        </w:rPr>
        <w:t xml:space="preserve"> and participants for compliance with </w:t>
      </w:r>
      <w:r>
        <w:rPr>
          <w:rFonts w:ascii="Verdana" w:hAnsi="Verdana"/>
          <w:sz w:val="20"/>
          <w:szCs w:val="20"/>
        </w:rPr>
        <w:t xml:space="preserve">program </w:t>
      </w:r>
      <w:r w:rsidRPr="006935C4">
        <w:rPr>
          <w:rFonts w:ascii="Verdana" w:hAnsi="Verdana"/>
          <w:sz w:val="20"/>
          <w:szCs w:val="20"/>
        </w:rPr>
        <w:t>regulations and requirements</w:t>
      </w:r>
      <w:r>
        <w:rPr>
          <w:rFonts w:ascii="Verdana" w:hAnsi="Verdana"/>
          <w:sz w:val="20"/>
          <w:szCs w:val="20"/>
        </w:rPr>
        <w:t>;</w:t>
      </w:r>
    </w:p>
    <w:p w:rsidR="006D3D60" w:rsidRPr="00E913E1" w:rsidRDefault="006D3D60" w:rsidP="006D3D60">
      <w:pPr>
        <w:pStyle w:val="ListParagraph"/>
        <w:numPr>
          <w:ilvl w:val="0"/>
          <w:numId w:val="7"/>
        </w:numPr>
        <w:spacing w:line="240" w:lineRule="auto"/>
        <w:jc w:val="both"/>
        <w:rPr>
          <w:rFonts w:ascii="Verdana" w:hAnsi="Verdana"/>
          <w:sz w:val="20"/>
          <w:szCs w:val="20"/>
        </w:rPr>
      </w:pPr>
      <w:r w:rsidRPr="00E913E1">
        <w:rPr>
          <w:rFonts w:ascii="Verdana" w:hAnsi="Verdana"/>
          <w:sz w:val="20"/>
          <w:szCs w:val="20"/>
        </w:rPr>
        <w:t>Fraud detection and prevention</w:t>
      </w:r>
      <w:r>
        <w:rPr>
          <w:rFonts w:ascii="Verdana" w:hAnsi="Verdana"/>
          <w:sz w:val="20"/>
          <w:szCs w:val="20"/>
        </w:rPr>
        <w:t xml:space="preserve"> via rent/</w:t>
      </w:r>
      <w:r w:rsidRPr="00E913E1">
        <w:rPr>
          <w:rFonts w:ascii="Verdana" w:hAnsi="Verdana"/>
          <w:sz w:val="20"/>
          <w:szCs w:val="20"/>
        </w:rPr>
        <w:t>income monitoring</w:t>
      </w:r>
      <w:r>
        <w:rPr>
          <w:rFonts w:ascii="Verdana" w:hAnsi="Verdana"/>
          <w:sz w:val="20"/>
          <w:szCs w:val="20"/>
        </w:rPr>
        <w:t>;</w:t>
      </w:r>
    </w:p>
    <w:p w:rsidR="006D3D60" w:rsidRDefault="006D3D60" w:rsidP="006D3D60">
      <w:pPr>
        <w:pStyle w:val="ListParagraph"/>
        <w:numPr>
          <w:ilvl w:val="0"/>
          <w:numId w:val="7"/>
        </w:numPr>
        <w:spacing w:line="240" w:lineRule="auto"/>
        <w:jc w:val="both"/>
        <w:rPr>
          <w:rFonts w:ascii="Verdana" w:hAnsi="Verdana"/>
          <w:sz w:val="20"/>
          <w:szCs w:val="20"/>
        </w:rPr>
      </w:pPr>
      <w:r>
        <w:rPr>
          <w:rFonts w:ascii="Verdana" w:hAnsi="Verdana"/>
          <w:sz w:val="20"/>
          <w:szCs w:val="20"/>
        </w:rPr>
        <w:t>H</w:t>
      </w:r>
      <w:r w:rsidRPr="002C4324">
        <w:rPr>
          <w:rFonts w:ascii="Verdana" w:hAnsi="Verdana"/>
          <w:sz w:val="20"/>
          <w:szCs w:val="20"/>
        </w:rPr>
        <w:t>ousing inventory</w:t>
      </w:r>
      <w:r>
        <w:rPr>
          <w:rFonts w:ascii="Verdana" w:hAnsi="Verdana"/>
          <w:sz w:val="20"/>
          <w:szCs w:val="20"/>
        </w:rPr>
        <w:t xml:space="preserve"> and development of program initiatives</w:t>
      </w:r>
      <w:r w:rsidRPr="002C4324">
        <w:rPr>
          <w:rFonts w:ascii="Verdana" w:hAnsi="Verdana"/>
          <w:sz w:val="20"/>
          <w:szCs w:val="20"/>
        </w:rPr>
        <w:t xml:space="preserve"> with emphasis o</w:t>
      </w:r>
      <w:r>
        <w:rPr>
          <w:rFonts w:ascii="Verdana" w:hAnsi="Verdana"/>
          <w:sz w:val="20"/>
          <w:szCs w:val="20"/>
        </w:rPr>
        <w:t>n the housing of special needs groups; and</w:t>
      </w:r>
    </w:p>
    <w:p w:rsidR="006D3D60" w:rsidRPr="005A0603" w:rsidRDefault="006D3D60" w:rsidP="006D3D60">
      <w:pPr>
        <w:pStyle w:val="ListParagraph"/>
        <w:numPr>
          <w:ilvl w:val="0"/>
          <w:numId w:val="7"/>
        </w:numPr>
        <w:spacing w:line="240" w:lineRule="auto"/>
        <w:jc w:val="both"/>
        <w:rPr>
          <w:rFonts w:ascii="Verdana" w:hAnsi="Verdana"/>
          <w:sz w:val="20"/>
          <w:szCs w:val="20"/>
        </w:rPr>
      </w:pPr>
      <w:r>
        <w:rPr>
          <w:rFonts w:ascii="Verdana" w:hAnsi="Verdana"/>
          <w:sz w:val="20"/>
          <w:szCs w:val="20"/>
        </w:rPr>
        <w:t>Make available accurate demographic information depicting tenant characteristics to Congress and other interested parties.</w:t>
      </w:r>
    </w:p>
    <w:p w:rsidR="006D3D60" w:rsidRDefault="006D3D60" w:rsidP="006D3D60">
      <w:pPr>
        <w:rPr>
          <w:rFonts w:ascii="Verdana" w:hAnsi="Verdana"/>
          <w:b/>
        </w:rPr>
      </w:pPr>
    </w:p>
    <w:p w:rsidR="006D3D60" w:rsidRDefault="006D3D60" w:rsidP="006D3D60">
      <w:pPr>
        <w:rPr>
          <w:rFonts w:ascii="Verdana" w:hAnsi="Verdana"/>
          <w:b/>
        </w:rPr>
      </w:pPr>
      <w:r w:rsidRPr="001C3C07">
        <w:rPr>
          <w:rFonts w:ascii="Verdana" w:hAnsi="Verdana"/>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D3D60" w:rsidRDefault="006D3D60" w:rsidP="006D3D60">
      <w:pPr>
        <w:rPr>
          <w:rFonts w:ascii="Verdana" w:hAnsi="Verdana"/>
          <w:b/>
        </w:rPr>
      </w:pPr>
    </w:p>
    <w:p w:rsidR="006D3D60" w:rsidRPr="00AB666C" w:rsidRDefault="006D3D60" w:rsidP="006D3D60">
      <w:pPr>
        <w:rPr>
          <w:rFonts w:ascii="Verdana" w:hAnsi="Verdana" w:cs="Arial"/>
        </w:rPr>
      </w:pPr>
      <w:r w:rsidRPr="004A5FE0">
        <w:rPr>
          <w:rFonts w:ascii="Verdana" w:hAnsi="Verdana" w:cs="Arial"/>
        </w:rPr>
        <w:t xml:space="preserve">Several vendors offer Housing Agency management software, including creation/submission of 50058s. HUD offers a free software program called Family Reporting Software (FRS) to </w:t>
      </w:r>
      <w:r>
        <w:rPr>
          <w:rFonts w:ascii="Verdana" w:hAnsi="Verdana" w:cs="Arial"/>
        </w:rPr>
        <w:t>all PHAs. </w:t>
      </w:r>
      <w:r>
        <w:rPr>
          <w:rFonts w:ascii="Verdana" w:hAnsi="Verdana"/>
        </w:rPr>
        <w:t xml:space="preserve">Data collected via Form HUD-50058 and Form HUD-50058 MTW Family Reports is electronically submitted by the PHAs into the PIH Information Center (PIC) on a monthly basis. PIC is an automated database system which exchanges this data, between Housing Authorities and Local HUD Offices. This data repository is also accessible </w:t>
      </w:r>
      <w:r w:rsidRPr="0025402E">
        <w:rPr>
          <w:rFonts w:ascii="Verdana" w:hAnsi="Verdana"/>
        </w:rPr>
        <w:t>to</w:t>
      </w:r>
      <w:r>
        <w:rPr>
          <w:rFonts w:ascii="Verdana" w:hAnsi="Verdana"/>
        </w:rPr>
        <w:t xml:space="preserve"> HUD Headquarters and field offices. </w:t>
      </w:r>
    </w:p>
    <w:p w:rsidR="006D3D60" w:rsidRDefault="006D3D60" w:rsidP="006D3D60"/>
    <w:p w:rsidR="006D3D60" w:rsidRDefault="006D3D60" w:rsidP="006D3D60">
      <w:pPr>
        <w:rPr>
          <w:rFonts w:ascii="Verdana" w:hAnsi="Verdana"/>
          <w:b/>
        </w:rPr>
      </w:pPr>
    </w:p>
    <w:p w:rsidR="006D3D60" w:rsidRDefault="006D3D60" w:rsidP="006D3D60">
      <w:pPr>
        <w:rPr>
          <w:rFonts w:ascii="Verdana" w:hAnsi="Verdana"/>
          <w:b/>
        </w:rPr>
      </w:pPr>
    </w:p>
    <w:p w:rsidR="006D3D60" w:rsidRDefault="006D3D60" w:rsidP="006D3D60">
      <w:pPr>
        <w:rPr>
          <w:rFonts w:ascii="Verdana" w:hAnsi="Verdana"/>
          <w:b/>
        </w:rPr>
      </w:pPr>
    </w:p>
    <w:p w:rsidR="006D3D60" w:rsidRDefault="006D3D60" w:rsidP="006D3D60">
      <w:pPr>
        <w:rPr>
          <w:rFonts w:ascii="Verdana" w:hAnsi="Verdana"/>
          <w:b/>
        </w:rPr>
      </w:pPr>
      <w:r w:rsidRPr="00477025">
        <w:rPr>
          <w:rFonts w:ascii="Verdana" w:hAnsi="Verdana"/>
          <w:b/>
        </w:rPr>
        <w:t>4. Describe efforts to identify duplication. Show specifically why any similar information already available cannot be used or modified for use for the purposes described in Item 2 above.</w:t>
      </w:r>
    </w:p>
    <w:p w:rsidR="006D3D60" w:rsidRPr="00477025" w:rsidRDefault="006D3D60" w:rsidP="006D3D60">
      <w:pPr>
        <w:rPr>
          <w:rFonts w:ascii="Verdana" w:hAnsi="Verdana"/>
          <w:b/>
        </w:rPr>
      </w:pPr>
    </w:p>
    <w:p w:rsidR="006D3D60" w:rsidRDefault="006D3D60" w:rsidP="006D3D60">
      <w:pPr>
        <w:rPr>
          <w:rFonts w:ascii="Verdana" w:hAnsi="Verdana"/>
        </w:rPr>
      </w:pPr>
      <w:r w:rsidRPr="00411054">
        <w:rPr>
          <w:rFonts w:ascii="Verdana" w:hAnsi="Verdana"/>
        </w:rPr>
        <w:t xml:space="preserve">Form HUD-50058 and Form HUD 50058 MTW Family Reports are the sole mechanisms employed to collect information on tenant characteristics of assisted program housing. </w:t>
      </w:r>
      <w:r>
        <w:rPr>
          <w:rFonts w:ascii="Verdana" w:hAnsi="Verdana"/>
        </w:rPr>
        <w:t>This data cannot be obtained by any alternate automated source.</w:t>
      </w:r>
    </w:p>
    <w:p w:rsidR="00D03746" w:rsidRDefault="00D03746" w:rsidP="006D3D60">
      <w:pPr>
        <w:rPr>
          <w:rFonts w:ascii="Verdana" w:hAnsi="Verdana"/>
        </w:rPr>
      </w:pPr>
    </w:p>
    <w:p w:rsidR="006D3D60" w:rsidRPr="001E141F" w:rsidRDefault="006D3D60" w:rsidP="006D3D60">
      <w:pPr>
        <w:rPr>
          <w:rFonts w:ascii="Verdana" w:hAnsi="Verdana"/>
          <w:b/>
        </w:rPr>
      </w:pPr>
      <w:r w:rsidRPr="001E141F">
        <w:rPr>
          <w:rFonts w:ascii="Verdana" w:hAnsi="Verdana"/>
          <w:b/>
        </w:rPr>
        <w:t xml:space="preserve">5. If the collection of information impacts small businesses or other small entities (Item 5 of OMB Form 83-I), describe any methods used to minimize burden. </w:t>
      </w:r>
    </w:p>
    <w:p w:rsidR="006D3D60" w:rsidRDefault="006D3D60" w:rsidP="006D3D60">
      <w:pPr>
        <w:rPr>
          <w:rFonts w:ascii="Verdana" w:hAnsi="Verdana"/>
        </w:rPr>
      </w:pPr>
    </w:p>
    <w:p w:rsidR="006D3D60" w:rsidRDefault="006D3D60" w:rsidP="006D3D60">
      <w:pPr>
        <w:rPr>
          <w:rFonts w:ascii="Verdana" w:hAnsi="Verdana"/>
        </w:rPr>
      </w:pPr>
      <w:r>
        <w:rPr>
          <w:rFonts w:ascii="Verdana" w:hAnsi="Verdana"/>
        </w:rPr>
        <w:t xml:space="preserve">This information collection has no impact on small businesses or other small entities. </w:t>
      </w:r>
    </w:p>
    <w:p w:rsidR="00D03746" w:rsidRDefault="00D03746" w:rsidP="006D3D60">
      <w:pPr>
        <w:rPr>
          <w:rFonts w:ascii="Verdana" w:hAnsi="Verdana"/>
        </w:rPr>
      </w:pPr>
    </w:p>
    <w:p w:rsidR="006D3D60" w:rsidRDefault="006D3D60" w:rsidP="006D3D60">
      <w:pPr>
        <w:rPr>
          <w:rFonts w:ascii="Verdana" w:hAnsi="Verdana"/>
          <w:b/>
        </w:rPr>
      </w:pPr>
      <w:proofErr w:type="gramStart"/>
      <w:r w:rsidRPr="00F948B8">
        <w:rPr>
          <w:rFonts w:ascii="Verdana" w:hAnsi="Verdana"/>
          <w:b/>
        </w:rPr>
        <w:t xml:space="preserve">6. Describe the consequence to Federal program or policy activities if </w:t>
      </w:r>
      <w:r>
        <w:rPr>
          <w:rFonts w:ascii="Verdana" w:hAnsi="Verdana"/>
          <w:b/>
        </w:rPr>
        <w:t xml:space="preserve">the collection is not conducted </w:t>
      </w:r>
      <w:r w:rsidRPr="00F948B8">
        <w:rPr>
          <w:rFonts w:ascii="Verdana" w:hAnsi="Verdana"/>
          <w:b/>
        </w:rPr>
        <w:t>or is conducted less frequently, as well as any technical or legal obstacles to reducing burden.</w:t>
      </w:r>
      <w:proofErr w:type="gramEnd"/>
    </w:p>
    <w:p w:rsidR="006D3D60" w:rsidRDefault="006D3D60" w:rsidP="006D3D60">
      <w:pPr>
        <w:rPr>
          <w:rFonts w:ascii="Verdana" w:hAnsi="Verdana"/>
          <w:b/>
        </w:rPr>
      </w:pPr>
    </w:p>
    <w:p w:rsidR="006D3D60" w:rsidRPr="006A1DB8" w:rsidRDefault="006D3D60" w:rsidP="006D3D60">
      <w:pPr>
        <w:rPr>
          <w:rFonts w:ascii="Verdana" w:hAnsi="Verdana"/>
        </w:rPr>
      </w:pPr>
      <w:r>
        <w:rPr>
          <w:rFonts w:ascii="Verdana" w:hAnsi="Verdana"/>
        </w:rPr>
        <w:t>Failure to collect this data at least annually would impede HUD’s ability to create effective program polices, measure the impact of these program policies and funding, and provide accurate information to OMB, Congress and the public.</w:t>
      </w:r>
    </w:p>
    <w:p w:rsidR="006D3D60"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7. Explain any special circumstances that would cause an information collection to be conducted in a manner:</w:t>
      </w:r>
    </w:p>
    <w:p w:rsidR="006D3D60" w:rsidRDefault="006D3D60" w:rsidP="006D3D60">
      <w:pPr>
        <w:rPr>
          <w:rFonts w:ascii="Verdana" w:hAnsi="Verdana"/>
        </w:rPr>
      </w:pPr>
    </w:p>
    <w:p w:rsidR="006D3D60" w:rsidRDefault="006D3D60" w:rsidP="006D3D60">
      <w:pPr>
        <w:rPr>
          <w:rFonts w:ascii="Verdana" w:hAnsi="Verdana"/>
        </w:rPr>
      </w:pPr>
      <w:r>
        <w:rPr>
          <w:rFonts w:ascii="Verdana" w:hAnsi="Verdana"/>
        </w:rPr>
        <w:t>Although public housing agencies are only required to submit data annually for each participating household, families move into and out of subsidized units throughout the year. Therefore, the agencies complete Form HUD-50058 and Form HUD-50058 MTW Family Reports for individual families at different times during the year. HUD requires all agencies to electronically submit the forms that they have completed to the PIC system at least monthly. The Department received OMB approval on September 6, 2006, to require PHAs with less than 100 units to submit Form HUD-50058 and Form HUD-50058 MTW Family Reports data monthly as oppo</w:t>
      </w:r>
      <w:r w:rsidR="00D03746">
        <w:rPr>
          <w:rFonts w:ascii="Verdana" w:hAnsi="Verdana"/>
        </w:rPr>
        <w:t>sed to quarterly</w:t>
      </w:r>
      <w:r>
        <w:rPr>
          <w:rFonts w:ascii="Verdana" w:hAnsi="Verdana"/>
        </w:rPr>
        <w:t xml:space="preserve">. </w:t>
      </w:r>
    </w:p>
    <w:p w:rsidR="006D3D60" w:rsidRPr="00B235CF" w:rsidRDefault="006D3D60" w:rsidP="006D3D60">
      <w:pPr>
        <w:rPr>
          <w:rFonts w:ascii="Verdana" w:hAnsi="Verdana"/>
        </w:rPr>
      </w:pPr>
    </w:p>
    <w:p w:rsidR="006D3D60" w:rsidRPr="008424E4" w:rsidRDefault="006D3D60" w:rsidP="006D3D60">
      <w:pPr>
        <w:rPr>
          <w:rFonts w:ascii="Verdana" w:hAnsi="Verdana"/>
          <w:b/>
        </w:rPr>
      </w:pPr>
      <w:r w:rsidRPr="008424E4">
        <w:rPr>
          <w:rFonts w:ascii="Verdana" w:hAnsi="Verdana"/>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6D3D60" w:rsidRDefault="006D3D60" w:rsidP="006D3D60">
      <w:pPr>
        <w:rPr>
          <w:rFonts w:ascii="Verdana" w:hAnsi="Verdana"/>
        </w:rPr>
      </w:pPr>
    </w:p>
    <w:p w:rsidR="006D3D60" w:rsidRDefault="006D3D60" w:rsidP="006D3D60">
      <w:pPr>
        <w:rPr>
          <w:sz w:val="24"/>
          <w:szCs w:val="24"/>
        </w:rPr>
      </w:pPr>
      <w:r w:rsidRPr="00FC5559">
        <w:rPr>
          <w:rFonts w:eastAsia="Calibri"/>
          <w:sz w:val="24"/>
          <w:szCs w:val="24"/>
        </w:rPr>
        <w:t>A notice was published in</w:t>
      </w:r>
      <w:r w:rsidR="00D03746">
        <w:rPr>
          <w:rFonts w:eastAsia="Calibri"/>
          <w:sz w:val="24"/>
          <w:szCs w:val="24"/>
        </w:rPr>
        <w:t xml:space="preserve"> the Federal Register, volume 75, page 5621, dated February 3, 2010</w:t>
      </w:r>
      <w:r w:rsidRPr="00FC5559">
        <w:rPr>
          <w:rFonts w:eastAsia="Calibri"/>
          <w:sz w:val="24"/>
          <w:szCs w:val="24"/>
        </w:rPr>
        <w:t xml:space="preserve">, announcing the intent to submit the proposed information collection to the Office of Management and Budget and invited comments.  No comments were received in response </w:t>
      </w:r>
      <w:r w:rsidR="00D03746">
        <w:rPr>
          <w:rFonts w:eastAsia="Calibri"/>
          <w:sz w:val="24"/>
          <w:szCs w:val="24"/>
        </w:rPr>
        <w:t>to the Federal Register notice</w:t>
      </w:r>
      <w:r w:rsidRPr="00FC5559">
        <w:rPr>
          <w:rFonts w:eastAsia="Calibri"/>
          <w:sz w:val="24"/>
          <w:szCs w:val="24"/>
        </w:rPr>
        <w:t xml:space="preserve">.  </w:t>
      </w:r>
    </w:p>
    <w:p w:rsidR="006D3D60" w:rsidRDefault="006D3D60" w:rsidP="006D3D60">
      <w:pPr>
        <w:rPr>
          <w:b/>
          <w:sz w:val="24"/>
          <w:szCs w:val="24"/>
        </w:rPr>
      </w:pPr>
    </w:p>
    <w:p w:rsidR="006D3D60" w:rsidRPr="003C5EF4" w:rsidRDefault="006D3D60" w:rsidP="006D3D60">
      <w:pPr>
        <w:rPr>
          <w:rFonts w:ascii="Verdana" w:hAnsi="Verdana"/>
          <w:b/>
        </w:rPr>
      </w:pPr>
      <w:r w:rsidRPr="003C5EF4">
        <w:rPr>
          <w:rFonts w:ascii="Verdana" w:hAnsi="Verdana"/>
          <w:b/>
        </w:rPr>
        <w:t>9. Explain any decision to provide any payment or gift to respondents, other than remuneration of contractors or grantees.</w:t>
      </w:r>
    </w:p>
    <w:p w:rsidR="006D3D60" w:rsidRPr="003C5EF4" w:rsidRDefault="006D3D60" w:rsidP="006D3D60">
      <w:pPr>
        <w:rPr>
          <w:rFonts w:ascii="Verdana" w:hAnsi="Verdana"/>
          <w:b/>
        </w:rPr>
      </w:pPr>
    </w:p>
    <w:p w:rsidR="006D3D60" w:rsidRDefault="006D3D60" w:rsidP="006D3D60">
      <w:pPr>
        <w:rPr>
          <w:rFonts w:ascii="Verdana" w:hAnsi="Verdana"/>
        </w:rPr>
      </w:pPr>
      <w:r w:rsidRPr="003C5EF4">
        <w:rPr>
          <w:rFonts w:ascii="Verdana" w:hAnsi="Verdana"/>
        </w:rPr>
        <w:t xml:space="preserve">No payment or gift will be granted </w:t>
      </w:r>
      <w:r>
        <w:rPr>
          <w:rFonts w:ascii="Verdana" w:hAnsi="Verdana"/>
        </w:rPr>
        <w:t>to the respondents</w:t>
      </w:r>
      <w:r w:rsidRPr="003C5EF4">
        <w:rPr>
          <w:rFonts w:ascii="Verdana" w:hAnsi="Verdana"/>
        </w:rPr>
        <w:t>.</w:t>
      </w:r>
    </w:p>
    <w:p w:rsidR="006D3D60" w:rsidRDefault="006D3D60" w:rsidP="006D3D60">
      <w:pPr>
        <w:rPr>
          <w:rFonts w:ascii="Verdana" w:hAnsi="Verdana"/>
        </w:rPr>
      </w:pPr>
    </w:p>
    <w:p w:rsidR="006D3D60" w:rsidRPr="00276D1D" w:rsidRDefault="006D3D60" w:rsidP="006D3D60">
      <w:pPr>
        <w:rPr>
          <w:rFonts w:ascii="Verdana" w:hAnsi="Verdana"/>
          <w:b/>
        </w:rPr>
      </w:pPr>
      <w:proofErr w:type="gramStart"/>
      <w:r w:rsidRPr="00276D1D">
        <w:rPr>
          <w:rFonts w:ascii="Verdana" w:hAnsi="Verdana"/>
          <w:b/>
        </w:rPr>
        <w:t>10. Describe any assurance of confidentiality provided to respondents and the basis for the assurance in statute, regulation, or agency policy.</w:t>
      </w:r>
      <w:proofErr w:type="gramEnd"/>
    </w:p>
    <w:p w:rsidR="006D3D60" w:rsidRDefault="006D3D60" w:rsidP="006D3D60">
      <w:pPr>
        <w:rPr>
          <w:rFonts w:ascii="Verdana" w:hAnsi="Verdana"/>
        </w:rPr>
      </w:pPr>
    </w:p>
    <w:p w:rsidR="006D3D60" w:rsidRPr="003E353B" w:rsidRDefault="006D3D60" w:rsidP="006D3D60">
      <w:pPr>
        <w:rPr>
          <w:rFonts w:ascii="Verdana" w:hAnsi="Verdana"/>
          <w:i/>
        </w:rPr>
      </w:pPr>
      <w:r>
        <w:rPr>
          <w:rFonts w:ascii="Verdana" w:hAnsi="Verdana"/>
        </w:rPr>
        <w:t xml:space="preserve">In accordance with the Federal Privacy Act of 1974, 5 U.S.C. 552a, public housing agencies must inform applicants and resident families about possible Federal Government uses of information contained on Form HUD-50058 and Form HUD-50058 MTW Family Reports, and the systems to monitor reductions in subsidy payment errors. Form HUD-9886 </w:t>
      </w:r>
      <w:r>
        <w:rPr>
          <w:rFonts w:ascii="Verdana" w:hAnsi="Verdana"/>
          <w:i/>
        </w:rPr>
        <w:t>Authorization for the Release of Information/Privacy Act Notice,</w:t>
      </w:r>
      <w:r>
        <w:rPr>
          <w:rFonts w:ascii="Verdana" w:hAnsi="Verdana"/>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singing Form HUD-9886.</w:t>
      </w:r>
      <w:r>
        <w:rPr>
          <w:rFonts w:ascii="Verdana" w:hAnsi="Verdana"/>
          <w:i/>
        </w:rPr>
        <w:t xml:space="preserve"> </w:t>
      </w:r>
    </w:p>
    <w:p w:rsidR="006D3D60" w:rsidRDefault="006D3D60" w:rsidP="006D3D60">
      <w:pPr>
        <w:rPr>
          <w:rFonts w:ascii="Verdana" w:hAnsi="Verdana"/>
        </w:rPr>
      </w:pPr>
    </w:p>
    <w:p w:rsidR="006D3D60" w:rsidRDefault="006D3D60" w:rsidP="006D3D60">
      <w:pPr>
        <w:rPr>
          <w:rFonts w:ascii="Verdana" w:hAnsi="Verdana"/>
          <w:b/>
        </w:rPr>
      </w:pPr>
      <w:proofErr w:type="gramStart"/>
      <w:r w:rsidRPr="00B429F6">
        <w:rPr>
          <w:rFonts w:ascii="Verdana" w:hAnsi="Verdana"/>
          <w:b/>
        </w:rPr>
        <w:lastRenderedPageBreak/>
        <w:t>11. Provide additional justification for any questions of a sensitive nature, such as sexual behavior and attitudes, religious beliefs, and other matters that are commonly considered private.</w:t>
      </w:r>
      <w:proofErr w:type="gramEnd"/>
      <w:r w:rsidRPr="00B429F6">
        <w:rPr>
          <w:rFonts w:ascii="Verdana" w:hAnsi="Verdana"/>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D3D60" w:rsidRPr="00B429F6" w:rsidRDefault="006D3D60" w:rsidP="006D3D60">
      <w:pPr>
        <w:rPr>
          <w:rFonts w:ascii="Verdana" w:hAnsi="Verdana"/>
          <w:b/>
        </w:rPr>
      </w:pPr>
    </w:p>
    <w:p w:rsidR="006D3D60" w:rsidRDefault="006D3D60" w:rsidP="006D3D60">
      <w:pPr>
        <w:rPr>
          <w:rFonts w:ascii="Verdana" w:hAnsi="Verdana"/>
        </w:rPr>
      </w:pPr>
      <w:r>
        <w:rPr>
          <w:rFonts w:ascii="Verdana" w:hAnsi="Verdana"/>
        </w:rPr>
        <w:t>Form HUD-50058 and Form HUD-50058 MTW Family Reports do not collect information of a sensitive nature. Private information such as income, social security numbers and public benefits however, are solicited. This information is required for proper administration of the assisted housing programs and for monitoring program performance.</w:t>
      </w:r>
    </w:p>
    <w:p w:rsidR="006D3D60" w:rsidRDefault="006D3D60" w:rsidP="006D3D60">
      <w:pPr>
        <w:rPr>
          <w:rFonts w:ascii="Verdana" w:hAnsi="Verdana"/>
        </w:rPr>
      </w:pPr>
      <w:r>
        <w:rPr>
          <w:rFonts w:ascii="Verdana" w:hAnsi="Verdana"/>
        </w:rPr>
        <w:t>Please refer to section ten for steps taken to attain the consent of residents to collect such information.</w:t>
      </w:r>
    </w:p>
    <w:p w:rsidR="006D3D60"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12. Provide estimates of the hour burden of the collection of information. The statement should:</w:t>
      </w:r>
    </w:p>
    <w:p w:rsidR="006D3D60" w:rsidRPr="00FF69AE" w:rsidRDefault="006D3D60" w:rsidP="006D3D60">
      <w:pPr>
        <w:rPr>
          <w:rFonts w:ascii="Verdana" w:hAnsi="Verdana"/>
          <w:b/>
        </w:rPr>
      </w:pPr>
    </w:p>
    <w:p w:rsidR="006D3D60" w:rsidRPr="00144EB6" w:rsidRDefault="006D3D60" w:rsidP="006D3D60">
      <w:pPr>
        <w:rPr>
          <w:rFonts w:ascii="Verdana" w:hAnsi="Verdana"/>
          <w:b/>
        </w:rPr>
      </w:pPr>
      <w:r w:rsidRPr="00144EB6">
        <w:rPr>
          <w:rFonts w:ascii="Verdana" w:hAnsi="Verdana"/>
          <w:b/>
        </w:rPr>
        <w:t>Summary:</w:t>
      </w:r>
    </w:p>
    <w:p w:rsidR="006D3D60" w:rsidRDefault="006D3D60" w:rsidP="006D3D60">
      <w:pPr>
        <w:rPr>
          <w:rFonts w:ascii="Verdana" w:hAnsi="Verdana"/>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2547"/>
      </w:tblGrid>
      <w:tr w:rsidR="006D3D60" w:rsidRPr="00A254B4" w:rsidTr="00F748FF">
        <w:tc>
          <w:tcPr>
            <w:tcW w:w="7335" w:type="dxa"/>
            <w:gridSpan w:val="2"/>
            <w:shd w:val="clear" w:color="auto" w:fill="C6D9F1"/>
          </w:tcPr>
          <w:p w:rsidR="006D3D60" w:rsidRPr="00A254B4" w:rsidRDefault="006D3D60" w:rsidP="00F748FF">
            <w:pPr>
              <w:rPr>
                <w:rFonts w:ascii="Verdana" w:hAnsi="Verdana"/>
                <w:b/>
              </w:rPr>
            </w:pPr>
            <w:r w:rsidRPr="00A254B4">
              <w:rPr>
                <w:rFonts w:ascii="Verdana" w:hAnsi="Verdana"/>
                <w:b/>
              </w:rPr>
              <w:t xml:space="preserve">  Estimate of the Hour Burden of the Collection of Information</w:t>
            </w:r>
          </w:p>
        </w:tc>
      </w:tr>
      <w:tr w:rsidR="006D3D60" w:rsidRPr="00A254B4" w:rsidTr="00F748FF">
        <w:tc>
          <w:tcPr>
            <w:tcW w:w="4788" w:type="dxa"/>
          </w:tcPr>
          <w:p w:rsidR="006D3D60" w:rsidRPr="00A254B4" w:rsidRDefault="006D3D60" w:rsidP="00F748FF">
            <w:pPr>
              <w:rPr>
                <w:rFonts w:ascii="Verdana" w:hAnsi="Verdana"/>
              </w:rPr>
            </w:pPr>
            <w:r w:rsidRPr="00A254B4">
              <w:rPr>
                <w:rFonts w:ascii="Verdana" w:hAnsi="Verdana"/>
              </w:rPr>
              <w:t>Number of responses</w:t>
            </w:r>
          </w:p>
        </w:tc>
        <w:tc>
          <w:tcPr>
            <w:tcW w:w="2547" w:type="dxa"/>
          </w:tcPr>
          <w:p w:rsidR="006D3D60" w:rsidRPr="00A254B4" w:rsidRDefault="006D3D60" w:rsidP="00F748FF">
            <w:pPr>
              <w:rPr>
                <w:sz w:val="24"/>
                <w:szCs w:val="24"/>
              </w:rPr>
            </w:pPr>
            <w:r w:rsidRPr="00A254B4">
              <w:rPr>
                <w:rFonts w:ascii="Verdana" w:hAnsi="Verdana"/>
                <w:sz w:val="18"/>
                <w:szCs w:val="18"/>
              </w:rPr>
              <w:t>2,868,004</w:t>
            </w:r>
          </w:p>
        </w:tc>
      </w:tr>
      <w:tr w:rsidR="006D3D60" w:rsidRPr="00A254B4" w:rsidTr="00F748FF">
        <w:tc>
          <w:tcPr>
            <w:tcW w:w="4788" w:type="dxa"/>
          </w:tcPr>
          <w:p w:rsidR="006D3D60" w:rsidRPr="00A254B4" w:rsidRDefault="006D3D60" w:rsidP="00F748FF">
            <w:pPr>
              <w:rPr>
                <w:rFonts w:ascii="Verdana" w:hAnsi="Verdana"/>
              </w:rPr>
            </w:pPr>
            <w:r w:rsidRPr="00A254B4">
              <w:rPr>
                <w:rFonts w:ascii="Verdana" w:hAnsi="Verdana"/>
              </w:rPr>
              <w:t>Frequency of Response</w:t>
            </w:r>
          </w:p>
        </w:tc>
        <w:tc>
          <w:tcPr>
            <w:tcW w:w="2547" w:type="dxa"/>
          </w:tcPr>
          <w:p w:rsidR="006D3D60" w:rsidRPr="00A254B4" w:rsidRDefault="006D3D60" w:rsidP="00F748FF">
            <w:pPr>
              <w:rPr>
                <w:rFonts w:ascii="Verdana" w:hAnsi="Verdana"/>
              </w:rPr>
            </w:pPr>
            <w:r w:rsidRPr="00A254B4">
              <w:rPr>
                <w:rFonts w:ascii="Verdana" w:hAnsi="Verdana"/>
              </w:rPr>
              <w:t xml:space="preserve">Annually </w:t>
            </w:r>
          </w:p>
        </w:tc>
      </w:tr>
      <w:tr w:rsidR="006D3D60" w:rsidRPr="00A254B4" w:rsidTr="00F748FF">
        <w:tc>
          <w:tcPr>
            <w:tcW w:w="4788" w:type="dxa"/>
          </w:tcPr>
          <w:p w:rsidR="006D3D60" w:rsidRPr="00A254B4" w:rsidRDefault="006D3D60" w:rsidP="00F748FF">
            <w:pPr>
              <w:rPr>
                <w:rFonts w:ascii="Verdana" w:hAnsi="Verdana"/>
              </w:rPr>
            </w:pPr>
            <w:r w:rsidRPr="00A254B4">
              <w:rPr>
                <w:rFonts w:ascii="Verdana" w:hAnsi="Verdana"/>
              </w:rPr>
              <w:t>Annual Hour Burden</w:t>
            </w:r>
          </w:p>
        </w:tc>
        <w:tc>
          <w:tcPr>
            <w:tcW w:w="2547" w:type="dxa"/>
          </w:tcPr>
          <w:p w:rsidR="006D3D60" w:rsidRPr="00A254B4" w:rsidRDefault="006D3D60" w:rsidP="00F748FF">
            <w:pPr>
              <w:rPr>
                <w:sz w:val="24"/>
                <w:szCs w:val="24"/>
              </w:rPr>
            </w:pPr>
            <w:r w:rsidRPr="00A254B4">
              <w:rPr>
                <w:rFonts w:ascii="Verdana" w:hAnsi="Verdana"/>
                <w:sz w:val="18"/>
                <w:szCs w:val="18"/>
              </w:rPr>
              <w:t>1,079,075</w:t>
            </w:r>
          </w:p>
        </w:tc>
      </w:tr>
      <w:tr w:rsidR="006D3D60" w:rsidRPr="00A254B4" w:rsidTr="00F748FF">
        <w:tc>
          <w:tcPr>
            <w:tcW w:w="4788" w:type="dxa"/>
          </w:tcPr>
          <w:p w:rsidR="006D3D60" w:rsidRPr="00A254B4" w:rsidRDefault="006D3D60" w:rsidP="00F748FF">
            <w:pPr>
              <w:rPr>
                <w:rFonts w:ascii="Verdana" w:hAnsi="Verdana"/>
              </w:rPr>
            </w:pPr>
            <w:r w:rsidRPr="00A254B4">
              <w:rPr>
                <w:rFonts w:ascii="Verdana" w:hAnsi="Verdana"/>
              </w:rPr>
              <w:t>Estimated Annual Cost to Respondents</w:t>
            </w:r>
          </w:p>
        </w:tc>
        <w:tc>
          <w:tcPr>
            <w:tcW w:w="2547" w:type="dxa"/>
          </w:tcPr>
          <w:p w:rsidR="006D3D60" w:rsidRPr="00A254B4" w:rsidRDefault="006D3D60" w:rsidP="00F748FF">
            <w:pPr>
              <w:rPr>
                <w:sz w:val="24"/>
                <w:szCs w:val="24"/>
              </w:rPr>
            </w:pPr>
            <w:r w:rsidRPr="00A254B4">
              <w:rPr>
                <w:sz w:val="24"/>
                <w:szCs w:val="24"/>
              </w:rPr>
              <w:t>$</w:t>
            </w:r>
            <w:r w:rsidRPr="00A254B4">
              <w:rPr>
                <w:rFonts w:ascii="Verdana" w:hAnsi="Verdana"/>
              </w:rPr>
              <w:t>18,883,813</w:t>
            </w:r>
          </w:p>
        </w:tc>
      </w:tr>
    </w:tbl>
    <w:p w:rsidR="006D3D60" w:rsidRDefault="006D3D60" w:rsidP="006D3D60">
      <w:pPr>
        <w:pStyle w:val="ListParagraph"/>
        <w:rPr>
          <w:rFonts w:ascii="Verdana" w:hAnsi="Verdana"/>
          <w:b/>
          <w:sz w:val="20"/>
          <w:szCs w:val="20"/>
        </w:rPr>
      </w:pPr>
    </w:p>
    <w:p w:rsidR="006D3D60" w:rsidRPr="004A5FE0" w:rsidRDefault="006D3D60" w:rsidP="006D3D60">
      <w:pPr>
        <w:rPr>
          <w:rFonts w:ascii="Verdana" w:hAnsi="Verdana"/>
        </w:rPr>
      </w:pPr>
      <w:r w:rsidRPr="004A5FE0">
        <w:rPr>
          <w:rFonts w:ascii="Verdana" w:hAnsi="Verdana"/>
        </w:rPr>
        <w:t>It takes approximately 40 minutes for PHA field officers to collect and input new admission data into each Form HUD-50058</w:t>
      </w:r>
      <w:r>
        <w:rPr>
          <w:rFonts w:ascii="Verdana" w:hAnsi="Verdana"/>
        </w:rPr>
        <w:t xml:space="preserve"> </w:t>
      </w:r>
      <w:r w:rsidRPr="004A5FE0">
        <w:rPr>
          <w:rFonts w:ascii="Verdana" w:hAnsi="Verdana"/>
        </w:rPr>
        <w:t>and Form HUD-50058 MTW</w:t>
      </w:r>
      <w:r>
        <w:rPr>
          <w:rFonts w:ascii="Verdana" w:hAnsi="Verdana"/>
        </w:rPr>
        <w:t xml:space="preserve"> Family Reports</w:t>
      </w:r>
      <w:r w:rsidRPr="004A5FE0">
        <w:rPr>
          <w:rFonts w:ascii="Verdana" w:hAnsi="Verdana"/>
        </w:rPr>
        <w:t xml:space="preserve"> record. Only a portion of the data fields are filled out at each time the form is completed. The fields that are filled are dependent upon the action type or reas</w:t>
      </w:r>
      <w:r>
        <w:rPr>
          <w:rFonts w:ascii="Verdana" w:hAnsi="Verdana"/>
        </w:rPr>
        <w:t xml:space="preserve">on for the form’s completion. </w:t>
      </w:r>
      <w:r w:rsidRPr="004A5FE0">
        <w:rPr>
          <w:rFonts w:ascii="Verdana" w:hAnsi="Verdana"/>
        </w:rPr>
        <w:t xml:space="preserve">After the initial year of the forms’ use, the action type for the form will be recertification rather than new submission. </w:t>
      </w:r>
      <w:r w:rsidRPr="0086659A">
        <w:rPr>
          <w:rFonts w:ascii="Verdana" w:hAnsi="Verdana"/>
        </w:rPr>
        <w:t>The time it takes to complete a recertification is approximately</w:t>
      </w:r>
      <w:r>
        <w:rPr>
          <w:rFonts w:ascii="Verdana" w:hAnsi="Verdana"/>
        </w:rPr>
        <w:t xml:space="preserve"> half that of a new submission. </w:t>
      </w:r>
      <w:r w:rsidRPr="0086659A">
        <w:rPr>
          <w:rFonts w:ascii="Verdana" w:hAnsi="Verdana"/>
        </w:rPr>
        <w:t>Pre-entry of key information from the previous year is responsible for this time reduction.</w:t>
      </w:r>
      <w:r w:rsidRPr="004A5FE0">
        <w:rPr>
          <w:rFonts w:ascii="Verdana" w:hAnsi="Verdana"/>
        </w:rPr>
        <w:t xml:space="preserve">   </w:t>
      </w:r>
    </w:p>
    <w:p w:rsidR="006D3D60" w:rsidRPr="004A5FE0" w:rsidRDefault="006D3D60" w:rsidP="006D3D60">
      <w:pPr>
        <w:rPr>
          <w:rFonts w:ascii="Verdana" w:hAnsi="Verdana"/>
        </w:rPr>
      </w:pPr>
    </w:p>
    <w:p w:rsidR="006D3D60" w:rsidRDefault="006D3D60" w:rsidP="006D3D60">
      <w:pPr>
        <w:rPr>
          <w:rFonts w:ascii="Verdana" w:hAnsi="Verdana"/>
        </w:rPr>
      </w:pPr>
      <w:r w:rsidRPr="004A5FE0">
        <w:rPr>
          <w:rFonts w:ascii="Verdana" w:hAnsi="Verdana"/>
        </w:rPr>
        <w:t>Through consultati</w:t>
      </w:r>
      <w:r>
        <w:rPr>
          <w:rFonts w:ascii="Verdana" w:hAnsi="Verdana"/>
        </w:rPr>
        <w:t xml:space="preserve">on with financial experts in HUD-HHQ </w:t>
      </w:r>
      <w:r w:rsidRPr="004A5FE0">
        <w:rPr>
          <w:rFonts w:ascii="Verdana" w:hAnsi="Verdana"/>
        </w:rPr>
        <w:t>Office Field Operations</w:t>
      </w:r>
      <w:r>
        <w:rPr>
          <w:rFonts w:ascii="Verdana" w:hAnsi="Verdana"/>
        </w:rPr>
        <w:t>,</w:t>
      </w:r>
      <w:r w:rsidRPr="004A5FE0">
        <w:rPr>
          <w:rFonts w:ascii="Verdana" w:hAnsi="Verdana"/>
        </w:rPr>
        <w:t xml:space="preserve"> an amount of $17.50 has been approximated to represent the national average as well as the average of the hourly rate for a clerical data entry as well as quality control on the entries. </w:t>
      </w:r>
    </w:p>
    <w:p w:rsidR="00D159C1" w:rsidRDefault="00D159C1" w:rsidP="006D3D60">
      <w:pPr>
        <w:rPr>
          <w:rFonts w:ascii="Verdana" w:hAnsi="Verdana"/>
        </w:rPr>
      </w:pPr>
    </w:p>
    <w:p w:rsidR="006D3D60" w:rsidRPr="00144EB6" w:rsidRDefault="006D3D60" w:rsidP="006D3D60">
      <w:pPr>
        <w:rPr>
          <w:rFonts w:ascii="Verdana" w:hAnsi="Verdana"/>
          <w:b/>
        </w:rPr>
      </w:pPr>
      <w:r w:rsidRPr="00144EB6">
        <w:rPr>
          <w:rFonts w:ascii="Verdana" w:hAnsi="Verdana"/>
          <w:b/>
        </w:rPr>
        <w:t>Detailed:</w:t>
      </w:r>
    </w:p>
    <w:p w:rsidR="006D3D60" w:rsidRPr="00FF69AE" w:rsidRDefault="006D3D60" w:rsidP="006D3D60">
      <w:pPr>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1530"/>
        <w:gridCol w:w="1620"/>
        <w:gridCol w:w="1620"/>
        <w:gridCol w:w="1260"/>
        <w:gridCol w:w="1350"/>
        <w:gridCol w:w="1890"/>
      </w:tblGrid>
      <w:tr w:rsidR="006D3D60" w:rsidRPr="00A254B4" w:rsidTr="00F748FF">
        <w:trPr>
          <w:trHeight w:val="935"/>
        </w:trPr>
        <w:tc>
          <w:tcPr>
            <w:tcW w:w="1818" w:type="dxa"/>
            <w:shd w:val="clear" w:color="auto" w:fill="C6D9F1"/>
          </w:tcPr>
          <w:p w:rsidR="006D3D60" w:rsidRPr="00A254B4" w:rsidRDefault="006D3D60" w:rsidP="00F748FF">
            <w:pPr>
              <w:rPr>
                <w:rFonts w:ascii="Verdana" w:hAnsi="Verdana"/>
                <w:b/>
                <w:sz w:val="18"/>
                <w:szCs w:val="18"/>
              </w:rPr>
            </w:pPr>
            <w:r w:rsidRPr="00A254B4">
              <w:rPr>
                <w:rFonts w:ascii="Verdana" w:hAnsi="Verdana"/>
                <w:b/>
                <w:sz w:val="18"/>
                <w:szCs w:val="18"/>
              </w:rPr>
              <w:t>Information</w:t>
            </w:r>
          </w:p>
          <w:p w:rsidR="006D3D60" w:rsidRPr="00A254B4" w:rsidRDefault="006D3D60" w:rsidP="00F748FF">
            <w:pPr>
              <w:rPr>
                <w:rFonts w:ascii="Verdana" w:hAnsi="Verdana"/>
                <w:b/>
                <w:sz w:val="18"/>
                <w:szCs w:val="18"/>
              </w:rPr>
            </w:pPr>
            <w:r w:rsidRPr="00A254B4">
              <w:rPr>
                <w:rFonts w:ascii="Verdana" w:hAnsi="Verdana"/>
                <w:b/>
                <w:sz w:val="18"/>
                <w:szCs w:val="18"/>
              </w:rPr>
              <w:t>Collection</w:t>
            </w:r>
          </w:p>
        </w:tc>
        <w:tc>
          <w:tcPr>
            <w:tcW w:w="1530" w:type="dxa"/>
            <w:shd w:val="clear" w:color="auto" w:fill="C6D9F1"/>
          </w:tcPr>
          <w:p w:rsidR="006D3D60" w:rsidRPr="00A254B4" w:rsidRDefault="006D3D60" w:rsidP="00F748FF">
            <w:pPr>
              <w:rPr>
                <w:rFonts w:ascii="Verdana" w:hAnsi="Verdana"/>
                <w:b/>
                <w:sz w:val="18"/>
                <w:szCs w:val="18"/>
              </w:rPr>
            </w:pPr>
            <w:r w:rsidRPr="00A254B4">
              <w:rPr>
                <w:rFonts w:ascii="Verdana" w:hAnsi="Verdana"/>
                <w:b/>
                <w:sz w:val="18"/>
                <w:szCs w:val="18"/>
              </w:rPr>
              <w:t>Number of</w:t>
            </w:r>
          </w:p>
          <w:p w:rsidR="006D3D60" w:rsidRPr="00A254B4" w:rsidRDefault="006D3D60" w:rsidP="00F748FF">
            <w:pPr>
              <w:rPr>
                <w:rFonts w:ascii="Verdana" w:hAnsi="Verdana"/>
                <w:b/>
                <w:sz w:val="18"/>
                <w:szCs w:val="18"/>
              </w:rPr>
            </w:pPr>
            <w:r w:rsidRPr="00A254B4">
              <w:rPr>
                <w:rFonts w:ascii="Verdana" w:hAnsi="Verdana"/>
                <w:b/>
                <w:sz w:val="18"/>
                <w:szCs w:val="18"/>
              </w:rPr>
              <w:t xml:space="preserve">Respondents </w:t>
            </w:r>
          </w:p>
          <w:p w:rsidR="006D3D60" w:rsidRPr="00A254B4" w:rsidRDefault="006D3D60" w:rsidP="00F748FF">
            <w:pPr>
              <w:rPr>
                <w:rFonts w:ascii="Verdana" w:hAnsi="Verdana"/>
                <w:b/>
                <w:sz w:val="18"/>
                <w:szCs w:val="18"/>
              </w:rPr>
            </w:pPr>
            <w:r w:rsidRPr="00A254B4">
              <w:rPr>
                <w:rFonts w:ascii="Verdana" w:hAnsi="Verdana"/>
                <w:b/>
                <w:sz w:val="18"/>
                <w:szCs w:val="18"/>
              </w:rPr>
              <w:t xml:space="preserve">   (PHA)   </w:t>
            </w:r>
          </w:p>
          <w:p w:rsidR="006D3D60" w:rsidRDefault="006D3D60" w:rsidP="00F748FF">
            <w:pPr>
              <w:rPr>
                <w:rFonts w:ascii="Verdana" w:hAnsi="Verdana"/>
                <w:b/>
                <w:sz w:val="18"/>
                <w:szCs w:val="18"/>
              </w:rPr>
            </w:pPr>
            <w:r w:rsidRPr="00A254B4">
              <w:rPr>
                <w:rFonts w:ascii="Verdana" w:hAnsi="Verdana"/>
                <w:b/>
                <w:sz w:val="18"/>
                <w:szCs w:val="18"/>
              </w:rPr>
              <w:t xml:space="preserve">    </w:t>
            </w:r>
          </w:p>
          <w:p w:rsidR="006D3D60" w:rsidRPr="00A254B4" w:rsidRDefault="006D3D60" w:rsidP="00F748FF">
            <w:pPr>
              <w:rPr>
                <w:rFonts w:ascii="Verdana" w:hAnsi="Verdana"/>
                <w:b/>
                <w:sz w:val="18"/>
                <w:szCs w:val="18"/>
              </w:rPr>
            </w:pPr>
            <w:r>
              <w:rPr>
                <w:rFonts w:ascii="Verdana" w:hAnsi="Verdana"/>
                <w:b/>
                <w:sz w:val="18"/>
                <w:szCs w:val="18"/>
              </w:rPr>
              <w:t xml:space="preserve">(with  </w:t>
            </w:r>
            <w:r w:rsidRPr="00A254B4">
              <w:rPr>
                <w:rFonts w:ascii="Verdana" w:hAnsi="Verdana"/>
                <w:b/>
                <w:sz w:val="18"/>
                <w:szCs w:val="18"/>
              </w:rPr>
              <w:t>Responses</w:t>
            </w:r>
            <w:r>
              <w:rPr>
                <w:rFonts w:ascii="Verdana" w:hAnsi="Verdana"/>
                <w:b/>
                <w:sz w:val="18"/>
                <w:szCs w:val="18"/>
              </w:rPr>
              <w:t>)</w:t>
            </w:r>
          </w:p>
        </w:tc>
        <w:tc>
          <w:tcPr>
            <w:tcW w:w="1620" w:type="dxa"/>
            <w:shd w:val="clear" w:color="auto" w:fill="C6D9F1"/>
          </w:tcPr>
          <w:p w:rsidR="006D3D60" w:rsidRDefault="006D3D60" w:rsidP="00F748FF">
            <w:pPr>
              <w:rPr>
                <w:rFonts w:ascii="Verdana" w:hAnsi="Verdana"/>
                <w:b/>
                <w:sz w:val="18"/>
                <w:szCs w:val="18"/>
              </w:rPr>
            </w:pPr>
            <w:r>
              <w:rPr>
                <w:rFonts w:ascii="Verdana" w:hAnsi="Verdana"/>
                <w:b/>
                <w:sz w:val="18"/>
                <w:szCs w:val="18"/>
              </w:rPr>
              <w:t>*</w:t>
            </w:r>
            <w:r w:rsidRPr="00A254B4">
              <w:rPr>
                <w:rFonts w:ascii="Verdana" w:hAnsi="Verdana"/>
                <w:b/>
                <w:sz w:val="18"/>
                <w:szCs w:val="18"/>
              </w:rPr>
              <w:t xml:space="preserve">Average Number of Reponses per Respondent </w:t>
            </w:r>
          </w:p>
          <w:p w:rsidR="006D3D60" w:rsidRPr="00A254B4" w:rsidRDefault="006D3D60" w:rsidP="00F748FF">
            <w:pPr>
              <w:rPr>
                <w:rFonts w:ascii="Verdana" w:hAnsi="Verdana"/>
                <w:b/>
                <w:sz w:val="18"/>
                <w:szCs w:val="18"/>
              </w:rPr>
            </w:pPr>
            <w:r>
              <w:rPr>
                <w:rFonts w:ascii="Verdana" w:hAnsi="Verdana"/>
                <w:b/>
                <w:sz w:val="18"/>
                <w:szCs w:val="18"/>
              </w:rPr>
              <w:t>(</w:t>
            </w:r>
            <w:r w:rsidRPr="00A254B4">
              <w:rPr>
                <w:rFonts w:ascii="Verdana" w:hAnsi="Verdana"/>
                <w:b/>
                <w:sz w:val="18"/>
                <w:szCs w:val="18"/>
              </w:rPr>
              <w:t>with Responses</w:t>
            </w:r>
            <w:r>
              <w:rPr>
                <w:rFonts w:ascii="Verdana" w:hAnsi="Verdana"/>
                <w:b/>
                <w:sz w:val="18"/>
                <w:szCs w:val="18"/>
              </w:rPr>
              <w:t>)</w:t>
            </w:r>
          </w:p>
        </w:tc>
        <w:tc>
          <w:tcPr>
            <w:tcW w:w="1620" w:type="dxa"/>
            <w:shd w:val="clear" w:color="auto" w:fill="C6D9F1"/>
          </w:tcPr>
          <w:p w:rsidR="006D3D60" w:rsidRPr="00A254B4" w:rsidRDefault="006D3D60" w:rsidP="00F748FF">
            <w:pPr>
              <w:rPr>
                <w:rFonts w:ascii="Verdana" w:hAnsi="Verdana"/>
                <w:b/>
                <w:sz w:val="18"/>
                <w:szCs w:val="18"/>
              </w:rPr>
            </w:pPr>
            <w:r w:rsidRPr="00A254B4">
              <w:rPr>
                <w:rFonts w:ascii="Verdana" w:hAnsi="Verdana"/>
                <w:b/>
                <w:sz w:val="18"/>
                <w:szCs w:val="18"/>
              </w:rPr>
              <w:t>Total  Annual Responses</w:t>
            </w:r>
          </w:p>
        </w:tc>
        <w:tc>
          <w:tcPr>
            <w:tcW w:w="1260" w:type="dxa"/>
            <w:shd w:val="clear" w:color="auto" w:fill="C6D9F1"/>
          </w:tcPr>
          <w:p w:rsidR="006D3D60" w:rsidRPr="00A254B4" w:rsidRDefault="006D3D60" w:rsidP="00F748FF">
            <w:pPr>
              <w:rPr>
                <w:rFonts w:ascii="Verdana" w:hAnsi="Verdana"/>
                <w:b/>
                <w:sz w:val="18"/>
                <w:szCs w:val="18"/>
              </w:rPr>
            </w:pPr>
            <w:r w:rsidRPr="00A254B4">
              <w:rPr>
                <w:rFonts w:ascii="Verdana" w:hAnsi="Verdana"/>
                <w:b/>
                <w:sz w:val="18"/>
                <w:szCs w:val="18"/>
              </w:rPr>
              <w:t xml:space="preserve">  Minutes </w:t>
            </w:r>
          </w:p>
          <w:p w:rsidR="006D3D60" w:rsidRPr="00A254B4" w:rsidRDefault="006D3D60" w:rsidP="00F748FF">
            <w:pPr>
              <w:rPr>
                <w:rFonts w:ascii="Verdana" w:hAnsi="Verdana"/>
                <w:b/>
                <w:sz w:val="18"/>
                <w:szCs w:val="18"/>
              </w:rPr>
            </w:pPr>
            <w:r w:rsidRPr="00A254B4">
              <w:rPr>
                <w:rFonts w:ascii="Verdana" w:hAnsi="Verdana"/>
                <w:b/>
                <w:sz w:val="18"/>
                <w:szCs w:val="18"/>
              </w:rPr>
              <w:t xml:space="preserve">     per    Response</w:t>
            </w:r>
          </w:p>
        </w:tc>
        <w:tc>
          <w:tcPr>
            <w:tcW w:w="1350" w:type="dxa"/>
            <w:shd w:val="clear" w:color="auto" w:fill="C6D9F1"/>
          </w:tcPr>
          <w:p w:rsidR="006D3D60" w:rsidRPr="00A254B4" w:rsidRDefault="006D3D60" w:rsidP="00F748FF">
            <w:pPr>
              <w:rPr>
                <w:rFonts w:ascii="Verdana" w:hAnsi="Verdana"/>
                <w:b/>
                <w:sz w:val="18"/>
                <w:szCs w:val="18"/>
              </w:rPr>
            </w:pPr>
            <w:r w:rsidRPr="00A254B4">
              <w:rPr>
                <w:rFonts w:ascii="Verdana" w:hAnsi="Verdana"/>
                <w:b/>
                <w:sz w:val="18"/>
                <w:szCs w:val="18"/>
              </w:rPr>
              <w:t xml:space="preserve">    Total  </w:t>
            </w:r>
          </w:p>
          <w:p w:rsidR="006D3D60" w:rsidRPr="00A254B4" w:rsidRDefault="006D3D60" w:rsidP="00F748FF">
            <w:pPr>
              <w:rPr>
                <w:rFonts w:ascii="Verdana" w:hAnsi="Verdana"/>
                <w:b/>
                <w:sz w:val="18"/>
                <w:szCs w:val="18"/>
              </w:rPr>
            </w:pPr>
            <w:r w:rsidRPr="00A254B4">
              <w:rPr>
                <w:rFonts w:ascii="Verdana" w:hAnsi="Verdana"/>
                <w:b/>
                <w:sz w:val="18"/>
                <w:szCs w:val="18"/>
              </w:rPr>
              <w:t xml:space="preserve">    Hours       </w:t>
            </w:r>
          </w:p>
        </w:tc>
        <w:tc>
          <w:tcPr>
            <w:tcW w:w="1890" w:type="dxa"/>
            <w:shd w:val="clear" w:color="auto" w:fill="C6D9F1"/>
          </w:tcPr>
          <w:p w:rsidR="006D3D60" w:rsidRPr="00A254B4" w:rsidRDefault="006D3D60" w:rsidP="00F748FF">
            <w:pPr>
              <w:rPr>
                <w:rFonts w:ascii="Verdana" w:hAnsi="Verdana"/>
                <w:b/>
                <w:sz w:val="18"/>
                <w:szCs w:val="18"/>
              </w:rPr>
            </w:pPr>
            <w:r w:rsidRPr="00A254B4">
              <w:rPr>
                <w:rFonts w:ascii="Verdana" w:hAnsi="Verdana"/>
                <w:b/>
                <w:sz w:val="18"/>
                <w:szCs w:val="18"/>
              </w:rPr>
              <w:t xml:space="preserve">Regulatory </w:t>
            </w:r>
          </w:p>
          <w:p w:rsidR="006D3D60" w:rsidRPr="00A254B4" w:rsidRDefault="006D3D60" w:rsidP="00F748FF">
            <w:pPr>
              <w:rPr>
                <w:rFonts w:ascii="Verdana" w:hAnsi="Verdana"/>
                <w:b/>
                <w:sz w:val="18"/>
                <w:szCs w:val="18"/>
              </w:rPr>
            </w:pPr>
            <w:r w:rsidRPr="00A254B4">
              <w:rPr>
                <w:rFonts w:ascii="Verdana" w:hAnsi="Verdana"/>
                <w:b/>
                <w:sz w:val="18"/>
                <w:szCs w:val="18"/>
              </w:rPr>
              <w:t xml:space="preserve">Reference </w:t>
            </w:r>
          </w:p>
          <w:p w:rsidR="006D3D60" w:rsidRPr="00A254B4" w:rsidRDefault="006D3D60" w:rsidP="00F748FF">
            <w:pPr>
              <w:rPr>
                <w:rFonts w:ascii="Verdana" w:hAnsi="Verdana"/>
                <w:b/>
                <w:sz w:val="18"/>
                <w:szCs w:val="18"/>
              </w:rPr>
            </w:pPr>
          </w:p>
          <w:p w:rsidR="006D3D60" w:rsidRDefault="006D3D60" w:rsidP="00F748FF">
            <w:pPr>
              <w:rPr>
                <w:rFonts w:ascii="Verdana" w:hAnsi="Verdana"/>
                <w:b/>
                <w:sz w:val="18"/>
                <w:szCs w:val="18"/>
              </w:rPr>
            </w:pPr>
            <w:r w:rsidRPr="00A254B4">
              <w:rPr>
                <w:rFonts w:ascii="Verdana" w:hAnsi="Verdana"/>
                <w:b/>
                <w:sz w:val="18"/>
                <w:szCs w:val="18"/>
              </w:rPr>
              <w:t>(24 CFR)</w:t>
            </w:r>
          </w:p>
          <w:p w:rsidR="006D3D60" w:rsidRDefault="006D3D60" w:rsidP="00F748FF">
            <w:pPr>
              <w:rPr>
                <w:rFonts w:ascii="Verdana" w:hAnsi="Verdana"/>
                <w:b/>
                <w:sz w:val="18"/>
                <w:szCs w:val="18"/>
              </w:rPr>
            </w:pPr>
          </w:p>
          <w:p w:rsidR="006D3D60" w:rsidRPr="00A254B4" w:rsidRDefault="006D3D60" w:rsidP="00F748FF">
            <w:pPr>
              <w:rPr>
                <w:rFonts w:ascii="Verdana" w:hAnsi="Verdana"/>
                <w:b/>
                <w:sz w:val="18"/>
                <w:szCs w:val="18"/>
              </w:rPr>
            </w:pPr>
            <w:r>
              <w:rPr>
                <w:rFonts w:ascii="Verdana" w:hAnsi="Verdana"/>
                <w:b/>
                <w:sz w:val="18"/>
                <w:szCs w:val="18"/>
              </w:rPr>
              <w:t>*See Attached</w:t>
            </w:r>
          </w:p>
        </w:tc>
      </w:tr>
      <w:tr w:rsidR="006D3D60" w:rsidRPr="00A254B4" w:rsidTr="00F748FF">
        <w:trPr>
          <w:trHeight w:val="539"/>
        </w:trPr>
        <w:tc>
          <w:tcPr>
            <w:tcW w:w="1818" w:type="dxa"/>
          </w:tcPr>
          <w:p w:rsidR="006D3D60" w:rsidRPr="00A254B4" w:rsidRDefault="006D3D60" w:rsidP="00F748FF">
            <w:pPr>
              <w:rPr>
                <w:rFonts w:ascii="Verdana" w:hAnsi="Verdana"/>
                <w:sz w:val="18"/>
                <w:szCs w:val="18"/>
              </w:rPr>
            </w:pPr>
            <w:r w:rsidRPr="00A254B4">
              <w:rPr>
                <w:rFonts w:ascii="Verdana" w:hAnsi="Verdana"/>
                <w:sz w:val="18"/>
                <w:szCs w:val="18"/>
              </w:rPr>
              <w:t>Form HUD-50058</w:t>
            </w:r>
          </w:p>
          <w:p w:rsidR="006D3D60" w:rsidRPr="00A254B4" w:rsidRDefault="006D3D60" w:rsidP="00F748FF">
            <w:pPr>
              <w:rPr>
                <w:rFonts w:ascii="Verdana" w:hAnsi="Verdana"/>
                <w:b/>
                <w:sz w:val="18"/>
                <w:szCs w:val="18"/>
              </w:rPr>
            </w:pPr>
            <w:r w:rsidRPr="00A254B4">
              <w:rPr>
                <w:rFonts w:ascii="Verdana" w:hAnsi="Verdana"/>
                <w:sz w:val="18"/>
                <w:szCs w:val="18"/>
              </w:rPr>
              <w:t>New Admission</w:t>
            </w:r>
            <w:r w:rsidRPr="00A254B4">
              <w:rPr>
                <w:rFonts w:ascii="Verdana" w:hAnsi="Verdana"/>
                <w:b/>
                <w:sz w:val="18"/>
                <w:szCs w:val="18"/>
              </w:rPr>
              <w:t xml:space="preserve">              </w:t>
            </w:r>
          </w:p>
        </w:tc>
        <w:tc>
          <w:tcPr>
            <w:tcW w:w="1530" w:type="dxa"/>
          </w:tcPr>
          <w:p w:rsidR="006D3D60" w:rsidRPr="00A254B4" w:rsidRDefault="006D3D60" w:rsidP="00F748FF">
            <w:pPr>
              <w:rPr>
                <w:rFonts w:ascii="Verdana" w:hAnsi="Verdana"/>
                <w:b/>
                <w:sz w:val="18"/>
                <w:szCs w:val="18"/>
              </w:rPr>
            </w:pPr>
            <w:r w:rsidRPr="00A254B4">
              <w:rPr>
                <w:rFonts w:ascii="Verdana" w:hAnsi="Verdana"/>
                <w:sz w:val="18"/>
                <w:szCs w:val="18"/>
              </w:rPr>
              <w:t xml:space="preserve">      </w:t>
            </w:r>
            <w:r>
              <w:rPr>
                <w:rFonts w:ascii="Verdana" w:hAnsi="Verdana"/>
                <w:sz w:val="18"/>
                <w:szCs w:val="18"/>
              </w:rPr>
              <w:t>4,114</w:t>
            </w:r>
          </w:p>
        </w:tc>
        <w:tc>
          <w:tcPr>
            <w:tcW w:w="1620" w:type="dxa"/>
          </w:tcPr>
          <w:p w:rsidR="006D3D60" w:rsidRPr="00A254B4" w:rsidRDefault="006D3D60" w:rsidP="00F748FF">
            <w:pPr>
              <w:rPr>
                <w:rFonts w:ascii="Verdana" w:hAnsi="Verdana"/>
                <w:sz w:val="18"/>
                <w:szCs w:val="18"/>
              </w:rPr>
            </w:pPr>
            <w:r>
              <w:rPr>
                <w:rFonts w:ascii="Verdana" w:hAnsi="Verdana"/>
                <w:sz w:val="18"/>
                <w:szCs w:val="18"/>
              </w:rPr>
              <w:t xml:space="preserve">        87</w:t>
            </w:r>
          </w:p>
        </w:tc>
        <w:tc>
          <w:tcPr>
            <w:tcW w:w="1620" w:type="dxa"/>
          </w:tcPr>
          <w:p w:rsidR="006D3D60" w:rsidRPr="00A254B4" w:rsidRDefault="006D3D60" w:rsidP="00F748FF">
            <w:pPr>
              <w:rPr>
                <w:rFonts w:ascii="Verdana" w:hAnsi="Verdana"/>
                <w:b/>
                <w:sz w:val="18"/>
                <w:szCs w:val="18"/>
              </w:rPr>
            </w:pPr>
            <w:r w:rsidRPr="00A254B4">
              <w:rPr>
                <w:rFonts w:ascii="Verdana" w:hAnsi="Verdana"/>
                <w:sz w:val="18"/>
                <w:szCs w:val="18"/>
              </w:rPr>
              <w:t xml:space="preserve">    355,984</w:t>
            </w:r>
          </w:p>
        </w:tc>
        <w:tc>
          <w:tcPr>
            <w:tcW w:w="1260" w:type="dxa"/>
          </w:tcPr>
          <w:p w:rsidR="006D3D60" w:rsidRPr="00A254B4" w:rsidRDefault="006D3D60" w:rsidP="00F748FF">
            <w:pPr>
              <w:rPr>
                <w:rFonts w:ascii="Verdana" w:hAnsi="Verdana"/>
                <w:sz w:val="18"/>
                <w:szCs w:val="18"/>
              </w:rPr>
            </w:pPr>
            <w:r w:rsidRPr="00A254B4">
              <w:rPr>
                <w:rFonts w:ascii="Verdana" w:hAnsi="Verdana"/>
                <w:sz w:val="18"/>
                <w:szCs w:val="18"/>
              </w:rPr>
              <w:t xml:space="preserve">     40</w:t>
            </w:r>
          </w:p>
        </w:tc>
        <w:tc>
          <w:tcPr>
            <w:tcW w:w="1350" w:type="dxa"/>
          </w:tcPr>
          <w:p w:rsidR="006D3D60" w:rsidRPr="00A254B4" w:rsidRDefault="006D3D60" w:rsidP="00F748FF">
            <w:pPr>
              <w:rPr>
                <w:rFonts w:ascii="Verdana" w:hAnsi="Verdana"/>
                <w:sz w:val="18"/>
                <w:szCs w:val="18"/>
              </w:rPr>
            </w:pPr>
            <w:r w:rsidRPr="00A254B4">
              <w:rPr>
                <w:rFonts w:ascii="Verdana" w:hAnsi="Verdana"/>
                <w:sz w:val="18"/>
                <w:szCs w:val="18"/>
              </w:rPr>
              <w:t xml:space="preserve">  237,323</w:t>
            </w:r>
          </w:p>
        </w:tc>
        <w:tc>
          <w:tcPr>
            <w:tcW w:w="1890" w:type="dxa"/>
          </w:tcPr>
          <w:p w:rsidR="006D3D60" w:rsidRPr="00A254B4" w:rsidRDefault="006D3D60" w:rsidP="00F748FF">
            <w:pPr>
              <w:rPr>
                <w:rFonts w:ascii="Verdana" w:hAnsi="Verdana"/>
                <w:sz w:val="18"/>
                <w:szCs w:val="18"/>
              </w:rPr>
            </w:pPr>
            <w:r>
              <w:rPr>
                <w:rFonts w:ascii="Verdana" w:hAnsi="Verdana"/>
                <w:sz w:val="18"/>
                <w:szCs w:val="18"/>
              </w:rPr>
              <w:t>908.101</w:t>
            </w:r>
          </w:p>
        </w:tc>
      </w:tr>
      <w:tr w:rsidR="006D3D60" w:rsidRPr="00A254B4" w:rsidTr="00F748FF">
        <w:trPr>
          <w:trHeight w:val="431"/>
        </w:trPr>
        <w:tc>
          <w:tcPr>
            <w:tcW w:w="1818" w:type="dxa"/>
          </w:tcPr>
          <w:p w:rsidR="006D3D60" w:rsidRPr="00A254B4" w:rsidRDefault="006D3D60" w:rsidP="00F748FF">
            <w:pPr>
              <w:rPr>
                <w:rFonts w:ascii="Verdana" w:hAnsi="Verdana"/>
                <w:sz w:val="18"/>
                <w:szCs w:val="18"/>
              </w:rPr>
            </w:pPr>
            <w:r w:rsidRPr="00A254B4">
              <w:rPr>
                <w:rFonts w:ascii="Verdana" w:hAnsi="Verdana"/>
                <w:sz w:val="18"/>
                <w:szCs w:val="18"/>
              </w:rPr>
              <w:t>Form HUD-50058</w:t>
            </w:r>
          </w:p>
          <w:p w:rsidR="006D3D60" w:rsidRPr="00A254B4" w:rsidRDefault="006D3D60" w:rsidP="00F748FF">
            <w:pPr>
              <w:rPr>
                <w:rFonts w:ascii="Verdana" w:hAnsi="Verdana"/>
                <w:sz w:val="18"/>
                <w:szCs w:val="18"/>
              </w:rPr>
            </w:pPr>
            <w:r w:rsidRPr="00A254B4">
              <w:rPr>
                <w:rFonts w:ascii="Verdana" w:hAnsi="Verdana"/>
                <w:sz w:val="18"/>
                <w:szCs w:val="18"/>
              </w:rPr>
              <w:t>Recertification</w:t>
            </w:r>
          </w:p>
        </w:tc>
        <w:tc>
          <w:tcPr>
            <w:tcW w:w="1530" w:type="dxa"/>
          </w:tcPr>
          <w:p w:rsidR="006D3D60" w:rsidRPr="00A254B4" w:rsidRDefault="006D3D60" w:rsidP="00F748FF">
            <w:pPr>
              <w:rPr>
                <w:rFonts w:ascii="Verdana" w:hAnsi="Verdana"/>
                <w:b/>
                <w:sz w:val="18"/>
                <w:szCs w:val="18"/>
              </w:rPr>
            </w:pPr>
            <w:r w:rsidRPr="00A254B4">
              <w:rPr>
                <w:rFonts w:ascii="Verdana" w:hAnsi="Verdana"/>
                <w:color w:val="000000"/>
                <w:sz w:val="18"/>
                <w:szCs w:val="18"/>
              </w:rPr>
              <w:t xml:space="preserve">      4,</w:t>
            </w:r>
            <w:r>
              <w:rPr>
                <w:rFonts w:ascii="Verdana" w:hAnsi="Verdana"/>
                <w:color w:val="000000"/>
                <w:sz w:val="18"/>
                <w:szCs w:val="18"/>
              </w:rPr>
              <w:t>114</w:t>
            </w:r>
          </w:p>
        </w:tc>
        <w:tc>
          <w:tcPr>
            <w:tcW w:w="1620" w:type="dxa"/>
          </w:tcPr>
          <w:p w:rsidR="006D3D60" w:rsidRPr="00A254B4" w:rsidRDefault="006D3D60" w:rsidP="00F748FF">
            <w:pPr>
              <w:rPr>
                <w:rFonts w:ascii="Verdana" w:hAnsi="Verdana"/>
                <w:sz w:val="18"/>
                <w:szCs w:val="18"/>
              </w:rPr>
            </w:pPr>
            <w:r>
              <w:rPr>
                <w:rFonts w:ascii="Verdana" w:hAnsi="Verdana"/>
                <w:sz w:val="18"/>
                <w:szCs w:val="18"/>
              </w:rPr>
              <w:t xml:space="preserve">       583</w:t>
            </w:r>
          </w:p>
        </w:tc>
        <w:tc>
          <w:tcPr>
            <w:tcW w:w="1620" w:type="dxa"/>
          </w:tcPr>
          <w:p w:rsidR="006D3D60" w:rsidRPr="00A254B4" w:rsidRDefault="006D3D60" w:rsidP="00F748FF">
            <w:pPr>
              <w:rPr>
                <w:rFonts w:ascii="Verdana" w:hAnsi="Verdana"/>
                <w:b/>
                <w:sz w:val="18"/>
                <w:szCs w:val="18"/>
              </w:rPr>
            </w:pPr>
            <w:r w:rsidRPr="00A254B4">
              <w:rPr>
                <w:rFonts w:ascii="Verdana" w:hAnsi="Verdana"/>
                <w:sz w:val="18"/>
                <w:szCs w:val="18"/>
              </w:rPr>
              <w:t xml:space="preserve">   2,398,340</w:t>
            </w:r>
          </w:p>
        </w:tc>
        <w:tc>
          <w:tcPr>
            <w:tcW w:w="1260" w:type="dxa"/>
          </w:tcPr>
          <w:p w:rsidR="006D3D60" w:rsidRPr="00A254B4" w:rsidRDefault="006D3D60" w:rsidP="00F748FF">
            <w:pPr>
              <w:rPr>
                <w:rFonts w:ascii="Verdana" w:hAnsi="Verdana"/>
                <w:sz w:val="18"/>
                <w:szCs w:val="18"/>
              </w:rPr>
            </w:pPr>
            <w:r w:rsidRPr="00A254B4">
              <w:rPr>
                <w:rFonts w:ascii="Verdana" w:hAnsi="Verdana"/>
                <w:sz w:val="18"/>
                <w:szCs w:val="18"/>
              </w:rPr>
              <w:t xml:space="preserve">     20</w:t>
            </w:r>
          </w:p>
        </w:tc>
        <w:tc>
          <w:tcPr>
            <w:tcW w:w="1350" w:type="dxa"/>
          </w:tcPr>
          <w:p w:rsidR="006D3D60" w:rsidRPr="00A254B4" w:rsidRDefault="006D3D60" w:rsidP="00F748FF">
            <w:pPr>
              <w:rPr>
                <w:rFonts w:ascii="Verdana" w:hAnsi="Verdana"/>
                <w:sz w:val="18"/>
                <w:szCs w:val="18"/>
              </w:rPr>
            </w:pPr>
            <w:r w:rsidRPr="00A254B4">
              <w:rPr>
                <w:rFonts w:ascii="Verdana" w:hAnsi="Verdana"/>
                <w:sz w:val="18"/>
                <w:szCs w:val="18"/>
              </w:rPr>
              <w:t xml:space="preserve">  799,447</w:t>
            </w:r>
          </w:p>
        </w:tc>
        <w:tc>
          <w:tcPr>
            <w:tcW w:w="1890" w:type="dxa"/>
          </w:tcPr>
          <w:p w:rsidR="006D3D60" w:rsidRPr="00A254B4" w:rsidRDefault="006D3D60" w:rsidP="00F748FF">
            <w:pPr>
              <w:rPr>
                <w:rFonts w:ascii="Verdana" w:hAnsi="Verdana"/>
                <w:sz w:val="18"/>
                <w:szCs w:val="18"/>
              </w:rPr>
            </w:pPr>
            <w:r>
              <w:rPr>
                <w:rFonts w:ascii="Verdana" w:hAnsi="Verdana"/>
                <w:sz w:val="18"/>
                <w:szCs w:val="18"/>
              </w:rPr>
              <w:t>908.101</w:t>
            </w:r>
          </w:p>
        </w:tc>
      </w:tr>
      <w:tr w:rsidR="006D3D60" w:rsidRPr="00A254B4" w:rsidTr="00F748FF">
        <w:trPr>
          <w:trHeight w:val="539"/>
        </w:trPr>
        <w:tc>
          <w:tcPr>
            <w:tcW w:w="1818" w:type="dxa"/>
          </w:tcPr>
          <w:p w:rsidR="006D3D60" w:rsidRPr="00A254B4" w:rsidRDefault="006D3D60" w:rsidP="00F748FF">
            <w:pPr>
              <w:rPr>
                <w:rFonts w:ascii="Verdana" w:hAnsi="Verdana"/>
                <w:sz w:val="18"/>
                <w:szCs w:val="18"/>
              </w:rPr>
            </w:pPr>
            <w:r w:rsidRPr="00A254B4">
              <w:rPr>
                <w:rFonts w:ascii="Verdana" w:hAnsi="Verdana"/>
                <w:sz w:val="18"/>
                <w:szCs w:val="18"/>
              </w:rPr>
              <w:t>Form HUD-50058</w:t>
            </w:r>
          </w:p>
          <w:p w:rsidR="006D3D60" w:rsidRPr="00A254B4" w:rsidRDefault="006D3D60" w:rsidP="00F748FF">
            <w:pPr>
              <w:rPr>
                <w:rFonts w:ascii="Verdana" w:hAnsi="Verdana"/>
                <w:sz w:val="18"/>
                <w:szCs w:val="18"/>
              </w:rPr>
            </w:pPr>
            <w:r w:rsidRPr="00A254B4">
              <w:rPr>
                <w:rFonts w:ascii="Verdana" w:hAnsi="Verdana"/>
                <w:sz w:val="18"/>
                <w:szCs w:val="18"/>
              </w:rPr>
              <w:t xml:space="preserve">        MTW</w:t>
            </w:r>
          </w:p>
          <w:p w:rsidR="006D3D60" w:rsidRPr="00A254B4" w:rsidRDefault="006D3D60" w:rsidP="00F748FF">
            <w:pPr>
              <w:rPr>
                <w:rFonts w:ascii="Verdana" w:hAnsi="Verdana"/>
                <w:sz w:val="18"/>
                <w:szCs w:val="18"/>
              </w:rPr>
            </w:pPr>
            <w:r w:rsidRPr="00A254B4">
              <w:rPr>
                <w:rFonts w:ascii="Verdana" w:hAnsi="Verdana"/>
                <w:sz w:val="18"/>
                <w:szCs w:val="18"/>
              </w:rPr>
              <w:t>New Admission</w:t>
            </w:r>
          </w:p>
        </w:tc>
        <w:tc>
          <w:tcPr>
            <w:tcW w:w="1530" w:type="dxa"/>
          </w:tcPr>
          <w:p w:rsidR="006D3D60" w:rsidRPr="00A254B4" w:rsidRDefault="006D3D60" w:rsidP="00F748FF">
            <w:pPr>
              <w:rPr>
                <w:rFonts w:ascii="Verdana" w:hAnsi="Verdana"/>
                <w:b/>
                <w:sz w:val="18"/>
                <w:szCs w:val="18"/>
              </w:rPr>
            </w:pPr>
            <w:r w:rsidRPr="00A254B4">
              <w:rPr>
                <w:color w:val="000000"/>
              </w:rPr>
              <w:t xml:space="preserve">         25</w:t>
            </w:r>
          </w:p>
        </w:tc>
        <w:tc>
          <w:tcPr>
            <w:tcW w:w="1620" w:type="dxa"/>
          </w:tcPr>
          <w:p w:rsidR="006D3D60" w:rsidRPr="00A254B4" w:rsidRDefault="006D3D60" w:rsidP="00F748FF">
            <w:pPr>
              <w:rPr>
                <w:rFonts w:ascii="Verdana" w:hAnsi="Verdana"/>
                <w:sz w:val="18"/>
                <w:szCs w:val="18"/>
              </w:rPr>
            </w:pPr>
            <w:r w:rsidRPr="00A254B4">
              <w:rPr>
                <w:rFonts w:ascii="Verdana" w:hAnsi="Verdana"/>
                <w:sz w:val="18"/>
                <w:szCs w:val="18"/>
              </w:rPr>
              <w:t xml:space="preserve">       </w:t>
            </w:r>
            <w:r>
              <w:rPr>
                <w:rFonts w:ascii="Verdana" w:hAnsi="Verdana"/>
                <w:sz w:val="18"/>
                <w:szCs w:val="18"/>
              </w:rPr>
              <w:t>529</w:t>
            </w:r>
          </w:p>
        </w:tc>
        <w:tc>
          <w:tcPr>
            <w:tcW w:w="1620" w:type="dxa"/>
          </w:tcPr>
          <w:p w:rsidR="006D3D60" w:rsidRPr="00A254B4" w:rsidRDefault="006D3D60" w:rsidP="00F748FF">
            <w:pPr>
              <w:rPr>
                <w:rFonts w:ascii="Verdana" w:hAnsi="Verdana"/>
                <w:b/>
                <w:sz w:val="18"/>
                <w:szCs w:val="18"/>
              </w:rPr>
            </w:pPr>
            <w:r w:rsidRPr="00A254B4">
              <w:rPr>
                <w:rFonts w:ascii="Verdana" w:hAnsi="Verdana"/>
                <w:sz w:val="18"/>
                <w:szCs w:val="18"/>
              </w:rPr>
              <w:t xml:space="preserve">     13,236</w:t>
            </w:r>
          </w:p>
        </w:tc>
        <w:tc>
          <w:tcPr>
            <w:tcW w:w="1260" w:type="dxa"/>
          </w:tcPr>
          <w:p w:rsidR="006D3D60" w:rsidRPr="00A254B4" w:rsidRDefault="006D3D60" w:rsidP="00F748FF">
            <w:pPr>
              <w:rPr>
                <w:rFonts w:ascii="Verdana" w:hAnsi="Verdana"/>
                <w:sz w:val="18"/>
                <w:szCs w:val="18"/>
              </w:rPr>
            </w:pPr>
            <w:r w:rsidRPr="00A254B4">
              <w:rPr>
                <w:rFonts w:ascii="Verdana" w:hAnsi="Verdana"/>
                <w:sz w:val="18"/>
                <w:szCs w:val="18"/>
              </w:rPr>
              <w:t xml:space="preserve">     40</w:t>
            </w:r>
          </w:p>
        </w:tc>
        <w:tc>
          <w:tcPr>
            <w:tcW w:w="1350" w:type="dxa"/>
          </w:tcPr>
          <w:p w:rsidR="006D3D60" w:rsidRPr="00A254B4" w:rsidRDefault="006D3D60" w:rsidP="00F748FF">
            <w:pPr>
              <w:rPr>
                <w:rFonts w:ascii="Verdana" w:hAnsi="Verdana"/>
                <w:sz w:val="18"/>
                <w:szCs w:val="18"/>
              </w:rPr>
            </w:pPr>
            <w:r w:rsidRPr="00A254B4">
              <w:rPr>
                <w:rFonts w:ascii="Verdana" w:hAnsi="Verdana"/>
                <w:sz w:val="18"/>
                <w:szCs w:val="18"/>
              </w:rPr>
              <w:t xml:space="preserve">    8,824</w:t>
            </w:r>
          </w:p>
        </w:tc>
        <w:tc>
          <w:tcPr>
            <w:tcW w:w="1890" w:type="dxa"/>
          </w:tcPr>
          <w:p w:rsidR="006D3D60" w:rsidRPr="00A254B4" w:rsidRDefault="006D3D60" w:rsidP="00F748FF">
            <w:pPr>
              <w:rPr>
                <w:rFonts w:ascii="Verdana" w:hAnsi="Verdana"/>
                <w:b/>
                <w:sz w:val="18"/>
                <w:szCs w:val="18"/>
              </w:rPr>
            </w:pPr>
            <w:r w:rsidRPr="00A254B4">
              <w:rPr>
                <w:rFonts w:ascii="Verdana" w:hAnsi="Verdana"/>
                <w:sz w:val="18"/>
                <w:szCs w:val="18"/>
              </w:rPr>
              <w:t>908.101</w:t>
            </w:r>
          </w:p>
        </w:tc>
      </w:tr>
      <w:tr w:rsidR="006D3D60" w:rsidRPr="00A254B4" w:rsidTr="00F748FF">
        <w:trPr>
          <w:trHeight w:val="521"/>
        </w:trPr>
        <w:tc>
          <w:tcPr>
            <w:tcW w:w="1818" w:type="dxa"/>
          </w:tcPr>
          <w:p w:rsidR="006D3D60" w:rsidRPr="00A254B4" w:rsidRDefault="006D3D60" w:rsidP="00F748FF">
            <w:pPr>
              <w:rPr>
                <w:rFonts w:ascii="Verdana" w:hAnsi="Verdana"/>
                <w:sz w:val="18"/>
                <w:szCs w:val="18"/>
              </w:rPr>
            </w:pPr>
            <w:r w:rsidRPr="00A254B4">
              <w:rPr>
                <w:rFonts w:ascii="Verdana" w:hAnsi="Verdana"/>
                <w:sz w:val="18"/>
                <w:szCs w:val="18"/>
              </w:rPr>
              <w:t>Form HUD-50058</w:t>
            </w:r>
          </w:p>
          <w:p w:rsidR="006D3D60" w:rsidRDefault="006D3D60" w:rsidP="00F748FF">
            <w:pPr>
              <w:rPr>
                <w:rFonts w:ascii="Verdana" w:hAnsi="Verdana"/>
                <w:sz w:val="18"/>
                <w:szCs w:val="18"/>
              </w:rPr>
            </w:pPr>
            <w:r w:rsidRPr="00A254B4">
              <w:rPr>
                <w:rFonts w:ascii="Verdana" w:hAnsi="Verdana"/>
                <w:sz w:val="18"/>
                <w:szCs w:val="18"/>
              </w:rPr>
              <w:t xml:space="preserve">  Recertification</w:t>
            </w:r>
          </w:p>
          <w:p w:rsidR="006D3D60" w:rsidRPr="00A254B4" w:rsidRDefault="006D3D60" w:rsidP="00F748FF">
            <w:pPr>
              <w:rPr>
                <w:rFonts w:ascii="Verdana" w:hAnsi="Verdana"/>
                <w:sz w:val="18"/>
                <w:szCs w:val="18"/>
              </w:rPr>
            </w:pPr>
            <w:r>
              <w:rPr>
                <w:rFonts w:ascii="Verdana" w:hAnsi="Verdana"/>
                <w:sz w:val="18"/>
                <w:szCs w:val="18"/>
              </w:rPr>
              <w:t xml:space="preserve">        MTW</w:t>
            </w:r>
          </w:p>
        </w:tc>
        <w:tc>
          <w:tcPr>
            <w:tcW w:w="1530" w:type="dxa"/>
          </w:tcPr>
          <w:p w:rsidR="006D3D60" w:rsidRPr="00A254B4" w:rsidRDefault="006D3D60" w:rsidP="00F748FF">
            <w:pPr>
              <w:rPr>
                <w:rFonts w:ascii="Verdana" w:hAnsi="Verdana"/>
                <w:b/>
                <w:sz w:val="18"/>
                <w:szCs w:val="18"/>
              </w:rPr>
            </w:pPr>
            <w:r w:rsidRPr="00A254B4">
              <w:rPr>
                <w:color w:val="000000"/>
              </w:rPr>
              <w:t xml:space="preserve">         25</w:t>
            </w:r>
          </w:p>
        </w:tc>
        <w:tc>
          <w:tcPr>
            <w:tcW w:w="1620" w:type="dxa"/>
          </w:tcPr>
          <w:p w:rsidR="006D3D60" w:rsidRPr="00A254B4" w:rsidRDefault="006D3D60" w:rsidP="00F748FF">
            <w:pPr>
              <w:rPr>
                <w:rFonts w:ascii="Verdana" w:hAnsi="Verdana"/>
                <w:sz w:val="18"/>
                <w:szCs w:val="18"/>
              </w:rPr>
            </w:pPr>
            <w:r w:rsidRPr="00A254B4">
              <w:rPr>
                <w:rFonts w:ascii="Verdana" w:hAnsi="Verdana"/>
                <w:sz w:val="18"/>
                <w:szCs w:val="18"/>
              </w:rPr>
              <w:t xml:space="preserve">      4,018</w:t>
            </w:r>
          </w:p>
        </w:tc>
        <w:tc>
          <w:tcPr>
            <w:tcW w:w="1620" w:type="dxa"/>
          </w:tcPr>
          <w:p w:rsidR="006D3D60" w:rsidRPr="00A254B4" w:rsidRDefault="006D3D60" w:rsidP="00F748FF">
            <w:pPr>
              <w:rPr>
                <w:rFonts w:ascii="Verdana" w:hAnsi="Verdana"/>
                <w:b/>
                <w:sz w:val="18"/>
                <w:szCs w:val="18"/>
              </w:rPr>
            </w:pPr>
            <w:r w:rsidRPr="00A254B4">
              <w:rPr>
                <w:rFonts w:ascii="Verdana" w:hAnsi="Verdana"/>
                <w:sz w:val="18"/>
                <w:szCs w:val="18"/>
              </w:rPr>
              <w:t xml:space="preserve">    100,444</w:t>
            </w:r>
          </w:p>
        </w:tc>
        <w:tc>
          <w:tcPr>
            <w:tcW w:w="1260" w:type="dxa"/>
          </w:tcPr>
          <w:p w:rsidR="006D3D60" w:rsidRPr="00A254B4" w:rsidRDefault="006D3D60" w:rsidP="00F748FF">
            <w:pPr>
              <w:rPr>
                <w:rFonts w:ascii="Verdana" w:hAnsi="Verdana"/>
                <w:sz w:val="18"/>
                <w:szCs w:val="18"/>
              </w:rPr>
            </w:pPr>
            <w:r w:rsidRPr="00A254B4">
              <w:rPr>
                <w:rFonts w:ascii="Verdana" w:hAnsi="Verdana"/>
                <w:sz w:val="18"/>
                <w:szCs w:val="18"/>
              </w:rPr>
              <w:t xml:space="preserve">     20</w:t>
            </w:r>
          </w:p>
        </w:tc>
        <w:tc>
          <w:tcPr>
            <w:tcW w:w="1350" w:type="dxa"/>
          </w:tcPr>
          <w:p w:rsidR="006D3D60" w:rsidRPr="00A254B4" w:rsidRDefault="006D3D60" w:rsidP="00F748FF">
            <w:pPr>
              <w:rPr>
                <w:rFonts w:ascii="Verdana" w:hAnsi="Verdana"/>
                <w:sz w:val="18"/>
                <w:szCs w:val="18"/>
              </w:rPr>
            </w:pPr>
            <w:r w:rsidRPr="00A254B4">
              <w:rPr>
                <w:rFonts w:ascii="Verdana" w:hAnsi="Verdana"/>
                <w:sz w:val="18"/>
                <w:szCs w:val="18"/>
              </w:rPr>
              <w:t xml:space="preserve">   33,481</w:t>
            </w:r>
          </w:p>
        </w:tc>
        <w:tc>
          <w:tcPr>
            <w:tcW w:w="1890" w:type="dxa"/>
          </w:tcPr>
          <w:p w:rsidR="006D3D60" w:rsidRPr="00A254B4" w:rsidRDefault="006D3D60" w:rsidP="00F748FF">
            <w:pPr>
              <w:rPr>
                <w:rFonts w:ascii="Verdana" w:hAnsi="Verdana"/>
                <w:b/>
                <w:sz w:val="18"/>
                <w:szCs w:val="18"/>
              </w:rPr>
            </w:pPr>
            <w:r w:rsidRPr="00A254B4">
              <w:rPr>
                <w:rFonts w:ascii="Verdana" w:hAnsi="Verdana"/>
                <w:sz w:val="18"/>
                <w:szCs w:val="18"/>
              </w:rPr>
              <w:t>908.101</w:t>
            </w:r>
          </w:p>
        </w:tc>
      </w:tr>
    </w:tbl>
    <w:p w:rsidR="006D3D60" w:rsidRDefault="006D3D60" w:rsidP="006D3D60">
      <w:pPr>
        <w:rPr>
          <w:rFonts w:ascii="Verdana" w:hAnsi="Verdana"/>
          <w:b/>
        </w:rPr>
      </w:pPr>
      <w:r>
        <w:rPr>
          <w:b/>
          <w:sz w:val="24"/>
          <w:szCs w:val="24"/>
        </w:rPr>
        <w:tab/>
      </w:r>
      <w:r>
        <w:rPr>
          <w:b/>
          <w:sz w:val="24"/>
          <w:szCs w:val="24"/>
        </w:rPr>
        <w:tab/>
      </w:r>
      <w:r>
        <w:rPr>
          <w:b/>
          <w:sz w:val="24"/>
          <w:szCs w:val="24"/>
        </w:rPr>
        <w:tab/>
      </w:r>
      <w:r>
        <w:rPr>
          <w:b/>
          <w:sz w:val="24"/>
          <w:szCs w:val="24"/>
        </w:rPr>
        <w:tab/>
        <w:t xml:space="preserve">     </w:t>
      </w:r>
      <w:r>
        <w:rPr>
          <w:rFonts w:ascii="Verdana" w:hAnsi="Verdana"/>
          <w:b/>
          <w:sz w:val="18"/>
          <w:szCs w:val="18"/>
        </w:rPr>
        <w:t xml:space="preserve">Total </w:t>
      </w:r>
      <w:r w:rsidRPr="00B92D50">
        <w:rPr>
          <w:rFonts w:ascii="Verdana" w:hAnsi="Verdana"/>
          <w:b/>
          <w:sz w:val="18"/>
          <w:szCs w:val="18"/>
        </w:rPr>
        <w:t>Responses:  2,868,004</w:t>
      </w:r>
      <w:r>
        <w:rPr>
          <w:rFonts w:ascii="Verdana" w:hAnsi="Verdana"/>
          <w:b/>
          <w:sz w:val="18"/>
          <w:szCs w:val="18"/>
        </w:rPr>
        <w:t xml:space="preserve"> </w:t>
      </w:r>
      <w:r>
        <w:rPr>
          <w:rFonts w:ascii="Verdana" w:hAnsi="Verdana"/>
          <w:b/>
          <w:sz w:val="18"/>
          <w:szCs w:val="18"/>
        </w:rPr>
        <w:tab/>
      </w:r>
      <w:r w:rsidRPr="00B92D50">
        <w:rPr>
          <w:rFonts w:ascii="Verdana" w:hAnsi="Verdana"/>
          <w:b/>
          <w:sz w:val="18"/>
          <w:szCs w:val="18"/>
        </w:rPr>
        <w:t>Total Hours:    1,079,075</w:t>
      </w:r>
    </w:p>
    <w:p w:rsidR="00B343BE" w:rsidRDefault="00B343BE" w:rsidP="006D3D60">
      <w:pPr>
        <w:rPr>
          <w:rFonts w:ascii="Verdana" w:hAnsi="Verdana"/>
          <w:i/>
          <w:sz w:val="18"/>
          <w:szCs w:val="18"/>
        </w:rPr>
      </w:pPr>
    </w:p>
    <w:p w:rsidR="006D3D60" w:rsidRPr="00E116AC" w:rsidRDefault="006D3D60" w:rsidP="006D3D60">
      <w:pPr>
        <w:rPr>
          <w:rFonts w:ascii="Verdana" w:hAnsi="Verdana"/>
          <w:i/>
          <w:sz w:val="18"/>
          <w:szCs w:val="18"/>
        </w:rPr>
      </w:pPr>
      <w:r>
        <w:rPr>
          <w:rFonts w:ascii="Verdana" w:hAnsi="Verdana"/>
          <w:i/>
          <w:sz w:val="18"/>
          <w:szCs w:val="18"/>
        </w:rPr>
        <w:t>*</w:t>
      </w:r>
      <w:r w:rsidRPr="00F80625">
        <w:rPr>
          <w:rFonts w:ascii="Verdana" w:hAnsi="Verdana"/>
          <w:i/>
          <w:sz w:val="18"/>
          <w:szCs w:val="18"/>
        </w:rPr>
        <w:t xml:space="preserve">Average Number of Responses per Respondents = </w:t>
      </w:r>
      <w:proofErr w:type="spellStart"/>
      <w:r w:rsidRPr="00F80625">
        <w:rPr>
          <w:rFonts w:ascii="Verdana" w:hAnsi="Verdana"/>
          <w:i/>
          <w:sz w:val="18"/>
          <w:szCs w:val="18"/>
        </w:rPr>
        <w:t>Total_Annual_Responses</w:t>
      </w:r>
      <w:proofErr w:type="spellEnd"/>
      <w:r w:rsidRPr="00F80625">
        <w:rPr>
          <w:rFonts w:ascii="Verdana" w:hAnsi="Verdana"/>
          <w:i/>
          <w:sz w:val="18"/>
          <w:szCs w:val="18"/>
        </w:rPr>
        <w:t xml:space="preserve"> / Number of Respondents</w:t>
      </w:r>
    </w:p>
    <w:p w:rsidR="006D3D60" w:rsidRDefault="006D3D60" w:rsidP="006D3D60">
      <w:pPr>
        <w:pStyle w:val="ListParagraph"/>
        <w:spacing w:line="240" w:lineRule="auto"/>
        <w:ind w:left="0"/>
        <w:rPr>
          <w:rFonts w:ascii="Verdana" w:hAnsi="Verdana"/>
          <w:sz w:val="20"/>
          <w:szCs w:val="20"/>
        </w:rPr>
      </w:pPr>
      <w:r w:rsidRPr="00144EB6">
        <w:rPr>
          <w:rFonts w:ascii="Verdana" w:hAnsi="Verdana"/>
          <w:b/>
          <w:sz w:val="20"/>
          <w:szCs w:val="20"/>
        </w:rPr>
        <w:t xml:space="preserve">Estimated annualized hourly cost to respondents (PHA); Form HUD-50058: </w:t>
      </w:r>
      <w:r w:rsidRPr="00144EB6">
        <w:rPr>
          <w:rFonts w:ascii="Verdana" w:hAnsi="Verdana"/>
          <w:sz w:val="20"/>
          <w:szCs w:val="20"/>
        </w:rPr>
        <w:t>To report using Form HUD-50058</w:t>
      </w:r>
      <w:r>
        <w:rPr>
          <w:rFonts w:ascii="Verdana" w:hAnsi="Verdana"/>
          <w:sz w:val="20"/>
          <w:szCs w:val="20"/>
        </w:rPr>
        <w:t xml:space="preserve"> Family Report</w:t>
      </w:r>
      <w:r w:rsidRPr="00144EB6">
        <w:rPr>
          <w:rFonts w:ascii="Verdana" w:hAnsi="Verdana"/>
          <w:sz w:val="20"/>
          <w:szCs w:val="20"/>
        </w:rPr>
        <w:t xml:space="preserve">, it will cost the average PHA $1,051 annually to enter and submit all data for New Admission and $3,483 annually for Recertification. </w:t>
      </w:r>
    </w:p>
    <w:p w:rsidR="006D3D60" w:rsidRDefault="006D3D60" w:rsidP="006D3D60">
      <w:pPr>
        <w:pStyle w:val="ListParagraph"/>
        <w:spacing w:line="240" w:lineRule="auto"/>
        <w:ind w:left="0"/>
        <w:rPr>
          <w:rFonts w:ascii="Verdana" w:hAnsi="Verdana"/>
          <w:sz w:val="20"/>
          <w:szCs w:val="20"/>
        </w:rPr>
      </w:pPr>
    </w:p>
    <w:p w:rsidR="006D3D60" w:rsidRPr="00F134D4" w:rsidRDefault="006D3D60" w:rsidP="006D3D60">
      <w:pPr>
        <w:pStyle w:val="ListParagraph"/>
        <w:numPr>
          <w:ilvl w:val="0"/>
          <w:numId w:val="9"/>
        </w:numPr>
        <w:spacing w:line="240" w:lineRule="auto"/>
        <w:rPr>
          <w:rFonts w:ascii="Verdana" w:hAnsi="Verdana"/>
          <w:sz w:val="20"/>
          <w:szCs w:val="20"/>
        </w:rPr>
      </w:pPr>
      <w:r w:rsidRPr="00F134D4">
        <w:rPr>
          <w:rFonts w:ascii="Verdana" w:hAnsi="Verdana"/>
          <w:sz w:val="20"/>
          <w:szCs w:val="20"/>
        </w:rPr>
        <w:lastRenderedPageBreak/>
        <w:t>Total Cost for all PHAs; Form HUD-50058</w:t>
      </w:r>
      <w:r>
        <w:rPr>
          <w:rFonts w:ascii="Verdana" w:hAnsi="Verdana"/>
          <w:sz w:val="20"/>
          <w:szCs w:val="20"/>
        </w:rPr>
        <w:t xml:space="preserve"> Family Report</w:t>
      </w:r>
      <w:r w:rsidRPr="00F134D4">
        <w:rPr>
          <w:rFonts w:ascii="Verdana" w:hAnsi="Verdana"/>
          <w:sz w:val="20"/>
          <w:szCs w:val="20"/>
        </w:rPr>
        <w:t xml:space="preserve"> New Admissions= </w:t>
      </w:r>
    </w:p>
    <w:p w:rsidR="006D3D60" w:rsidRPr="00F134D4" w:rsidRDefault="006D3D60" w:rsidP="006D3D60">
      <w:pPr>
        <w:pStyle w:val="ListParagraph"/>
        <w:numPr>
          <w:ilvl w:val="1"/>
          <w:numId w:val="9"/>
        </w:numPr>
        <w:spacing w:line="240" w:lineRule="auto"/>
        <w:rPr>
          <w:rFonts w:ascii="Verdana" w:hAnsi="Verdana"/>
          <w:sz w:val="20"/>
          <w:szCs w:val="20"/>
        </w:rPr>
      </w:pPr>
      <w:r w:rsidRPr="00F134D4">
        <w:rPr>
          <w:rFonts w:ascii="Verdana" w:hAnsi="Verdana"/>
          <w:sz w:val="20"/>
          <w:szCs w:val="20"/>
        </w:rPr>
        <w:t xml:space="preserve">237,323 Total Hours X $17.50/hour = $4,153,152.50 </w:t>
      </w:r>
    </w:p>
    <w:p w:rsidR="006D3D60" w:rsidRPr="00F134D4" w:rsidRDefault="006D3D60" w:rsidP="006D3D60">
      <w:pPr>
        <w:pStyle w:val="ListParagraph"/>
        <w:numPr>
          <w:ilvl w:val="0"/>
          <w:numId w:val="9"/>
        </w:numPr>
        <w:spacing w:line="240" w:lineRule="auto"/>
        <w:rPr>
          <w:rFonts w:ascii="Verdana" w:hAnsi="Verdana"/>
          <w:sz w:val="20"/>
          <w:szCs w:val="20"/>
        </w:rPr>
      </w:pPr>
      <w:r w:rsidRPr="00F134D4">
        <w:rPr>
          <w:rFonts w:ascii="Verdana" w:hAnsi="Verdana"/>
          <w:sz w:val="20"/>
          <w:szCs w:val="20"/>
        </w:rPr>
        <w:t>Cost per PHA= $4,153,152.50 Total cost for all PHAs ÷ 3,953 PHAs (with responses) =$1,051 per PHA annually</w:t>
      </w:r>
    </w:p>
    <w:p w:rsidR="006D3D60" w:rsidRPr="00F134D4" w:rsidRDefault="006D3D60" w:rsidP="006D3D60">
      <w:pPr>
        <w:pStyle w:val="ListParagraph"/>
        <w:numPr>
          <w:ilvl w:val="0"/>
          <w:numId w:val="9"/>
        </w:numPr>
        <w:spacing w:line="240" w:lineRule="auto"/>
        <w:rPr>
          <w:rFonts w:ascii="Verdana" w:hAnsi="Verdana"/>
          <w:sz w:val="20"/>
          <w:szCs w:val="20"/>
        </w:rPr>
      </w:pPr>
      <w:r w:rsidRPr="00F134D4">
        <w:rPr>
          <w:rFonts w:ascii="Verdana" w:hAnsi="Verdana"/>
          <w:sz w:val="20"/>
          <w:szCs w:val="20"/>
        </w:rPr>
        <w:t>Total Cost for all PHAs; Form HUD -50058</w:t>
      </w:r>
      <w:r>
        <w:rPr>
          <w:rFonts w:ascii="Verdana" w:hAnsi="Verdana"/>
          <w:sz w:val="20"/>
          <w:szCs w:val="20"/>
        </w:rPr>
        <w:t xml:space="preserve"> Family Report</w:t>
      </w:r>
      <w:r w:rsidRPr="00F134D4">
        <w:rPr>
          <w:rFonts w:ascii="Verdana" w:hAnsi="Verdana"/>
          <w:sz w:val="20"/>
          <w:szCs w:val="20"/>
        </w:rPr>
        <w:t xml:space="preserve"> Recertification = </w:t>
      </w:r>
    </w:p>
    <w:p w:rsidR="006D3D60" w:rsidRPr="00F134D4" w:rsidRDefault="006D3D60" w:rsidP="006D3D60">
      <w:pPr>
        <w:pStyle w:val="ListParagraph"/>
        <w:numPr>
          <w:ilvl w:val="1"/>
          <w:numId w:val="9"/>
        </w:numPr>
        <w:spacing w:line="240" w:lineRule="auto"/>
        <w:rPr>
          <w:rFonts w:ascii="Verdana" w:hAnsi="Verdana"/>
          <w:sz w:val="20"/>
          <w:szCs w:val="20"/>
        </w:rPr>
      </w:pPr>
      <w:r w:rsidRPr="00F134D4">
        <w:rPr>
          <w:rFonts w:ascii="Verdana" w:hAnsi="Verdana"/>
          <w:sz w:val="20"/>
          <w:szCs w:val="20"/>
        </w:rPr>
        <w:t xml:space="preserve">799,447 Total Hours X $17.50/hour= $13,990,322.50 </w:t>
      </w:r>
    </w:p>
    <w:p w:rsidR="006D3D60" w:rsidRPr="00F134D4" w:rsidRDefault="006D3D60" w:rsidP="006D3D60">
      <w:pPr>
        <w:pStyle w:val="ListParagraph"/>
        <w:numPr>
          <w:ilvl w:val="0"/>
          <w:numId w:val="9"/>
        </w:numPr>
        <w:spacing w:line="240" w:lineRule="auto"/>
        <w:rPr>
          <w:rFonts w:ascii="Verdana" w:hAnsi="Verdana"/>
          <w:sz w:val="20"/>
          <w:szCs w:val="20"/>
        </w:rPr>
      </w:pPr>
      <w:r w:rsidRPr="00F134D4">
        <w:rPr>
          <w:rFonts w:ascii="Verdana" w:hAnsi="Verdana"/>
          <w:sz w:val="20"/>
          <w:szCs w:val="20"/>
        </w:rPr>
        <w:t xml:space="preserve">Cost per PHA=$13,990,322.50 Total cost for all PHAs ÷ </w:t>
      </w:r>
      <w:r w:rsidRPr="00F134D4">
        <w:rPr>
          <w:rFonts w:ascii="Verdana" w:hAnsi="Verdana"/>
          <w:color w:val="000000"/>
          <w:sz w:val="20"/>
          <w:szCs w:val="20"/>
        </w:rPr>
        <w:t>4,017 PHAs (with responses) = $3,483 per PHA annually</w:t>
      </w:r>
    </w:p>
    <w:p w:rsidR="006D3D60" w:rsidRDefault="006D3D60" w:rsidP="006D3D60">
      <w:pPr>
        <w:pStyle w:val="ListParagraph"/>
        <w:ind w:left="0"/>
        <w:rPr>
          <w:rFonts w:ascii="Verdana" w:hAnsi="Verdana"/>
          <w:sz w:val="20"/>
          <w:szCs w:val="20"/>
        </w:rPr>
      </w:pPr>
    </w:p>
    <w:p w:rsidR="006D3D60" w:rsidRDefault="006D3D60" w:rsidP="006D3D60">
      <w:pPr>
        <w:pStyle w:val="ListParagraph"/>
        <w:spacing w:line="240" w:lineRule="auto"/>
        <w:ind w:left="0"/>
        <w:rPr>
          <w:rFonts w:ascii="Verdana" w:hAnsi="Verdana"/>
          <w:sz w:val="20"/>
          <w:szCs w:val="20"/>
        </w:rPr>
      </w:pPr>
      <w:r w:rsidRPr="00144EB6">
        <w:rPr>
          <w:rFonts w:ascii="Verdana" w:hAnsi="Verdana"/>
          <w:b/>
          <w:sz w:val="20"/>
          <w:szCs w:val="20"/>
        </w:rPr>
        <w:t xml:space="preserve">Estimated annualized hourly cost to respondents (PHA); Form HUD-50058 MTW: </w:t>
      </w:r>
      <w:r w:rsidRPr="00144EB6">
        <w:rPr>
          <w:rFonts w:ascii="Verdana" w:hAnsi="Verdana"/>
          <w:sz w:val="20"/>
          <w:szCs w:val="20"/>
        </w:rPr>
        <w:t>To report using Form HUD-50058</w:t>
      </w:r>
      <w:r>
        <w:rPr>
          <w:rFonts w:ascii="Verdana" w:hAnsi="Verdana"/>
          <w:sz w:val="20"/>
          <w:szCs w:val="20"/>
        </w:rPr>
        <w:t xml:space="preserve"> Family Report</w:t>
      </w:r>
      <w:r w:rsidRPr="00144EB6">
        <w:rPr>
          <w:rFonts w:ascii="Verdana" w:hAnsi="Verdana"/>
          <w:sz w:val="20"/>
          <w:szCs w:val="20"/>
        </w:rPr>
        <w:t>, it will cost the average PHA $6,177</w:t>
      </w:r>
      <w:r>
        <w:rPr>
          <w:rFonts w:ascii="Verdana" w:hAnsi="Verdana"/>
          <w:sz w:val="20"/>
          <w:szCs w:val="20"/>
        </w:rPr>
        <w:t xml:space="preserve"> </w:t>
      </w:r>
      <w:r w:rsidRPr="00144EB6">
        <w:rPr>
          <w:rFonts w:ascii="Verdana" w:hAnsi="Verdana"/>
          <w:sz w:val="20"/>
          <w:szCs w:val="20"/>
        </w:rPr>
        <w:t>annually to enter and submit all data for New Admission</w:t>
      </w:r>
      <w:r>
        <w:rPr>
          <w:rFonts w:ascii="Verdana" w:hAnsi="Verdana"/>
          <w:sz w:val="20"/>
          <w:szCs w:val="20"/>
        </w:rPr>
        <w:t xml:space="preserve">s </w:t>
      </w:r>
      <w:r w:rsidRPr="00144EB6">
        <w:rPr>
          <w:rFonts w:ascii="Verdana" w:hAnsi="Verdana"/>
          <w:sz w:val="20"/>
          <w:szCs w:val="20"/>
        </w:rPr>
        <w:t xml:space="preserve">and $23,437 annually for Recertification. </w:t>
      </w:r>
    </w:p>
    <w:p w:rsidR="006D3D60" w:rsidRDefault="006D3D60" w:rsidP="006D3D60">
      <w:pPr>
        <w:rPr>
          <w:rFonts w:ascii="Verdana" w:hAnsi="Verdana"/>
        </w:rPr>
      </w:pPr>
      <w:r>
        <w:rPr>
          <w:rFonts w:ascii="Verdana" w:hAnsi="Verdana"/>
        </w:rPr>
        <w:t xml:space="preserve">The annual burden is calculated by determining the following: </w:t>
      </w:r>
    </w:p>
    <w:p w:rsidR="006D3D60" w:rsidRPr="00201646" w:rsidRDefault="006D3D60" w:rsidP="006D3D60">
      <w:pPr>
        <w:rPr>
          <w:rFonts w:ascii="Verdana" w:hAnsi="Verdana"/>
        </w:rPr>
      </w:pPr>
    </w:p>
    <w:p w:rsidR="006D3D60" w:rsidRPr="00F134D4" w:rsidRDefault="006D3D60" w:rsidP="006D3D60">
      <w:pPr>
        <w:pStyle w:val="ListParagraph"/>
        <w:numPr>
          <w:ilvl w:val="0"/>
          <w:numId w:val="10"/>
        </w:numPr>
        <w:spacing w:line="240" w:lineRule="auto"/>
        <w:rPr>
          <w:rFonts w:ascii="Verdana" w:hAnsi="Verdana"/>
          <w:sz w:val="20"/>
          <w:szCs w:val="20"/>
        </w:rPr>
      </w:pPr>
      <w:r w:rsidRPr="00F134D4">
        <w:rPr>
          <w:rFonts w:ascii="Verdana" w:hAnsi="Verdana"/>
          <w:color w:val="000000"/>
          <w:sz w:val="20"/>
          <w:szCs w:val="20"/>
        </w:rPr>
        <w:t>Total Cost for all PHAs; Form HUD-50058 MTW</w:t>
      </w:r>
      <w:r>
        <w:rPr>
          <w:rFonts w:ascii="Verdana" w:hAnsi="Verdana"/>
          <w:color w:val="000000"/>
          <w:sz w:val="20"/>
          <w:szCs w:val="20"/>
        </w:rPr>
        <w:t xml:space="preserve"> Family Report</w:t>
      </w:r>
      <w:r w:rsidRPr="00F134D4">
        <w:rPr>
          <w:rFonts w:ascii="Verdana" w:hAnsi="Verdana"/>
          <w:color w:val="000000"/>
          <w:sz w:val="20"/>
          <w:szCs w:val="20"/>
        </w:rPr>
        <w:t xml:space="preserve"> New Admission = </w:t>
      </w:r>
    </w:p>
    <w:p w:rsidR="006D3D60" w:rsidRPr="00F134D4" w:rsidRDefault="006D3D60" w:rsidP="006D3D60">
      <w:pPr>
        <w:pStyle w:val="ListParagraph"/>
        <w:numPr>
          <w:ilvl w:val="1"/>
          <w:numId w:val="10"/>
        </w:numPr>
        <w:spacing w:line="240" w:lineRule="auto"/>
        <w:rPr>
          <w:rFonts w:ascii="Verdana" w:hAnsi="Verdana"/>
          <w:sz w:val="20"/>
          <w:szCs w:val="20"/>
        </w:rPr>
      </w:pPr>
      <w:r w:rsidRPr="00F134D4">
        <w:rPr>
          <w:rFonts w:ascii="Verdana" w:hAnsi="Verdana"/>
          <w:sz w:val="20"/>
          <w:szCs w:val="20"/>
        </w:rPr>
        <w:t>8,824 Total Hours X $17.50/hour= $154,420</w:t>
      </w:r>
    </w:p>
    <w:p w:rsidR="006D3D60" w:rsidRPr="00F134D4" w:rsidRDefault="006D3D60" w:rsidP="006D3D60">
      <w:pPr>
        <w:pStyle w:val="ListParagraph"/>
        <w:numPr>
          <w:ilvl w:val="0"/>
          <w:numId w:val="10"/>
        </w:numPr>
        <w:spacing w:line="240" w:lineRule="auto"/>
        <w:rPr>
          <w:rFonts w:ascii="Verdana" w:hAnsi="Verdana"/>
          <w:sz w:val="20"/>
          <w:szCs w:val="20"/>
        </w:rPr>
      </w:pPr>
      <w:r w:rsidRPr="00F134D4">
        <w:rPr>
          <w:rFonts w:ascii="Verdana" w:hAnsi="Verdana"/>
          <w:sz w:val="20"/>
          <w:szCs w:val="20"/>
        </w:rPr>
        <w:t>Cost per PHA = $154,420 Total cost for all PHAs ÷25 PHAs (with responses) = $ 6,177 per PHA annually</w:t>
      </w:r>
    </w:p>
    <w:p w:rsidR="006D3D60" w:rsidRDefault="006D3D60" w:rsidP="006D3D60">
      <w:pPr>
        <w:pStyle w:val="ListParagraph"/>
        <w:numPr>
          <w:ilvl w:val="0"/>
          <w:numId w:val="10"/>
        </w:numPr>
        <w:spacing w:line="240" w:lineRule="auto"/>
        <w:rPr>
          <w:rFonts w:ascii="Verdana" w:hAnsi="Verdana"/>
          <w:sz w:val="20"/>
          <w:szCs w:val="20"/>
        </w:rPr>
      </w:pPr>
      <w:r w:rsidRPr="00F134D4">
        <w:rPr>
          <w:rFonts w:ascii="Verdana" w:hAnsi="Verdana"/>
          <w:color w:val="000000"/>
          <w:sz w:val="20"/>
          <w:szCs w:val="20"/>
        </w:rPr>
        <w:t>Total Cost for all PHAs; Form HUD-50058 MTW</w:t>
      </w:r>
      <w:r>
        <w:rPr>
          <w:rFonts w:ascii="Verdana" w:hAnsi="Verdana"/>
          <w:color w:val="000000"/>
          <w:sz w:val="20"/>
          <w:szCs w:val="20"/>
        </w:rPr>
        <w:t xml:space="preserve"> Family Report</w:t>
      </w:r>
      <w:r w:rsidRPr="00F134D4">
        <w:rPr>
          <w:rFonts w:ascii="Verdana" w:hAnsi="Verdana"/>
          <w:color w:val="000000"/>
          <w:sz w:val="20"/>
          <w:szCs w:val="20"/>
        </w:rPr>
        <w:t xml:space="preserve"> Recertification = </w:t>
      </w:r>
      <w:r w:rsidRPr="00F134D4">
        <w:rPr>
          <w:rFonts w:ascii="Verdana" w:hAnsi="Verdana"/>
          <w:sz w:val="20"/>
          <w:szCs w:val="20"/>
        </w:rPr>
        <w:t xml:space="preserve">  </w:t>
      </w:r>
    </w:p>
    <w:p w:rsidR="006D3D60" w:rsidRPr="00F134D4" w:rsidRDefault="006D3D60" w:rsidP="006D3D60">
      <w:pPr>
        <w:pStyle w:val="ListParagraph"/>
        <w:numPr>
          <w:ilvl w:val="1"/>
          <w:numId w:val="10"/>
        </w:numPr>
        <w:spacing w:line="240" w:lineRule="auto"/>
        <w:rPr>
          <w:rFonts w:ascii="Verdana" w:hAnsi="Verdana"/>
          <w:sz w:val="20"/>
          <w:szCs w:val="20"/>
        </w:rPr>
      </w:pPr>
      <w:r w:rsidRPr="00F134D4">
        <w:rPr>
          <w:rFonts w:ascii="Verdana" w:hAnsi="Verdana"/>
          <w:sz w:val="20"/>
          <w:szCs w:val="20"/>
        </w:rPr>
        <w:t>33,481 Total Hours X $17.50/hour= $585,917.5</w:t>
      </w:r>
    </w:p>
    <w:p w:rsidR="006D3D60" w:rsidRPr="00F134D4" w:rsidRDefault="006D3D60" w:rsidP="006D3D60">
      <w:pPr>
        <w:pStyle w:val="ListParagraph"/>
        <w:numPr>
          <w:ilvl w:val="0"/>
          <w:numId w:val="10"/>
        </w:numPr>
        <w:autoSpaceDE w:val="0"/>
        <w:autoSpaceDN w:val="0"/>
        <w:adjustRightInd w:val="0"/>
        <w:spacing w:after="0" w:line="240" w:lineRule="auto"/>
        <w:rPr>
          <w:rFonts w:ascii="Verdana" w:hAnsi="Verdana"/>
          <w:sz w:val="20"/>
          <w:szCs w:val="20"/>
        </w:rPr>
      </w:pPr>
      <w:r w:rsidRPr="00F134D4">
        <w:rPr>
          <w:rFonts w:ascii="Verdana" w:hAnsi="Verdana"/>
          <w:sz w:val="20"/>
          <w:szCs w:val="20"/>
        </w:rPr>
        <w:t>Cost per PHA =$585,917.5 Total cost for all PHAs ÷25 PHAs (with responses) = $23,437 per PHA annually</w:t>
      </w:r>
    </w:p>
    <w:p w:rsidR="006D3D60" w:rsidRDefault="006D3D60" w:rsidP="006D3D60">
      <w:pPr>
        <w:rPr>
          <w:rFonts w:ascii="Verdana" w:hAnsi="Verdana"/>
        </w:rPr>
      </w:pPr>
    </w:p>
    <w:p w:rsidR="006D3D60" w:rsidRPr="00900BB8" w:rsidRDefault="006D3D60" w:rsidP="006D3D60">
      <w:pPr>
        <w:rPr>
          <w:rFonts w:ascii="Verdana" w:hAnsi="Verdana"/>
          <w:b/>
        </w:rPr>
      </w:pPr>
      <w:r w:rsidRPr="00900BB8">
        <w:rPr>
          <w:rFonts w:ascii="Verdana" w:hAnsi="Verdana"/>
          <w:b/>
        </w:rPr>
        <w:t>13. Provide an estimate for the total annual cost burden to respondents or record-keepers resulting from the collection of information. (Do not include the cost of any hour burden shown in Items 12 and 14).</w:t>
      </w:r>
    </w:p>
    <w:p w:rsidR="006D3D60" w:rsidRPr="00900BB8" w:rsidRDefault="006D3D60" w:rsidP="006D3D60">
      <w:pPr>
        <w:rPr>
          <w:rFonts w:ascii="Verdana" w:hAnsi="Verdana"/>
          <w:b/>
        </w:rPr>
      </w:pPr>
    </w:p>
    <w:p w:rsidR="006D3D60" w:rsidRPr="00900BB8" w:rsidRDefault="006D3D60" w:rsidP="006D3D60">
      <w:pPr>
        <w:rPr>
          <w:rFonts w:ascii="Verdana" w:hAnsi="Verdana"/>
          <w:i/>
        </w:rPr>
      </w:pPr>
      <w:r w:rsidRPr="00900BB8">
        <w:rPr>
          <w:rFonts w:ascii="Verdana" w:hAnsi="Verdana"/>
          <w:i/>
        </w:rPr>
        <w:t>Total annual capital and start up cost burden to PHA:</w:t>
      </w:r>
    </w:p>
    <w:p w:rsidR="006D3D60" w:rsidRPr="00900BB8" w:rsidRDefault="006D3D60" w:rsidP="006D3D60">
      <w:pPr>
        <w:rPr>
          <w:rFonts w:ascii="Verdana" w:hAnsi="Verdana"/>
        </w:rPr>
      </w:pPr>
    </w:p>
    <w:p w:rsidR="006D3D60" w:rsidRPr="00900BB8" w:rsidRDefault="006D3D60" w:rsidP="006D3D60">
      <w:pPr>
        <w:rPr>
          <w:rFonts w:ascii="Verdana" w:hAnsi="Verdana"/>
        </w:rPr>
      </w:pPr>
      <w:r w:rsidRPr="00900BB8">
        <w:rPr>
          <w:rFonts w:ascii="Verdana" w:hAnsi="Verdana"/>
        </w:rPr>
        <w:t>Estimating annual capital and start up cost burdens to PHAs is difficult to determine. Most respondents (PHAs) utilize automated software for the collection, transmission and storage of Form HUD-50058 and Form HUD-50058</w:t>
      </w:r>
      <w:r>
        <w:rPr>
          <w:rFonts w:ascii="Verdana" w:hAnsi="Verdana"/>
        </w:rPr>
        <w:t xml:space="preserve"> MTW Family Reports</w:t>
      </w:r>
      <w:r w:rsidRPr="00900BB8">
        <w:rPr>
          <w:rFonts w:ascii="Verdana" w:hAnsi="Verdana"/>
        </w:rPr>
        <w:t>.  Several vendors provide software services to PHAs however, the s</w:t>
      </w:r>
      <w:r>
        <w:rPr>
          <w:rFonts w:ascii="Verdana" w:hAnsi="Verdana"/>
        </w:rPr>
        <w:t>oftware is used for several day-to-</w:t>
      </w:r>
      <w:r w:rsidRPr="00900BB8">
        <w:rPr>
          <w:rFonts w:ascii="Verdana" w:hAnsi="Verdana"/>
        </w:rPr>
        <w:t>day business functions not</w:t>
      </w:r>
      <w:r>
        <w:rPr>
          <w:rFonts w:ascii="Verdana" w:hAnsi="Verdana"/>
        </w:rPr>
        <w:t>,</w:t>
      </w:r>
      <w:r w:rsidRPr="00900BB8">
        <w:rPr>
          <w:rFonts w:ascii="Verdana" w:hAnsi="Verdana"/>
        </w:rPr>
        <w:t xml:space="preserve"> exclusively form reporting.</w:t>
      </w:r>
    </w:p>
    <w:p w:rsidR="006D3D60" w:rsidRPr="00900BB8" w:rsidRDefault="006D3D60" w:rsidP="006D3D60">
      <w:pPr>
        <w:rPr>
          <w:rFonts w:ascii="Verdana" w:hAnsi="Verdana"/>
        </w:rPr>
      </w:pPr>
    </w:p>
    <w:p w:rsidR="006D3D60" w:rsidRPr="00900BB8" w:rsidRDefault="006D3D60" w:rsidP="006D3D60">
      <w:pPr>
        <w:rPr>
          <w:rFonts w:ascii="Verdana" w:hAnsi="Verdana"/>
        </w:rPr>
      </w:pPr>
      <w:r w:rsidRPr="00900BB8">
        <w:rPr>
          <w:rFonts w:ascii="Verdana" w:hAnsi="Verdana"/>
        </w:rPr>
        <w:t>Additionally, HUD provides all PHAs with free Family Reporting Software (FRS). PHAs can use this software to electronically submit Form HUD-50058</w:t>
      </w:r>
      <w:r>
        <w:rPr>
          <w:rFonts w:ascii="Verdana" w:hAnsi="Verdana"/>
        </w:rPr>
        <w:t xml:space="preserve"> and Form HUD-50058 MTW Family Reports</w:t>
      </w:r>
      <w:r w:rsidRPr="00900BB8">
        <w:rPr>
          <w:rFonts w:ascii="Verdana" w:hAnsi="Verdana"/>
        </w:rPr>
        <w:t xml:space="preserve"> data to PIC. </w:t>
      </w:r>
    </w:p>
    <w:p w:rsidR="006D3D60" w:rsidRPr="00900BB8" w:rsidRDefault="006D3D60" w:rsidP="006D3D60">
      <w:pPr>
        <w:rPr>
          <w:rFonts w:ascii="Verdana" w:hAnsi="Verdana"/>
        </w:rPr>
      </w:pPr>
    </w:p>
    <w:p w:rsidR="006D3D60" w:rsidRPr="00900BB8" w:rsidRDefault="006D3D60" w:rsidP="006D3D60">
      <w:pPr>
        <w:rPr>
          <w:rFonts w:ascii="Verdana" w:hAnsi="Verdana"/>
          <w:i/>
        </w:rPr>
      </w:pPr>
      <w:r w:rsidRPr="00900BB8">
        <w:rPr>
          <w:rFonts w:ascii="Verdana" w:hAnsi="Verdana"/>
          <w:i/>
        </w:rPr>
        <w:t>Total operation and maintenance of services components:</w:t>
      </w:r>
    </w:p>
    <w:p w:rsidR="006D3D60" w:rsidRPr="00900BB8" w:rsidRDefault="006D3D60" w:rsidP="006D3D60">
      <w:pPr>
        <w:rPr>
          <w:rFonts w:ascii="Verdana" w:hAnsi="Verdana"/>
          <w:i/>
        </w:rPr>
      </w:pPr>
    </w:p>
    <w:p w:rsidR="006D3D60" w:rsidRPr="00900BB8" w:rsidRDefault="006D3D60" w:rsidP="006D3D60">
      <w:pPr>
        <w:rPr>
          <w:rFonts w:ascii="Verdana" w:hAnsi="Verdana"/>
        </w:rPr>
      </w:pPr>
      <w:r w:rsidRPr="00900BB8">
        <w:rPr>
          <w:rFonts w:ascii="Verdana" w:hAnsi="Verdana"/>
        </w:rPr>
        <w:t>Estimating the cost to PHAs for the transmission of the Family Reports is difficult to estimate because of the difference in PHA, size, organization structure and administrative capability. A significant cost factor that can be tracked is the time involved to collect the date, fill out the form and electronically submit the data. This information is provided in section 12.</w:t>
      </w:r>
    </w:p>
    <w:p w:rsidR="006D3D60" w:rsidRDefault="006D3D60" w:rsidP="006D3D60">
      <w:pPr>
        <w:rPr>
          <w:rFonts w:ascii="Verdana" w:hAnsi="Verdana"/>
          <w:b/>
        </w:rPr>
      </w:pPr>
    </w:p>
    <w:p w:rsidR="006D3D60" w:rsidRPr="000714EE" w:rsidRDefault="006D3D60" w:rsidP="006D3D60">
      <w:pPr>
        <w:rPr>
          <w:rFonts w:ascii="Verdana" w:hAnsi="Verdana"/>
          <w:b/>
        </w:rPr>
      </w:pPr>
      <w:r w:rsidRPr="000714EE">
        <w:rPr>
          <w:rFonts w:ascii="Verdana" w:hAnsi="Verdana"/>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D3D60" w:rsidRDefault="006D3D60" w:rsidP="006D3D60">
      <w:pPr>
        <w:rPr>
          <w:rFonts w:ascii="Verdana" w:hAnsi="Verdana"/>
          <w:sz w:val="18"/>
          <w:szCs w:val="18"/>
        </w:rPr>
      </w:pPr>
    </w:p>
    <w:p w:rsidR="006D3D60" w:rsidRPr="00BF742D" w:rsidRDefault="006D3D60" w:rsidP="006D3D60">
      <w:pPr>
        <w:rPr>
          <w:rFonts w:ascii="Verdana" w:hAnsi="Verdana"/>
        </w:rPr>
      </w:pPr>
      <w:r w:rsidRPr="00BF742D">
        <w:rPr>
          <w:rFonts w:ascii="Verdana" w:hAnsi="Verdana"/>
        </w:rPr>
        <w:t>Approximated on current, 2009 information, the total annual cost to maintain the PIC system, which includes the Form HUD-50058 and Form HUD-50058 MTW</w:t>
      </w:r>
      <w:r>
        <w:rPr>
          <w:rFonts w:ascii="Verdana" w:hAnsi="Verdana"/>
        </w:rPr>
        <w:t xml:space="preserve"> Family Reports</w:t>
      </w:r>
      <w:r w:rsidR="00F748FF">
        <w:rPr>
          <w:rFonts w:ascii="Verdana" w:hAnsi="Verdana"/>
        </w:rPr>
        <w:t xml:space="preserve"> module, is $893,000. </w:t>
      </w:r>
      <w:r w:rsidRPr="00BF742D">
        <w:rPr>
          <w:rFonts w:ascii="Verdana" w:hAnsi="Verdana"/>
        </w:rPr>
        <w:t xml:space="preserve">The cost to HUD headquarters staff to monitor the system is $150,000 (5%-6% of contractor cost). HUD estimates that contractors and HUD staff spend 40% of their time on maintenance and monitoring the </w:t>
      </w:r>
      <w:r>
        <w:rPr>
          <w:rFonts w:ascii="Verdana" w:hAnsi="Verdana"/>
        </w:rPr>
        <w:t>Form HUD-</w:t>
      </w:r>
      <w:r w:rsidRPr="00BF742D">
        <w:rPr>
          <w:rFonts w:ascii="Verdana" w:hAnsi="Verdana"/>
        </w:rPr>
        <w:t>50058</w:t>
      </w:r>
      <w:r>
        <w:rPr>
          <w:rFonts w:ascii="Verdana" w:hAnsi="Verdana"/>
        </w:rPr>
        <w:t xml:space="preserve"> and Form HUD-50058 MTW Family Reports </w:t>
      </w:r>
      <w:r w:rsidRPr="00BF742D">
        <w:rPr>
          <w:rFonts w:ascii="Verdana" w:hAnsi="Verdana"/>
        </w:rPr>
        <w:t>Module. The annual cost of HUD headquarters staff labor to monitor the module is approximately $100,000. The annual cost of HUD headquarters staff to maintain the module is $300,000.</w:t>
      </w:r>
    </w:p>
    <w:p w:rsidR="00D159C1" w:rsidRDefault="00D159C1" w:rsidP="006D3D60">
      <w:pPr>
        <w:rPr>
          <w:rFonts w:ascii="Verdana" w:hAnsi="Verdana"/>
          <w:b/>
        </w:rPr>
      </w:pPr>
    </w:p>
    <w:p w:rsidR="00B343BE" w:rsidRDefault="00B343BE" w:rsidP="006D3D60">
      <w:pPr>
        <w:rPr>
          <w:rFonts w:ascii="Verdana" w:hAnsi="Verdana"/>
          <w:b/>
        </w:rPr>
      </w:pPr>
    </w:p>
    <w:p w:rsidR="00D159C1" w:rsidRDefault="00D159C1" w:rsidP="006D3D60">
      <w:pPr>
        <w:rPr>
          <w:rFonts w:ascii="Verdana" w:hAnsi="Verdana"/>
          <w:b/>
        </w:rPr>
      </w:pPr>
    </w:p>
    <w:p w:rsidR="006D3D60" w:rsidRPr="009B0F38" w:rsidRDefault="006D3D60" w:rsidP="006D3D60">
      <w:pPr>
        <w:rPr>
          <w:rFonts w:ascii="Verdana" w:hAnsi="Verdana"/>
          <w:b/>
        </w:rPr>
      </w:pPr>
      <w:r w:rsidRPr="009B0F38">
        <w:rPr>
          <w:rFonts w:ascii="Verdana" w:hAnsi="Verdana"/>
          <w:b/>
        </w:rPr>
        <w:lastRenderedPageBreak/>
        <w:t>15. Explain the reasons for any program changes or adjustments reported in Ite</w:t>
      </w:r>
      <w:r w:rsidR="00D159C1">
        <w:rPr>
          <w:rFonts w:ascii="Verdana" w:hAnsi="Verdana"/>
          <w:b/>
        </w:rPr>
        <w:t>ms 13 or 14</w:t>
      </w:r>
      <w:r w:rsidRPr="009B0F38">
        <w:rPr>
          <w:rFonts w:ascii="Verdana" w:hAnsi="Verdana"/>
          <w:b/>
        </w:rPr>
        <w:t xml:space="preserve">. </w:t>
      </w:r>
    </w:p>
    <w:p w:rsidR="006D3D60" w:rsidRPr="009B0F38" w:rsidRDefault="006D3D60" w:rsidP="006D3D60">
      <w:pPr>
        <w:rPr>
          <w:rFonts w:ascii="Verdana" w:hAnsi="Verdana"/>
          <w:b/>
        </w:rPr>
      </w:pPr>
    </w:p>
    <w:p w:rsidR="006D3D60" w:rsidRDefault="006D3D60" w:rsidP="006D3D60">
      <w:pPr>
        <w:rPr>
          <w:rFonts w:ascii="Verdana" w:hAnsi="Verdana"/>
        </w:rPr>
      </w:pPr>
      <w:r w:rsidRPr="009B0F38">
        <w:rPr>
          <w:rFonts w:ascii="Verdana" w:hAnsi="Verdana"/>
        </w:rPr>
        <w:t xml:space="preserve">The average annual reporting and record-keeping burden has decreased compared to the current OMB inventory by 1,246,514 due to the significant decrease (approximately 50%) in the </w:t>
      </w:r>
      <w:r>
        <w:rPr>
          <w:rFonts w:ascii="Verdana" w:hAnsi="Verdana"/>
          <w:i/>
        </w:rPr>
        <w:t>Total Annual Responses</w:t>
      </w:r>
      <w:r w:rsidRPr="009B0F38">
        <w:rPr>
          <w:rFonts w:ascii="Verdana" w:hAnsi="Verdana"/>
        </w:rPr>
        <w:t xml:space="preserve"> for Form HUD-50058 MTW </w:t>
      </w:r>
      <w:r>
        <w:rPr>
          <w:rFonts w:ascii="Verdana" w:hAnsi="Verdana"/>
        </w:rPr>
        <w:t xml:space="preserve">Family Reports </w:t>
      </w:r>
      <w:r w:rsidRPr="009B0F38">
        <w:rPr>
          <w:rFonts w:ascii="Verdana" w:hAnsi="Verdana"/>
        </w:rPr>
        <w:t>Recertification.</w:t>
      </w:r>
    </w:p>
    <w:p w:rsidR="006D3D60" w:rsidRDefault="006D3D60" w:rsidP="006D3D60">
      <w:pPr>
        <w:rPr>
          <w:rFonts w:ascii="Verdana" w:hAnsi="Verdana"/>
        </w:rPr>
      </w:pPr>
    </w:p>
    <w:p w:rsidR="006D3D60" w:rsidRDefault="006D3D60" w:rsidP="006D3D60">
      <w:pPr>
        <w:rPr>
          <w:rFonts w:ascii="Verdana" w:hAnsi="Verdana"/>
          <w:b/>
        </w:rPr>
      </w:pPr>
      <w:r w:rsidRPr="00046309">
        <w:rPr>
          <w:rFonts w:ascii="Verdana" w:hAnsi="Verdana"/>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D3D60" w:rsidRDefault="006D3D60" w:rsidP="006D3D60">
      <w:pPr>
        <w:rPr>
          <w:rFonts w:ascii="Verdana" w:hAnsi="Verdana"/>
          <w:b/>
        </w:rPr>
      </w:pPr>
    </w:p>
    <w:p w:rsidR="006D3D60" w:rsidRDefault="006D3D60" w:rsidP="006D3D60">
      <w:pPr>
        <w:rPr>
          <w:rFonts w:ascii="Verdana" w:hAnsi="Verdana"/>
        </w:rPr>
      </w:pPr>
      <w:r>
        <w:rPr>
          <w:rFonts w:ascii="Verdana" w:hAnsi="Verdana"/>
        </w:rPr>
        <w:t xml:space="preserve">The PIC system captures the information from Form HUD-50058 and Form HUD-50058 MTW Family Reports and creates monthly reports such as the Resident Characteristics Report which is available to the public on the HUD website. It provides demographic and income statistics about tenant families that participate in the Housing Programs. </w:t>
      </w:r>
    </w:p>
    <w:p w:rsidR="006D3D60" w:rsidRDefault="006D3D60" w:rsidP="006D3D60">
      <w:pPr>
        <w:rPr>
          <w:rFonts w:ascii="Verdana" w:hAnsi="Verdana"/>
        </w:rPr>
      </w:pPr>
    </w:p>
    <w:p w:rsidR="006D3D60" w:rsidRPr="00E5569B" w:rsidRDefault="006D3D60" w:rsidP="006D3D60">
      <w:pPr>
        <w:rPr>
          <w:rFonts w:ascii="Verdana" w:hAnsi="Verdana"/>
          <w:b/>
        </w:rPr>
      </w:pPr>
      <w:r w:rsidRPr="00E5569B">
        <w:rPr>
          <w:rFonts w:ascii="Verdana" w:hAnsi="Verdana"/>
          <w:b/>
        </w:rPr>
        <w:t xml:space="preserve">17. </w:t>
      </w:r>
      <w:proofErr w:type="gramStart"/>
      <w:r w:rsidRPr="00E5569B">
        <w:rPr>
          <w:rFonts w:ascii="Verdana" w:hAnsi="Verdana"/>
          <w:b/>
        </w:rPr>
        <w:t>If</w:t>
      </w:r>
      <w:proofErr w:type="gramEnd"/>
      <w:r w:rsidRPr="00E5569B">
        <w:rPr>
          <w:rFonts w:ascii="Verdana" w:hAnsi="Verdana"/>
          <w:b/>
        </w:rPr>
        <w:t xml:space="preserve"> seeking approval to not display the expiration date for OMB approval of the information collection, explain the reasons that display would be inappropriate.</w:t>
      </w:r>
    </w:p>
    <w:p w:rsidR="006D3D60" w:rsidRPr="00E5569B" w:rsidRDefault="006D3D60" w:rsidP="006D3D60">
      <w:pPr>
        <w:rPr>
          <w:rFonts w:ascii="Verdana" w:hAnsi="Verdana"/>
        </w:rPr>
      </w:pPr>
    </w:p>
    <w:p w:rsidR="006D3D60" w:rsidRPr="00E5569B" w:rsidRDefault="006D3D60" w:rsidP="006D3D60">
      <w:pPr>
        <w:rPr>
          <w:rFonts w:ascii="Verdana" w:hAnsi="Verdana"/>
        </w:rPr>
      </w:pPr>
      <w:r>
        <w:rPr>
          <w:rFonts w:ascii="Verdana" w:hAnsi="Verdana"/>
        </w:rPr>
        <w:t xml:space="preserve">Not applicable. </w:t>
      </w:r>
      <w:r w:rsidRPr="00E5569B">
        <w:rPr>
          <w:rFonts w:ascii="Verdana" w:hAnsi="Verdana"/>
        </w:rPr>
        <w:t>HUD will display the OMB control number and expiration date on the form.</w:t>
      </w:r>
    </w:p>
    <w:p w:rsidR="006D3D60" w:rsidRPr="00E5569B" w:rsidRDefault="006D3D60" w:rsidP="006D3D60">
      <w:pPr>
        <w:rPr>
          <w:rFonts w:ascii="Verdana" w:hAnsi="Verdana"/>
          <w:b/>
        </w:rPr>
      </w:pPr>
    </w:p>
    <w:p w:rsidR="006D3D60" w:rsidRPr="00E5569B" w:rsidRDefault="006D3D60" w:rsidP="006D3D60">
      <w:pPr>
        <w:rPr>
          <w:rFonts w:ascii="Verdana" w:hAnsi="Verdana"/>
          <w:b/>
        </w:rPr>
      </w:pPr>
      <w:r w:rsidRPr="00E5569B">
        <w:rPr>
          <w:rFonts w:ascii="Verdana" w:hAnsi="Verdana"/>
          <w:b/>
        </w:rPr>
        <w:t>18. Explain each exception to the certification statement identified in Item 19, "Certification for Paperwork Reduction Ac</w:t>
      </w:r>
      <w:r w:rsidR="00D159C1">
        <w:rPr>
          <w:rFonts w:ascii="Verdana" w:hAnsi="Verdana"/>
          <w:b/>
        </w:rPr>
        <w:t>t Submissions</w:t>
      </w:r>
      <w:r w:rsidRPr="00E5569B">
        <w:rPr>
          <w:rFonts w:ascii="Verdana" w:hAnsi="Verdana"/>
          <w:b/>
        </w:rPr>
        <w:t>.</w:t>
      </w:r>
    </w:p>
    <w:p w:rsidR="006D3D60" w:rsidRPr="00E5569B" w:rsidRDefault="006D3D60" w:rsidP="006D3D60">
      <w:pPr>
        <w:rPr>
          <w:rFonts w:ascii="Verdana" w:hAnsi="Verdana"/>
          <w:b/>
        </w:rPr>
      </w:pPr>
    </w:p>
    <w:p w:rsidR="006D3D60" w:rsidRPr="00E5569B" w:rsidRDefault="006D3D60" w:rsidP="006D3D60">
      <w:pPr>
        <w:rPr>
          <w:rFonts w:ascii="Verdana" w:hAnsi="Verdana"/>
          <w:bCs/>
        </w:rPr>
      </w:pPr>
      <w:r w:rsidRPr="00E5569B">
        <w:rPr>
          <w:rFonts w:ascii="Verdana" w:hAnsi="Verdana"/>
          <w:bCs/>
        </w:rPr>
        <w:t>There are no exceptions to the certification statement.</w:t>
      </w:r>
    </w:p>
    <w:p w:rsidR="006D3D60" w:rsidRPr="00E5569B" w:rsidRDefault="006D3D60" w:rsidP="006D3D60">
      <w:pPr>
        <w:rPr>
          <w:rFonts w:ascii="Verdana" w:hAnsi="Verdana"/>
          <w:b/>
          <w:bCs/>
        </w:rPr>
      </w:pPr>
    </w:p>
    <w:p w:rsidR="006D3D60" w:rsidRPr="00E5569B" w:rsidRDefault="006D3D60" w:rsidP="006D3D60">
      <w:pPr>
        <w:rPr>
          <w:rFonts w:ascii="Verdana" w:hAnsi="Verdana"/>
          <w:b/>
          <w:bCs/>
        </w:rPr>
      </w:pPr>
      <w:r w:rsidRPr="00E5569B">
        <w:rPr>
          <w:rFonts w:ascii="Verdana" w:hAnsi="Verdana"/>
          <w:b/>
          <w:bCs/>
        </w:rPr>
        <w:t xml:space="preserve">B. Collections of Information Employing Statistical Methods </w:t>
      </w:r>
    </w:p>
    <w:p w:rsidR="006D3D60" w:rsidRPr="00E5569B" w:rsidRDefault="006D3D60" w:rsidP="006D3D60">
      <w:pPr>
        <w:rPr>
          <w:rFonts w:ascii="Verdana" w:hAnsi="Verdana"/>
          <w:b/>
          <w:bCs/>
        </w:rPr>
      </w:pPr>
    </w:p>
    <w:p w:rsidR="006D3D60" w:rsidRPr="00E5569B" w:rsidRDefault="006D3D60" w:rsidP="006D3D60">
      <w:pPr>
        <w:rPr>
          <w:rFonts w:ascii="Verdana" w:hAnsi="Verdana"/>
          <w:bCs/>
        </w:rPr>
      </w:pPr>
      <w:r w:rsidRPr="00E5569B">
        <w:rPr>
          <w:rFonts w:ascii="Verdana" w:hAnsi="Verdana"/>
          <w:bCs/>
        </w:rPr>
        <w:t>This collection of information does not employ statistical methods.</w:t>
      </w:r>
    </w:p>
    <w:p w:rsidR="00F748FF" w:rsidRDefault="00F748FF"/>
    <w:sectPr w:rsidR="00F748FF" w:rsidSect="00075FDD">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8FF" w:rsidRDefault="00F748FF" w:rsidP="00075FDD">
      <w:r>
        <w:separator/>
      </w:r>
    </w:p>
  </w:endnote>
  <w:endnote w:type="continuationSeparator" w:id="0">
    <w:p w:rsidR="00F748FF" w:rsidRDefault="00F748FF" w:rsidP="00075F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8FF" w:rsidRDefault="00F748FF" w:rsidP="00075FDD">
      <w:r>
        <w:separator/>
      </w:r>
    </w:p>
  </w:footnote>
  <w:footnote w:type="continuationSeparator" w:id="0">
    <w:p w:rsidR="00F748FF" w:rsidRDefault="00F748FF" w:rsidP="00075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4EE21CD"/>
    <w:multiLevelType w:val="hybridMultilevel"/>
    <w:tmpl w:val="FBBACB58"/>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9"/>
  </w:num>
  <w:num w:numId="3">
    <w:abstractNumId w:val="1"/>
  </w:num>
  <w:num w:numId="4">
    <w:abstractNumId w:val="8"/>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 w:numId="8">
    <w:abstractNumId w:val="3"/>
  </w:num>
  <w:num w:numId="9">
    <w:abstractNumId w:val="4"/>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7482"/>
    <w:rsid w:val="00075FDD"/>
    <w:rsid w:val="00212524"/>
    <w:rsid w:val="003712E9"/>
    <w:rsid w:val="003770FC"/>
    <w:rsid w:val="0040708B"/>
    <w:rsid w:val="0042407C"/>
    <w:rsid w:val="00430E76"/>
    <w:rsid w:val="005605F6"/>
    <w:rsid w:val="005B225B"/>
    <w:rsid w:val="005F7644"/>
    <w:rsid w:val="006C05A2"/>
    <w:rsid w:val="006D250E"/>
    <w:rsid w:val="006D3D60"/>
    <w:rsid w:val="007017BE"/>
    <w:rsid w:val="00734B08"/>
    <w:rsid w:val="0078699B"/>
    <w:rsid w:val="007B609E"/>
    <w:rsid w:val="00847A09"/>
    <w:rsid w:val="00B343BE"/>
    <w:rsid w:val="00C35806"/>
    <w:rsid w:val="00D03746"/>
    <w:rsid w:val="00D159C1"/>
    <w:rsid w:val="00D666A8"/>
    <w:rsid w:val="00DF5513"/>
    <w:rsid w:val="00E93215"/>
    <w:rsid w:val="00ED6124"/>
    <w:rsid w:val="00F721C4"/>
    <w:rsid w:val="00F748FF"/>
    <w:rsid w:val="00FC7030"/>
    <w:rsid w:val="00FF7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F7482"/>
    <w:pPr>
      <w:tabs>
        <w:tab w:val="center" w:pos="4320"/>
        <w:tab w:val="right" w:pos="8640"/>
      </w:tabs>
    </w:pPr>
  </w:style>
  <w:style w:type="character" w:customStyle="1" w:styleId="HeaderChar">
    <w:name w:val="Header Char"/>
    <w:basedOn w:val="DefaultParagraphFont"/>
    <w:link w:val="Header"/>
    <w:semiHidden/>
    <w:rsid w:val="00FF7482"/>
    <w:rPr>
      <w:rFonts w:ascii="Times New Roman" w:eastAsia="Times New Roman" w:hAnsi="Times New Roman" w:cs="Times New Roman"/>
      <w:sz w:val="20"/>
      <w:szCs w:val="20"/>
    </w:rPr>
  </w:style>
  <w:style w:type="paragraph" w:styleId="Footer">
    <w:name w:val="footer"/>
    <w:basedOn w:val="Normal"/>
    <w:link w:val="FooterChar"/>
    <w:semiHidden/>
    <w:rsid w:val="00FF7482"/>
    <w:pPr>
      <w:tabs>
        <w:tab w:val="center" w:pos="4320"/>
        <w:tab w:val="right" w:pos="8640"/>
      </w:tabs>
    </w:pPr>
  </w:style>
  <w:style w:type="character" w:customStyle="1" w:styleId="FooterChar">
    <w:name w:val="Footer Char"/>
    <w:basedOn w:val="DefaultParagraphFont"/>
    <w:link w:val="Footer"/>
    <w:semiHidden/>
    <w:rsid w:val="00FF7482"/>
    <w:rPr>
      <w:rFonts w:ascii="Times New Roman" w:eastAsia="Times New Roman" w:hAnsi="Times New Roman" w:cs="Times New Roman"/>
      <w:sz w:val="20"/>
      <w:szCs w:val="20"/>
    </w:rPr>
  </w:style>
  <w:style w:type="paragraph" w:styleId="ListParagraph">
    <w:name w:val="List Paragraph"/>
    <w:basedOn w:val="Normal"/>
    <w:uiPriority w:val="99"/>
    <w:qFormat/>
    <w:rsid w:val="006D3D60"/>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H45351</cp:lastModifiedBy>
  <cp:revision>23</cp:revision>
  <cp:lastPrinted>2009-12-28T18:10:00Z</cp:lastPrinted>
  <dcterms:created xsi:type="dcterms:W3CDTF">2009-12-28T18:01:00Z</dcterms:created>
  <dcterms:modified xsi:type="dcterms:W3CDTF">2010-04-07T15:49:00Z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1379122825</vt:i4>
  </property>
  <property fmtid="{D5CDD505-2E9C-101B-9397-08002B2CF9AE}" pid="3" name="_NewReviewCycle">
    <vt:lpwstr/>
  </property>
  <property fmtid="{D5CDD505-2E9C-101B-9397-08002B2CF9AE}" pid="4" name="_EmailSubject">
    <vt:lpwstr>PRA 50058</vt:lpwstr>
  </property>
  <property fmtid="{D5CDD505-2E9C-101B-9397-08002B2CF9AE}" pid="5" name="_AuthorEmail">
    <vt:lpwstr>Lisa.C.Floyd@hud.gov</vt:lpwstr>
  </property>
  <property fmtid="{D5CDD505-2E9C-101B-9397-08002B2CF9AE}" pid="6" name="_AuthorEmailDisplayName">
    <vt:lpwstr>Floyd, Lisa C</vt:lpwstr>
  </property>
  <property fmtid="{D5CDD505-2E9C-101B-9397-08002B2CF9AE}" pid="7" name="_ReviewingToolsShownOnce">
    <vt:lpwstr/>
  </property>
</Properties>
</file>