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BC" w:rsidRDefault="00B15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60190" w:rsidRDefault="00C60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ab/>
        <w:t>OMB 2577-0245</w:t>
      </w:r>
    </w:p>
    <w:p w:rsidR="00B152BC" w:rsidRDefault="00B152B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152BC" w:rsidRDefault="00B152B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2"/>
        </w:rPr>
      </w:pPr>
      <w:r>
        <w:rPr>
          <w:rFonts w:ascii="Helvetica" w:hAnsi="Helvetica"/>
          <w:b/>
          <w:sz w:val="22"/>
        </w:rPr>
        <w:t xml:space="preserve">A. </w:t>
      </w:r>
      <w:r>
        <w:rPr>
          <w:rFonts w:ascii="Helvetica" w:hAnsi="Helvetica"/>
          <w:b/>
          <w:sz w:val="22"/>
        </w:rPr>
        <w:tab/>
        <w:t>Justi</w:t>
      </w:r>
      <w:r>
        <w:rPr>
          <w:rFonts w:ascii="Helvetica" w:hAnsi="Helvetica"/>
          <w:b/>
          <w:color w:val="000000"/>
          <w:sz w:val="22"/>
        </w:rPr>
        <w:t>fication</w:t>
      </w:r>
    </w:p>
    <w:p w:rsidR="00B152BC" w:rsidRDefault="00B15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B152BC" w:rsidRDefault="00B152BC">
      <w:pPr>
        <w:keepLines/>
        <w:numPr>
          <w:ilvl w:val="0"/>
          <w:numId w:val="10"/>
        </w:numPr>
        <w:tabs>
          <w:tab w:val="left" w:pos="360"/>
        </w:tabs>
        <w:spacing w:after="80"/>
        <w:rPr>
          <w:color w:val="000000"/>
          <w:sz w:val="22"/>
        </w:rPr>
      </w:pPr>
      <w:r>
        <w:rPr>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52BC" w:rsidRDefault="00B152BC">
      <w:pPr>
        <w:rPr>
          <w:color w:val="000000"/>
          <w:sz w:val="22"/>
        </w:rPr>
      </w:pPr>
    </w:p>
    <w:p w:rsidR="00B82F7F" w:rsidRDefault="00B152BC">
      <w:pPr>
        <w:rPr>
          <w:sz w:val="22"/>
        </w:rPr>
      </w:pPr>
      <w:r>
        <w:rPr>
          <w:color w:val="000000"/>
          <w:sz w:val="22"/>
        </w:rPr>
        <w:t xml:space="preserve">Division B of the Department of Defense, Emergency Supplemental Appropriations to Address Hurricanes in the Gulf of Mexico, and Pandemic Influenza Act, 2006 (Pub. L. 109-148; approved December 30, 2005), among other </w:t>
      </w:r>
      <w:r w:rsidR="0059631C">
        <w:rPr>
          <w:color w:val="000000"/>
          <w:sz w:val="22"/>
        </w:rPr>
        <w:t>provisions</w:t>
      </w:r>
      <w:r>
        <w:rPr>
          <w:color w:val="000000"/>
          <w:sz w:val="22"/>
        </w:rPr>
        <w:t xml:space="preserve">, makes emergency supplemental appropriations to address the hurricane devastation in the </w:t>
      </w:r>
      <w:smartTag w:uri="urn:schemas-microsoft-com:office:smarttags" w:element="place">
        <w:r>
          <w:rPr>
            <w:color w:val="000000"/>
            <w:sz w:val="22"/>
          </w:rPr>
          <w:t>Gulf of Mexico</w:t>
        </w:r>
      </w:smartTag>
      <w:r>
        <w:rPr>
          <w:color w:val="000000"/>
          <w:sz w:val="22"/>
        </w:rPr>
        <w:t xml:space="preserve">.  Section 901 of this supplemental appropriations act permits eligible </w:t>
      </w:r>
      <w:r>
        <w:rPr>
          <w:sz w:val="22"/>
        </w:rPr>
        <w:t xml:space="preserve">PHAs to </w:t>
      </w:r>
      <w:r w:rsidR="0059631C">
        <w:rPr>
          <w:sz w:val="22"/>
        </w:rPr>
        <w:t>use</w:t>
      </w:r>
      <w:r>
        <w:rPr>
          <w:sz w:val="22"/>
        </w:rPr>
        <w:t xml:space="preserve"> their </w:t>
      </w:r>
      <w:r w:rsidR="00A44578">
        <w:rPr>
          <w:sz w:val="22"/>
        </w:rPr>
        <w:t xml:space="preserve">Calendar Year (CY) 2006 </w:t>
      </w:r>
      <w:r>
        <w:rPr>
          <w:sz w:val="22"/>
        </w:rPr>
        <w:t xml:space="preserve">Capital Funds (section 9(d) of the United States Housing Act of 1937 (42 U.S.C. 1437 </w:t>
      </w:r>
      <w:r>
        <w:rPr>
          <w:sz w:val="22"/>
          <w:u w:val="single"/>
        </w:rPr>
        <w:t>et</w:t>
      </w:r>
      <w:r>
        <w:rPr>
          <w:sz w:val="22"/>
        </w:rPr>
        <w:t xml:space="preserve"> </w:t>
      </w:r>
      <w:r>
        <w:rPr>
          <w:sz w:val="22"/>
          <w:u w:val="single"/>
        </w:rPr>
        <w:t>seq</w:t>
      </w:r>
      <w:r>
        <w:rPr>
          <w:sz w:val="22"/>
        </w:rPr>
        <w:t xml:space="preserve">.) (1937 Act)), Operating Funds (section 9(e) of the 1937 Act), and Housing Choice Voucher Funds (section 8(o) of the 1937 Act) </w:t>
      </w:r>
      <w:r w:rsidR="0059631C">
        <w:rPr>
          <w:sz w:val="22"/>
        </w:rPr>
        <w:t xml:space="preserve">interchangeably, </w:t>
      </w:r>
      <w:r>
        <w:rPr>
          <w:sz w:val="22"/>
        </w:rPr>
        <w:t xml:space="preserve">to assist families who were </w:t>
      </w:r>
      <w:r w:rsidR="00A44578">
        <w:rPr>
          <w:sz w:val="22"/>
        </w:rPr>
        <w:t xml:space="preserve">receiving assistance under the 1937 Housing Act when Hurricanes Katrina and Rita occurred, and who were </w:t>
      </w:r>
      <w:r>
        <w:rPr>
          <w:sz w:val="22"/>
        </w:rPr>
        <w:t xml:space="preserve">displaced </w:t>
      </w:r>
      <w:r w:rsidR="00A44578">
        <w:rPr>
          <w:sz w:val="22"/>
        </w:rPr>
        <w:t>from their housing by the hurricanes</w:t>
      </w:r>
      <w:r>
        <w:rPr>
          <w:sz w:val="22"/>
        </w:rPr>
        <w:t xml:space="preserve">.  HUD issued a Notice in the </w:t>
      </w:r>
      <w:r w:rsidRPr="0059631C">
        <w:rPr>
          <w:i/>
          <w:sz w:val="22"/>
        </w:rPr>
        <w:t>Federal Register</w:t>
      </w:r>
      <w:r>
        <w:rPr>
          <w:sz w:val="22"/>
        </w:rPr>
        <w:t xml:space="preserve"> </w:t>
      </w:r>
      <w:r w:rsidR="0059631C">
        <w:rPr>
          <w:sz w:val="22"/>
        </w:rPr>
        <w:t>on July 28, 2006</w:t>
      </w:r>
      <w:r w:rsidR="00B82F7F">
        <w:rPr>
          <w:sz w:val="22"/>
        </w:rPr>
        <w:t>,</w:t>
      </w:r>
    </w:p>
    <w:p w:rsidR="00B152BC" w:rsidRDefault="00B82F7F">
      <w:pPr>
        <w:rPr>
          <w:sz w:val="22"/>
        </w:rPr>
      </w:pPr>
      <w:r w:rsidRPr="00B82F7F">
        <w:rPr>
          <w:sz w:val="22"/>
          <w:szCs w:val="22"/>
        </w:rPr>
        <w:t>(FR-5067-N-01, Vol. 71, Page 42996)</w:t>
      </w:r>
      <w:r w:rsidR="0059631C" w:rsidRPr="00B82F7F">
        <w:rPr>
          <w:sz w:val="22"/>
          <w:szCs w:val="22"/>
        </w:rPr>
        <w:t xml:space="preserve">, </w:t>
      </w:r>
      <w:r w:rsidR="00B152BC" w:rsidRPr="00B82F7F">
        <w:rPr>
          <w:sz w:val="22"/>
          <w:szCs w:val="22"/>
        </w:rPr>
        <w:t>providing</w:t>
      </w:r>
      <w:r w:rsidR="00B152BC">
        <w:rPr>
          <w:sz w:val="22"/>
        </w:rPr>
        <w:t xml:space="preserve"> guidance on how eligible PHAs </w:t>
      </w:r>
      <w:r w:rsidR="0059631C">
        <w:rPr>
          <w:sz w:val="22"/>
        </w:rPr>
        <w:t xml:space="preserve">would implement, report, and account for use of </w:t>
      </w:r>
      <w:r w:rsidR="00B152BC">
        <w:rPr>
          <w:sz w:val="22"/>
        </w:rPr>
        <w:t>this flexibility</w:t>
      </w:r>
      <w:r w:rsidR="0059631C">
        <w:rPr>
          <w:sz w:val="22"/>
        </w:rPr>
        <w:t>.  PHAs were granted five years to expend funds designated for Section 901 purposes under the Capital Fund and HCV programs, and one year to expend funds under the Operating Fund.</w:t>
      </w:r>
    </w:p>
    <w:p w:rsidR="00A44578" w:rsidRDefault="00A44578">
      <w:pPr>
        <w:rPr>
          <w:sz w:val="22"/>
        </w:rPr>
      </w:pPr>
    </w:p>
    <w:p w:rsidR="003E79C5" w:rsidRDefault="00A44578" w:rsidP="003E79C5">
      <w:pPr>
        <w:pStyle w:val="Heading1"/>
        <w:spacing w:line="264" w:lineRule="exact"/>
        <w:ind w:left="360" w:hanging="360"/>
        <w:jc w:val="left"/>
        <w:rPr>
          <w:rFonts w:ascii="Times New Roman" w:hAnsi="Times New Roman"/>
          <w:b w:val="0"/>
          <w:sz w:val="22"/>
          <w:szCs w:val="22"/>
        </w:rPr>
      </w:pPr>
      <w:r w:rsidRPr="003E79C5">
        <w:rPr>
          <w:rFonts w:ascii="Times New Roman" w:hAnsi="Times New Roman"/>
          <w:b w:val="0"/>
          <w:sz w:val="22"/>
          <w:szCs w:val="22"/>
        </w:rPr>
        <w:t>Congress subsequently extended Section 901 funding flexibility to CY 2007, 2008, and 2009</w:t>
      </w:r>
      <w:r w:rsidR="003E79C5">
        <w:rPr>
          <w:rFonts w:ascii="Times New Roman" w:hAnsi="Times New Roman"/>
          <w:b w:val="0"/>
          <w:sz w:val="22"/>
          <w:szCs w:val="22"/>
        </w:rPr>
        <w:t xml:space="preserve"> program funding through</w:t>
      </w:r>
    </w:p>
    <w:p w:rsidR="003E79C5" w:rsidRDefault="003E79C5" w:rsidP="003E79C5">
      <w:pPr>
        <w:pStyle w:val="Heading1"/>
        <w:spacing w:line="264" w:lineRule="exact"/>
        <w:ind w:left="360" w:hanging="360"/>
        <w:jc w:val="both"/>
        <w:rPr>
          <w:rFonts w:ascii="Times New Roman" w:hAnsi="Times New Roman"/>
          <w:b w:val="0"/>
          <w:sz w:val="22"/>
          <w:szCs w:val="22"/>
        </w:rPr>
      </w:pPr>
      <w:r w:rsidRPr="003E79C5">
        <w:rPr>
          <w:rFonts w:ascii="Times New Roman" w:hAnsi="Times New Roman"/>
          <w:b w:val="0"/>
          <w:sz w:val="22"/>
          <w:szCs w:val="22"/>
        </w:rPr>
        <w:t>Section 4803 of the U.S. Troop Readiness, Veterans’ Care, Katrina Recovery, and Iraq</w:t>
      </w:r>
      <w:r>
        <w:rPr>
          <w:rFonts w:ascii="Times New Roman" w:hAnsi="Times New Roman"/>
          <w:b w:val="0"/>
          <w:sz w:val="22"/>
          <w:szCs w:val="22"/>
        </w:rPr>
        <w:t xml:space="preserve"> Accountability Appropriations </w:t>
      </w:r>
    </w:p>
    <w:p w:rsidR="003E79C5" w:rsidRDefault="003E79C5" w:rsidP="003E79C5">
      <w:pPr>
        <w:pStyle w:val="Heading1"/>
        <w:spacing w:line="264" w:lineRule="exact"/>
        <w:ind w:left="360" w:hanging="360"/>
        <w:jc w:val="both"/>
        <w:rPr>
          <w:rFonts w:ascii="Times New Roman" w:hAnsi="Times New Roman"/>
          <w:b w:val="0"/>
          <w:sz w:val="22"/>
          <w:szCs w:val="22"/>
        </w:rPr>
      </w:pPr>
      <w:r>
        <w:rPr>
          <w:rFonts w:ascii="Times New Roman" w:hAnsi="Times New Roman"/>
          <w:b w:val="0"/>
          <w:sz w:val="22"/>
          <w:szCs w:val="22"/>
        </w:rPr>
        <w:t xml:space="preserve">Act, </w:t>
      </w:r>
      <w:r w:rsidRPr="003E79C5">
        <w:rPr>
          <w:rFonts w:ascii="Times New Roman" w:hAnsi="Times New Roman"/>
          <w:b w:val="0"/>
          <w:sz w:val="22"/>
          <w:szCs w:val="22"/>
        </w:rPr>
        <w:t xml:space="preserve">2007 (Public Law No. 110-28 enacted </w:t>
      </w:r>
      <w:r>
        <w:rPr>
          <w:rFonts w:ascii="Times New Roman" w:hAnsi="Times New Roman"/>
          <w:b w:val="0"/>
          <w:sz w:val="22"/>
          <w:szCs w:val="22"/>
        </w:rPr>
        <w:t xml:space="preserve">May 25, 2007), and </w:t>
      </w:r>
      <w:r w:rsidRPr="003E79C5">
        <w:rPr>
          <w:rFonts w:ascii="Times New Roman" w:hAnsi="Times New Roman"/>
          <w:b w:val="0"/>
          <w:sz w:val="22"/>
          <w:szCs w:val="22"/>
        </w:rPr>
        <w:t xml:space="preserve">Section 11003 of the Consolidated Security, Disaster </w:t>
      </w:r>
    </w:p>
    <w:p w:rsidR="00A44578" w:rsidRPr="003E79C5" w:rsidRDefault="003E79C5" w:rsidP="003E79C5">
      <w:pPr>
        <w:pStyle w:val="Heading1"/>
        <w:spacing w:line="264" w:lineRule="exact"/>
        <w:ind w:left="360" w:hanging="360"/>
        <w:jc w:val="both"/>
        <w:rPr>
          <w:rFonts w:ascii="Times New Roman" w:hAnsi="Times New Roman"/>
          <w:b w:val="0"/>
          <w:sz w:val="22"/>
          <w:szCs w:val="22"/>
        </w:rPr>
      </w:pPr>
      <w:r w:rsidRPr="003E79C5">
        <w:rPr>
          <w:rFonts w:ascii="Times New Roman" w:hAnsi="Times New Roman"/>
          <w:b w:val="0"/>
          <w:sz w:val="22"/>
          <w:szCs w:val="22"/>
        </w:rPr>
        <w:t xml:space="preserve">Assistance, and Continuing Appropriations Act, 2009 (Public Law No. 110-329).  </w:t>
      </w:r>
    </w:p>
    <w:p w:rsidR="00B152BC" w:rsidRDefault="00B152BC">
      <w:pPr>
        <w:pStyle w:val="Header"/>
        <w:tabs>
          <w:tab w:val="clear" w:pos="4320"/>
          <w:tab w:val="clear" w:pos="8640"/>
        </w:tabs>
        <w:rPr>
          <w:sz w:val="22"/>
        </w:rPr>
      </w:pPr>
    </w:p>
    <w:p w:rsidR="00A44578" w:rsidRDefault="00B152BC">
      <w:pPr>
        <w:rPr>
          <w:sz w:val="22"/>
        </w:rPr>
      </w:pPr>
      <w:r>
        <w:rPr>
          <w:sz w:val="22"/>
        </w:rPr>
        <w:t xml:space="preserve">The Notice of Intent </w:t>
      </w:r>
      <w:r w:rsidR="00E56E82">
        <w:rPr>
          <w:sz w:val="22"/>
        </w:rPr>
        <w:t xml:space="preserve">advises </w:t>
      </w:r>
      <w:r w:rsidR="00C10426">
        <w:rPr>
          <w:sz w:val="22"/>
        </w:rPr>
        <w:t xml:space="preserve">HUD </w:t>
      </w:r>
      <w:r w:rsidR="00E56E82">
        <w:rPr>
          <w:sz w:val="22"/>
        </w:rPr>
        <w:t xml:space="preserve">an </w:t>
      </w:r>
      <w:r>
        <w:rPr>
          <w:sz w:val="22"/>
        </w:rPr>
        <w:t>eligible PHA</w:t>
      </w:r>
      <w:r w:rsidR="00E56E82">
        <w:rPr>
          <w:sz w:val="22"/>
        </w:rPr>
        <w:t xml:space="preserve"> </w:t>
      </w:r>
      <w:r>
        <w:rPr>
          <w:sz w:val="22"/>
        </w:rPr>
        <w:t>elect</w:t>
      </w:r>
      <w:r w:rsidR="00E56E82">
        <w:rPr>
          <w:sz w:val="22"/>
        </w:rPr>
        <w:t>s</w:t>
      </w:r>
      <w:r>
        <w:rPr>
          <w:sz w:val="22"/>
        </w:rPr>
        <w:t xml:space="preserve"> to use </w:t>
      </w:r>
      <w:r w:rsidR="00E56E82">
        <w:rPr>
          <w:sz w:val="22"/>
        </w:rPr>
        <w:t xml:space="preserve">Section 901 </w:t>
      </w:r>
      <w:r>
        <w:rPr>
          <w:sz w:val="22"/>
        </w:rPr>
        <w:t>f</w:t>
      </w:r>
      <w:r w:rsidR="00E56E82">
        <w:rPr>
          <w:sz w:val="22"/>
        </w:rPr>
        <w:t xml:space="preserve">lexibility </w:t>
      </w:r>
      <w:r>
        <w:rPr>
          <w:sz w:val="22"/>
        </w:rPr>
        <w:t xml:space="preserve">to </w:t>
      </w:r>
      <w:r w:rsidR="00E56E82">
        <w:rPr>
          <w:sz w:val="22"/>
        </w:rPr>
        <w:t xml:space="preserve">use </w:t>
      </w:r>
      <w:r>
        <w:rPr>
          <w:sz w:val="22"/>
        </w:rPr>
        <w:t xml:space="preserve">funds </w:t>
      </w:r>
      <w:r w:rsidR="00E56E82">
        <w:rPr>
          <w:sz w:val="22"/>
        </w:rPr>
        <w:t xml:space="preserve">in one program for eligible uses in </w:t>
      </w:r>
      <w:r w:rsidR="0075511A">
        <w:rPr>
          <w:sz w:val="22"/>
        </w:rPr>
        <w:t xml:space="preserve">and under the rules of </w:t>
      </w:r>
      <w:r w:rsidR="00E56E82">
        <w:rPr>
          <w:sz w:val="22"/>
        </w:rPr>
        <w:t xml:space="preserve">another program, </w:t>
      </w:r>
      <w:r>
        <w:rPr>
          <w:sz w:val="22"/>
        </w:rPr>
        <w:t xml:space="preserve">for the purpose of meeting their local public housing rebuilding needs and </w:t>
      </w:r>
      <w:r w:rsidR="0059631C">
        <w:rPr>
          <w:sz w:val="22"/>
        </w:rPr>
        <w:t xml:space="preserve">other </w:t>
      </w:r>
      <w:r>
        <w:rPr>
          <w:sz w:val="22"/>
        </w:rPr>
        <w:t xml:space="preserve">needs </w:t>
      </w:r>
      <w:r w:rsidR="00E56E82">
        <w:rPr>
          <w:sz w:val="22"/>
        </w:rPr>
        <w:t>of formerly</w:t>
      </w:r>
      <w:r>
        <w:rPr>
          <w:sz w:val="22"/>
        </w:rPr>
        <w:t xml:space="preserve"> assist</w:t>
      </w:r>
      <w:r w:rsidR="00E56E82">
        <w:rPr>
          <w:sz w:val="22"/>
        </w:rPr>
        <w:t>ed and</w:t>
      </w:r>
      <w:r>
        <w:rPr>
          <w:sz w:val="22"/>
        </w:rPr>
        <w:t xml:space="preserve"> displaced </w:t>
      </w:r>
      <w:r w:rsidR="00E56E82">
        <w:rPr>
          <w:sz w:val="22"/>
        </w:rPr>
        <w:t>families</w:t>
      </w:r>
      <w:r>
        <w:rPr>
          <w:sz w:val="22"/>
        </w:rPr>
        <w:t xml:space="preserve">.  The Fungibility Plan </w:t>
      </w:r>
      <w:r w:rsidR="00E56E82">
        <w:rPr>
          <w:sz w:val="22"/>
        </w:rPr>
        <w:t xml:space="preserve">states how </w:t>
      </w:r>
      <w:r>
        <w:rPr>
          <w:sz w:val="22"/>
        </w:rPr>
        <w:t xml:space="preserve">eligible PHAs </w:t>
      </w:r>
      <w:r w:rsidR="00E56E82">
        <w:rPr>
          <w:sz w:val="22"/>
        </w:rPr>
        <w:t>will</w:t>
      </w:r>
      <w:r>
        <w:rPr>
          <w:sz w:val="22"/>
        </w:rPr>
        <w:t xml:space="preserve"> reallocate and spend </w:t>
      </w:r>
      <w:r w:rsidR="00E56E82">
        <w:rPr>
          <w:sz w:val="22"/>
        </w:rPr>
        <w:t xml:space="preserve">Section 901 </w:t>
      </w:r>
      <w:r>
        <w:rPr>
          <w:sz w:val="22"/>
        </w:rPr>
        <w:t>funds</w:t>
      </w:r>
      <w:r w:rsidR="0059631C">
        <w:rPr>
          <w:sz w:val="22"/>
        </w:rPr>
        <w:t xml:space="preserve">.  </w:t>
      </w:r>
      <w:r w:rsidR="00E56E82">
        <w:rPr>
          <w:sz w:val="22"/>
        </w:rPr>
        <w:t>The Fungibility Plan includes the sources and uses of program funds, the proposed activities, the needs of formerly assisted and displaced families, a board resolution approving submission of the plan, and a Capital Fund Program Annual Statement, form HUD-50075.1 for public housing modernization activities, where applicable (see OMB No. 2577-0</w:t>
      </w:r>
      <w:r w:rsidR="009B4FBE">
        <w:rPr>
          <w:sz w:val="22"/>
        </w:rPr>
        <w:t>226</w:t>
      </w:r>
      <w:r w:rsidR="00E56E82">
        <w:rPr>
          <w:sz w:val="22"/>
        </w:rPr>
        <w:t xml:space="preserve">). </w:t>
      </w:r>
      <w:r w:rsidR="009B4FBE">
        <w:rPr>
          <w:sz w:val="22"/>
        </w:rPr>
        <w:t xml:space="preserve"> PHAs have the option of using a HUD-developed template for submitting this information to HUD.  </w:t>
      </w:r>
      <w:r w:rsidR="0059631C">
        <w:rPr>
          <w:sz w:val="22"/>
        </w:rPr>
        <w:t xml:space="preserve">The quarterly, annual, and final reports are </w:t>
      </w:r>
      <w:r w:rsidR="00A44578">
        <w:rPr>
          <w:sz w:val="22"/>
        </w:rPr>
        <w:t xml:space="preserve">required for PHAs to provide </w:t>
      </w:r>
      <w:r w:rsidR="003E79C5">
        <w:rPr>
          <w:sz w:val="22"/>
        </w:rPr>
        <w:t xml:space="preserve">to HUD the </w:t>
      </w:r>
      <w:r w:rsidR="00A44578">
        <w:rPr>
          <w:sz w:val="22"/>
        </w:rPr>
        <w:t>status of Section 901 activities</w:t>
      </w:r>
      <w:r w:rsidR="003E79C5">
        <w:rPr>
          <w:sz w:val="22"/>
        </w:rPr>
        <w:t xml:space="preserve"> and funding</w:t>
      </w:r>
      <w:r w:rsidR="00A44578">
        <w:rPr>
          <w:sz w:val="22"/>
        </w:rPr>
        <w:t>.</w:t>
      </w:r>
    </w:p>
    <w:p w:rsidR="00B152BC" w:rsidRDefault="00B152BC">
      <w:pPr>
        <w:tabs>
          <w:tab w:val="left" w:pos="360"/>
        </w:tabs>
        <w:rPr>
          <w:color w:val="000000"/>
          <w:sz w:val="18"/>
        </w:rPr>
      </w:pPr>
    </w:p>
    <w:p w:rsidR="00B152BC" w:rsidRDefault="00B152BC">
      <w:pPr>
        <w:keepLines/>
        <w:tabs>
          <w:tab w:val="left" w:pos="360"/>
        </w:tabs>
        <w:spacing w:after="80"/>
        <w:ind w:left="360" w:hanging="360"/>
        <w:rPr>
          <w:color w:val="000000"/>
          <w:sz w:val="18"/>
        </w:rPr>
      </w:pPr>
      <w:r>
        <w:rPr>
          <w:color w:val="000000"/>
          <w:sz w:val="22"/>
        </w:rPr>
        <w:t>2.</w:t>
      </w:r>
      <w:r>
        <w:rPr>
          <w:color w:val="000000"/>
          <w:sz w:val="22"/>
        </w:rPr>
        <w:tab/>
        <w:t>Indicate how, by whom, and for what purpose the information is to be used. Except for a new collection, indicate the actual use the agency has made of the information received from the current collection.</w:t>
      </w:r>
    </w:p>
    <w:p w:rsidR="00B152BC" w:rsidRDefault="00B152BC">
      <w:pPr>
        <w:pStyle w:val="BodyText"/>
        <w:tabs>
          <w:tab w:val="clear" w:pos="360"/>
          <w:tab w:val="clear" w:pos="720"/>
          <w:tab w:val="left" w:pos="0"/>
        </w:tabs>
        <w:spacing w:after="80"/>
      </w:pPr>
    </w:p>
    <w:p w:rsidR="00A741A6" w:rsidRDefault="00B152BC">
      <w:pPr>
        <w:pStyle w:val="BodyText"/>
        <w:tabs>
          <w:tab w:val="clear" w:pos="360"/>
          <w:tab w:val="clear" w:pos="720"/>
          <w:tab w:val="left" w:pos="0"/>
        </w:tabs>
        <w:spacing w:after="80"/>
      </w:pPr>
      <w:r>
        <w:t>PHAs that are eligible to invoke the flexibility provided by sect</w:t>
      </w:r>
      <w:r w:rsidR="0058400B">
        <w:t xml:space="preserve">ion 901 are the respondents who prepare and submit to their local field office and HUD Headquarters </w:t>
      </w:r>
      <w:r>
        <w:t>an upfront plan for “fung</w:t>
      </w:r>
      <w:r w:rsidR="0058400B">
        <w:t>ibility</w:t>
      </w:r>
      <w:r>
        <w:t>”</w:t>
      </w:r>
      <w:r w:rsidR="0058400B">
        <w:t xml:space="preserve"> – a term used to describe the use of </w:t>
      </w:r>
      <w:r>
        <w:t xml:space="preserve">voucher </w:t>
      </w:r>
      <w:r w:rsidR="0058400B">
        <w:t xml:space="preserve">or public housing capital and operating </w:t>
      </w:r>
      <w:r>
        <w:t>funds for other program purposes</w:t>
      </w:r>
      <w:r w:rsidR="0058400B">
        <w:t xml:space="preserve">.  </w:t>
      </w:r>
      <w:r>
        <w:t xml:space="preserve">Local </w:t>
      </w:r>
      <w:r w:rsidR="0058400B">
        <w:t xml:space="preserve">field office </w:t>
      </w:r>
      <w:r>
        <w:t xml:space="preserve">and Headquarters staff review this information to determine that PHAs are eligible for </w:t>
      </w:r>
      <w:r w:rsidR="00E92B71">
        <w:t xml:space="preserve">Section 901 </w:t>
      </w:r>
      <w:r>
        <w:t>funding flexibility</w:t>
      </w:r>
      <w:r w:rsidR="0058400B">
        <w:t>,</w:t>
      </w:r>
      <w:r>
        <w:t xml:space="preserve"> and that proposed</w:t>
      </w:r>
      <w:r w:rsidR="00E92B71">
        <w:t xml:space="preserve"> uses </w:t>
      </w:r>
      <w:r w:rsidR="00F9656F">
        <w:t>of</w:t>
      </w:r>
      <w:r w:rsidR="00E92B71">
        <w:t xml:space="preserve"> </w:t>
      </w:r>
      <w:r w:rsidR="00F9656F">
        <w:t xml:space="preserve">source program </w:t>
      </w:r>
      <w:r w:rsidR="00E92B71">
        <w:t xml:space="preserve">funds </w:t>
      </w:r>
      <w:r w:rsidR="00F9656F">
        <w:t>are</w:t>
      </w:r>
      <w:r w:rsidR="00E92B71">
        <w:t xml:space="preserve"> eligible activities in the program for which </w:t>
      </w:r>
      <w:r w:rsidR="00F9656F">
        <w:t xml:space="preserve">the </w:t>
      </w:r>
      <w:r w:rsidR="00E92B71">
        <w:t>funds will be used</w:t>
      </w:r>
      <w:r w:rsidR="00F9656F">
        <w:t>.</w:t>
      </w:r>
      <w:r>
        <w:t xml:space="preserve">  </w:t>
      </w:r>
      <w:r w:rsidR="0075511A">
        <w:t xml:space="preserve">Upon receipt of a general approval from HUD to implement a Section 901 Fungibility Plan, PHAs must subsequently follow the rules of the program in which funds will be used, including the submission of additional, more detailed documentation as is currently required.  For example, some PHAs proposed to use Section 901 funds for new construction of replacement public housing or affordable housing units that would receive project-based subsidies under the HCV program.  </w:t>
      </w:r>
      <w:r w:rsidR="00A741A6">
        <w:t>Those activities require PHAs to submit housing development documents under public housing mixed-finance rules and other documentation for project-based voucher subsidy layering reviews.</w:t>
      </w:r>
      <w:r w:rsidR="0075511A">
        <w:t xml:space="preserve"> </w:t>
      </w:r>
      <w:r w:rsidR="00A741A6">
        <w:t xml:space="preserve"> </w:t>
      </w:r>
    </w:p>
    <w:p w:rsidR="00A741A6" w:rsidRDefault="00A741A6">
      <w:pPr>
        <w:pStyle w:val="BodyText"/>
        <w:tabs>
          <w:tab w:val="clear" w:pos="360"/>
          <w:tab w:val="clear" w:pos="720"/>
          <w:tab w:val="left" w:pos="0"/>
        </w:tabs>
        <w:spacing w:after="80"/>
      </w:pPr>
    </w:p>
    <w:p w:rsidR="00B152BC" w:rsidRDefault="00B152BC">
      <w:pPr>
        <w:pStyle w:val="BodyText"/>
        <w:tabs>
          <w:tab w:val="clear" w:pos="360"/>
          <w:tab w:val="clear" w:pos="720"/>
          <w:tab w:val="left" w:pos="0"/>
        </w:tabs>
        <w:spacing w:after="80"/>
      </w:pPr>
      <w:r>
        <w:t xml:space="preserve">HUD officials review </w:t>
      </w:r>
      <w:r w:rsidR="00A741A6">
        <w:t xml:space="preserve">Section 901 </w:t>
      </w:r>
      <w:r w:rsidR="0058400B">
        <w:t xml:space="preserve">quarterly, </w:t>
      </w:r>
      <w:r>
        <w:t>annual</w:t>
      </w:r>
      <w:r w:rsidR="0058400B">
        <w:t>, and final</w:t>
      </w:r>
      <w:r>
        <w:t xml:space="preserve"> reports to obtain and report out information on how PHAs are using the funds designated for other program purposes and the rate at which such funds are being obligated and expended. </w:t>
      </w:r>
    </w:p>
    <w:p w:rsidR="00B152BC" w:rsidRDefault="00B152BC">
      <w:pPr>
        <w:tabs>
          <w:tab w:val="left" w:pos="360"/>
        </w:tabs>
        <w:rPr>
          <w:color w:val="000000"/>
          <w:sz w:val="18"/>
        </w:rPr>
      </w:pPr>
    </w:p>
    <w:p w:rsidR="00B152BC" w:rsidRDefault="00B152BC">
      <w:pPr>
        <w:keepLines/>
        <w:tabs>
          <w:tab w:val="left" w:pos="360"/>
        </w:tabs>
        <w:spacing w:after="80"/>
        <w:ind w:left="360" w:hanging="360"/>
        <w:rPr>
          <w:color w:val="000000"/>
          <w:sz w:val="22"/>
        </w:rPr>
      </w:pPr>
      <w:r>
        <w:rPr>
          <w:color w:val="000000"/>
          <w:sz w:val="22"/>
        </w:rPr>
        <w:lastRenderedPageBreak/>
        <w:t>3.</w:t>
      </w:r>
      <w:r>
        <w:rPr>
          <w:color w:val="000000"/>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152BC" w:rsidRDefault="00B152BC">
      <w:pPr>
        <w:pStyle w:val="BodyText"/>
        <w:tabs>
          <w:tab w:val="clear" w:pos="360"/>
          <w:tab w:val="clear" w:pos="720"/>
          <w:tab w:val="left" w:pos="0"/>
        </w:tabs>
        <w:spacing w:after="80"/>
      </w:pPr>
    </w:p>
    <w:p w:rsidR="00B152BC" w:rsidRDefault="00B152BC">
      <w:pPr>
        <w:pStyle w:val="BodyText"/>
        <w:tabs>
          <w:tab w:val="clear" w:pos="360"/>
          <w:tab w:val="clear" w:pos="720"/>
          <w:tab w:val="left" w:pos="0"/>
        </w:tabs>
        <w:spacing w:after="80"/>
      </w:pPr>
      <w:r>
        <w:t xml:space="preserve">The </w:t>
      </w:r>
      <w:r w:rsidR="0058400B">
        <w:t>Notice of Intent and F</w:t>
      </w:r>
      <w:r>
        <w:t xml:space="preserve">ungibility </w:t>
      </w:r>
      <w:r w:rsidR="0058400B">
        <w:t>P</w:t>
      </w:r>
      <w:r>
        <w:t xml:space="preserve">lan </w:t>
      </w:r>
      <w:r w:rsidR="0058400B">
        <w:t>submission i</w:t>
      </w:r>
      <w:r>
        <w:t xml:space="preserve">s a one-time, upfront collection </w:t>
      </w:r>
      <w:r w:rsidR="0058400B">
        <w:t xml:space="preserve">that potentially </w:t>
      </w:r>
      <w:r>
        <w:t>affect</w:t>
      </w:r>
      <w:r w:rsidR="0058400B">
        <w:t>ed</w:t>
      </w:r>
      <w:r>
        <w:t xml:space="preserve"> </w:t>
      </w:r>
      <w:r w:rsidR="00C10426">
        <w:t>ninety-six (96)</w:t>
      </w:r>
      <w:r>
        <w:t xml:space="preserve"> PHAs</w:t>
      </w:r>
      <w:r w:rsidR="0058400B">
        <w:t xml:space="preserve">.  Thirty two </w:t>
      </w:r>
      <w:r w:rsidR="00C10426">
        <w:t xml:space="preserve">(32) </w:t>
      </w:r>
      <w:r w:rsidR="0058400B">
        <w:t>of t</w:t>
      </w:r>
      <w:r>
        <w:t xml:space="preserve">he </w:t>
      </w:r>
      <w:r w:rsidR="00C10426">
        <w:t>ninety six (96)</w:t>
      </w:r>
      <w:r>
        <w:t xml:space="preserve"> </w:t>
      </w:r>
      <w:r w:rsidR="0058400B">
        <w:t xml:space="preserve">eligible </w:t>
      </w:r>
      <w:r>
        <w:t xml:space="preserve">PHAs administer </w:t>
      </w:r>
      <w:r w:rsidR="00592903">
        <w:t>Housing Choice V</w:t>
      </w:r>
      <w:r>
        <w:t xml:space="preserve">oucher programs, which </w:t>
      </w:r>
      <w:r w:rsidR="0058400B">
        <w:t>is</w:t>
      </w:r>
      <w:r>
        <w:t xml:space="preserve"> the primary source of funds available for other program purposes.  Since the original approval for th</w:t>
      </w:r>
      <w:r w:rsidR="0058400B">
        <w:t>is information</w:t>
      </w:r>
      <w:r>
        <w:t xml:space="preserve"> collection</w:t>
      </w:r>
      <w:r w:rsidR="0058400B">
        <w:t xml:space="preserve">, </w:t>
      </w:r>
      <w:r>
        <w:t>there have been</w:t>
      </w:r>
      <w:r w:rsidR="0058400B">
        <w:t xml:space="preserve"> a total of ten</w:t>
      </w:r>
      <w:r>
        <w:t xml:space="preserve"> PHAs that submitted </w:t>
      </w:r>
      <w:r w:rsidR="0058400B">
        <w:t>F</w:t>
      </w:r>
      <w:r>
        <w:t xml:space="preserve">ungibility </w:t>
      </w:r>
      <w:r w:rsidR="0058400B">
        <w:t>P</w:t>
      </w:r>
      <w:r>
        <w:t>lans</w:t>
      </w:r>
      <w:r w:rsidR="0058400B">
        <w:t xml:space="preserve"> for calendar years 2006 – 2009.</w:t>
      </w:r>
      <w:r>
        <w:t xml:space="preserve">  </w:t>
      </w:r>
      <w:r w:rsidR="0058400B">
        <w:t xml:space="preserve">Nine of these PHAs were repeat submitters for all four years.  One PHA was new in 2008.  </w:t>
      </w:r>
      <w:r>
        <w:t xml:space="preserve">These </w:t>
      </w:r>
      <w:r w:rsidR="0058400B">
        <w:t>ten</w:t>
      </w:r>
      <w:r>
        <w:t xml:space="preserve"> PHAs will report </w:t>
      </w:r>
      <w:r w:rsidR="0058400B">
        <w:t>quarterly</w:t>
      </w:r>
      <w:r w:rsidR="00592903">
        <w:t>,</w:t>
      </w:r>
      <w:r w:rsidR="0058400B">
        <w:t xml:space="preserve"> </w:t>
      </w:r>
      <w:r>
        <w:t>annually</w:t>
      </w:r>
      <w:r w:rsidR="00592903">
        <w:t>, and in a final report</w:t>
      </w:r>
      <w:r>
        <w:t xml:space="preserve"> how the funds </w:t>
      </w:r>
      <w:r w:rsidR="00592903">
        <w:t>were</w:t>
      </w:r>
      <w:r>
        <w:t xml:space="preserve"> used</w:t>
      </w:r>
      <w:r w:rsidR="00592903">
        <w:t>, the status of Section 901 activities,</w:t>
      </w:r>
      <w:r>
        <w:t xml:space="preserve"> and the obligation and spend rate of those funds.  It would not be cost effective to automate the collection.</w:t>
      </w:r>
      <w:r w:rsidR="00592903">
        <w:t xml:space="preserve">  PHAs submit the reports to HUD via electronic mail.</w:t>
      </w:r>
    </w:p>
    <w:p w:rsidR="00B152BC" w:rsidRDefault="00B152BC">
      <w:pPr>
        <w:tabs>
          <w:tab w:val="left" w:pos="360"/>
        </w:tabs>
        <w:ind w:left="360" w:hanging="360"/>
        <w:rPr>
          <w:color w:val="000000"/>
          <w:sz w:val="18"/>
        </w:rPr>
      </w:pPr>
    </w:p>
    <w:p w:rsidR="00B152BC" w:rsidRDefault="00B152BC">
      <w:pPr>
        <w:keepLines/>
        <w:tabs>
          <w:tab w:val="left" w:pos="360"/>
        </w:tabs>
        <w:spacing w:after="80"/>
        <w:ind w:left="360" w:hanging="360"/>
        <w:rPr>
          <w:color w:val="000000"/>
          <w:sz w:val="22"/>
        </w:rPr>
      </w:pPr>
      <w:r>
        <w:rPr>
          <w:color w:val="000000"/>
          <w:sz w:val="22"/>
        </w:rPr>
        <w:t>4.</w:t>
      </w:r>
      <w:r>
        <w:rPr>
          <w:color w:val="000000"/>
          <w:sz w:val="22"/>
        </w:rPr>
        <w:tab/>
        <w:t xml:space="preserve">Describe efforts to identify duplication. Show specifically why any similar information already available cannot be used or modified for use for the purposes described in Item 2 above. </w:t>
      </w:r>
    </w:p>
    <w:p w:rsidR="00B152BC" w:rsidRDefault="00B152BC">
      <w:pPr>
        <w:pStyle w:val="BodyText"/>
        <w:tabs>
          <w:tab w:val="clear" w:pos="360"/>
          <w:tab w:val="clear" w:pos="720"/>
          <w:tab w:val="left" w:pos="0"/>
        </w:tabs>
        <w:spacing w:after="80"/>
      </w:pPr>
    </w:p>
    <w:p w:rsidR="00B152BC" w:rsidRDefault="002046DD">
      <w:pPr>
        <w:pStyle w:val="BodyText"/>
        <w:tabs>
          <w:tab w:val="clear" w:pos="360"/>
          <w:tab w:val="clear" w:pos="720"/>
          <w:tab w:val="left" w:pos="0"/>
        </w:tabs>
        <w:spacing w:after="80"/>
      </w:pPr>
      <w:r>
        <w:t xml:space="preserve">Notices of Intent and Fungibility Plans were developed specifically to implement Section 901 flexibility and </w:t>
      </w:r>
      <w:r w:rsidR="00B152BC">
        <w:t>are not already available.</w:t>
      </w:r>
      <w:r>
        <w:t xml:space="preserve">  The </w:t>
      </w:r>
      <w:r w:rsidR="0019091B">
        <w:t xml:space="preserve">OMB-approved </w:t>
      </w:r>
      <w:r>
        <w:t>CFP Annual Statement</w:t>
      </w:r>
      <w:r w:rsidR="0019091B">
        <w:t>, form HUD-50075.1</w:t>
      </w:r>
      <w:r w:rsidR="00A741A6">
        <w:t xml:space="preserve"> (see OMB No. 2577-0226)</w:t>
      </w:r>
      <w:r w:rsidR="0019091B">
        <w:t xml:space="preserve"> provides an existing format for PHAs to identify specifically how Section 901 designated funds will be used for public housing capital improvements or mixed-finance development, apart from annual CFP formula grant funding.</w:t>
      </w:r>
      <w:r>
        <w:t xml:space="preserve"> </w:t>
      </w:r>
    </w:p>
    <w:p w:rsidR="00B152BC" w:rsidRDefault="00B152BC">
      <w:pPr>
        <w:tabs>
          <w:tab w:val="left" w:pos="360"/>
        </w:tabs>
        <w:ind w:left="360" w:hanging="360"/>
        <w:rPr>
          <w:color w:val="000000"/>
          <w:sz w:val="18"/>
        </w:rPr>
      </w:pPr>
    </w:p>
    <w:p w:rsidR="00B152BC" w:rsidRDefault="00B152BC">
      <w:pPr>
        <w:keepLines/>
        <w:tabs>
          <w:tab w:val="left" w:pos="360"/>
        </w:tabs>
        <w:spacing w:after="80"/>
        <w:ind w:left="360" w:hanging="360"/>
        <w:rPr>
          <w:color w:val="000000"/>
          <w:sz w:val="22"/>
        </w:rPr>
      </w:pPr>
      <w:r>
        <w:rPr>
          <w:color w:val="000000"/>
          <w:sz w:val="22"/>
        </w:rPr>
        <w:t>5.</w:t>
      </w:r>
      <w:r>
        <w:rPr>
          <w:color w:val="000000"/>
          <w:sz w:val="22"/>
        </w:rPr>
        <w:tab/>
        <w:t xml:space="preserve">If the collection of information impacts small businesses or other small entities (Item 5 of OMB Form 83-I), describe any methods used to minimize burden.   </w:t>
      </w:r>
    </w:p>
    <w:p w:rsidR="00B152BC" w:rsidRDefault="00B152BC">
      <w:pPr>
        <w:pStyle w:val="BodyTextIndent"/>
        <w:tabs>
          <w:tab w:val="clear" w:pos="720"/>
        </w:tabs>
        <w:spacing w:after="80"/>
      </w:pPr>
    </w:p>
    <w:p w:rsidR="00B152BC" w:rsidRDefault="00B152BC">
      <w:pPr>
        <w:pStyle w:val="BodyTextIndent"/>
        <w:tabs>
          <w:tab w:val="clear" w:pos="720"/>
        </w:tabs>
        <w:spacing w:after="80"/>
      </w:pPr>
      <w:r>
        <w:t>This collection does not impact small businesses or other small entities.</w:t>
      </w:r>
    </w:p>
    <w:p w:rsidR="00B152BC" w:rsidRDefault="00B152BC">
      <w:pPr>
        <w:tabs>
          <w:tab w:val="left" w:pos="360"/>
        </w:tabs>
        <w:ind w:left="360" w:hanging="360"/>
        <w:rPr>
          <w:color w:val="000000"/>
          <w:sz w:val="18"/>
        </w:rPr>
      </w:pPr>
    </w:p>
    <w:p w:rsidR="00B152BC" w:rsidRDefault="00B152BC">
      <w:pPr>
        <w:keepLines/>
        <w:tabs>
          <w:tab w:val="left" w:pos="360"/>
        </w:tabs>
        <w:spacing w:after="80"/>
        <w:ind w:left="360" w:hanging="360"/>
        <w:rPr>
          <w:color w:val="000000"/>
          <w:sz w:val="22"/>
        </w:rPr>
      </w:pPr>
      <w:r>
        <w:rPr>
          <w:color w:val="000000"/>
          <w:sz w:val="22"/>
        </w:rPr>
        <w:t>6.</w:t>
      </w:r>
      <w:r>
        <w:rPr>
          <w:color w:val="000000"/>
          <w:sz w:val="22"/>
        </w:rPr>
        <w:tab/>
        <w:t xml:space="preserve">Describe the consequence to Federal program or policy activities if the collection is not conducted or is conducted less frequently, as well as any technical or legal obstacles to reducing burden.  </w:t>
      </w:r>
    </w:p>
    <w:p w:rsidR="00B152BC" w:rsidRDefault="00B152BC">
      <w:pPr>
        <w:pStyle w:val="BodyText"/>
        <w:tabs>
          <w:tab w:val="clear" w:pos="360"/>
          <w:tab w:val="clear" w:pos="720"/>
          <w:tab w:val="left" w:pos="0"/>
        </w:tabs>
        <w:spacing w:after="80"/>
      </w:pPr>
    </w:p>
    <w:p w:rsidR="00B152BC" w:rsidRDefault="00B152BC">
      <w:pPr>
        <w:pStyle w:val="BodyText"/>
        <w:tabs>
          <w:tab w:val="clear" w:pos="360"/>
          <w:tab w:val="clear" w:pos="720"/>
          <w:tab w:val="left" w:pos="0"/>
        </w:tabs>
        <w:spacing w:after="80"/>
      </w:pPr>
      <w:r>
        <w:t>The consequences to Federal program or policy activities if the collection is not conducted are that HUD will not have information to report on the number of PHAs that exercised the funding flexibility offered by Section 901, or the extent to which funds were transferred and how they were used.</w:t>
      </w:r>
    </w:p>
    <w:p w:rsidR="00B152BC" w:rsidRDefault="00B152BC">
      <w:pPr>
        <w:tabs>
          <w:tab w:val="left" w:pos="360"/>
        </w:tabs>
        <w:ind w:left="360" w:hanging="360"/>
        <w:rPr>
          <w:color w:val="000000"/>
          <w:sz w:val="18"/>
        </w:rPr>
      </w:pPr>
    </w:p>
    <w:p w:rsidR="00B152BC" w:rsidRDefault="00B152BC">
      <w:pPr>
        <w:tabs>
          <w:tab w:val="left" w:pos="360"/>
        </w:tabs>
        <w:rPr>
          <w:color w:val="000000"/>
          <w:sz w:val="22"/>
        </w:rPr>
      </w:pPr>
      <w:r>
        <w:rPr>
          <w:color w:val="000000"/>
          <w:sz w:val="22"/>
        </w:rPr>
        <w:t>7.</w:t>
      </w:r>
      <w:r>
        <w:rPr>
          <w:b/>
          <w:bCs/>
          <w:color w:val="000000"/>
          <w:sz w:val="22"/>
        </w:rPr>
        <w:tab/>
      </w:r>
      <w:r>
        <w:rPr>
          <w:color w:val="000000"/>
          <w:sz w:val="22"/>
        </w:rPr>
        <w:t>Explain any special circumstances that would cause an information collection to be conducted in a manner:</w:t>
      </w:r>
    </w:p>
    <w:p w:rsidR="00B152BC" w:rsidRDefault="00B152BC">
      <w:pPr>
        <w:numPr>
          <w:ilvl w:val="0"/>
          <w:numId w:val="8"/>
        </w:numPr>
        <w:tabs>
          <w:tab w:val="left" w:pos="600"/>
        </w:tabs>
        <w:rPr>
          <w:color w:val="000000"/>
          <w:sz w:val="22"/>
        </w:rPr>
      </w:pPr>
      <w:r>
        <w:rPr>
          <w:color w:val="000000"/>
          <w:sz w:val="22"/>
        </w:rPr>
        <w:t>requiring respondents to report information to the agency more often than quarterly;</w:t>
      </w:r>
    </w:p>
    <w:p w:rsidR="00B152BC" w:rsidRDefault="00B152BC">
      <w:pPr>
        <w:numPr>
          <w:ilvl w:val="0"/>
          <w:numId w:val="8"/>
        </w:numPr>
        <w:tabs>
          <w:tab w:val="left" w:pos="600"/>
        </w:tabs>
        <w:rPr>
          <w:color w:val="000000"/>
          <w:sz w:val="22"/>
        </w:rPr>
      </w:pPr>
      <w:r>
        <w:rPr>
          <w:color w:val="000000"/>
          <w:sz w:val="22"/>
        </w:rPr>
        <w:t>requiring respondents to prepare a written response to a collection of information in fewer than 30 days after receipt of it;</w:t>
      </w:r>
    </w:p>
    <w:p w:rsidR="00B152BC" w:rsidRDefault="00B152BC">
      <w:pPr>
        <w:numPr>
          <w:ilvl w:val="0"/>
          <w:numId w:val="8"/>
        </w:numPr>
        <w:tabs>
          <w:tab w:val="left" w:pos="600"/>
        </w:tabs>
        <w:rPr>
          <w:color w:val="000000"/>
          <w:sz w:val="22"/>
        </w:rPr>
      </w:pPr>
      <w:r>
        <w:rPr>
          <w:color w:val="000000"/>
          <w:sz w:val="22"/>
        </w:rPr>
        <w:t xml:space="preserve">requiring respondents to submit more than an original and two copies of any document; </w:t>
      </w:r>
    </w:p>
    <w:p w:rsidR="00B152BC" w:rsidRDefault="00B152BC">
      <w:pPr>
        <w:numPr>
          <w:ilvl w:val="0"/>
          <w:numId w:val="8"/>
        </w:numPr>
        <w:tabs>
          <w:tab w:val="left" w:pos="600"/>
        </w:tabs>
        <w:rPr>
          <w:color w:val="000000"/>
          <w:sz w:val="22"/>
        </w:rPr>
      </w:pPr>
      <w:r>
        <w:rPr>
          <w:color w:val="000000"/>
          <w:sz w:val="22"/>
        </w:rPr>
        <w:t>requiring respondents to retain records, other than health, medical, government contract, grant-in-aid, or tax records, for more than three years;</w:t>
      </w:r>
    </w:p>
    <w:p w:rsidR="00B152BC" w:rsidRDefault="00B152BC">
      <w:pPr>
        <w:numPr>
          <w:ilvl w:val="0"/>
          <w:numId w:val="8"/>
        </w:numPr>
        <w:tabs>
          <w:tab w:val="left" w:pos="600"/>
        </w:tabs>
        <w:rPr>
          <w:color w:val="000000"/>
          <w:sz w:val="22"/>
        </w:rPr>
      </w:pPr>
      <w:r>
        <w:rPr>
          <w:color w:val="000000"/>
          <w:sz w:val="22"/>
        </w:rPr>
        <w:t>in connection with a statistical survey, that is not designed to produce valid and reliable results that can be generalized to the universe of study;</w:t>
      </w:r>
    </w:p>
    <w:p w:rsidR="00B152BC" w:rsidRDefault="00B152BC">
      <w:pPr>
        <w:numPr>
          <w:ilvl w:val="0"/>
          <w:numId w:val="8"/>
        </w:numPr>
        <w:tabs>
          <w:tab w:val="left" w:pos="600"/>
        </w:tabs>
        <w:rPr>
          <w:color w:val="000000"/>
          <w:sz w:val="22"/>
        </w:rPr>
      </w:pPr>
      <w:r>
        <w:rPr>
          <w:color w:val="000000"/>
          <w:sz w:val="22"/>
        </w:rPr>
        <w:t>requiring the use of a statistical data classification that has not been reviewed and approved by OMB;</w:t>
      </w:r>
    </w:p>
    <w:p w:rsidR="00B152BC" w:rsidRDefault="00B152BC">
      <w:pPr>
        <w:numPr>
          <w:ilvl w:val="0"/>
          <w:numId w:val="8"/>
        </w:numPr>
        <w:tabs>
          <w:tab w:val="left" w:pos="600"/>
        </w:tabs>
        <w:rPr>
          <w:color w:val="000000"/>
          <w:sz w:val="22"/>
        </w:rPr>
      </w:pPr>
      <w:r>
        <w:rPr>
          <w:color w:val="000000"/>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152BC" w:rsidRDefault="00B152BC">
      <w:pPr>
        <w:numPr>
          <w:ilvl w:val="0"/>
          <w:numId w:val="8"/>
        </w:numPr>
        <w:tabs>
          <w:tab w:val="left" w:pos="600"/>
        </w:tabs>
        <w:rPr>
          <w:rFonts w:ascii="Helvetica" w:hAnsi="Helvetica"/>
          <w:color w:val="000000"/>
        </w:rPr>
      </w:pPr>
      <w:r>
        <w:rPr>
          <w:color w:val="000000"/>
          <w:sz w:val="22"/>
        </w:rPr>
        <w:t>requiring respondents to submit proprietary trade secrets, or other confidential information unless the agency can demonstrate that it has instituted procedures to protect the information's confidentiality to the extent permitted by law.</w:t>
      </w:r>
    </w:p>
    <w:p w:rsidR="00B152BC" w:rsidRDefault="00B152BC">
      <w:pPr>
        <w:tabs>
          <w:tab w:val="left" w:pos="600"/>
        </w:tabs>
        <w:ind w:left="360"/>
        <w:rPr>
          <w:color w:val="000000"/>
          <w:sz w:val="22"/>
        </w:rPr>
      </w:pPr>
    </w:p>
    <w:p w:rsidR="00B152BC" w:rsidRDefault="00B152BC">
      <w:pPr>
        <w:pStyle w:val="BodyTextIndent2"/>
        <w:tabs>
          <w:tab w:val="clear" w:pos="360"/>
          <w:tab w:val="left" w:pos="600"/>
        </w:tabs>
        <w:rPr>
          <w:rFonts w:ascii="Times New Roman" w:hAnsi="Times New Roman"/>
        </w:rPr>
      </w:pPr>
      <w:r>
        <w:rPr>
          <w:rFonts w:ascii="Times New Roman" w:hAnsi="Times New Roman"/>
        </w:rPr>
        <w:t>There are no special circumstances as described above required for this collection.</w:t>
      </w:r>
    </w:p>
    <w:p w:rsidR="00B152BC" w:rsidRDefault="00B152BC">
      <w:pPr>
        <w:tabs>
          <w:tab w:val="left" w:pos="360"/>
        </w:tabs>
        <w:ind w:left="360" w:hanging="360"/>
        <w:rPr>
          <w:color w:val="000000"/>
          <w:sz w:val="18"/>
        </w:rPr>
      </w:pPr>
    </w:p>
    <w:p w:rsidR="00B152BC" w:rsidRDefault="00B152BC">
      <w:pPr>
        <w:pStyle w:val="BodyTextIndent"/>
        <w:tabs>
          <w:tab w:val="clear" w:pos="720"/>
        </w:tabs>
        <w:spacing w:after="80"/>
      </w:pPr>
      <w:r>
        <w:lastRenderedPageBreak/>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152BC" w:rsidRDefault="00B152BC">
      <w:pPr>
        <w:tabs>
          <w:tab w:val="left" w:pos="360"/>
        </w:tabs>
        <w:ind w:left="360" w:hanging="360"/>
        <w:rPr>
          <w:color w:val="000000"/>
          <w:sz w:val="22"/>
        </w:rPr>
      </w:pPr>
      <w:r>
        <w:rPr>
          <w:color w:val="000000"/>
          <w:sz w:val="22"/>
        </w:rPr>
        <w:tab/>
      </w:r>
    </w:p>
    <w:p w:rsidR="00B152BC" w:rsidRDefault="004A61D1" w:rsidP="0061444A">
      <w:pPr>
        <w:pStyle w:val="BodyTextIndent"/>
        <w:keepLines w:val="0"/>
        <w:tabs>
          <w:tab w:val="clear" w:pos="720"/>
        </w:tabs>
      </w:pPr>
      <w:r>
        <w:tab/>
      </w:r>
      <w:r w:rsidR="00B152BC">
        <w:t xml:space="preserve"> No comments were received in response to the Notice.</w:t>
      </w:r>
      <w:r w:rsidR="0061444A">
        <w:t xml:space="preserve">  Future consultation in 2010 is planned with the small number of respondents participating in Section 901 flexibility -- to discuss the need for and obtain feedback on the increased programmatic and financial status reporting and appropriate format -- given the evolution of this legislative initiative and the absence of an automated system to capture such information.  Existing automated systems track program activity and financial status, including expenditures, according to the dollars appropriated for a given program.  In Section 901 flexibility, dollars appropriated for one program are used for purposes under another program and appropriation – requiring a manual system of program controls and oversight.  </w:t>
      </w:r>
    </w:p>
    <w:p w:rsidR="00B152BC" w:rsidRDefault="00B152BC">
      <w:pPr>
        <w:tabs>
          <w:tab w:val="left" w:pos="360"/>
        </w:tabs>
        <w:ind w:left="360" w:hanging="360"/>
        <w:rPr>
          <w:color w:val="000000"/>
          <w:sz w:val="22"/>
        </w:rPr>
      </w:pPr>
    </w:p>
    <w:p w:rsidR="00B152BC" w:rsidRDefault="00B152BC">
      <w:pPr>
        <w:keepLines/>
        <w:tabs>
          <w:tab w:val="left" w:pos="360"/>
        </w:tabs>
        <w:spacing w:after="80"/>
        <w:ind w:left="360" w:hanging="360"/>
        <w:rPr>
          <w:color w:val="000000"/>
          <w:sz w:val="22"/>
        </w:rPr>
      </w:pPr>
      <w:r>
        <w:rPr>
          <w:color w:val="000000"/>
          <w:sz w:val="22"/>
        </w:rPr>
        <w:t>9.</w:t>
      </w:r>
      <w:r>
        <w:rPr>
          <w:color w:val="000000"/>
          <w:sz w:val="22"/>
        </w:rPr>
        <w:tab/>
        <w:t>Explain any decision to provide any payment or gift to respondents, other than remuneration of contractors or grantees.</w:t>
      </w:r>
    </w:p>
    <w:p w:rsidR="00B152BC" w:rsidRDefault="00B152BC">
      <w:pPr>
        <w:pStyle w:val="BodyTextIndent"/>
        <w:tabs>
          <w:tab w:val="clear" w:pos="720"/>
        </w:tabs>
        <w:spacing w:after="80"/>
      </w:pPr>
    </w:p>
    <w:p w:rsidR="00B152BC" w:rsidRDefault="00B152BC">
      <w:pPr>
        <w:pStyle w:val="BodyTextIndent"/>
        <w:tabs>
          <w:tab w:val="clear" w:pos="720"/>
        </w:tabs>
        <w:spacing w:after="80"/>
      </w:pPr>
      <w:r>
        <w:t>There are not payments or gifts associated with this collection.</w:t>
      </w:r>
    </w:p>
    <w:p w:rsidR="00B152BC" w:rsidRDefault="00B152BC">
      <w:pPr>
        <w:tabs>
          <w:tab w:val="left" w:pos="360"/>
        </w:tabs>
        <w:ind w:left="360" w:hanging="360"/>
        <w:rPr>
          <w:color w:val="000000"/>
          <w:sz w:val="18"/>
        </w:rPr>
      </w:pPr>
    </w:p>
    <w:p w:rsidR="00B152BC" w:rsidRDefault="00B152BC">
      <w:pPr>
        <w:pStyle w:val="BodyTextIndent"/>
        <w:tabs>
          <w:tab w:val="clear" w:pos="720"/>
        </w:tabs>
        <w:spacing w:after="80"/>
      </w:pPr>
      <w:r>
        <w:t>10.</w:t>
      </w:r>
      <w:r>
        <w:tab/>
        <w:t>Describe any assurance of confidentiality provided to respondents and the basis for the assurance in statute, regulation, or agency policy.</w:t>
      </w:r>
    </w:p>
    <w:p w:rsidR="00B152BC" w:rsidRDefault="00B152BC">
      <w:pPr>
        <w:pStyle w:val="BodyTextIndent"/>
        <w:tabs>
          <w:tab w:val="clear" w:pos="720"/>
        </w:tabs>
        <w:spacing w:after="80"/>
      </w:pPr>
    </w:p>
    <w:p w:rsidR="00B152BC" w:rsidRDefault="00B152BC">
      <w:pPr>
        <w:pStyle w:val="BodyTextIndent"/>
        <w:tabs>
          <w:tab w:val="clear" w:pos="720"/>
        </w:tabs>
        <w:spacing w:after="80"/>
      </w:pPr>
      <w:r>
        <w:t>There are no assurances of confidentiality with this collection.</w:t>
      </w:r>
    </w:p>
    <w:p w:rsidR="00B152BC" w:rsidRDefault="00B152BC">
      <w:pPr>
        <w:tabs>
          <w:tab w:val="left" w:pos="360"/>
        </w:tabs>
        <w:ind w:left="360" w:hanging="360"/>
        <w:rPr>
          <w:color w:val="000000"/>
          <w:sz w:val="18"/>
        </w:rPr>
      </w:pPr>
    </w:p>
    <w:p w:rsidR="00B152BC" w:rsidRDefault="00B152BC">
      <w:pPr>
        <w:pStyle w:val="BodyTextIndent"/>
      </w:pPr>
      <w:r>
        <w:t>11.</w:t>
      </w:r>
      <w: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152BC" w:rsidRDefault="00B152BC">
      <w:pPr>
        <w:pStyle w:val="BodyTextIndent"/>
      </w:pPr>
    </w:p>
    <w:p w:rsidR="00B152BC" w:rsidRDefault="00B152BC">
      <w:pPr>
        <w:pStyle w:val="BodyTextIndent"/>
      </w:pPr>
      <w:r>
        <w:t>This collection does not involve any questions of a sensitive nature.</w:t>
      </w:r>
    </w:p>
    <w:p w:rsidR="00B152BC" w:rsidRDefault="00B152BC">
      <w:pPr>
        <w:keepLines/>
        <w:tabs>
          <w:tab w:val="left" w:pos="360"/>
        </w:tabs>
        <w:ind w:left="360" w:hanging="360"/>
        <w:rPr>
          <w:color w:val="000000"/>
          <w:sz w:val="22"/>
        </w:rPr>
      </w:pPr>
    </w:p>
    <w:p w:rsidR="00B152BC" w:rsidRDefault="00B152BC">
      <w:pPr>
        <w:keepLines/>
        <w:tabs>
          <w:tab w:val="left" w:pos="360"/>
          <w:tab w:val="left" w:pos="720"/>
        </w:tabs>
        <w:ind w:left="360" w:hanging="360"/>
        <w:rPr>
          <w:color w:val="000000"/>
          <w:sz w:val="22"/>
        </w:rPr>
      </w:pPr>
      <w:r>
        <w:rPr>
          <w:color w:val="000000"/>
          <w:sz w:val="22"/>
        </w:rPr>
        <w:t>12.</w:t>
      </w:r>
      <w:r>
        <w:rPr>
          <w:color w:val="000000"/>
          <w:sz w:val="22"/>
        </w:rPr>
        <w:tab/>
        <w:t>Provide estimates of the hour burden of the collection of information. The statement should:</w:t>
      </w:r>
    </w:p>
    <w:p w:rsidR="00B152BC" w:rsidRDefault="00B152BC">
      <w:pPr>
        <w:numPr>
          <w:ilvl w:val="0"/>
          <w:numId w:val="8"/>
        </w:numPr>
        <w:tabs>
          <w:tab w:val="left" w:pos="480"/>
        </w:tabs>
        <w:ind w:left="480"/>
        <w:rPr>
          <w:color w:val="000000"/>
          <w:sz w:val="22"/>
        </w:rPr>
      </w:pPr>
      <w:r>
        <w:rPr>
          <w:color w:val="000000"/>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52BC" w:rsidRDefault="00B152BC">
      <w:pPr>
        <w:keepLines/>
        <w:numPr>
          <w:ilvl w:val="0"/>
          <w:numId w:val="8"/>
        </w:numPr>
        <w:tabs>
          <w:tab w:val="left" w:pos="480"/>
        </w:tabs>
        <w:spacing w:after="80"/>
        <w:ind w:left="480"/>
        <w:rPr>
          <w:color w:val="000000"/>
          <w:sz w:val="22"/>
        </w:rPr>
      </w:pPr>
      <w:r>
        <w:rPr>
          <w:color w:val="000000"/>
          <w:sz w:val="22"/>
        </w:rPr>
        <w:t xml:space="preserve">If this request for approval covers more than one form, provide separate hour burden estimates for each form and aggregate the hour burdens in Item 13 of OMB Form 83-I.  </w:t>
      </w:r>
    </w:p>
    <w:p w:rsidR="00B152BC" w:rsidRDefault="00B152BC">
      <w:pPr>
        <w:keepLines/>
        <w:numPr>
          <w:ilvl w:val="0"/>
          <w:numId w:val="8"/>
        </w:numPr>
        <w:tabs>
          <w:tab w:val="left" w:pos="480"/>
        </w:tabs>
        <w:spacing w:after="80"/>
        <w:ind w:left="480"/>
        <w:rPr>
          <w:color w:val="000000"/>
          <w:sz w:val="22"/>
        </w:rPr>
      </w:pPr>
      <w:r>
        <w:rPr>
          <w:color w:val="000000"/>
          <w:sz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152BC" w:rsidRDefault="00B152BC">
      <w:pPr>
        <w:pStyle w:val="BodyText3"/>
        <w:tabs>
          <w:tab w:val="left" w:pos="840"/>
        </w:tabs>
        <w:overflowPunct w:val="0"/>
        <w:autoSpaceDE w:val="0"/>
        <w:autoSpaceDN w:val="0"/>
        <w:adjustRightInd w:val="0"/>
        <w:spacing w:before="120"/>
        <w:ind w:left="360"/>
        <w:textAlignment w:val="baseline"/>
      </w:pPr>
    </w:p>
    <w:tbl>
      <w:tblPr>
        <w:tblW w:w="9705" w:type="dxa"/>
        <w:tblInd w:w="368" w:type="dxa"/>
        <w:tblLayout w:type="fixed"/>
        <w:tblCellMar>
          <w:left w:w="0" w:type="dxa"/>
          <w:right w:w="0" w:type="dxa"/>
        </w:tblCellMar>
        <w:tblLook w:val="0000"/>
      </w:tblPr>
      <w:tblGrid>
        <w:gridCol w:w="30"/>
        <w:gridCol w:w="1770"/>
        <w:gridCol w:w="1342"/>
        <w:gridCol w:w="1260"/>
        <w:gridCol w:w="1260"/>
        <w:gridCol w:w="357"/>
        <w:gridCol w:w="1623"/>
        <w:gridCol w:w="360"/>
        <w:gridCol w:w="1703"/>
      </w:tblGrid>
      <w:tr w:rsidR="008E1E86" w:rsidRPr="000766F5" w:rsidTr="008E1E86">
        <w:trPr>
          <w:cantSplit/>
          <w:trHeight w:val="255"/>
        </w:trPr>
        <w:tc>
          <w:tcPr>
            <w:tcW w:w="30" w:type="dxa"/>
            <w:tcBorders>
              <w:bottom w:val="nil"/>
            </w:tcBorders>
          </w:tcPr>
          <w:p w:rsidR="008E1E86" w:rsidRPr="000766F5" w:rsidRDefault="008E1E86">
            <w:pPr>
              <w:pStyle w:val="Heading3"/>
              <w:keepLines/>
              <w:spacing w:after="60"/>
              <w:jc w:val="center"/>
              <w:rPr>
                <w:sz w:val="24"/>
                <w:szCs w:val="24"/>
              </w:rPr>
            </w:pPr>
          </w:p>
        </w:tc>
        <w:tc>
          <w:tcPr>
            <w:tcW w:w="9675" w:type="dxa"/>
            <w:gridSpan w:val="8"/>
            <w:tcBorders>
              <w:bottom w:val="nil"/>
            </w:tcBorders>
            <w:vAlign w:val="bottom"/>
          </w:tcPr>
          <w:p w:rsidR="008E1E86" w:rsidRPr="000766F5" w:rsidRDefault="008E1E86">
            <w:pPr>
              <w:pStyle w:val="Heading3"/>
              <w:keepLines/>
              <w:spacing w:after="60"/>
              <w:jc w:val="center"/>
              <w:rPr>
                <w:sz w:val="24"/>
                <w:szCs w:val="24"/>
              </w:rPr>
            </w:pPr>
          </w:p>
        </w:tc>
      </w:tr>
      <w:tr w:rsidR="008E1E86" w:rsidRPr="000766F5" w:rsidTr="008E1E86">
        <w:trPr>
          <w:trHeight w:val="510"/>
        </w:trPr>
        <w:tc>
          <w:tcPr>
            <w:tcW w:w="30" w:type="dxa"/>
            <w:tcBorders>
              <w:top w:val="single" w:sz="4" w:space="0" w:color="auto"/>
              <w:left w:val="single" w:sz="4" w:space="0" w:color="auto"/>
              <w:bottom w:val="single" w:sz="4" w:space="0" w:color="auto"/>
              <w:right w:val="single" w:sz="4" w:space="0" w:color="auto"/>
            </w:tcBorders>
          </w:tcPr>
          <w:p w:rsidR="008E1E86" w:rsidRPr="0051238C" w:rsidRDefault="008E1E86" w:rsidP="0051238C">
            <w:pPr>
              <w:keepNext/>
              <w:keepLines/>
              <w:jc w:val="center"/>
              <w:rPr>
                <w:b/>
                <w:sz w:val="24"/>
                <w:szCs w:val="24"/>
              </w:rPr>
            </w:pPr>
          </w:p>
        </w:tc>
        <w:tc>
          <w:tcPr>
            <w:tcW w:w="9675" w:type="dxa"/>
            <w:gridSpan w:val="8"/>
            <w:tcBorders>
              <w:top w:val="single" w:sz="4" w:space="0" w:color="auto"/>
              <w:left w:val="single" w:sz="4" w:space="0" w:color="auto"/>
              <w:bottom w:val="single" w:sz="4" w:space="0" w:color="auto"/>
              <w:right w:val="single" w:sz="4" w:space="0" w:color="auto"/>
            </w:tcBorders>
            <w:vAlign w:val="center"/>
          </w:tcPr>
          <w:p w:rsidR="008E1E86" w:rsidRPr="0051238C" w:rsidRDefault="008E1E86" w:rsidP="0051238C">
            <w:pPr>
              <w:keepNext/>
              <w:keepLines/>
              <w:jc w:val="center"/>
              <w:rPr>
                <w:b/>
                <w:sz w:val="24"/>
                <w:szCs w:val="24"/>
              </w:rPr>
            </w:pPr>
            <w:r w:rsidRPr="0051238C">
              <w:rPr>
                <w:b/>
                <w:sz w:val="24"/>
                <w:szCs w:val="24"/>
              </w:rPr>
              <w:t>Total Annual Burden Hour Estimates</w:t>
            </w:r>
          </w:p>
        </w:tc>
      </w:tr>
      <w:tr w:rsidR="008E1E86" w:rsidRPr="000766F5" w:rsidTr="008E1E86">
        <w:trPr>
          <w:trHeight w:val="510"/>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Type of Submission</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Frequency of Requirement</w:t>
            </w:r>
          </w:p>
        </w:tc>
        <w:tc>
          <w:tcPr>
            <w:tcW w:w="1260" w:type="dxa"/>
            <w:tcBorders>
              <w:top w:val="single" w:sz="4" w:space="0" w:color="auto"/>
              <w:left w:val="single" w:sz="4" w:space="0" w:color="auto"/>
              <w:bottom w:val="single" w:sz="4" w:space="0" w:color="auto"/>
              <w:right w:val="single" w:sz="4" w:space="0" w:color="auto"/>
            </w:tcBorders>
          </w:tcPr>
          <w:p w:rsidR="008E1E86" w:rsidRPr="008E1E86" w:rsidRDefault="008E1E86">
            <w:pPr>
              <w:pStyle w:val="Heading1"/>
              <w:keepLines/>
              <w:rPr>
                <w:rFonts w:ascii="Times New Roman" w:hAnsi="Times New Roman"/>
                <w:b w:val="0"/>
                <w:sz w:val="20"/>
              </w:rPr>
            </w:pPr>
            <w:r>
              <w:rPr>
                <w:rFonts w:ascii="Times New Roman" w:hAnsi="Times New Roman"/>
                <w:b w:val="0"/>
                <w:sz w:val="20"/>
              </w:rPr>
              <w:t>Total Number of Responses</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pStyle w:val="Heading1"/>
              <w:keepLines/>
              <w:rPr>
                <w:rFonts w:ascii="Times New Roman" w:hAnsi="Times New Roman"/>
                <w:b w:val="0"/>
                <w:sz w:val="20"/>
              </w:rPr>
            </w:pPr>
            <w:r w:rsidRPr="008E1E86">
              <w:rPr>
                <w:rFonts w:ascii="Times New Roman" w:hAnsi="Times New Roman"/>
                <w:b w:val="0"/>
                <w:sz w:val="20"/>
              </w:rPr>
              <w:t>X</w:t>
            </w: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 xml:space="preserve">Est. Avg. Time for Requirement (Hours) </w:t>
            </w: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rPr>
                <w:b/>
                <w:bCs/>
              </w:rPr>
            </w:pPr>
            <w:r w:rsidRPr="008E1E86">
              <w:rPr>
                <w:b/>
                <w:bCs/>
              </w:rPr>
              <w:t>=</w:t>
            </w: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Est. Annual Burden (Hours)</w:t>
            </w:r>
          </w:p>
        </w:tc>
      </w:tr>
      <w:tr w:rsidR="008E1E86" w:rsidRPr="000766F5" w:rsidTr="008E1E86">
        <w:trPr>
          <w:trHeight w:val="387"/>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rsidP="009B4FBE">
            <w:pPr>
              <w:keepNext/>
              <w:keepLines/>
              <w:jc w:val="center"/>
            </w:pPr>
            <w:r w:rsidRPr="008E1E86">
              <w:t>Notice of Intent and Fungibility Plan</w:t>
            </w:r>
          </w:p>
          <w:p w:rsidR="008E1E86" w:rsidRPr="008E1E86" w:rsidRDefault="008E1E86" w:rsidP="009B4FBE">
            <w:pPr>
              <w:keepNext/>
              <w:keepLines/>
              <w:jc w:val="center"/>
            </w:pPr>
            <w:r w:rsidRPr="008E1E86">
              <w:t>Plan Template</w:t>
            </w:r>
          </w:p>
          <w:p w:rsidR="008E1E86" w:rsidRPr="008E1E86" w:rsidRDefault="008E1E86" w:rsidP="009B4FBE">
            <w:pPr>
              <w:keepNext/>
              <w:keepLines/>
              <w:jc w:val="center"/>
            </w:pPr>
            <w:r w:rsidRPr="008E1E86">
              <w:t>Form HUD-50075.1</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43575">
            <w:pPr>
              <w:keepNext/>
              <w:keepLines/>
              <w:jc w:val="center"/>
            </w:pPr>
            <w:r w:rsidRPr="008E1E86">
              <w:t>12</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1</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E1E86">
            <w:pPr>
              <w:keepNext/>
              <w:keepLines/>
              <w:jc w:val="center"/>
            </w:pPr>
            <w:r>
              <w:t>12</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42807">
            <w:pPr>
              <w:keepNext/>
              <w:keepLines/>
              <w:jc w:val="center"/>
            </w:pPr>
            <w:r w:rsidRPr="008E1E86">
              <w:t>40</w:t>
            </w: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2D4581">
            <w:pPr>
              <w:keepNext/>
              <w:keepLines/>
              <w:jc w:val="center"/>
            </w:pPr>
            <w:r w:rsidRPr="008E1E86">
              <w:t>480</w:t>
            </w:r>
          </w:p>
        </w:tc>
      </w:tr>
      <w:tr w:rsidR="008E1E86" w:rsidRPr="000766F5" w:rsidTr="008E1E86">
        <w:trPr>
          <w:trHeight w:val="360"/>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rsidP="009B4FBE">
            <w:pPr>
              <w:keepNext/>
              <w:keepLines/>
              <w:jc w:val="center"/>
            </w:pPr>
            <w:r w:rsidRPr="008E1E86">
              <w:t>Quarterly Report</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10</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4</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E1E86">
            <w:pPr>
              <w:keepNext/>
              <w:keepLines/>
              <w:jc w:val="center"/>
            </w:pPr>
            <w:r>
              <w:t>40</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16</w:t>
            </w: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4C39AD">
            <w:pPr>
              <w:keepNext/>
              <w:keepLines/>
              <w:jc w:val="center"/>
            </w:pPr>
            <w:r w:rsidRPr="008E1E86">
              <w:t>640</w:t>
            </w:r>
          </w:p>
        </w:tc>
      </w:tr>
      <w:tr w:rsidR="008E1E86" w:rsidRPr="000766F5" w:rsidTr="008E1E86">
        <w:trPr>
          <w:trHeight w:val="360"/>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rsidP="009B4FBE">
            <w:pPr>
              <w:keepNext/>
              <w:keepLines/>
              <w:jc w:val="center"/>
            </w:pPr>
            <w:r w:rsidRPr="008E1E86">
              <w:t>Annual Report</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0766F5">
            <w:pPr>
              <w:keepNext/>
              <w:keepLines/>
              <w:jc w:val="center"/>
            </w:pPr>
            <w:r w:rsidRPr="008E1E86">
              <w:t>10</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1</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E1E86">
            <w:pPr>
              <w:keepNext/>
              <w:keepLines/>
              <w:jc w:val="center"/>
            </w:pPr>
            <w:r>
              <w:t>10</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C03F10">
            <w:pPr>
              <w:keepNext/>
              <w:keepLines/>
              <w:jc w:val="center"/>
            </w:pPr>
            <w:r w:rsidRPr="008E1E86">
              <w:t>24</w:t>
            </w: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0766F5">
            <w:pPr>
              <w:keepNext/>
              <w:keepLines/>
              <w:jc w:val="center"/>
            </w:pPr>
            <w:r w:rsidRPr="008E1E86">
              <w:t>160</w:t>
            </w:r>
          </w:p>
        </w:tc>
      </w:tr>
      <w:tr w:rsidR="008E1E86" w:rsidRPr="000766F5" w:rsidTr="008E1E86">
        <w:trPr>
          <w:trHeight w:val="360"/>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rsidP="009B4FBE">
            <w:pPr>
              <w:keepNext/>
              <w:keepLines/>
              <w:jc w:val="center"/>
            </w:pPr>
            <w:r w:rsidRPr="008E1E86">
              <w:t>Final Report</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0766F5">
            <w:pPr>
              <w:keepNext/>
              <w:keepLines/>
              <w:jc w:val="center"/>
            </w:pPr>
            <w:r w:rsidRPr="008E1E86">
              <w:t>10</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rsidRPr="008E1E86">
              <w:t>1</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E1E86">
            <w:pPr>
              <w:keepNext/>
              <w:keepLines/>
              <w:jc w:val="center"/>
            </w:pPr>
            <w:r>
              <w:t>10</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23CD7">
            <w:pPr>
              <w:keepNext/>
              <w:keepLines/>
              <w:jc w:val="center"/>
            </w:pPr>
            <w:r w:rsidRPr="008E1E86">
              <w:t>40</w:t>
            </w: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C96F18">
            <w:pPr>
              <w:keepNext/>
              <w:keepLines/>
              <w:jc w:val="center"/>
            </w:pPr>
            <w:r w:rsidRPr="008E1E86">
              <w:t>400</w:t>
            </w:r>
          </w:p>
        </w:tc>
      </w:tr>
      <w:tr w:rsidR="008E1E86" w:rsidRPr="000766F5" w:rsidTr="008E1E86">
        <w:trPr>
          <w:trHeight w:val="360"/>
        </w:trPr>
        <w:tc>
          <w:tcPr>
            <w:tcW w:w="1800" w:type="dxa"/>
            <w:gridSpan w:val="2"/>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rPr>
                <w:b/>
                <w:bCs/>
              </w:rPr>
            </w:pPr>
            <w:r w:rsidRPr="008E1E86">
              <w:rPr>
                <w:b/>
                <w:bCs/>
              </w:rPr>
              <w:t>TOTAL</w:t>
            </w:r>
          </w:p>
        </w:tc>
        <w:tc>
          <w:tcPr>
            <w:tcW w:w="1342"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r>
              <w:t>12</w:t>
            </w: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rsidP="008E1E86">
            <w:pPr>
              <w:keepNext/>
              <w:keepLines/>
              <w:jc w:val="center"/>
            </w:pPr>
            <w:r>
              <w:t>72</w:t>
            </w:r>
          </w:p>
        </w:tc>
        <w:tc>
          <w:tcPr>
            <w:tcW w:w="357"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623"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8E1E86" w:rsidRPr="008E1E86" w:rsidRDefault="008E1E86">
            <w:pPr>
              <w:keepNext/>
              <w:keepLines/>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E1E86" w:rsidRPr="008E1E86" w:rsidRDefault="00C0766C">
            <w:pPr>
              <w:keepNext/>
              <w:keepLines/>
              <w:jc w:val="center"/>
            </w:pPr>
            <w:fldSimple w:instr=" =SUM(ABOVE) ">
              <w:r w:rsidR="008E1E86" w:rsidRPr="008E1E86">
                <w:rPr>
                  <w:noProof/>
                </w:rPr>
                <w:t>1680</w:t>
              </w:r>
            </w:fldSimple>
          </w:p>
        </w:tc>
      </w:tr>
    </w:tbl>
    <w:p w:rsidR="008E1E86" w:rsidRDefault="008E1E86">
      <w:pPr>
        <w:pStyle w:val="BodyText3"/>
        <w:tabs>
          <w:tab w:val="left" w:pos="840"/>
        </w:tabs>
        <w:overflowPunct w:val="0"/>
        <w:autoSpaceDE w:val="0"/>
        <w:autoSpaceDN w:val="0"/>
        <w:adjustRightInd w:val="0"/>
        <w:spacing w:before="120"/>
        <w:ind w:left="360"/>
        <w:textAlignment w:val="baseline"/>
        <w:rPr>
          <w:sz w:val="22"/>
        </w:rPr>
      </w:pPr>
    </w:p>
    <w:p w:rsidR="00B152BC" w:rsidRDefault="00B152BC">
      <w:pPr>
        <w:pStyle w:val="BodyText3"/>
        <w:tabs>
          <w:tab w:val="left" w:pos="840"/>
        </w:tabs>
        <w:overflowPunct w:val="0"/>
        <w:autoSpaceDE w:val="0"/>
        <w:autoSpaceDN w:val="0"/>
        <w:adjustRightInd w:val="0"/>
        <w:spacing w:before="120"/>
        <w:ind w:left="360"/>
        <w:textAlignment w:val="baseline"/>
        <w:rPr>
          <w:sz w:val="22"/>
        </w:rPr>
      </w:pPr>
      <w:r>
        <w:rPr>
          <w:sz w:val="22"/>
        </w:rPr>
        <w:t>Explanation of how the burden was estimated:</w:t>
      </w:r>
    </w:p>
    <w:p w:rsidR="00B152BC" w:rsidRDefault="00B152BC">
      <w:pPr>
        <w:pStyle w:val="BodyText3"/>
        <w:tabs>
          <w:tab w:val="left" w:pos="840"/>
        </w:tabs>
        <w:overflowPunct w:val="0"/>
        <w:autoSpaceDE w:val="0"/>
        <w:autoSpaceDN w:val="0"/>
        <w:adjustRightInd w:val="0"/>
        <w:spacing w:before="120"/>
        <w:ind w:left="720"/>
        <w:textAlignment w:val="baseline"/>
        <w:rPr>
          <w:sz w:val="22"/>
        </w:rPr>
      </w:pPr>
      <w:r>
        <w:rPr>
          <w:b/>
          <w:bCs/>
          <w:sz w:val="22"/>
        </w:rPr>
        <w:t>Notice of Intent and Fungibility Plan:</w:t>
      </w:r>
      <w:r>
        <w:rPr>
          <w:sz w:val="22"/>
        </w:rPr>
        <w:t xml:space="preserve">  It is anticipated that devising the </w:t>
      </w:r>
      <w:r w:rsidR="00FC3C6F">
        <w:rPr>
          <w:sz w:val="22"/>
        </w:rPr>
        <w:t xml:space="preserve">Fungibility </w:t>
      </w:r>
      <w:r>
        <w:rPr>
          <w:sz w:val="22"/>
        </w:rPr>
        <w:t xml:space="preserve">Plan will be a collaborative effort.  A probable model is that the PHA Executive Director holds a meeting with staff </w:t>
      </w:r>
      <w:r w:rsidR="00FC3C6F">
        <w:rPr>
          <w:sz w:val="22"/>
        </w:rPr>
        <w:t xml:space="preserve">responsible for administering the Housing Choice Voucher, Capital Fund, Operating Fund, and Hurricane Recovery programs to discuss hurricane recovery </w:t>
      </w:r>
      <w:r>
        <w:rPr>
          <w:sz w:val="22"/>
        </w:rPr>
        <w:t xml:space="preserve">needs and how </w:t>
      </w:r>
      <w:r w:rsidR="00842807">
        <w:rPr>
          <w:sz w:val="22"/>
        </w:rPr>
        <w:t>the PHA</w:t>
      </w:r>
      <w:r>
        <w:rPr>
          <w:sz w:val="22"/>
        </w:rPr>
        <w:t xml:space="preserve"> can </w:t>
      </w:r>
      <w:r w:rsidR="00842807">
        <w:rPr>
          <w:sz w:val="22"/>
        </w:rPr>
        <w:t xml:space="preserve">best </w:t>
      </w:r>
      <w:r>
        <w:rPr>
          <w:sz w:val="22"/>
        </w:rPr>
        <w:t xml:space="preserve">use the funding flexibility provided by section 901.  At that meeting, a ‘working group’ is designated to work out the details of the plan and actually write the plan.  Then, the larger group meets again to review the final product.  For the purposes of estimating the number of hours to produce the plan, the following figures were used:  Initial Meeting:  </w:t>
      </w:r>
      <w:r w:rsidR="00842807">
        <w:rPr>
          <w:sz w:val="22"/>
        </w:rPr>
        <w:t>6</w:t>
      </w:r>
      <w:r>
        <w:rPr>
          <w:sz w:val="22"/>
        </w:rPr>
        <w:t xml:space="preserve"> people meet for 2 hours = </w:t>
      </w:r>
      <w:r w:rsidR="00842807">
        <w:rPr>
          <w:sz w:val="22"/>
        </w:rPr>
        <w:t>12</w:t>
      </w:r>
      <w:r>
        <w:rPr>
          <w:sz w:val="22"/>
        </w:rPr>
        <w:t xml:space="preserve"> hours.  Working Group:  2 people spend </w:t>
      </w:r>
      <w:r w:rsidR="00842807">
        <w:rPr>
          <w:sz w:val="22"/>
        </w:rPr>
        <w:t>8</w:t>
      </w:r>
      <w:r>
        <w:rPr>
          <w:sz w:val="22"/>
        </w:rPr>
        <w:t xml:space="preserve"> hours each</w:t>
      </w:r>
      <w:r w:rsidR="002E49A7">
        <w:rPr>
          <w:sz w:val="22"/>
        </w:rPr>
        <w:t xml:space="preserve"> writing the plan</w:t>
      </w:r>
      <w:r>
        <w:rPr>
          <w:sz w:val="22"/>
        </w:rPr>
        <w:t xml:space="preserve"> = </w:t>
      </w:r>
      <w:r w:rsidR="00842807">
        <w:rPr>
          <w:sz w:val="22"/>
        </w:rPr>
        <w:t>16</w:t>
      </w:r>
      <w:r>
        <w:rPr>
          <w:sz w:val="22"/>
        </w:rPr>
        <w:t xml:space="preserve"> hours.  Final Meeting:  </w:t>
      </w:r>
      <w:r w:rsidR="00842807">
        <w:rPr>
          <w:sz w:val="22"/>
        </w:rPr>
        <w:t>6</w:t>
      </w:r>
      <w:r>
        <w:rPr>
          <w:sz w:val="22"/>
        </w:rPr>
        <w:t xml:space="preserve"> people meet for 2 hours = </w:t>
      </w:r>
      <w:r w:rsidR="00842807">
        <w:rPr>
          <w:sz w:val="22"/>
        </w:rPr>
        <w:t>12</w:t>
      </w:r>
      <w:r>
        <w:rPr>
          <w:sz w:val="22"/>
        </w:rPr>
        <w:t xml:space="preserve"> hours.  Grand total = </w:t>
      </w:r>
      <w:r w:rsidR="002E49A7">
        <w:rPr>
          <w:sz w:val="22"/>
        </w:rPr>
        <w:t>4</w:t>
      </w:r>
      <w:r>
        <w:rPr>
          <w:sz w:val="22"/>
        </w:rPr>
        <w:t xml:space="preserve">0 hours.   </w:t>
      </w:r>
    </w:p>
    <w:p w:rsidR="00B152BC" w:rsidRDefault="00B152BC">
      <w:pPr>
        <w:pStyle w:val="BodyText3"/>
        <w:tabs>
          <w:tab w:val="left" w:pos="840"/>
        </w:tabs>
        <w:overflowPunct w:val="0"/>
        <w:autoSpaceDE w:val="0"/>
        <w:autoSpaceDN w:val="0"/>
        <w:adjustRightInd w:val="0"/>
        <w:spacing w:before="120"/>
        <w:ind w:left="720"/>
        <w:textAlignment w:val="baseline"/>
        <w:rPr>
          <w:sz w:val="22"/>
        </w:rPr>
      </w:pPr>
      <w:r>
        <w:rPr>
          <w:sz w:val="22"/>
        </w:rPr>
        <w:t xml:space="preserve">Estimated cost to respondents:  4 hours x </w:t>
      </w:r>
      <w:r w:rsidR="00842807">
        <w:rPr>
          <w:sz w:val="22"/>
        </w:rPr>
        <w:t xml:space="preserve">10 </w:t>
      </w:r>
      <w:r>
        <w:rPr>
          <w:sz w:val="22"/>
        </w:rPr>
        <w:t>respondents x $48/hourly salary for Executive Director = $1,</w:t>
      </w:r>
      <w:r w:rsidR="00842807">
        <w:rPr>
          <w:sz w:val="22"/>
        </w:rPr>
        <w:t>920</w:t>
      </w:r>
      <w:r>
        <w:rPr>
          <w:sz w:val="22"/>
        </w:rPr>
        <w:t xml:space="preserve"> </w:t>
      </w:r>
    </w:p>
    <w:p w:rsidR="00B152BC" w:rsidRDefault="00B152BC">
      <w:pPr>
        <w:pStyle w:val="BodyText3"/>
        <w:tabs>
          <w:tab w:val="left" w:pos="840"/>
        </w:tabs>
        <w:overflowPunct w:val="0"/>
        <w:autoSpaceDE w:val="0"/>
        <w:autoSpaceDN w:val="0"/>
        <w:adjustRightInd w:val="0"/>
        <w:spacing w:before="120"/>
        <w:ind w:left="1800"/>
        <w:textAlignment w:val="baseline"/>
        <w:rPr>
          <w:sz w:val="22"/>
        </w:rPr>
      </w:pPr>
      <w:r>
        <w:rPr>
          <w:sz w:val="22"/>
        </w:rPr>
        <w:t xml:space="preserve">+ </w:t>
      </w:r>
      <w:r w:rsidR="00842807">
        <w:rPr>
          <w:sz w:val="22"/>
        </w:rPr>
        <w:t>4</w:t>
      </w:r>
      <w:r>
        <w:rPr>
          <w:sz w:val="22"/>
        </w:rPr>
        <w:t xml:space="preserve">0 hours x </w:t>
      </w:r>
      <w:r w:rsidR="00842807">
        <w:rPr>
          <w:sz w:val="22"/>
        </w:rPr>
        <w:t>1</w:t>
      </w:r>
      <w:r w:rsidR="005E098D">
        <w:rPr>
          <w:sz w:val="22"/>
        </w:rPr>
        <w:t>2</w:t>
      </w:r>
      <w:r>
        <w:rPr>
          <w:sz w:val="22"/>
        </w:rPr>
        <w:t xml:space="preserve"> respondents x $</w:t>
      </w:r>
      <w:r w:rsidR="00950B05">
        <w:rPr>
          <w:sz w:val="22"/>
        </w:rPr>
        <w:t>28.85</w:t>
      </w:r>
      <w:r>
        <w:rPr>
          <w:sz w:val="22"/>
        </w:rPr>
        <w:t xml:space="preserve"> average salary for work group staff hours</w:t>
      </w:r>
      <w:r w:rsidR="00823CD7">
        <w:rPr>
          <w:sz w:val="22"/>
        </w:rPr>
        <w:t xml:space="preserve"> </w:t>
      </w:r>
      <w:r>
        <w:rPr>
          <w:sz w:val="22"/>
        </w:rPr>
        <w:t xml:space="preserve">= </w:t>
      </w:r>
      <w:r w:rsidR="00823CD7">
        <w:rPr>
          <w:sz w:val="22"/>
        </w:rPr>
        <w:t>$1</w:t>
      </w:r>
      <w:r w:rsidR="005E098D">
        <w:rPr>
          <w:sz w:val="22"/>
        </w:rPr>
        <w:t>3,848</w:t>
      </w:r>
    </w:p>
    <w:p w:rsidR="00C96F18" w:rsidRPr="000E21F5" w:rsidRDefault="000E21F5" w:rsidP="00C96F18">
      <w:pPr>
        <w:pStyle w:val="BodyText3"/>
        <w:tabs>
          <w:tab w:val="left" w:pos="840"/>
        </w:tabs>
        <w:overflowPunct w:val="0"/>
        <w:autoSpaceDE w:val="0"/>
        <w:autoSpaceDN w:val="0"/>
        <w:adjustRightInd w:val="0"/>
        <w:spacing w:before="120"/>
        <w:ind w:left="720"/>
        <w:textAlignment w:val="baseline"/>
        <w:rPr>
          <w:b/>
          <w:bCs/>
          <w:sz w:val="22"/>
        </w:rPr>
      </w:pPr>
      <w:r>
        <w:rPr>
          <w:b/>
          <w:bCs/>
          <w:sz w:val="22"/>
        </w:rPr>
        <w:t>Quarterly Reports</w:t>
      </w:r>
      <w:r w:rsidR="00C96F18">
        <w:rPr>
          <w:b/>
          <w:bCs/>
          <w:sz w:val="22"/>
        </w:rPr>
        <w:t xml:space="preserve">:  </w:t>
      </w:r>
      <w:r w:rsidR="004C39AD">
        <w:rPr>
          <w:bCs/>
          <w:sz w:val="22"/>
        </w:rPr>
        <w:t xml:space="preserve">It is projected an average of two professional program and financial staff dedicated to </w:t>
      </w:r>
      <w:r w:rsidR="00A4442B">
        <w:rPr>
          <w:bCs/>
          <w:sz w:val="22"/>
        </w:rPr>
        <w:t xml:space="preserve">Section 901 </w:t>
      </w:r>
      <w:r w:rsidR="004C39AD">
        <w:rPr>
          <w:bCs/>
          <w:sz w:val="22"/>
        </w:rPr>
        <w:t>would</w:t>
      </w:r>
      <w:r w:rsidR="00C96F18">
        <w:rPr>
          <w:sz w:val="22"/>
        </w:rPr>
        <w:t xml:space="preserve"> </w:t>
      </w:r>
      <w:r w:rsidR="00A4442B">
        <w:rPr>
          <w:sz w:val="22"/>
        </w:rPr>
        <w:t>research and assemble information and data on the amount of funds per approved Section 901 activity were obligated and expended per quarter and prepare and submit the quarterly report</w:t>
      </w:r>
      <w:r w:rsidR="00C96F18">
        <w:rPr>
          <w:sz w:val="22"/>
        </w:rPr>
        <w:t xml:space="preserve">.  Time estimate:  2 </w:t>
      </w:r>
      <w:r w:rsidR="00A4442B">
        <w:rPr>
          <w:sz w:val="22"/>
        </w:rPr>
        <w:t>prof</w:t>
      </w:r>
      <w:r w:rsidR="005E098D">
        <w:rPr>
          <w:sz w:val="22"/>
        </w:rPr>
        <w:t>e</w:t>
      </w:r>
      <w:r w:rsidR="00A4442B">
        <w:rPr>
          <w:sz w:val="22"/>
        </w:rPr>
        <w:t>ssional staff</w:t>
      </w:r>
      <w:r w:rsidR="00C96F18">
        <w:rPr>
          <w:sz w:val="22"/>
        </w:rPr>
        <w:t xml:space="preserve"> spend </w:t>
      </w:r>
      <w:r w:rsidR="004C39AD">
        <w:rPr>
          <w:sz w:val="22"/>
        </w:rPr>
        <w:t>8</w:t>
      </w:r>
      <w:r w:rsidR="00C96F18">
        <w:rPr>
          <w:sz w:val="22"/>
        </w:rPr>
        <w:t xml:space="preserve"> hours each = 16 hours.  Estimate includes the time for research and gathering information for the report. </w:t>
      </w:r>
    </w:p>
    <w:p w:rsidR="00C96F18" w:rsidRDefault="00C96F18" w:rsidP="00C96F18">
      <w:pPr>
        <w:pStyle w:val="BodyText3"/>
        <w:tabs>
          <w:tab w:val="left" w:pos="840"/>
        </w:tabs>
        <w:overflowPunct w:val="0"/>
        <w:autoSpaceDE w:val="0"/>
        <w:autoSpaceDN w:val="0"/>
        <w:adjustRightInd w:val="0"/>
        <w:spacing w:before="120"/>
        <w:ind w:left="720"/>
        <w:textAlignment w:val="baseline"/>
        <w:rPr>
          <w:sz w:val="22"/>
        </w:rPr>
      </w:pPr>
      <w:r>
        <w:rPr>
          <w:sz w:val="22"/>
        </w:rPr>
        <w:t>Estimated Annual cost to respondents:  10 respondents x 16 hours per report x $28.85 average salary for staff work on reports = $4,616</w:t>
      </w:r>
    </w:p>
    <w:p w:rsidR="00B152BC" w:rsidRPr="000E21F5" w:rsidRDefault="00B152BC" w:rsidP="000E21F5">
      <w:pPr>
        <w:pStyle w:val="BodyText3"/>
        <w:tabs>
          <w:tab w:val="left" w:pos="840"/>
        </w:tabs>
        <w:overflowPunct w:val="0"/>
        <w:autoSpaceDE w:val="0"/>
        <w:autoSpaceDN w:val="0"/>
        <w:adjustRightInd w:val="0"/>
        <w:spacing w:before="120"/>
        <w:ind w:left="720"/>
        <w:textAlignment w:val="baseline"/>
        <w:rPr>
          <w:b/>
          <w:bCs/>
          <w:sz w:val="22"/>
        </w:rPr>
      </w:pPr>
      <w:r>
        <w:rPr>
          <w:b/>
          <w:bCs/>
          <w:sz w:val="22"/>
        </w:rPr>
        <w:t>Annual Reports:</w:t>
      </w:r>
      <w:r>
        <w:rPr>
          <w:sz w:val="22"/>
        </w:rPr>
        <w:t xml:space="preserve">  For each of the 5 years respondents have to expend the funds combined or used for other program purposes under Section 901, </w:t>
      </w:r>
      <w:r w:rsidR="004C39AD">
        <w:rPr>
          <w:sz w:val="22"/>
        </w:rPr>
        <w:t xml:space="preserve">it is projected an average of two professional staff would </w:t>
      </w:r>
      <w:r>
        <w:rPr>
          <w:sz w:val="22"/>
        </w:rPr>
        <w:t xml:space="preserve">provide a summary report of </w:t>
      </w:r>
      <w:r w:rsidR="004C39AD">
        <w:rPr>
          <w:sz w:val="22"/>
        </w:rPr>
        <w:t>actual Section 901 activities and outcomes, and the amount of</w:t>
      </w:r>
      <w:r>
        <w:rPr>
          <w:sz w:val="22"/>
        </w:rPr>
        <w:t xml:space="preserve"> funds</w:t>
      </w:r>
      <w:r w:rsidR="004C39AD">
        <w:rPr>
          <w:sz w:val="22"/>
        </w:rPr>
        <w:t xml:space="preserve"> expended</w:t>
      </w:r>
      <w:r>
        <w:rPr>
          <w:sz w:val="22"/>
        </w:rPr>
        <w:t xml:space="preserve">, </w:t>
      </w:r>
      <w:r w:rsidR="004C39AD">
        <w:rPr>
          <w:sz w:val="22"/>
        </w:rPr>
        <w:t>as compared to t</w:t>
      </w:r>
      <w:r>
        <w:rPr>
          <w:sz w:val="22"/>
        </w:rPr>
        <w:t xml:space="preserve">he original </w:t>
      </w:r>
      <w:r w:rsidR="004C39AD">
        <w:rPr>
          <w:sz w:val="22"/>
        </w:rPr>
        <w:t>approved Fungibility Plan</w:t>
      </w:r>
      <w:r>
        <w:rPr>
          <w:sz w:val="22"/>
        </w:rPr>
        <w:t xml:space="preserve">.  Time estimate:  </w:t>
      </w:r>
      <w:r w:rsidR="00C03F10">
        <w:rPr>
          <w:sz w:val="22"/>
        </w:rPr>
        <w:t>3</w:t>
      </w:r>
      <w:r>
        <w:rPr>
          <w:sz w:val="22"/>
        </w:rPr>
        <w:t xml:space="preserve"> p</w:t>
      </w:r>
      <w:r w:rsidR="004C39AD">
        <w:rPr>
          <w:sz w:val="22"/>
        </w:rPr>
        <w:t xml:space="preserve">rofessional </w:t>
      </w:r>
      <w:r>
        <w:rPr>
          <w:sz w:val="22"/>
        </w:rPr>
        <w:t>spend 8 hours each</w:t>
      </w:r>
      <w:r w:rsidR="00C03F10">
        <w:rPr>
          <w:sz w:val="22"/>
        </w:rPr>
        <w:t xml:space="preserve"> for a total of</w:t>
      </w:r>
      <w:r>
        <w:rPr>
          <w:sz w:val="22"/>
        </w:rPr>
        <w:t xml:space="preserve"> = </w:t>
      </w:r>
      <w:r w:rsidR="00C03F10">
        <w:rPr>
          <w:sz w:val="22"/>
        </w:rPr>
        <w:t>24</w:t>
      </w:r>
      <w:r>
        <w:rPr>
          <w:sz w:val="22"/>
        </w:rPr>
        <w:t xml:space="preserve"> hours. </w:t>
      </w:r>
      <w:r w:rsidR="00823CD7">
        <w:rPr>
          <w:sz w:val="22"/>
        </w:rPr>
        <w:t xml:space="preserve"> Estimate includes the time for research and gathering information for the report.</w:t>
      </w:r>
      <w:r>
        <w:rPr>
          <w:sz w:val="22"/>
        </w:rPr>
        <w:t xml:space="preserve"> </w:t>
      </w:r>
    </w:p>
    <w:p w:rsidR="00B152BC" w:rsidRDefault="00B152BC">
      <w:pPr>
        <w:pStyle w:val="BodyText3"/>
        <w:tabs>
          <w:tab w:val="left" w:pos="840"/>
        </w:tabs>
        <w:overflowPunct w:val="0"/>
        <w:autoSpaceDE w:val="0"/>
        <w:autoSpaceDN w:val="0"/>
        <w:adjustRightInd w:val="0"/>
        <w:spacing w:before="120"/>
        <w:ind w:left="720"/>
        <w:textAlignment w:val="baseline"/>
        <w:rPr>
          <w:sz w:val="22"/>
        </w:rPr>
      </w:pPr>
      <w:r>
        <w:rPr>
          <w:sz w:val="22"/>
        </w:rPr>
        <w:t xml:space="preserve">Estimated </w:t>
      </w:r>
      <w:r w:rsidR="00823CD7">
        <w:rPr>
          <w:sz w:val="22"/>
        </w:rPr>
        <w:t xml:space="preserve">Annual </w:t>
      </w:r>
      <w:r>
        <w:rPr>
          <w:sz w:val="22"/>
        </w:rPr>
        <w:t xml:space="preserve">cost to respondents:  </w:t>
      </w:r>
      <w:r w:rsidR="00F72299">
        <w:rPr>
          <w:sz w:val="22"/>
        </w:rPr>
        <w:t>10</w:t>
      </w:r>
      <w:r>
        <w:rPr>
          <w:sz w:val="22"/>
        </w:rPr>
        <w:t xml:space="preserve"> respondents x 16 hours per report x $28.85 average salary for staff work on reports = $</w:t>
      </w:r>
      <w:r w:rsidR="00C03F10">
        <w:rPr>
          <w:sz w:val="22"/>
        </w:rPr>
        <w:t>6,924</w:t>
      </w:r>
    </w:p>
    <w:p w:rsidR="00B152BC" w:rsidRDefault="00B152BC">
      <w:pPr>
        <w:pStyle w:val="BodyText3"/>
        <w:tabs>
          <w:tab w:val="left" w:pos="840"/>
        </w:tabs>
        <w:overflowPunct w:val="0"/>
        <w:autoSpaceDE w:val="0"/>
        <w:autoSpaceDN w:val="0"/>
        <w:adjustRightInd w:val="0"/>
        <w:spacing w:before="120"/>
        <w:ind w:left="720"/>
        <w:textAlignment w:val="baseline"/>
        <w:rPr>
          <w:sz w:val="22"/>
        </w:rPr>
      </w:pPr>
      <w:r>
        <w:rPr>
          <w:b/>
          <w:bCs/>
          <w:sz w:val="22"/>
        </w:rPr>
        <w:t>Final Report:</w:t>
      </w:r>
      <w:r>
        <w:rPr>
          <w:sz w:val="22"/>
        </w:rPr>
        <w:t xml:space="preserve">  Working Group provides a summary report </w:t>
      </w:r>
      <w:r w:rsidR="00AC4F41">
        <w:rPr>
          <w:sz w:val="22"/>
        </w:rPr>
        <w:t xml:space="preserve">that includes the actual use, accounting, expenditure, and timeline for Section 901 designated </w:t>
      </w:r>
      <w:r>
        <w:rPr>
          <w:sz w:val="22"/>
        </w:rPr>
        <w:t>funds</w:t>
      </w:r>
      <w:r w:rsidR="00AC4F41">
        <w:rPr>
          <w:sz w:val="22"/>
        </w:rPr>
        <w:t xml:space="preserve">, and how </w:t>
      </w:r>
      <w:r>
        <w:rPr>
          <w:sz w:val="22"/>
        </w:rPr>
        <w:t>actual</w:t>
      </w:r>
      <w:r w:rsidR="00AC4F41">
        <w:rPr>
          <w:sz w:val="22"/>
        </w:rPr>
        <w:t xml:space="preserve"> </w:t>
      </w:r>
      <w:r>
        <w:rPr>
          <w:sz w:val="22"/>
        </w:rPr>
        <w:t>activities</w:t>
      </w:r>
      <w:r w:rsidR="00AC4F41">
        <w:rPr>
          <w:sz w:val="22"/>
        </w:rPr>
        <w:t xml:space="preserve"> and outcomes compare to original Fungibility Plan approved by HUD</w:t>
      </w:r>
      <w:r>
        <w:rPr>
          <w:sz w:val="22"/>
        </w:rPr>
        <w:t xml:space="preserve">.  Time estimate:  2 people spend </w:t>
      </w:r>
      <w:r w:rsidR="00823CD7">
        <w:rPr>
          <w:sz w:val="22"/>
        </w:rPr>
        <w:t>and average of 20 hours</w:t>
      </w:r>
      <w:r>
        <w:rPr>
          <w:sz w:val="22"/>
        </w:rPr>
        <w:t xml:space="preserve"> each = </w:t>
      </w:r>
      <w:r w:rsidR="00823CD7">
        <w:rPr>
          <w:sz w:val="22"/>
        </w:rPr>
        <w:t>40</w:t>
      </w:r>
      <w:r>
        <w:rPr>
          <w:sz w:val="22"/>
        </w:rPr>
        <w:t xml:space="preserve"> hours.  </w:t>
      </w:r>
    </w:p>
    <w:p w:rsidR="00B152BC" w:rsidRDefault="00B152BC">
      <w:pPr>
        <w:pStyle w:val="BodyText3"/>
        <w:tabs>
          <w:tab w:val="left" w:pos="840"/>
        </w:tabs>
        <w:overflowPunct w:val="0"/>
        <w:autoSpaceDE w:val="0"/>
        <w:autoSpaceDN w:val="0"/>
        <w:adjustRightInd w:val="0"/>
        <w:spacing w:before="120"/>
        <w:ind w:left="720"/>
        <w:textAlignment w:val="baseline"/>
        <w:rPr>
          <w:sz w:val="22"/>
        </w:rPr>
      </w:pPr>
      <w:r>
        <w:rPr>
          <w:sz w:val="22"/>
        </w:rPr>
        <w:t xml:space="preserve">Estimated </w:t>
      </w:r>
      <w:r w:rsidR="00823CD7">
        <w:rPr>
          <w:sz w:val="22"/>
        </w:rPr>
        <w:t xml:space="preserve">Annual </w:t>
      </w:r>
      <w:r>
        <w:rPr>
          <w:sz w:val="22"/>
        </w:rPr>
        <w:t xml:space="preserve">cost to respondents:  </w:t>
      </w:r>
      <w:r w:rsidR="00823CD7">
        <w:rPr>
          <w:sz w:val="22"/>
        </w:rPr>
        <w:t>10</w:t>
      </w:r>
      <w:r>
        <w:rPr>
          <w:sz w:val="22"/>
        </w:rPr>
        <w:t xml:space="preserve"> respondents x </w:t>
      </w:r>
      <w:r w:rsidR="00823CD7">
        <w:rPr>
          <w:sz w:val="22"/>
        </w:rPr>
        <w:t>40</w:t>
      </w:r>
      <w:r>
        <w:rPr>
          <w:sz w:val="22"/>
        </w:rPr>
        <w:t xml:space="preserve"> hours per </w:t>
      </w:r>
      <w:r w:rsidR="00823CD7">
        <w:rPr>
          <w:sz w:val="22"/>
        </w:rPr>
        <w:t xml:space="preserve">final </w:t>
      </w:r>
      <w:r>
        <w:rPr>
          <w:sz w:val="22"/>
        </w:rPr>
        <w:t>report x $28.85 average salary for staff work on reports = $</w:t>
      </w:r>
      <w:r w:rsidR="00823CD7">
        <w:rPr>
          <w:sz w:val="22"/>
        </w:rPr>
        <w:t>11,540</w:t>
      </w:r>
    </w:p>
    <w:p w:rsidR="00B152BC" w:rsidRDefault="00B152BC">
      <w:pPr>
        <w:pStyle w:val="BodyText3"/>
        <w:tabs>
          <w:tab w:val="left" w:pos="840"/>
        </w:tabs>
        <w:overflowPunct w:val="0"/>
        <w:autoSpaceDE w:val="0"/>
        <w:autoSpaceDN w:val="0"/>
        <w:adjustRightInd w:val="0"/>
        <w:spacing w:before="120"/>
        <w:ind w:left="720"/>
        <w:textAlignment w:val="baseline"/>
        <w:rPr>
          <w:rFonts w:ascii="Helvetica" w:hAnsi="Helvetica"/>
          <w:sz w:val="22"/>
        </w:rPr>
      </w:pPr>
      <w:r>
        <w:rPr>
          <w:sz w:val="22"/>
        </w:rPr>
        <w:t xml:space="preserve">Total estimated costs for </w:t>
      </w:r>
      <w:r w:rsidR="00370770">
        <w:rPr>
          <w:sz w:val="22"/>
        </w:rPr>
        <w:t>collection =</w:t>
      </w:r>
      <w:r>
        <w:rPr>
          <w:sz w:val="22"/>
        </w:rPr>
        <w:t xml:space="preserve"> $</w:t>
      </w:r>
      <w:r w:rsidR="00950B05">
        <w:rPr>
          <w:sz w:val="22"/>
        </w:rPr>
        <w:t>3</w:t>
      </w:r>
      <w:r w:rsidR="005E098D">
        <w:rPr>
          <w:sz w:val="22"/>
        </w:rPr>
        <w:t>8</w:t>
      </w:r>
      <w:r w:rsidR="00950B05">
        <w:rPr>
          <w:sz w:val="22"/>
        </w:rPr>
        <w:t>,</w:t>
      </w:r>
      <w:r w:rsidR="005E098D">
        <w:rPr>
          <w:sz w:val="22"/>
        </w:rPr>
        <w:t>848</w:t>
      </w:r>
    </w:p>
    <w:p w:rsidR="00B152BC" w:rsidRDefault="00B152BC">
      <w:pPr>
        <w:tabs>
          <w:tab w:val="left" w:pos="360"/>
        </w:tabs>
        <w:ind w:left="360" w:hanging="360"/>
        <w:rPr>
          <w:color w:val="000000"/>
          <w:sz w:val="18"/>
        </w:rPr>
      </w:pPr>
    </w:p>
    <w:p w:rsidR="00B152BC" w:rsidRDefault="00B152BC">
      <w:pPr>
        <w:tabs>
          <w:tab w:val="left" w:pos="360"/>
        </w:tabs>
        <w:ind w:left="360" w:hanging="360"/>
        <w:rPr>
          <w:color w:val="000000"/>
          <w:sz w:val="22"/>
        </w:rPr>
      </w:pPr>
      <w:r>
        <w:rPr>
          <w:color w:val="000000"/>
          <w:sz w:val="22"/>
        </w:rPr>
        <w:t>13.</w:t>
      </w:r>
      <w:r>
        <w:rPr>
          <w:color w:val="000000"/>
          <w:sz w:val="22"/>
        </w:rPr>
        <w:tab/>
        <w:t xml:space="preserve">Provide an estimate for the total annual cost burden to respondents or </w:t>
      </w:r>
      <w:r w:rsidR="00370770">
        <w:rPr>
          <w:color w:val="000000"/>
          <w:sz w:val="22"/>
        </w:rPr>
        <w:t>record keepers</w:t>
      </w:r>
      <w:r>
        <w:rPr>
          <w:color w:val="000000"/>
          <w:sz w:val="22"/>
        </w:rPr>
        <w:t xml:space="preserve"> resulting from the collection of information. (Do not include the cost of any hour burden shown in Items 12 and 14).</w:t>
      </w:r>
    </w:p>
    <w:p w:rsidR="00B152BC" w:rsidRDefault="00B152BC">
      <w:pPr>
        <w:numPr>
          <w:ilvl w:val="0"/>
          <w:numId w:val="12"/>
        </w:numPr>
        <w:tabs>
          <w:tab w:val="left" w:pos="720"/>
        </w:tabs>
        <w:ind w:left="720" w:hanging="360"/>
        <w:rPr>
          <w:color w:val="000000"/>
          <w:sz w:val="22"/>
        </w:rPr>
      </w:pPr>
      <w:r>
        <w:rPr>
          <w:color w:val="000000"/>
          <w:sz w:val="22"/>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152BC" w:rsidRDefault="00B152BC">
      <w:pPr>
        <w:numPr>
          <w:ilvl w:val="0"/>
          <w:numId w:val="12"/>
        </w:numPr>
        <w:tabs>
          <w:tab w:val="left" w:pos="720"/>
        </w:tabs>
        <w:ind w:left="720" w:hanging="360"/>
        <w:rPr>
          <w:color w:val="000000"/>
          <w:sz w:val="22"/>
        </w:rPr>
      </w:pPr>
      <w:r>
        <w:rPr>
          <w:color w:val="000000"/>
          <w:sz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B152BC" w:rsidRDefault="00B152BC">
      <w:pPr>
        <w:numPr>
          <w:ilvl w:val="0"/>
          <w:numId w:val="12"/>
        </w:numPr>
        <w:tabs>
          <w:tab w:val="left" w:pos="720"/>
        </w:tabs>
        <w:ind w:left="720" w:hanging="360"/>
        <w:rPr>
          <w:color w:val="000000"/>
          <w:sz w:val="22"/>
        </w:rPr>
      </w:pPr>
      <w:r>
        <w:rPr>
          <w:color w:val="000000"/>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370770">
        <w:rPr>
          <w:color w:val="000000"/>
          <w:sz w:val="22"/>
        </w:rPr>
        <w:t>government</w:t>
      </w:r>
      <w:r>
        <w:rPr>
          <w:color w:val="000000"/>
          <w:sz w:val="22"/>
        </w:rPr>
        <w:t xml:space="preserve"> or (4) as part of customary and usual business or private practices.</w:t>
      </w:r>
    </w:p>
    <w:p w:rsidR="00B152BC" w:rsidRDefault="00B152BC">
      <w:pPr>
        <w:pStyle w:val="BodyTextIndent2"/>
        <w:rPr>
          <w:rFonts w:ascii="Times New Roman" w:hAnsi="Times New Roman"/>
        </w:rPr>
      </w:pPr>
    </w:p>
    <w:p w:rsidR="00B152BC" w:rsidRDefault="00B152BC" w:rsidP="00343050">
      <w:pPr>
        <w:pStyle w:val="BodyTextIndent2"/>
        <w:rPr>
          <w:sz w:val="18"/>
        </w:rPr>
      </w:pPr>
      <w:r>
        <w:rPr>
          <w:rFonts w:ascii="Times New Roman" w:hAnsi="Times New Roman"/>
        </w:rPr>
        <w:t>There are no additional costs to respondents associated with this information collection other than preparing the reports described in 12.</w:t>
      </w:r>
    </w:p>
    <w:p w:rsidR="00B152BC" w:rsidRDefault="00B152BC">
      <w:pPr>
        <w:tabs>
          <w:tab w:val="left" w:pos="360"/>
        </w:tabs>
        <w:ind w:left="360" w:hanging="360"/>
        <w:rPr>
          <w:color w:val="000000"/>
          <w:sz w:val="18"/>
        </w:rPr>
      </w:pPr>
    </w:p>
    <w:p w:rsidR="00B152BC" w:rsidRDefault="00B152BC">
      <w:pPr>
        <w:keepLines/>
        <w:numPr>
          <w:ilvl w:val="0"/>
          <w:numId w:val="11"/>
        </w:numPr>
        <w:tabs>
          <w:tab w:val="left" w:pos="360"/>
        </w:tabs>
        <w:spacing w:after="80"/>
        <w:rPr>
          <w:color w:val="000000"/>
          <w:sz w:val="22"/>
        </w:rPr>
      </w:pPr>
      <w:r>
        <w:rPr>
          <w:color w:val="000000"/>
          <w:sz w:val="22"/>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bl>
      <w:tblPr>
        <w:tblW w:w="104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5"/>
        <w:gridCol w:w="1205"/>
        <w:gridCol w:w="595"/>
        <w:gridCol w:w="1530"/>
        <w:gridCol w:w="630"/>
        <w:gridCol w:w="1350"/>
        <w:gridCol w:w="1080"/>
        <w:gridCol w:w="810"/>
        <w:gridCol w:w="1445"/>
      </w:tblGrid>
      <w:tr w:rsidR="00B152BC">
        <w:trPr>
          <w:cantSplit/>
          <w:trHeight w:val="255"/>
        </w:trPr>
        <w:tc>
          <w:tcPr>
            <w:tcW w:w="10450" w:type="dxa"/>
            <w:gridSpan w:val="9"/>
            <w:vAlign w:val="bottom"/>
          </w:tcPr>
          <w:p w:rsidR="00B152BC" w:rsidRDefault="00B152BC">
            <w:pPr>
              <w:pStyle w:val="Heading3"/>
              <w:keepLines/>
              <w:spacing w:after="60"/>
              <w:jc w:val="center"/>
              <w:rPr>
                <w:rFonts w:ascii="Helvetica" w:hAnsi="Helvetica"/>
                <w:sz w:val="18"/>
              </w:rPr>
            </w:pPr>
            <w:r>
              <w:rPr>
                <w:rFonts w:ascii="Helvetica" w:hAnsi="Helvetica"/>
                <w:sz w:val="18"/>
              </w:rPr>
              <w:br w:type="page"/>
              <w:t>Total Estimated Annual Costs to the Federal Government</w:t>
            </w:r>
          </w:p>
        </w:tc>
      </w:tr>
      <w:tr w:rsidR="00B152BC">
        <w:trPr>
          <w:trHeight w:val="510"/>
        </w:trPr>
        <w:tc>
          <w:tcPr>
            <w:tcW w:w="1805" w:type="dxa"/>
            <w:vAlign w:val="bottom"/>
          </w:tcPr>
          <w:p w:rsidR="00B152BC" w:rsidRDefault="00B152BC">
            <w:pPr>
              <w:keepNext/>
              <w:keepLines/>
              <w:spacing w:before="60" w:after="60"/>
              <w:rPr>
                <w:rFonts w:ascii="Helvetica" w:hAnsi="Helvetica"/>
                <w:sz w:val="18"/>
              </w:rPr>
            </w:pPr>
          </w:p>
        </w:tc>
        <w:tc>
          <w:tcPr>
            <w:tcW w:w="1205" w:type="dxa"/>
            <w:vAlign w:val="center"/>
          </w:tcPr>
          <w:p w:rsidR="00B152BC" w:rsidRDefault="00B152BC">
            <w:pPr>
              <w:keepNext/>
              <w:keepLines/>
              <w:spacing w:before="60" w:after="60"/>
              <w:jc w:val="center"/>
              <w:rPr>
                <w:rFonts w:ascii="Helvetica" w:hAnsi="Helvetica"/>
                <w:sz w:val="18"/>
              </w:rPr>
            </w:pPr>
            <w:r>
              <w:rPr>
                <w:rFonts w:ascii="Helvetica" w:hAnsi="Helvetica"/>
                <w:sz w:val="18"/>
              </w:rPr>
              <w:t>Number of Respondents</w:t>
            </w:r>
          </w:p>
        </w:tc>
        <w:tc>
          <w:tcPr>
            <w:tcW w:w="595" w:type="dxa"/>
          </w:tcPr>
          <w:p w:rsidR="00B152BC" w:rsidRDefault="00B152BC">
            <w:pPr>
              <w:keepNext/>
              <w:keepLines/>
              <w:spacing w:before="60" w:after="60"/>
              <w:jc w:val="center"/>
              <w:rPr>
                <w:rFonts w:ascii="Helvetica" w:hAnsi="Helvetica"/>
                <w:sz w:val="18"/>
              </w:rPr>
            </w:pPr>
          </w:p>
          <w:p w:rsidR="00B152BC" w:rsidRDefault="00B152BC">
            <w:pPr>
              <w:pStyle w:val="Heading4"/>
              <w:rPr>
                <w:sz w:val="18"/>
              </w:rPr>
            </w:pPr>
            <w:r>
              <w:rPr>
                <w:sz w:val="18"/>
              </w:rPr>
              <w:t>X</w:t>
            </w:r>
          </w:p>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r>
              <w:rPr>
                <w:rFonts w:ascii="Helvetica" w:hAnsi="Helvetica"/>
                <w:sz w:val="18"/>
              </w:rPr>
              <w:t xml:space="preserve">Submissions </w:t>
            </w:r>
          </w:p>
          <w:p w:rsidR="00B152BC" w:rsidRDefault="00B152BC">
            <w:pPr>
              <w:keepNext/>
              <w:keepLines/>
              <w:spacing w:before="60" w:after="60"/>
              <w:jc w:val="center"/>
              <w:rPr>
                <w:rFonts w:ascii="Helvetica" w:hAnsi="Helvetica"/>
                <w:sz w:val="18"/>
              </w:rPr>
            </w:pPr>
            <w:r>
              <w:rPr>
                <w:rFonts w:ascii="Helvetica" w:hAnsi="Helvetica"/>
                <w:sz w:val="18"/>
              </w:rPr>
              <w:t>per Respondent</w:t>
            </w:r>
          </w:p>
        </w:tc>
        <w:tc>
          <w:tcPr>
            <w:tcW w:w="630" w:type="dxa"/>
            <w:vAlign w:val="center"/>
          </w:tcPr>
          <w:p w:rsidR="00B152BC" w:rsidRDefault="00B152BC">
            <w:pPr>
              <w:keepNext/>
              <w:keepLines/>
              <w:spacing w:before="60" w:after="60"/>
              <w:jc w:val="center"/>
              <w:rPr>
                <w:rFonts w:ascii="Helvetica" w:hAnsi="Helvetica"/>
                <w:b/>
                <w:bCs/>
                <w:sz w:val="18"/>
              </w:rPr>
            </w:pPr>
            <w:r>
              <w:rPr>
                <w:rFonts w:ascii="Helvetica" w:hAnsi="Helvetica"/>
                <w:b/>
                <w:bCs/>
                <w:sz w:val="18"/>
              </w:rPr>
              <w:t>X</w:t>
            </w:r>
          </w:p>
        </w:tc>
        <w:tc>
          <w:tcPr>
            <w:tcW w:w="1350" w:type="dxa"/>
          </w:tcPr>
          <w:p w:rsidR="00B152BC" w:rsidRDefault="00843A96">
            <w:pPr>
              <w:keepNext/>
              <w:keepLines/>
              <w:spacing w:before="60" w:after="60"/>
              <w:jc w:val="center"/>
              <w:rPr>
                <w:rFonts w:ascii="Helvetica" w:hAnsi="Helvetica"/>
                <w:sz w:val="18"/>
              </w:rPr>
            </w:pPr>
            <w:r>
              <w:rPr>
                <w:rFonts w:ascii="Helvetica" w:hAnsi="Helvetica"/>
                <w:sz w:val="18"/>
              </w:rPr>
              <w:t xml:space="preserve">Total Staff </w:t>
            </w:r>
            <w:r w:rsidR="00B152BC">
              <w:rPr>
                <w:rFonts w:ascii="Helvetica" w:hAnsi="Helvetica"/>
                <w:sz w:val="18"/>
              </w:rPr>
              <w:t xml:space="preserve">Hours </w:t>
            </w:r>
          </w:p>
          <w:p w:rsidR="00B152BC" w:rsidRDefault="00617163">
            <w:pPr>
              <w:keepNext/>
              <w:keepLines/>
              <w:spacing w:before="60" w:after="60"/>
              <w:jc w:val="center"/>
              <w:rPr>
                <w:rFonts w:ascii="Helvetica" w:hAnsi="Helvetica"/>
                <w:sz w:val="18"/>
              </w:rPr>
            </w:pPr>
            <w:r>
              <w:rPr>
                <w:rFonts w:ascii="Helvetica" w:hAnsi="Helvetica"/>
                <w:sz w:val="18"/>
              </w:rPr>
              <w:t xml:space="preserve">for </w:t>
            </w:r>
            <w:r w:rsidR="00843A96">
              <w:rPr>
                <w:rFonts w:ascii="Helvetica" w:hAnsi="Helvetica"/>
                <w:sz w:val="18"/>
              </w:rPr>
              <w:t>all</w:t>
            </w:r>
          </w:p>
          <w:p w:rsidR="00B152BC" w:rsidRDefault="00B152BC">
            <w:pPr>
              <w:keepNext/>
              <w:keepLines/>
              <w:spacing w:before="60" w:after="60"/>
              <w:jc w:val="center"/>
              <w:rPr>
                <w:rFonts w:ascii="Helvetica" w:hAnsi="Helvetica"/>
                <w:sz w:val="18"/>
              </w:rPr>
            </w:pPr>
            <w:r>
              <w:rPr>
                <w:rFonts w:ascii="Helvetica" w:hAnsi="Helvetica"/>
                <w:sz w:val="18"/>
              </w:rPr>
              <w:t>Submission</w:t>
            </w:r>
            <w:r w:rsidR="00843A96">
              <w:rPr>
                <w:rFonts w:ascii="Helvetica" w:hAnsi="Helvetica"/>
                <w:sz w:val="18"/>
              </w:rPr>
              <w:t>s</w:t>
            </w:r>
          </w:p>
        </w:tc>
        <w:tc>
          <w:tcPr>
            <w:tcW w:w="1080" w:type="dxa"/>
            <w:vAlign w:val="center"/>
          </w:tcPr>
          <w:p w:rsidR="00B152BC" w:rsidRDefault="00B152BC">
            <w:pPr>
              <w:keepNext/>
              <w:keepLines/>
              <w:spacing w:before="60" w:after="60"/>
              <w:jc w:val="center"/>
              <w:rPr>
                <w:rFonts w:ascii="Helvetica" w:hAnsi="Helvetica"/>
                <w:sz w:val="18"/>
              </w:rPr>
            </w:pPr>
            <w:r>
              <w:rPr>
                <w:rFonts w:ascii="Helvetica" w:hAnsi="Helvetica"/>
                <w:sz w:val="18"/>
              </w:rPr>
              <w:t xml:space="preserve">Hourly </w:t>
            </w:r>
          </w:p>
          <w:p w:rsidR="00B152BC" w:rsidRDefault="00B152BC">
            <w:pPr>
              <w:keepNext/>
              <w:keepLines/>
              <w:spacing w:before="60" w:after="60"/>
              <w:jc w:val="center"/>
              <w:rPr>
                <w:rFonts w:ascii="Helvetica" w:hAnsi="Helvetica"/>
                <w:sz w:val="18"/>
              </w:rPr>
            </w:pPr>
            <w:r>
              <w:rPr>
                <w:rFonts w:ascii="Helvetica" w:hAnsi="Helvetica"/>
                <w:sz w:val="18"/>
              </w:rPr>
              <w:t>Rate</w:t>
            </w:r>
          </w:p>
        </w:tc>
        <w:tc>
          <w:tcPr>
            <w:tcW w:w="810" w:type="dxa"/>
            <w:vAlign w:val="center"/>
          </w:tcPr>
          <w:p w:rsidR="00B152BC" w:rsidRDefault="00B152BC">
            <w:pPr>
              <w:keepNext/>
              <w:keepLines/>
              <w:spacing w:before="60" w:after="60"/>
              <w:jc w:val="center"/>
              <w:rPr>
                <w:rFonts w:ascii="Helvetica" w:hAnsi="Helvetica"/>
                <w:b/>
                <w:bCs/>
                <w:sz w:val="18"/>
              </w:rPr>
            </w:pPr>
            <w:r>
              <w:rPr>
                <w:rFonts w:ascii="Helvetica" w:hAnsi="Helvetica"/>
                <w:b/>
                <w:bCs/>
                <w:sz w:val="18"/>
              </w:rPr>
              <w:t>=</w:t>
            </w:r>
          </w:p>
        </w:tc>
        <w:tc>
          <w:tcPr>
            <w:tcW w:w="1445" w:type="dxa"/>
            <w:vAlign w:val="center"/>
          </w:tcPr>
          <w:p w:rsidR="00B152BC" w:rsidRDefault="00B152BC">
            <w:pPr>
              <w:keepNext/>
              <w:keepLines/>
              <w:spacing w:before="60" w:after="60"/>
              <w:jc w:val="center"/>
              <w:rPr>
                <w:rFonts w:ascii="Helvetica" w:hAnsi="Helvetica"/>
                <w:sz w:val="18"/>
              </w:rPr>
            </w:pPr>
            <w:r>
              <w:rPr>
                <w:rFonts w:ascii="Helvetica" w:hAnsi="Helvetica"/>
                <w:sz w:val="18"/>
              </w:rPr>
              <w:t>Annualized Cost</w:t>
            </w:r>
          </w:p>
        </w:tc>
      </w:tr>
      <w:tr w:rsidR="00B152BC">
        <w:trPr>
          <w:trHeight w:val="255"/>
        </w:trPr>
        <w:tc>
          <w:tcPr>
            <w:tcW w:w="1805" w:type="dxa"/>
            <w:vAlign w:val="bottom"/>
          </w:tcPr>
          <w:p w:rsidR="00B152BC" w:rsidRDefault="00B152BC">
            <w:pPr>
              <w:pStyle w:val="Heading2"/>
            </w:pPr>
            <w:r>
              <w:t>Fungibility Plans</w:t>
            </w:r>
          </w:p>
        </w:tc>
        <w:tc>
          <w:tcPr>
            <w:tcW w:w="1205" w:type="dxa"/>
            <w:vAlign w:val="center"/>
          </w:tcPr>
          <w:p w:rsidR="00B152BC" w:rsidRDefault="00573373" w:rsidP="00843575">
            <w:pPr>
              <w:keepNext/>
              <w:keepLines/>
              <w:spacing w:before="60" w:after="60"/>
              <w:jc w:val="center"/>
              <w:rPr>
                <w:rFonts w:ascii="Helvetica" w:hAnsi="Helvetica"/>
                <w:sz w:val="18"/>
              </w:rPr>
            </w:pPr>
            <w:r>
              <w:rPr>
                <w:rFonts w:ascii="Helvetica" w:hAnsi="Helvetica"/>
                <w:sz w:val="18"/>
              </w:rPr>
              <w:t>1</w:t>
            </w:r>
            <w:r w:rsidR="00843575">
              <w:rPr>
                <w:rFonts w:ascii="Helvetica" w:hAnsi="Helvetica"/>
                <w:sz w:val="18"/>
              </w:rPr>
              <w:t>2</w:t>
            </w:r>
          </w:p>
        </w:tc>
        <w:tc>
          <w:tcPr>
            <w:tcW w:w="595" w:type="dxa"/>
          </w:tcPr>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r>
              <w:rPr>
                <w:rFonts w:ascii="Helvetica" w:hAnsi="Helvetica"/>
                <w:sz w:val="18"/>
              </w:rPr>
              <w:t>1</w:t>
            </w:r>
          </w:p>
        </w:tc>
        <w:tc>
          <w:tcPr>
            <w:tcW w:w="630" w:type="dxa"/>
            <w:vAlign w:val="center"/>
          </w:tcPr>
          <w:p w:rsidR="00B152BC" w:rsidRDefault="00B152BC">
            <w:pPr>
              <w:keepNext/>
              <w:keepLines/>
              <w:spacing w:before="60" w:after="60"/>
              <w:jc w:val="center"/>
              <w:rPr>
                <w:rFonts w:ascii="Helvetica" w:hAnsi="Helvetica"/>
                <w:sz w:val="18"/>
              </w:rPr>
            </w:pPr>
          </w:p>
        </w:tc>
        <w:tc>
          <w:tcPr>
            <w:tcW w:w="1350" w:type="dxa"/>
          </w:tcPr>
          <w:p w:rsidR="00B152BC" w:rsidRDefault="00530DCE" w:rsidP="00530DCE">
            <w:pPr>
              <w:keepNext/>
              <w:keepLines/>
              <w:spacing w:before="60" w:after="60"/>
              <w:jc w:val="center"/>
              <w:rPr>
                <w:rFonts w:ascii="Helvetica" w:hAnsi="Helvetica"/>
                <w:sz w:val="18"/>
              </w:rPr>
            </w:pPr>
            <w:r>
              <w:rPr>
                <w:rFonts w:ascii="Helvetica" w:hAnsi="Helvetica"/>
                <w:sz w:val="18"/>
              </w:rPr>
              <w:t>120</w:t>
            </w:r>
          </w:p>
        </w:tc>
        <w:tc>
          <w:tcPr>
            <w:tcW w:w="1080" w:type="dxa"/>
            <w:vAlign w:val="center"/>
          </w:tcPr>
          <w:p w:rsidR="00B152BC" w:rsidRDefault="00B152BC" w:rsidP="00D25F04">
            <w:pPr>
              <w:keepNext/>
              <w:keepLines/>
              <w:spacing w:before="60" w:after="60"/>
              <w:jc w:val="center"/>
              <w:rPr>
                <w:rFonts w:ascii="Helvetica" w:hAnsi="Helvetica"/>
                <w:sz w:val="18"/>
              </w:rPr>
            </w:pPr>
            <w:r>
              <w:rPr>
                <w:rFonts w:ascii="Helvetica" w:hAnsi="Helvetica"/>
                <w:sz w:val="18"/>
              </w:rPr>
              <w:t>$</w:t>
            </w:r>
            <w:r w:rsidR="00D25F04">
              <w:rPr>
                <w:rFonts w:ascii="Helvetica" w:hAnsi="Helvetica"/>
                <w:sz w:val="18"/>
              </w:rPr>
              <w:t>47.21</w:t>
            </w:r>
          </w:p>
        </w:tc>
        <w:tc>
          <w:tcPr>
            <w:tcW w:w="810" w:type="dxa"/>
            <w:vAlign w:val="center"/>
          </w:tcPr>
          <w:p w:rsidR="00B152BC" w:rsidRDefault="00B152BC">
            <w:pPr>
              <w:keepNext/>
              <w:keepLines/>
              <w:spacing w:before="60" w:after="60"/>
              <w:jc w:val="center"/>
              <w:rPr>
                <w:rFonts w:ascii="Helvetica" w:hAnsi="Helvetica"/>
                <w:sz w:val="18"/>
              </w:rPr>
            </w:pPr>
          </w:p>
        </w:tc>
        <w:tc>
          <w:tcPr>
            <w:tcW w:w="1445" w:type="dxa"/>
            <w:vAlign w:val="center"/>
          </w:tcPr>
          <w:p w:rsidR="00B152BC" w:rsidRDefault="00B152BC" w:rsidP="00C90FE2">
            <w:pPr>
              <w:keepNext/>
              <w:keepLines/>
              <w:spacing w:before="60" w:after="60"/>
              <w:jc w:val="center"/>
              <w:rPr>
                <w:rFonts w:ascii="Helvetica" w:hAnsi="Helvetica"/>
                <w:sz w:val="18"/>
              </w:rPr>
            </w:pPr>
            <w:r>
              <w:rPr>
                <w:rFonts w:ascii="Helvetica" w:hAnsi="Helvetica"/>
                <w:sz w:val="18"/>
              </w:rPr>
              <w:t>$</w:t>
            </w:r>
            <w:r w:rsidR="00C90FE2">
              <w:rPr>
                <w:rFonts w:ascii="Helvetica" w:hAnsi="Helvetica"/>
                <w:sz w:val="18"/>
              </w:rPr>
              <w:t>5,665.2</w:t>
            </w:r>
          </w:p>
        </w:tc>
      </w:tr>
      <w:tr w:rsidR="00555293">
        <w:trPr>
          <w:trHeight w:val="255"/>
        </w:trPr>
        <w:tc>
          <w:tcPr>
            <w:tcW w:w="1805" w:type="dxa"/>
            <w:vAlign w:val="bottom"/>
          </w:tcPr>
          <w:p w:rsidR="00555293" w:rsidRDefault="00555293">
            <w:pPr>
              <w:pStyle w:val="Heading2"/>
            </w:pPr>
            <w:r>
              <w:t>Quarterly Reports</w:t>
            </w:r>
          </w:p>
        </w:tc>
        <w:tc>
          <w:tcPr>
            <w:tcW w:w="1205" w:type="dxa"/>
            <w:vAlign w:val="center"/>
          </w:tcPr>
          <w:p w:rsidR="00555293" w:rsidRDefault="00555293" w:rsidP="006D06F0">
            <w:pPr>
              <w:keepNext/>
              <w:keepLines/>
              <w:spacing w:before="60" w:after="60"/>
              <w:jc w:val="center"/>
              <w:rPr>
                <w:rFonts w:ascii="Helvetica" w:hAnsi="Helvetica"/>
                <w:sz w:val="18"/>
              </w:rPr>
            </w:pPr>
            <w:r>
              <w:rPr>
                <w:rFonts w:ascii="Helvetica" w:hAnsi="Helvetica"/>
                <w:sz w:val="18"/>
              </w:rPr>
              <w:t>10</w:t>
            </w:r>
          </w:p>
        </w:tc>
        <w:tc>
          <w:tcPr>
            <w:tcW w:w="595" w:type="dxa"/>
          </w:tcPr>
          <w:p w:rsidR="00555293" w:rsidRDefault="00555293">
            <w:pPr>
              <w:keepNext/>
              <w:keepLines/>
              <w:spacing w:before="60" w:after="60"/>
              <w:jc w:val="center"/>
              <w:rPr>
                <w:rFonts w:ascii="Helvetica" w:hAnsi="Helvetica"/>
                <w:sz w:val="18"/>
              </w:rPr>
            </w:pPr>
          </w:p>
        </w:tc>
        <w:tc>
          <w:tcPr>
            <w:tcW w:w="1530" w:type="dxa"/>
            <w:vAlign w:val="center"/>
          </w:tcPr>
          <w:p w:rsidR="00555293" w:rsidRDefault="00555293">
            <w:pPr>
              <w:keepNext/>
              <w:keepLines/>
              <w:spacing w:before="60" w:after="60"/>
              <w:jc w:val="center"/>
              <w:rPr>
                <w:rFonts w:ascii="Helvetica" w:hAnsi="Helvetica"/>
                <w:sz w:val="18"/>
              </w:rPr>
            </w:pPr>
            <w:r>
              <w:rPr>
                <w:rFonts w:ascii="Helvetica" w:hAnsi="Helvetica"/>
                <w:sz w:val="18"/>
              </w:rPr>
              <w:t>4</w:t>
            </w:r>
          </w:p>
        </w:tc>
        <w:tc>
          <w:tcPr>
            <w:tcW w:w="630" w:type="dxa"/>
            <w:vAlign w:val="center"/>
          </w:tcPr>
          <w:p w:rsidR="00555293" w:rsidRDefault="00555293">
            <w:pPr>
              <w:keepNext/>
              <w:keepLines/>
              <w:spacing w:before="60" w:after="60"/>
              <w:jc w:val="center"/>
              <w:rPr>
                <w:rFonts w:ascii="Helvetica" w:hAnsi="Helvetica"/>
                <w:sz w:val="18"/>
              </w:rPr>
            </w:pPr>
          </w:p>
        </w:tc>
        <w:tc>
          <w:tcPr>
            <w:tcW w:w="1350" w:type="dxa"/>
          </w:tcPr>
          <w:p w:rsidR="00555293" w:rsidRDefault="00843A96" w:rsidP="00843A96">
            <w:pPr>
              <w:keepNext/>
              <w:keepLines/>
              <w:spacing w:before="60" w:after="60"/>
              <w:jc w:val="center"/>
              <w:rPr>
                <w:rFonts w:ascii="Helvetica" w:hAnsi="Helvetica"/>
                <w:sz w:val="18"/>
              </w:rPr>
            </w:pPr>
            <w:r>
              <w:rPr>
                <w:rFonts w:ascii="Helvetica" w:hAnsi="Helvetica"/>
                <w:sz w:val="18"/>
              </w:rPr>
              <w:t>8</w:t>
            </w:r>
            <w:r w:rsidR="00555293">
              <w:rPr>
                <w:rFonts w:ascii="Helvetica" w:hAnsi="Helvetica"/>
                <w:sz w:val="18"/>
              </w:rPr>
              <w:t>0</w:t>
            </w:r>
          </w:p>
        </w:tc>
        <w:tc>
          <w:tcPr>
            <w:tcW w:w="1080" w:type="dxa"/>
            <w:vAlign w:val="center"/>
          </w:tcPr>
          <w:p w:rsidR="00555293" w:rsidRDefault="00637F80">
            <w:pPr>
              <w:keepNext/>
              <w:keepLines/>
              <w:spacing w:before="60" w:after="60"/>
              <w:jc w:val="center"/>
              <w:rPr>
                <w:rFonts w:ascii="Helvetica" w:hAnsi="Helvetica"/>
                <w:sz w:val="18"/>
              </w:rPr>
            </w:pPr>
            <w:r>
              <w:rPr>
                <w:rFonts w:ascii="Helvetica" w:hAnsi="Helvetica"/>
                <w:sz w:val="18"/>
              </w:rPr>
              <w:t>$47.21</w:t>
            </w:r>
          </w:p>
        </w:tc>
        <w:tc>
          <w:tcPr>
            <w:tcW w:w="810" w:type="dxa"/>
            <w:vAlign w:val="center"/>
          </w:tcPr>
          <w:p w:rsidR="00555293" w:rsidRDefault="00555293">
            <w:pPr>
              <w:keepNext/>
              <w:keepLines/>
              <w:spacing w:before="60" w:after="60"/>
              <w:jc w:val="center"/>
              <w:rPr>
                <w:rFonts w:ascii="Helvetica" w:hAnsi="Helvetica"/>
                <w:sz w:val="18"/>
              </w:rPr>
            </w:pPr>
          </w:p>
        </w:tc>
        <w:tc>
          <w:tcPr>
            <w:tcW w:w="1445" w:type="dxa"/>
            <w:vAlign w:val="center"/>
          </w:tcPr>
          <w:p w:rsidR="00555293" w:rsidRDefault="002E1443" w:rsidP="002E1443">
            <w:pPr>
              <w:keepNext/>
              <w:keepLines/>
              <w:spacing w:before="60" w:after="60"/>
              <w:jc w:val="center"/>
              <w:rPr>
                <w:rFonts w:ascii="Helvetica" w:hAnsi="Helvetica"/>
                <w:sz w:val="18"/>
              </w:rPr>
            </w:pPr>
            <w:r>
              <w:rPr>
                <w:rFonts w:ascii="Helvetica" w:hAnsi="Helvetica"/>
                <w:sz w:val="18"/>
              </w:rPr>
              <w:t>$3,776.80</w:t>
            </w:r>
          </w:p>
        </w:tc>
      </w:tr>
      <w:tr w:rsidR="00B152BC">
        <w:trPr>
          <w:trHeight w:val="255"/>
        </w:trPr>
        <w:tc>
          <w:tcPr>
            <w:tcW w:w="1805" w:type="dxa"/>
            <w:vAlign w:val="bottom"/>
          </w:tcPr>
          <w:p w:rsidR="00B152BC" w:rsidRDefault="00B152BC">
            <w:pPr>
              <w:pStyle w:val="Heading2"/>
            </w:pPr>
            <w:r>
              <w:t>Annual Reports</w:t>
            </w:r>
          </w:p>
        </w:tc>
        <w:tc>
          <w:tcPr>
            <w:tcW w:w="1205" w:type="dxa"/>
            <w:vAlign w:val="center"/>
          </w:tcPr>
          <w:p w:rsidR="00B152BC" w:rsidRDefault="006D06F0" w:rsidP="006D06F0">
            <w:pPr>
              <w:keepNext/>
              <w:keepLines/>
              <w:spacing w:before="60" w:after="60"/>
              <w:jc w:val="center"/>
              <w:rPr>
                <w:rFonts w:ascii="Helvetica" w:hAnsi="Helvetica"/>
                <w:sz w:val="18"/>
              </w:rPr>
            </w:pPr>
            <w:r>
              <w:rPr>
                <w:rFonts w:ascii="Helvetica" w:hAnsi="Helvetica"/>
                <w:sz w:val="18"/>
              </w:rPr>
              <w:t>10</w:t>
            </w:r>
          </w:p>
        </w:tc>
        <w:tc>
          <w:tcPr>
            <w:tcW w:w="595" w:type="dxa"/>
          </w:tcPr>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r>
              <w:rPr>
                <w:rFonts w:ascii="Helvetica" w:hAnsi="Helvetica"/>
                <w:sz w:val="18"/>
              </w:rPr>
              <w:t>1</w:t>
            </w:r>
          </w:p>
        </w:tc>
        <w:tc>
          <w:tcPr>
            <w:tcW w:w="630" w:type="dxa"/>
            <w:vAlign w:val="center"/>
          </w:tcPr>
          <w:p w:rsidR="00B152BC" w:rsidRDefault="00B152BC">
            <w:pPr>
              <w:keepNext/>
              <w:keepLines/>
              <w:spacing w:before="60" w:after="60"/>
              <w:jc w:val="center"/>
              <w:rPr>
                <w:rFonts w:ascii="Helvetica" w:hAnsi="Helvetica"/>
                <w:sz w:val="18"/>
              </w:rPr>
            </w:pPr>
          </w:p>
        </w:tc>
        <w:tc>
          <w:tcPr>
            <w:tcW w:w="1350" w:type="dxa"/>
          </w:tcPr>
          <w:p w:rsidR="00B152BC" w:rsidRDefault="00C90FE2" w:rsidP="00C90FE2">
            <w:pPr>
              <w:keepNext/>
              <w:keepLines/>
              <w:spacing w:before="60" w:after="60"/>
              <w:jc w:val="center"/>
              <w:rPr>
                <w:rFonts w:ascii="Helvetica" w:hAnsi="Helvetica"/>
                <w:sz w:val="18"/>
              </w:rPr>
            </w:pPr>
            <w:r>
              <w:rPr>
                <w:rFonts w:ascii="Helvetica" w:hAnsi="Helvetica"/>
                <w:sz w:val="18"/>
              </w:rPr>
              <w:t>6</w:t>
            </w:r>
            <w:r w:rsidR="00843A96">
              <w:rPr>
                <w:rFonts w:ascii="Helvetica" w:hAnsi="Helvetica"/>
                <w:sz w:val="18"/>
              </w:rPr>
              <w:t>0</w:t>
            </w:r>
          </w:p>
        </w:tc>
        <w:tc>
          <w:tcPr>
            <w:tcW w:w="1080" w:type="dxa"/>
            <w:vAlign w:val="center"/>
          </w:tcPr>
          <w:p w:rsidR="00B152BC" w:rsidRDefault="00B152BC" w:rsidP="00637F80">
            <w:pPr>
              <w:keepNext/>
              <w:keepLines/>
              <w:spacing w:before="60" w:after="60"/>
              <w:jc w:val="center"/>
              <w:rPr>
                <w:rFonts w:ascii="Helvetica" w:hAnsi="Helvetica"/>
                <w:sz w:val="18"/>
              </w:rPr>
            </w:pPr>
            <w:r>
              <w:rPr>
                <w:rFonts w:ascii="Helvetica" w:hAnsi="Helvetica"/>
                <w:sz w:val="18"/>
              </w:rPr>
              <w:t>$</w:t>
            </w:r>
            <w:r w:rsidR="00637F80">
              <w:rPr>
                <w:rFonts w:ascii="Helvetica" w:hAnsi="Helvetica"/>
                <w:sz w:val="18"/>
              </w:rPr>
              <w:t>47.21</w:t>
            </w:r>
          </w:p>
        </w:tc>
        <w:tc>
          <w:tcPr>
            <w:tcW w:w="810" w:type="dxa"/>
            <w:vAlign w:val="center"/>
          </w:tcPr>
          <w:p w:rsidR="00B152BC" w:rsidRDefault="00B152BC">
            <w:pPr>
              <w:keepNext/>
              <w:keepLines/>
              <w:spacing w:before="60" w:after="60"/>
              <w:jc w:val="center"/>
              <w:rPr>
                <w:rFonts w:ascii="Helvetica" w:hAnsi="Helvetica"/>
                <w:sz w:val="18"/>
              </w:rPr>
            </w:pPr>
          </w:p>
        </w:tc>
        <w:tc>
          <w:tcPr>
            <w:tcW w:w="1445" w:type="dxa"/>
            <w:vAlign w:val="center"/>
          </w:tcPr>
          <w:p w:rsidR="00B152BC" w:rsidRDefault="00B152BC" w:rsidP="00C90FE2">
            <w:pPr>
              <w:keepNext/>
              <w:keepLines/>
              <w:spacing w:before="60" w:after="60"/>
              <w:jc w:val="center"/>
              <w:rPr>
                <w:rFonts w:ascii="Helvetica" w:hAnsi="Helvetica"/>
                <w:sz w:val="18"/>
              </w:rPr>
            </w:pPr>
            <w:r>
              <w:rPr>
                <w:rFonts w:ascii="Helvetica" w:hAnsi="Helvetica"/>
                <w:sz w:val="18"/>
              </w:rPr>
              <w:t>$</w:t>
            </w:r>
            <w:r w:rsidR="00C90FE2">
              <w:rPr>
                <w:rFonts w:ascii="Helvetica" w:hAnsi="Helvetica"/>
                <w:sz w:val="18"/>
              </w:rPr>
              <w:t>2,832.6</w:t>
            </w:r>
          </w:p>
        </w:tc>
      </w:tr>
      <w:tr w:rsidR="00B152BC">
        <w:trPr>
          <w:trHeight w:val="255"/>
        </w:trPr>
        <w:tc>
          <w:tcPr>
            <w:tcW w:w="1805" w:type="dxa"/>
            <w:vAlign w:val="bottom"/>
          </w:tcPr>
          <w:p w:rsidR="00B152BC" w:rsidRDefault="00B152BC">
            <w:pPr>
              <w:pStyle w:val="Heading2"/>
            </w:pPr>
            <w:r>
              <w:t>Final Reports</w:t>
            </w:r>
          </w:p>
        </w:tc>
        <w:tc>
          <w:tcPr>
            <w:tcW w:w="1205" w:type="dxa"/>
            <w:vAlign w:val="center"/>
          </w:tcPr>
          <w:p w:rsidR="00B152BC" w:rsidRDefault="006D06F0" w:rsidP="006D06F0">
            <w:pPr>
              <w:keepNext/>
              <w:keepLines/>
              <w:spacing w:before="60" w:after="60"/>
              <w:jc w:val="center"/>
              <w:rPr>
                <w:rFonts w:ascii="Helvetica" w:hAnsi="Helvetica"/>
                <w:sz w:val="18"/>
              </w:rPr>
            </w:pPr>
            <w:r>
              <w:rPr>
                <w:rFonts w:ascii="Helvetica" w:hAnsi="Helvetica"/>
                <w:sz w:val="18"/>
              </w:rPr>
              <w:t>10</w:t>
            </w:r>
          </w:p>
        </w:tc>
        <w:tc>
          <w:tcPr>
            <w:tcW w:w="595" w:type="dxa"/>
          </w:tcPr>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r>
              <w:rPr>
                <w:rFonts w:ascii="Helvetica" w:hAnsi="Helvetica"/>
                <w:sz w:val="18"/>
              </w:rPr>
              <w:t>1</w:t>
            </w:r>
          </w:p>
        </w:tc>
        <w:tc>
          <w:tcPr>
            <w:tcW w:w="630" w:type="dxa"/>
            <w:vAlign w:val="center"/>
          </w:tcPr>
          <w:p w:rsidR="00B152BC" w:rsidRDefault="00B152BC">
            <w:pPr>
              <w:keepNext/>
              <w:keepLines/>
              <w:spacing w:before="60" w:after="60"/>
              <w:jc w:val="center"/>
              <w:rPr>
                <w:rFonts w:ascii="Helvetica" w:hAnsi="Helvetica"/>
                <w:sz w:val="18"/>
              </w:rPr>
            </w:pPr>
          </w:p>
        </w:tc>
        <w:tc>
          <w:tcPr>
            <w:tcW w:w="1350" w:type="dxa"/>
          </w:tcPr>
          <w:p w:rsidR="00B152BC" w:rsidRDefault="00C90FE2" w:rsidP="00C90FE2">
            <w:pPr>
              <w:keepNext/>
              <w:keepLines/>
              <w:spacing w:before="60" w:after="60"/>
              <w:jc w:val="center"/>
              <w:rPr>
                <w:rFonts w:ascii="Helvetica" w:hAnsi="Helvetica"/>
                <w:sz w:val="18"/>
              </w:rPr>
            </w:pPr>
            <w:r>
              <w:rPr>
                <w:rFonts w:ascii="Helvetica" w:hAnsi="Helvetica"/>
                <w:sz w:val="18"/>
              </w:rPr>
              <w:t>6</w:t>
            </w:r>
            <w:r w:rsidR="00843A96">
              <w:rPr>
                <w:rFonts w:ascii="Helvetica" w:hAnsi="Helvetica"/>
                <w:sz w:val="18"/>
              </w:rPr>
              <w:t>0</w:t>
            </w:r>
          </w:p>
        </w:tc>
        <w:tc>
          <w:tcPr>
            <w:tcW w:w="1080" w:type="dxa"/>
            <w:vAlign w:val="center"/>
          </w:tcPr>
          <w:p w:rsidR="00B152BC" w:rsidRDefault="00B152BC" w:rsidP="00637F80">
            <w:pPr>
              <w:keepNext/>
              <w:keepLines/>
              <w:spacing w:before="60" w:after="60"/>
              <w:jc w:val="center"/>
              <w:rPr>
                <w:rFonts w:ascii="Helvetica" w:hAnsi="Helvetica"/>
                <w:sz w:val="18"/>
              </w:rPr>
            </w:pPr>
            <w:r>
              <w:rPr>
                <w:rFonts w:ascii="Helvetica" w:hAnsi="Helvetica"/>
                <w:sz w:val="18"/>
              </w:rPr>
              <w:t>$</w:t>
            </w:r>
            <w:r w:rsidR="00637F80">
              <w:rPr>
                <w:rFonts w:ascii="Helvetica" w:hAnsi="Helvetica"/>
                <w:sz w:val="18"/>
              </w:rPr>
              <w:t>47.21</w:t>
            </w:r>
          </w:p>
        </w:tc>
        <w:tc>
          <w:tcPr>
            <w:tcW w:w="810" w:type="dxa"/>
            <w:vAlign w:val="center"/>
          </w:tcPr>
          <w:p w:rsidR="00B152BC" w:rsidRDefault="00B152BC">
            <w:pPr>
              <w:keepNext/>
              <w:keepLines/>
              <w:spacing w:before="60" w:after="60"/>
              <w:jc w:val="center"/>
              <w:rPr>
                <w:rFonts w:ascii="Helvetica" w:hAnsi="Helvetica"/>
                <w:sz w:val="18"/>
              </w:rPr>
            </w:pPr>
          </w:p>
        </w:tc>
        <w:tc>
          <w:tcPr>
            <w:tcW w:w="1445" w:type="dxa"/>
            <w:vAlign w:val="center"/>
          </w:tcPr>
          <w:p w:rsidR="00B152BC" w:rsidRDefault="00B152BC" w:rsidP="00C90FE2">
            <w:pPr>
              <w:keepNext/>
              <w:keepLines/>
              <w:spacing w:before="60" w:after="60"/>
              <w:jc w:val="center"/>
              <w:rPr>
                <w:rFonts w:ascii="Helvetica" w:hAnsi="Helvetica"/>
                <w:sz w:val="18"/>
              </w:rPr>
            </w:pPr>
            <w:r>
              <w:rPr>
                <w:rFonts w:ascii="Helvetica" w:hAnsi="Helvetica"/>
                <w:sz w:val="18"/>
              </w:rPr>
              <w:t>$</w:t>
            </w:r>
            <w:r w:rsidR="00C90FE2">
              <w:rPr>
                <w:rFonts w:ascii="Helvetica" w:hAnsi="Helvetica"/>
                <w:sz w:val="18"/>
              </w:rPr>
              <w:t>2,832.6</w:t>
            </w:r>
          </w:p>
        </w:tc>
      </w:tr>
      <w:tr w:rsidR="00B152BC">
        <w:trPr>
          <w:trHeight w:val="255"/>
        </w:trPr>
        <w:tc>
          <w:tcPr>
            <w:tcW w:w="1805" w:type="dxa"/>
            <w:vAlign w:val="bottom"/>
          </w:tcPr>
          <w:p w:rsidR="00B152BC" w:rsidRDefault="00B152BC">
            <w:pPr>
              <w:pStyle w:val="Heading2"/>
            </w:pPr>
            <w:r>
              <w:t>Coordination</w:t>
            </w:r>
            <w:r w:rsidR="00461697">
              <w:t xml:space="preserve"> of Plans and Reports</w:t>
            </w:r>
          </w:p>
        </w:tc>
        <w:tc>
          <w:tcPr>
            <w:tcW w:w="1205" w:type="dxa"/>
            <w:vAlign w:val="center"/>
          </w:tcPr>
          <w:p w:rsidR="00B152BC" w:rsidRDefault="006D06F0" w:rsidP="006D06F0">
            <w:pPr>
              <w:keepNext/>
              <w:keepLines/>
              <w:spacing w:before="60" w:after="60"/>
              <w:jc w:val="center"/>
              <w:rPr>
                <w:rFonts w:ascii="Helvetica" w:hAnsi="Helvetica"/>
                <w:sz w:val="18"/>
              </w:rPr>
            </w:pPr>
            <w:r>
              <w:rPr>
                <w:rFonts w:ascii="Helvetica" w:hAnsi="Helvetica"/>
                <w:sz w:val="18"/>
              </w:rPr>
              <w:t>10</w:t>
            </w:r>
          </w:p>
        </w:tc>
        <w:tc>
          <w:tcPr>
            <w:tcW w:w="595" w:type="dxa"/>
          </w:tcPr>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r>
              <w:rPr>
                <w:rFonts w:ascii="Helvetica" w:hAnsi="Helvetica"/>
                <w:sz w:val="18"/>
              </w:rPr>
              <w:t>1</w:t>
            </w:r>
          </w:p>
        </w:tc>
        <w:tc>
          <w:tcPr>
            <w:tcW w:w="630" w:type="dxa"/>
            <w:vAlign w:val="center"/>
          </w:tcPr>
          <w:p w:rsidR="00B152BC" w:rsidRDefault="00B152BC">
            <w:pPr>
              <w:keepNext/>
              <w:keepLines/>
              <w:spacing w:before="60" w:after="60"/>
              <w:jc w:val="center"/>
              <w:rPr>
                <w:rFonts w:ascii="Helvetica" w:hAnsi="Helvetica"/>
                <w:sz w:val="18"/>
              </w:rPr>
            </w:pPr>
          </w:p>
        </w:tc>
        <w:tc>
          <w:tcPr>
            <w:tcW w:w="1350" w:type="dxa"/>
          </w:tcPr>
          <w:p w:rsidR="00B152BC" w:rsidRDefault="00C90FE2" w:rsidP="00C90FE2">
            <w:pPr>
              <w:keepNext/>
              <w:keepLines/>
              <w:spacing w:before="60" w:after="60"/>
              <w:jc w:val="center"/>
              <w:rPr>
                <w:rFonts w:ascii="Helvetica" w:hAnsi="Helvetica"/>
                <w:sz w:val="18"/>
              </w:rPr>
            </w:pPr>
            <w:r>
              <w:rPr>
                <w:rFonts w:ascii="Helvetica" w:hAnsi="Helvetica"/>
                <w:sz w:val="18"/>
              </w:rPr>
              <w:t>400</w:t>
            </w:r>
          </w:p>
        </w:tc>
        <w:tc>
          <w:tcPr>
            <w:tcW w:w="1080" w:type="dxa"/>
            <w:vAlign w:val="center"/>
          </w:tcPr>
          <w:p w:rsidR="00B152BC" w:rsidRDefault="00B152BC" w:rsidP="00343050">
            <w:pPr>
              <w:keepNext/>
              <w:keepLines/>
              <w:spacing w:before="60" w:after="60"/>
              <w:jc w:val="center"/>
              <w:rPr>
                <w:rFonts w:ascii="Helvetica" w:hAnsi="Helvetica"/>
                <w:sz w:val="18"/>
              </w:rPr>
            </w:pPr>
            <w:r>
              <w:rPr>
                <w:rFonts w:ascii="Helvetica" w:hAnsi="Helvetica"/>
                <w:sz w:val="18"/>
              </w:rPr>
              <w:t>$</w:t>
            </w:r>
            <w:r w:rsidR="00343050">
              <w:rPr>
                <w:rFonts w:ascii="Helvetica" w:hAnsi="Helvetica"/>
                <w:sz w:val="18"/>
              </w:rPr>
              <w:t>55.78</w:t>
            </w:r>
          </w:p>
        </w:tc>
        <w:tc>
          <w:tcPr>
            <w:tcW w:w="810" w:type="dxa"/>
            <w:vAlign w:val="center"/>
          </w:tcPr>
          <w:p w:rsidR="00B152BC" w:rsidRDefault="00B152BC">
            <w:pPr>
              <w:keepNext/>
              <w:keepLines/>
              <w:spacing w:before="60" w:after="60"/>
              <w:jc w:val="center"/>
              <w:rPr>
                <w:rFonts w:ascii="Helvetica" w:hAnsi="Helvetica"/>
                <w:sz w:val="18"/>
              </w:rPr>
            </w:pPr>
          </w:p>
        </w:tc>
        <w:tc>
          <w:tcPr>
            <w:tcW w:w="1445" w:type="dxa"/>
            <w:vAlign w:val="center"/>
          </w:tcPr>
          <w:p w:rsidR="00B152BC" w:rsidRDefault="00B152BC" w:rsidP="00C90FE2">
            <w:pPr>
              <w:keepNext/>
              <w:keepLines/>
              <w:spacing w:before="60" w:after="60"/>
              <w:jc w:val="center"/>
              <w:rPr>
                <w:rFonts w:ascii="Helvetica" w:hAnsi="Helvetica"/>
                <w:sz w:val="18"/>
              </w:rPr>
            </w:pPr>
            <w:r>
              <w:rPr>
                <w:rFonts w:ascii="Helvetica" w:hAnsi="Helvetica"/>
                <w:sz w:val="18"/>
              </w:rPr>
              <w:t>$</w:t>
            </w:r>
            <w:r w:rsidR="00C90FE2">
              <w:rPr>
                <w:rFonts w:ascii="Helvetica" w:hAnsi="Helvetica"/>
                <w:sz w:val="18"/>
              </w:rPr>
              <w:t>22,312</w:t>
            </w:r>
          </w:p>
        </w:tc>
      </w:tr>
      <w:tr w:rsidR="00B152BC">
        <w:trPr>
          <w:trHeight w:val="255"/>
        </w:trPr>
        <w:tc>
          <w:tcPr>
            <w:tcW w:w="1805" w:type="dxa"/>
            <w:vAlign w:val="bottom"/>
          </w:tcPr>
          <w:p w:rsidR="00B152BC" w:rsidRDefault="00B152BC">
            <w:pPr>
              <w:pStyle w:val="Heading2"/>
            </w:pPr>
            <w:r>
              <w:t>TOTAL COST</w:t>
            </w:r>
          </w:p>
        </w:tc>
        <w:tc>
          <w:tcPr>
            <w:tcW w:w="1205" w:type="dxa"/>
            <w:vAlign w:val="center"/>
          </w:tcPr>
          <w:p w:rsidR="00B152BC" w:rsidRDefault="00B152BC">
            <w:pPr>
              <w:keepNext/>
              <w:keepLines/>
              <w:spacing w:before="60" w:after="60"/>
              <w:jc w:val="center"/>
              <w:rPr>
                <w:rFonts w:ascii="Helvetica" w:hAnsi="Helvetica"/>
                <w:sz w:val="18"/>
              </w:rPr>
            </w:pPr>
          </w:p>
        </w:tc>
        <w:tc>
          <w:tcPr>
            <w:tcW w:w="595" w:type="dxa"/>
          </w:tcPr>
          <w:p w:rsidR="00B152BC" w:rsidRDefault="00B152BC">
            <w:pPr>
              <w:keepNext/>
              <w:keepLines/>
              <w:spacing w:before="60" w:after="60"/>
              <w:jc w:val="center"/>
              <w:rPr>
                <w:rFonts w:ascii="Helvetica" w:hAnsi="Helvetica"/>
                <w:sz w:val="18"/>
              </w:rPr>
            </w:pPr>
          </w:p>
        </w:tc>
        <w:tc>
          <w:tcPr>
            <w:tcW w:w="1530" w:type="dxa"/>
            <w:vAlign w:val="center"/>
          </w:tcPr>
          <w:p w:rsidR="00B152BC" w:rsidRDefault="00B152BC">
            <w:pPr>
              <w:keepNext/>
              <w:keepLines/>
              <w:spacing w:before="60" w:after="60"/>
              <w:jc w:val="center"/>
              <w:rPr>
                <w:rFonts w:ascii="Helvetica" w:hAnsi="Helvetica"/>
                <w:sz w:val="18"/>
              </w:rPr>
            </w:pPr>
          </w:p>
        </w:tc>
        <w:tc>
          <w:tcPr>
            <w:tcW w:w="630" w:type="dxa"/>
            <w:vAlign w:val="center"/>
          </w:tcPr>
          <w:p w:rsidR="00B152BC" w:rsidRDefault="00B152BC">
            <w:pPr>
              <w:keepNext/>
              <w:keepLines/>
              <w:spacing w:before="60" w:after="60"/>
              <w:jc w:val="center"/>
              <w:rPr>
                <w:rFonts w:ascii="Helvetica" w:hAnsi="Helvetica"/>
                <w:sz w:val="18"/>
              </w:rPr>
            </w:pPr>
          </w:p>
        </w:tc>
        <w:tc>
          <w:tcPr>
            <w:tcW w:w="1350" w:type="dxa"/>
          </w:tcPr>
          <w:p w:rsidR="00B152BC" w:rsidRDefault="00C0766C">
            <w:pPr>
              <w:keepNext/>
              <w:keepLines/>
              <w:spacing w:before="60" w:after="60"/>
              <w:jc w:val="center"/>
              <w:rPr>
                <w:rFonts w:ascii="Helvetica" w:hAnsi="Helvetica"/>
                <w:sz w:val="18"/>
              </w:rPr>
            </w:pPr>
            <w:r>
              <w:rPr>
                <w:rFonts w:ascii="Helvetica" w:hAnsi="Helvetica"/>
                <w:sz w:val="18"/>
              </w:rPr>
              <w:fldChar w:fldCharType="begin"/>
            </w:r>
            <w:r w:rsidR="00C03F10">
              <w:rPr>
                <w:rFonts w:ascii="Helvetica" w:hAnsi="Helvetica"/>
                <w:sz w:val="18"/>
              </w:rPr>
              <w:instrText xml:space="preserve"> =SUM(ABOVE) </w:instrText>
            </w:r>
            <w:r>
              <w:rPr>
                <w:rFonts w:ascii="Helvetica" w:hAnsi="Helvetica"/>
                <w:sz w:val="18"/>
              </w:rPr>
              <w:fldChar w:fldCharType="separate"/>
            </w:r>
            <w:r w:rsidR="00C03F10">
              <w:rPr>
                <w:rFonts w:ascii="Helvetica" w:hAnsi="Helvetica"/>
                <w:noProof/>
                <w:sz w:val="18"/>
              </w:rPr>
              <w:t>720</w:t>
            </w:r>
            <w:r>
              <w:rPr>
                <w:rFonts w:ascii="Helvetica" w:hAnsi="Helvetica"/>
                <w:sz w:val="18"/>
              </w:rPr>
              <w:fldChar w:fldCharType="end"/>
            </w:r>
          </w:p>
        </w:tc>
        <w:tc>
          <w:tcPr>
            <w:tcW w:w="1080" w:type="dxa"/>
            <w:vAlign w:val="center"/>
          </w:tcPr>
          <w:p w:rsidR="00B152BC" w:rsidRDefault="00B152BC">
            <w:pPr>
              <w:keepNext/>
              <w:keepLines/>
              <w:spacing w:before="60" w:after="60"/>
              <w:jc w:val="center"/>
              <w:rPr>
                <w:rFonts w:ascii="Helvetica" w:hAnsi="Helvetica"/>
                <w:sz w:val="18"/>
              </w:rPr>
            </w:pPr>
          </w:p>
        </w:tc>
        <w:tc>
          <w:tcPr>
            <w:tcW w:w="810" w:type="dxa"/>
            <w:vAlign w:val="center"/>
          </w:tcPr>
          <w:p w:rsidR="00B152BC" w:rsidRDefault="00B152BC">
            <w:pPr>
              <w:keepNext/>
              <w:keepLines/>
              <w:spacing w:before="60" w:after="60"/>
              <w:jc w:val="center"/>
              <w:rPr>
                <w:rFonts w:ascii="Helvetica" w:hAnsi="Helvetica"/>
                <w:sz w:val="18"/>
              </w:rPr>
            </w:pPr>
          </w:p>
        </w:tc>
        <w:tc>
          <w:tcPr>
            <w:tcW w:w="1445" w:type="dxa"/>
            <w:vAlign w:val="center"/>
          </w:tcPr>
          <w:p w:rsidR="00B152BC" w:rsidRDefault="00C0766C">
            <w:pPr>
              <w:keepNext/>
              <w:keepLines/>
              <w:spacing w:before="60" w:after="60"/>
              <w:jc w:val="center"/>
              <w:rPr>
                <w:rFonts w:ascii="Helvetica" w:hAnsi="Helvetica"/>
                <w:sz w:val="18"/>
              </w:rPr>
            </w:pPr>
            <w:r>
              <w:rPr>
                <w:rFonts w:ascii="Helvetica" w:hAnsi="Helvetica"/>
                <w:sz w:val="18"/>
              </w:rPr>
              <w:fldChar w:fldCharType="begin"/>
            </w:r>
            <w:r w:rsidR="00C03F10">
              <w:rPr>
                <w:rFonts w:ascii="Helvetica" w:hAnsi="Helvetica"/>
                <w:sz w:val="18"/>
              </w:rPr>
              <w:instrText xml:space="preserve"> =SUM(ABOVE) </w:instrText>
            </w:r>
            <w:r>
              <w:rPr>
                <w:rFonts w:ascii="Helvetica" w:hAnsi="Helvetica"/>
                <w:sz w:val="18"/>
              </w:rPr>
              <w:fldChar w:fldCharType="separate"/>
            </w:r>
            <w:r w:rsidR="00C03F10">
              <w:rPr>
                <w:rFonts w:ascii="Helvetica" w:hAnsi="Helvetica"/>
                <w:noProof/>
                <w:sz w:val="18"/>
              </w:rPr>
              <w:t>$37,419.20</w:t>
            </w:r>
            <w:r>
              <w:rPr>
                <w:rFonts w:ascii="Helvetica" w:hAnsi="Helvetica"/>
                <w:sz w:val="18"/>
              </w:rPr>
              <w:fldChar w:fldCharType="end"/>
            </w:r>
          </w:p>
        </w:tc>
      </w:tr>
    </w:tbl>
    <w:p w:rsidR="00B152BC" w:rsidRDefault="00B152BC">
      <w:pPr>
        <w:pStyle w:val="BodyText3"/>
        <w:tabs>
          <w:tab w:val="left" w:pos="840"/>
        </w:tabs>
        <w:overflowPunct w:val="0"/>
        <w:autoSpaceDE w:val="0"/>
        <w:autoSpaceDN w:val="0"/>
        <w:adjustRightInd w:val="0"/>
        <w:spacing w:before="120"/>
        <w:textAlignment w:val="baseline"/>
        <w:rPr>
          <w:sz w:val="22"/>
        </w:rPr>
      </w:pPr>
      <w:r>
        <w:rPr>
          <w:sz w:val="22"/>
        </w:rPr>
        <w:t xml:space="preserve">The cost to the Federal Government is the </w:t>
      </w:r>
      <w:r w:rsidR="00530DCE">
        <w:rPr>
          <w:sz w:val="22"/>
        </w:rPr>
        <w:t xml:space="preserve">staff </w:t>
      </w:r>
      <w:r>
        <w:rPr>
          <w:sz w:val="22"/>
        </w:rPr>
        <w:t>time spent reviewing</w:t>
      </w:r>
      <w:r w:rsidR="00843A96">
        <w:rPr>
          <w:sz w:val="22"/>
        </w:rPr>
        <w:t>, deliberating, and acting upon</w:t>
      </w:r>
      <w:r>
        <w:rPr>
          <w:sz w:val="22"/>
        </w:rPr>
        <w:t xml:space="preserve"> PHA submissions.  For review of </w:t>
      </w:r>
      <w:r w:rsidR="00343050">
        <w:rPr>
          <w:sz w:val="22"/>
        </w:rPr>
        <w:t>F</w:t>
      </w:r>
      <w:r>
        <w:rPr>
          <w:sz w:val="22"/>
        </w:rPr>
        <w:t xml:space="preserve">ungibility </w:t>
      </w:r>
      <w:r w:rsidR="00343050">
        <w:rPr>
          <w:sz w:val="22"/>
        </w:rPr>
        <w:t>P</w:t>
      </w:r>
      <w:r>
        <w:rPr>
          <w:sz w:val="22"/>
        </w:rPr>
        <w:t xml:space="preserve">lans, </w:t>
      </w:r>
      <w:r w:rsidR="00843A96">
        <w:rPr>
          <w:sz w:val="22"/>
        </w:rPr>
        <w:t xml:space="preserve">the </w:t>
      </w:r>
      <w:r>
        <w:rPr>
          <w:sz w:val="22"/>
        </w:rPr>
        <w:t xml:space="preserve">hourly </w:t>
      </w:r>
      <w:r w:rsidR="00843A96">
        <w:rPr>
          <w:sz w:val="22"/>
        </w:rPr>
        <w:t>rate</w:t>
      </w:r>
      <w:r>
        <w:rPr>
          <w:sz w:val="22"/>
        </w:rPr>
        <w:t xml:space="preserve"> assumes </w:t>
      </w:r>
      <w:r w:rsidR="00D25F04">
        <w:rPr>
          <w:sz w:val="22"/>
        </w:rPr>
        <w:t xml:space="preserve">reviews in the local HUD Office of Public Housing and </w:t>
      </w:r>
      <w:r w:rsidR="00843A96">
        <w:rPr>
          <w:sz w:val="22"/>
        </w:rPr>
        <w:t xml:space="preserve">Washington, D.C. </w:t>
      </w:r>
      <w:r w:rsidR="00D25F04">
        <w:rPr>
          <w:sz w:val="22"/>
        </w:rPr>
        <w:t xml:space="preserve">HUD Headquarters by </w:t>
      </w:r>
      <w:r>
        <w:rPr>
          <w:sz w:val="22"/>
        </w:rPr>
        <w:t>Public Housing Revitalization Specialist</w:t>
      </w:r>
      <w:r w:rsidR="00D25F04">
        <w:rPr>
          <w:sz w:val="22"/>
        </w:rPr>
        <w:t>s or Program Analysts</w:t>
      </w:r>
      <w:r>
        <w:rPr>
          <w:sz w:val="22"/>
        </w:rPr>
        <w:t xml:space="preserve"> at </w:t>
      </w:r>
      <w:r w:rsidR="00D25F04">
        <w:rPr>
          <w:sz w:val="22"/>
        </w:rPr>
        <w:t xml:space="preserve">an average </w:t>
      </w:r>
      <w:r>
        <w:rPr>
          <w:sz w:val="22"/>
        </w:rPr>
        <w:t xml:space="preserve">GS-13, Step </w:t>
      </w:r>
      <w:r w:rsidR="00D25F04">
        <w:rPr>
          <w:sz w:val="22"/>
        </w:rPr>
        <w:t>5 level</w:t>
      </w:r>
      <w:r>
        <w:rPr>
          <w:sz w:val="22"/>
        </w:rPr>
        <w:t xml:space="preserve">; and for </w:t>
      </w:r>
      <w:r w:rsidR="00D25F04">
        <w:rPr>
          <w:sz w:val="22"/>
        </w:rPr>
        <w:t>H</w:t>
      </w:r>
      <w:r>
        <w:rPr>
          <w:sz w:val="22"/>
        </w:rPr>
        <w:t xml:space="preserve">ours </w:t>
      </w:r>
      <w:r w:rsidR="00D25F04">
        <w:rPr>
          <w:sz w:val="22"/>
        </w:rPr>
        <w:t>P</w:t>
      </w:r>
      <w:r>
        <w:rPr>
          <w:sz w:val="22"/>
        </w:rPr>
        <w:t xml:space="preserve">er </w:t>
      </w:r>
      <w:r w:rsidR="00D25F04">
        <w:rPr>
          <w:sz w:val="22"/>
        </w:rPr>
        <w:t>S</w:t>
      </w:r>
      <w:r>
        <w:rPr>
          <w:sz w:val="22"/>
        </w:rPr>
        <w:t xml:space="preserve">ubmission assumes </w:t>
      </w:r>
      <w:r w:rsidR="00530DCE">
        <w:rPr>
          <w:sz w:val="22"/>
        </w:rPr>
        <w:t>24</w:t>
      </w:r>
      <w:r>
        <w:rPr>
          <w:sz w:val="22"/>
        </w:rPr>
        <w:t xml:space="preserve"> hours </w:t>
      </w:r>
      <w:r w:rsidR="00D25F04">
        <w:rPr>
          <w:sz w:val="22"/>
        </w:rPr>
        <w:t>for review</w:t>
      </w:r>
      <w:r w:rsidR="00530DCE">
        <w:rPr>
          <w:sz w:val="22"/>
        </w:rPr>
        <w:t>,</w:t>
      </w:r>
      <w:r w:rsidR="00D25F04">
        <w:rPr>
          <w:sz w:val="22"/>
        </w:rPr>
        <w:t xml:space="preserve"> deliberation</w:t>
      </w:r>
      <w:r w:rsidR="00530DCE">
        <w:rPr>
          <w:sz w:val="22"/>
        </w:rPr>
        <w:t>, and action on</w:t>
      </w:r>
      <w:r w:rsidR="00843A96">
        <w:rPr>
          <w:sz w:val="22"/>
        </w:rPr>
        <w:t xml:space="preserve"> all </w:t>
      </w:r>
      <w:r w:rsidR="00343050">
        <w:rPr>
          <w:sz w:val="22"/>
        </w:rPr>
        <w:t>1</w:t>
      </w:r>
      <w:r w:rsidR="002D4581">
        <w:rPr>
          <w:sz w:val="22"/>
        </w:rPr>
        <w:t>2</w:t>
      </w:r>
      <w:r w:rsidR="00343050">
        <w:rPr>
          <w:sz w:val="22"/>
        </w:rPr>
        <w:t xml:space="preserve"> </w:t>
      </w:r>
      <w:r w:rsidR="00843A96">
        <w:rPr>
          <w:sz w:val="22"/>
        </w:rPr>
        <w:t xml:space="preserve">plans </w:t>
      </w:r>
      <w:r w:rsidR="00D25F04">
        <w:rPr>
          <w:sz w:val="22"/>
        </w:rPr>
        <w:t xml:space="preserve">by </w:t>
      </w:r>
      <w:r>
        <w:rPr>
          <w:sz w:val="22"/>
        </w:rPr>
        <w:t xml:space="preserve">each </w:t>
      </w:r>
      <w:r w:rsidR="00C90FE2">
        <w:rPr>
          <w:sz w:val="22"/>
        </w:rPr>
        <w:t>of</w:t>
      </w:r>
      <w:r>
        <w:rPr>
          <w:sz w:val="22"/>
        </w:rPr>
        <w:t xml:space="preserve"> five reviewers representing the local HUD </w:t>
      </w:r>
      <w:r w:rsidR="001D71D5">
        <w:rPr>
          <w:sz w:val="22"/>
        </w:rPr>
        <w:t>O</w:t>
      </w:r>
      <w:r>
        <w:rPr>
          <w:sz w:val="22"/>
        </w:rPr>
        <w:t xml:space="preserve">ffice </w:t>
      </w:r>
      <w:r w:rsidR="001D71D5">
        <w:rPr>
          <w:sz w:val="22"/>
        </w:rPr>
        <w:t>of Public Housing</w:t>
      </w:r>
      <w:r w:rsidR="00D25F04">
        <w:rPr>
          <w:sz w:val="22"/>
        </w:rPr>
        <w:t>,</w:t>
      </w:r>
      <w:r>
        <w:rPr>
          <w:sz w:val="22"/>
        </w:rPr>
        <w:t xml:space="preserve"> and the </w:t>
      </w:r>
      <w:r w:rsidR="00555293">
        <w:rPr>
          <w:sz w:val="22"/>
        </w:rPr>
        <w:t xml:space="preserve">HUD </w:t>
      </w:r>
      <w:r>
        <w:rPr>
          <w:sz w:val="22"/>
        </w:rPr>
        <w:t xml:space="preserve">Headquarters </w:t>
      </w:r>
      <w:r w:rsidR="00555293">
        <w:rPr>
          <w:sz w:val="22"/>
        </w:rPr>
        <w:t xml:space="preserve">Public and Indian Housing (PIH) </w:t>
      </w:r>
      <w:r w:rsidR="001D71D5">
        <w:rPr>
          <w:sz w:val="22"/>
        </w:rPr>
        <w:t xml:space="preserve">Policy, </w:t>
      </w:r>
      <w:r>
        <w:rPr>
          <w:sz w:val="22"/>
        </w:rPr>
        <w:t>Field Operations, Voucher</w:t>
      </w:r>
      <w:r w:rsidR="001D71D5">
        <w:rPr>
          <w:sz w:val="22"/>
        </w:rPr>
        <w:t>,</w:t>
      </w:r>
      <w:r>
        <w:rPr>
          <w:sz w:val="22"/>
        </w:rPr>
        <w:t xml:space="preserve"> </w:t>
      </w:r>
      <w:r w:rsidR="00C90FE2">
        <w:rPr>
          <w:sz w:val="22"/>
        </w:rPr>
        <w:t xml:space="preserve">and </w:t>
      </w:r>
      <w:r>
        <w:rPr>
          <w:sz w:val="22"/>
        </w:rPr>
        <w:t xml:space="preserve">Public Housing staff.  </w:t>
      </w:r>
      <w:r w:rsidR="00555293">
        <w:rPr>
          <w:sz w:val="22"/>
        </w:rPr>
        <w:t xml:space="preserve">The same hourly rates apply for Headquarters and Field </w:t>
      </w:r>
      <w:r w:rsidR="00C90FE2">
        <w:rPr>
          <w:sz w:val="22"/>
        </w:rPr>
        <w:t>O</w:t>
      </w:r>
      <w:r w:rsidR="00555293">
        <w:rPr>
          <w:sz w:val="22"/>
        </w:rPr>
        <w:t xml:space="preserve">ffice </w:t>
      </w:r>
      <w:r>
        <w:rPr>
          <w:sz w:val="22"/>
        </w:rPr>
        <w:t>review</w:t>
      </w:r>
      <w:r w:rsidR="00555293">
        <w:rPr>
          <w:sz w:val="22"/>
        </w:rPr>
        <w:t>s</w:t>
      </w:r>
      <w:r>
        <w:rPr>
          <w:sz w:val="22"/>
        </w:rPr>
        <w:t xml:space="preserve"> of </w:t>
      </w:r>
      <w:r w:rsidR="00D25F04">
        <w:rPr>
          <w:sz w:val="22"/>
        </w:rPr>
        <w:t>Quarterly, A</w:t>
      </w:r>
      <w:r>
        <w:rPr>
          <w:sz w:val="22"/>
        </w:rPr>
        <w:t>nnual</w:t>
      </w:r>
      <w:r w:rsidR="00D25F04">
        <w:rPr>
          <w:sz w:val="22"/>
        </w:rPr>
        <w:t>,</w:t>
      </w:r>
      <w:r>
        <w:rPr>
          <w:sz w:val="22"/>
        </w:rPr>
        <w:t xml:space="preserve"> and </w:t>
      </w:r>
      <w:r w:rsidR="00D25F04">
        <w:rPr>
          <w:sz w:val="22"/>
        </w:rPr>
        <w:t>F</w:t>
      </w:r>
      <w:r>
        <w:rPr>
          <w:sz w:val="22"/>
        </w:rPr>
        <w:t>inal reports</w:t>
      </w:r>
      <w:r w:rsidR="00C90FE2">
        <w:rPr>
          <w:sz w:val="22"/>
        </w:rPr>
        <w:t xml:space="preserve"> -</w:t>
      </w:r>
      <w:r>
        <w:rPr>
          <w:sz w:val="22"/>
        </w:rPr>
        <w:t xml:space="preserve"> </w:t>
      </w:r>
      <w:r w:rsidR="00555293">
        <w:rPr>
          <w:sz w:val="22"/>
        </w:rPr>
        <w:t xml:space="preserve">with five staff spending </w:t>
      </w:r>
      <w:r w:rsidR="00C90FE2">
        <w:rPr>
          <w:sz w:val="22"/>
        </w:rPr>
        <w:t>12</w:t>
      </w:r>
      <w:r>
        <w:rPr>
          <w:sz w:val="22"/>
        </w:rPr>
        <w:t xml:space="preserve"> hours </w:t>
      </w:r>
      <w:r w:rsidR="00555293">
        <w:rPr>
          <w:sz w:val="22"/>
        </w:rPr>
        <w:t xml:space="preserve">each to review, discuss, </w:t>
      </w:r>
      <w:r w:rsidR="00461697">
        <w:rPr>
          <w:sz w:val="22"/>
        </w:rPr>
        <w:t xml:space="preserve">record, </w:t>
      </w:r>
      <w:r w:rsidR="00555293">
        <w:rPr>
          <w:sz w:val="22"/>
        </w:rPr>
        <w:t xml:space="preserve">and follow-up on </w:t>
      </w:r>
      <w:r w:rsidR="00461697">
        <w:rPr>
          <w:sz w:val="22"/>
        </w:rPr>
        <w:t>all 10</w:t>
      </w:r>
      <w:r w:rsidR="00843A96">
        <w:rPr>
          <w:sz w:val="22"/>
        </w:rPr>
        <w:t xml:space="preserve"> </w:t>
      </w:r>
      <w:r w:rsidR="00461697">
        <w:rPr>
          <w:sz w:val="22"/>
        </w:rPr>
        <w:t xml:space="preserve">Annual and Final </w:t>
      </w:r>
      <w:r w:rsidR="00555293">
        <w:rPr>
          <w:sz w:val="22"/>
        </w:rPr>
        <w:t>report</w:t>
      </w:r>
      <w:r w:rsidR="00843A96">
        <w:rPr>
          <w:sz w:val="22"/>
        </w:rPr>
        <w:t>s</w:t>
      </w:r>
      <w:r w:rsidR="00461697">
        <w:rPr>
          <w:sz w:val="22"/>
        </w:rPr>
        <w:t>, and 4 hours each on Quarterly reports</w:t>
      </w:r>
      <w:r w:rsidR="00555293">
        <w:rPr>
          <w:sz w:val="22"/>
        </w:rPr>
        <w:t>.</w:t>
      </w:r>
      <w:r>
        <w:rPr>
          <w:sz w:val="22"/>
        </w:rPr>
        <w:t xml:space="preserve">  </w:t>
      </w:r>
      <w:r w:rsidR="00555293">
        <w:rPr>
          <w:sz w:val="22"/>
        </w:rPr>
        <w:t>The hourly rate for coordination assumes average hourly salary costs for a</w:t>
      </w:r>
      <w:r>
        <w:rPr>
          <w:sz w:val="22"/>
        </w:rPr>
        <w:t xml:space="preserve"> Program Analyst, GS-14, Step </w:t>
      </w:r>
      <w:r w:rsidR="00D25F04">
        <w:rPr>
          <w:sz w:val="22"/>
        </w:rPr>
        <w:t>5</w:t>
      </w:r>
      <w:r>
        <w:rPr>
          <w:sz w:val="22"/>
        </w:rPr>
        <w:t xml:space="preserve">, </w:t>
      </w:r>
      <w:r w:rsidR="00555293">
        <w:rPr>
          <w:sz w:val="22"/>
        </w:rPr>
        <w:t xml:space="preserve">within the </w:t>
      </w:r>
      <w:r w:rsidR="00637F80">
        <w:rPr>
          <w:sz w:val="22"/>
        </w:rPr>
        <w:t xml:space="preserve">HUD Headquarters </w:t>
      </w:r>
      <w:r w:rsidR="00555293">
        <w:rPr>
          <w:sz w:val="22"/>
        </w:rPr>
        <w:t>Office of Policy</w:t>
      </w:r>
      <w:r w:rsidR="00343050">
        <w:rPr>
          <w:sz w:val="22"/>
        </w:rPr>
        <w:t>, Program, and Legislative Initiatives</w:t>
      </w:r>
      <w:r w:rsidR="00555293">
        <w:rPr>
          <w:sz w:val="22"/>
        </w:rPr>
        <w:t xml:space="preserve"> to </w:t>
      </w:r>
      <w:r>
        <w:rPr>
          <w:sz w:val="22"/>
        </w:rPr>
        <w:t xml:space="preserve">coordinate </w:t>
      </w:r>
      <w:r w:rsidR="00343050">
        <w:rPr>
          <w:sz w:val="22"/>
        </w:rPr>
        <w:t>Section 901 F</w:t>
      </w:r>
      <w:r>
        <w:rPr>
          <w:sz w:val="22"/>
        </w:rPr>
        <w:t xml:space="preserve">ungibility </w:t>
      </w:r>
      <w:r w:rsidR="00343050">
        <w:rPr>
          <w:sz w:val="22"/>
        </w:rPr>
        <w:t xml:space="preserve">Plan </w:t>
      </w:r>
      <w:r>
        <w:rPr>
          <w:sz w:val="22"/>
        </w:rPr>
        <w:t>processing</w:t>
      </w:r>
      <w:r w:rsidR="00555293">
        <w:rPr>
          <w:sz w:val="22"/>
        </w:rPr>
        <w:t xml:space="preserve"> and overall policy</w:t>
      </w:r>
      <w:r>
        <w:rPr>
          <w:sz w:val="22"/>
        </w:rPr>
        <w:t xml:space="preserve">, including development and approval of the collection instruments, plan reviews, </w:t>
      </w:r>
      <w:r w:rsidR="00555293">
        <w:rPr>
          <w:sz w:val="22"/>
        </w:rPr>
        <w:t xml:space="preserve">routine and higher level </w:t>
      </w:r>
      <w:r>
        <w:rPr>
          <w:sz w:val="22"/>
        </w:rPr>
        <w:t>meetings</w:t>
      </w:r>
      <w:r w:rsidR="00555293">
        <w:rPr>
          <w:sz w:val="22"/>
        </w:rPr>
        <w:t xml:space="preserve"> and briefings</w:t>
      </w:r>
      <w:r>
        <w:rPr>
          <w:sz w:val="22"/>
        </w:rPr>
        <w:t xml:space="preserve">, </w:t>
      </w:r>
      <w:r w:rsidR="00C90FE2">
        <w:rPr>
          <w:sz w:val="22"/>
        </w:rPr>
        <w:t>research and re</w:t>
      </w:r>
      <w:r>
        <w:rPr>
          <w:sz w:val="22"/>
        </w:rPr>
        <w:t xml:space="preserve">solution of issues, preparation </w:t>
      </w:r>
      <w:r w:rsidR="00C90FE2">
        <w:rPr>
          <w:sz w:val="22"/>
        </w:rPr>
        <w:t xml:space="preserve">and sign-off </w:t>
      </w:r>
      <w:r>
        <w:rPr>
          <w:sz w:val="22"/>
        </w:rPr>
        <w:t xml:space="preserve">of </w:t>
      </w:r>
      <w:r w:rsidR="00343050">
        <w:rPr>
          <w:sz w:val="22"/>
        </w:rPr>
        <w:t xml:space="preserve">decision </w:t>
      </w:r>
      <w:r>
        <w:rPr>
          <w:sz w:val="22"/>
        </w:rPr>
        <w:t xml:space="preserve">notifications, and document management -- expected to average </w:t>
      </w:r>
      <w:r w:rsidR="00C90FE2">
        <w:rPr>
          <w:sz w:val="22"/>
        </w:rPr>
        <w:t>40</w:t>
      </w:r>
      <w:r>
        <w:rPr>
          <w:sz w:val="22"/>
        </w:rPr>
        <w:t xml:space="preserve"> hours per plan.</w:t>
      </w:r>
    </w:p>
    <w:p w:rsidR="00B152BC" w:rsidRDefault="00B152BC">
      <w:pPr>
        <w:tabs>
          <w:tab w:val="left" w:pos="360"/>
        </w:tabs>
        <w:ind w:left="360" w:hanging="360"/>
        <w:rPr>
          <w:color w:val="000000"/>
          <w:sz w:val="18"/>
        </w:rPr>
      </w:pPr>
    </w:p>
    <w:p w:rsidR="00B152BC" w:rsidRDefault="00B152BC">
      <w:pPr>
        <w:pStyle w:val="BodyTextIndent"/>
        <w:tabs>
          <w:tab w:val="clear" w:pos="720"/>
        </w:tabs>
        <w:spacing w:after="80"/>
      </w:pPr>
      <w:r>
        <w:t>15.</w:t>
      </w:r>
      <w:r>
        <w:tab/>
        <w:t xml:space="preserve">Explain the reasons for any program changes or adjustments reported in Items 13 or 14 of the OMB Form 83-I.  </w:t>
      </w:r>
    </w:p>
    <w:p w:rsidR="00C03F10" w:rsidRDefault="00B152BC">
      <w:pPr>
        <w:pStyle w:val="BodyTextIndent"/>
        <w:tabs>
          <w:tab w:val="clear" w:pos="360"/>
          <w:tab w:val="clear" w:pos="720"/>
          <w:tab w:val="left" w:pos="0"/>
        </w:tabs>
        <w:spacing w:after="80"/>
        <w:ind w:left="0" w:firstLine="0"/>
      </w:pPr>
      <w:r>
        <w:lastRenderedPageBreak/>
        <w:t xml:space="preserve">The burden hour estimates have been </w:t>
      </w:r>
      <w:r w:rsidR="00617163">
        <w:t xml:space="preserve">re-worked </w:t>
      </w:r>
      <w:r>
        <w:t xml:space="preserve">due to the actual number of </w:t>
      </w:r>
      <w:r w:rsidR="00617163">
        <w:t>F</w:t>
      </w:r>
      <w:r>
        <w:t xml:space="preserve">ungibility </w:t>
      </w:r>
      <w:r w:rsidR="00617163">
        <w:t>P</w:t>
      </w:r>
      <w:r>
        <w:t>lans received since the original and subsequent deadlines for submission of these plans September 11, 2006, and November 21, 2006</w:t>
      </w:r>
      <w:r w:rsidR="005E098D">
        <w:t>, and the development of a template for use in preparing Fungibility Plans</w:t>
      </w:r>
      <w:r w:rsidR="00617163">
        <w:t xml:space="preserve">.  In 2006, HUD received eight Fungibility Plans out 96 potentially eligible PHAs.  </w:t>
      </w:r>
      <w:r>
        <w:t xml:space="preserve">HUD </w:t>
      </w:r>
      <w:r w:rsidR="00617163">
        <w:t xml:space="preserve">received </w:t>
      </w:r>
      <w:r>
        <w:t xml:space="preserve">five </w:t>
      </w:r>
      <w:r w:rsidR="00617163">
        <w:t xml:space="preserve">plans </w:t>
      </w:r>
      <w:r>
        <w:t xml:space="preserve">from Mississippi and three from Louisiana, including the Housing Authority of New Orleans (HANO).  </w:t>
      </w:r>
      <w:r w:rsidR="00C90FE2">
        <w:t xml:space="preserve"> </w:t>
      </w:r>
      <w:r w:rsidR="008E1E86">
        <w:t>In 2007, HUD received eight Fungibility Plans from the same PHAs that submitted for 2006, and a new PHA from Mississippi, for a total of nine plan submissions.  In</w:t>
      </w:r>
      <w:r w:rsidR="00843575">
        <w:t xml:space="preserve"> 2008, HUD received </w:t>
      </w:r>
      <w:r w:rsidR="00733EA9">
        <w:t xml:space="preserve">nine Fungibility Plans, including six from previously participating PHAs and three new PHAs, for </w:t>
      </w:r>
      <w:r w:rsidR="008E1E86">
        <w:t xml:space="preserve">a cumulative total of </w:t>
      </w:r>
      <w:r w:rsidR="00843575">
        <w:t>twelve Fungibility Plan submissions</w:t>
      </w:r>
      <w:r w:rsidR="00733EA9">
        <w:t xml:space="preserve"> overall.  Two plans submitted in 2008 were disapproved</w:t>
      </w:r>
      <w:r w:rsidR="00843575">
        <w:t xml:space="preserve"> due to insufficient funding available.  In 2009, HUD received only one Fungibility Plan – from </w:t>
      </w:r>
      <w:r w:rsidR="00733EA9">
        <w:t>one previously participating PHA -- HANO</w:t>
      </w:r>
      <w:r w:rsidR="00843575">
        <w:t>.</w:t>
      </w:r>
      <w:r w:rsidR="00733EA9">
        <w:t xml:space="preserve">  The twelve PHA plan submissions came from HANO, Jefferson Parish (LA), Lake Charles (LA), Long Beach (MS), Biloxi (MS), Mississippi Regional Housing Authority (MRHA), No. V; MRHA, No. VI: MRHA No. VII, MRHA No. VIII, Bay Waveland (MS), Sulphur (LA), and St. James (LA).</w:t>
      </w:r>
    </w:p>
    <w:p w:rsidR="00F371D7" w:rsidRDefault="00F371D7">
      <w:pPr>
        <w:pStyle w:val="BodyTextIndent"/>
        <w:tabs>
          <w:tab w:val="clear" w:pos="360"/>
          <w:tab w:val="clear" w:pos="720"/>
          <w:tab w:val="left" w:pos="0"/>
        </w:tabs>
        <w:spacing w:after="80"/>
        <w:ind w:left="0" w:firstLine="0"/>
      </w:pPr>
    </w:p>
    <w:p w:rsidR="00C03F10" w:rsidRDefault="00654399">
      <w:pPr>
        <w:pStyle w:val="BodyTextIndent"/>
        <w:tabs>
          <w:tab w:val="clear" w:pos="360"/>
          <w:tab w:val="clear" w:pos="720"/>
          <w:tab w:val="left" w:pos="0"/>
        </w:tabs>
        <w:spacing w:after="80"/>
        <w:ind w:left="0" w:firstLine="0"/>
      </w:pPr>
      <w:r>
        <w:t>The primary reason for the increase in burden hours is that the ten PHAs with approved Fungibility Plans using CY2006 2007, 2008, and/or 2009 program funds will now be required to report their rates of obligating and expending these funds on a Quarterly basis, in addition to submitting Annual and Final reports setting forth obligations, expenditures, and progress in implementing plan activities.  This change was prompted by the nature of the Section 901 initiative, which allows PHAs to use program funds from one source, primarily the Housing Choice Voucher program, which automatically sends 1/12</w:t>
      </w:r>
      <w:r>
        <w:rPr>
          <w:vertAlign w:val="superscript"/>
        </w:rPr>
        <w:t>th</w:t>
      </w:r>
      <w:r>
        <w:t xml:space="preserve"> of a PHA’s annual funding calculations to the PHA’s bank account; for eligible uses in another program, primarily the public housing Capital Fund Program (CFP), which retains the funding in HUD’s Line of Credit Control System (LOCCS) until the PHA periodically requisitions funds when they are needed to carry out plan activities.  The funding and systems for the two programs differ.  Accordingly, HUD determined more frequent reports of the rates of obligations and expenditures of these funds was needed in order to better monitor PHA performance in implementing Section 901 </w:t>
      </w:r>
      <w:r w:rsidR="00370770">
        <w:t>initiatives</w:t>
      </w:r>
      <w:r>
        <w:t>.  Similar reports are submitted monthly by PHAs electronically via the LOCCS system for the obligation and expenditure of CFP funds.   HUD has developed a suggested Word table format for the PHAs to submit the Section 901 activity reports via electronic mail.</w:t>
      </w:r>
    </w:p>
    <w:p w:rsidR="00654399" w:rsidRDefault="00654399">
      <w:pPr>
        <w:pStyle w:val="BodyTextIndent"/>
        <w:tabs>
          <w:tab w:val="clear" w:pos="360"/>
          <w:tab w:val="clear" w:pos="720"/>
          <w:tab w:val="left" w:pos="0"/>
        </w:tabs>
        <w:spacing w:after="80"/>
        <w:ind w:left="0" w:firstLine="0"/>
      </w:pPr>
    </w:p>
    <w:p w:rsidR="00B152BC" w:rsidRDefault="00617163">
      <w:pPr>
        <w:pStyle w:val="BodyTextIndent"/>
        <w:tabs>
          <w:tab w:val="clear" w:pos="360"/>
          <w:tab w:val="clear" w:pos="720"/>
          <w:tab w:val="left" w:pos="0"/>
        </w:tabs>
        <w:spacing w:after="80"/>
        <w:ind w:left="0" w:firstLine="0"/>
        <w:rPr>
          <w:rFonts w:ascii="Helvetica" w:hAnsi="Helvetica"/>
        </w:rPr>
      </w:pPr>
      <w:r>
        <w:t>C</w:t>
      </w:r>
      <w:r w:rsidR="00B152BC">
        <w:t xml:space="preserve">ost estimates have </w:t>
      </w:r>
      <w:r w:rsidR="00C03F10">
        <w:t xml:space="preserve">also </w:t>
      </w:r>
      <w:r>
        <w:t xml:space="preserve">been adjusted to reflect Congressional extension of Section 901 flexibility to calendar years 2006 through 2009, and the increased number of hours spent </w:t>
      </w:r>
      <w:r w:rsidR="00B152BC">
        <w:t xml:space="preserve">by </w:t>
      </w:r>
      <w:r>
        <w:t>m</w:t>
      </w:r>
      <w:r w:rsidR="00B152BC">
        <w:t>ultiple HUD personnel involved in reviewing</w:t>
      </w:r>
      <w:r>
        <w:t>, deliberating, making recommendations, preparing PHA notifications, briefing higher level officials, developing internal procedures,</w:t>
      </w:r>
      <w:r w:rsidR="00C90FE2">
        <w:t xml:space="preserve"> tracking reporting, </w:t>
      </w:r>
      <w:r w:rsidR="00B152BC">
        <w:t>and otherwise processing all facets of implementation of Section 901 -- a new activity authorized under the 2006 emergency supplemental appropriations that crosses several program areas and is related to the hurricane recovery efforts.</w:t>
      </w:r>
      <w:r w:rsidR="00485640">
        <w:t xml:space="preserve">    PHAs have up to five years to expend the funds.  The </w:t>
      </w:r>
      <w:r>
        <w:t xml:space="preserve">adjusted </w:t>
      </w:r>
      <w:r w:rsidR="00485640">
        <w:t xml:space="preserve">costs to the Federal Government </w:t>
      </w:r>
      <w:r>
        <w:t xml:space="preserve">reflect </w:t>
      </w:r>
      <w:r w:rsidR="00485640">
        <w:t xml:space="preserve">the increased oversight responsibilities inherent in four funding streams with five year expenditure periods, and the accompanying coordination to ensure adequate financial management, accounting, performance, reporting, </w:t>
      </w:r>
      <w:r w:rsidR="00380C03">
        <w:t>and monitoring controls are in place.</w:t>
      </w:r>
    </w:p>
    <w:p w:rsidR="00B152BC" w:rsidRDefault="00B152BC">
      <w:pPr>
        <w:tabs>
          <w:tab w:val="left" w:pos="360"/>
        </w:tabs>
        <w:ind w:left="360" w:hanging="360"/>
        <w:rPr>
          <w:color w:val="000000"/>
          <w:sz w:val="18"/>
        </w:rPr>
      </w:pPr>
    </w:p>
    <w:p w:rsidR="00B152BC" w:rsidRDefault="00B152BC">
      <w:pPr>
        <w:pStyle w:val="BodyText"/>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52BC" w:rsidRDefault="00B152BC">
      <w:pPr>
        <w:pStyle w:val="BodyText"/>
      </w:pPr>
      <w:r>
        <w:t>There are no plans to publish this information.</w:t>
      </w:r>
    </w:p>
    <w:p w:rsidR="00B152BC" w:rsidRDefault="00B152BC">
      <w:pPr>
        <w:tabs>
          <w:tab w:val="left" w:pos="360"/>
        </w:tabs>
        <w:ind w:left="360" w:hanging="360"/>
        <w:rPr>
          <w:color w:val="000000"/>
          <w:sz w:val="22"/>
        </w:rPr>
      </w:pPr>
    </w:p>
    <w:p w:rsidR="00B152BC" w:rsidRDefault="00B152BC">
      <w:pPr>
        <w:keepLines/>
        <w:tabs>
          <w:tab w:val="left" w:pos="360"/>
          <w:tab w:val="left" w:pos="720"/>
        </w:tabs>
        <w:rPr>
          <w:color w:val="000000"/>
          <w:sz w:val="22"/>
        </w:rPr>
      </w:pPr>
      <w:r>
        <w:rPr>
          <w:color w:val="000000"/>
          <w:sz w:val="22"/>
        </w:rPr>
        <w:t>17.</w:t>
      </w:r>
      <w:r>
        <w:rPr>
          <w:color w:val="000000"/>
          <w:sz w:val="22"/>
        </w:rPr>
        <w:tab/>
        <w:t>If seeking approval to not display the expiration date for OMB approval of the information collection, explain the reasons that display would be inappropriate.</w:t>
      </w:r>
    </w:p>
    <w:p w:rsidR="00B152BC" w:rsidRDefault="00B152BC">
      <w:pPr>
        <w:pStyle w:val="BodyText"/>
      </w:pPr>
      <w:r>
        <w:t>HUD is not seeking approval to avoid displaying the OMB expiration date.</w:t>
      </w:r>
    </w:p>
    <w:p w:rsidR="00B152BC" w:rsidRDefault="00B152BC">
      <w:pPr>
        <w:tabs>
          <w:tab w:val="left" w:pos="360"/>
        </w:tabs>
        <w:ind w:left="360" w:hanging="360"/>
        <w:rPr>
          <w:color w:val="000000"/>
          <w:sz w:val="18"/>
        </w:rPr>
      </w:pPr>
    </w:p>
    <w:p w:rsidR="00B152BC" w:rsidRDefault="00B152BC">
      <w:pPr>
        <w:pStyle w:val="BodyTextIndent"/>
        <w:tabs>
          <w:tab w:val="clear" w:pos="720"/>
        </w:tabs>
        <w:spacing w:after="80"/>
      </w:pPr>
      <w:r>
        <w:t>18.</w:t>
      </w:r>
      <w:r>
        <w:tab/>
        <w:t>Explain each exception to the certification statement identified in Item 19, "Certification for Paperwork Reduction Act Submissions," of OMB Form 83-I.</w:t>
      </w:r>
    </w:p>
    <w:p w:rsidR="00B152BC" w:rsidRDefault="00B152BC">
      <w:pPr>
        <w:pStyle w:val="BodyTextIndent"/>
        <w:tabs>
          <w:tab w:val="clear" w:pos="720"/>
        </w:tabs>
        <w:spacing w:after="80"/>
      </w:pPr>
      <w:r>
        <w:t>There are no exceptions to the certification statement identified in item 19 of the OMB 83-I.</w:t>
      </w:r>
    </w:p>
    <w:p w:rsidR="00B152BC" w:rsidRDefault="00B152BC">
      <w:pPr>
        <w:tabs>
          <w:tab w:val="left" w:pos="360"/>
          <w:tab w:val="left" w:pos="720"/>
        </w:tabs>
        <w:rPr>
          <w:color w:val="000000"/>
        </w:rPr>
      </w:pPr>
    </w:p>
    <w:p w:rsidR="00B152BC" w:rsidRDefault="00B152B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B152BC" w:rsidRDefault="00B152B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B152BC" w:rsidRDefault="00B152BC">
      <w:pPr>
        <w:keepLines/>
        <w:tabs>
          <w:tab w:val="left" w:pos="360"/>
          <w:tab w:val="left" w:pos="720"/>
        </w:tabs>
        <w:ind w:left="360"/>
        <w:rPr>
          <w:color w:val="000000"/>
          <w:sz w:val="18"/>
        </w:rPr>
      </w:pPr>
      <w:r>
        <w:rPr>
          <w:rFonts w:ascii="Helvetica" w:hAnsi="Helvetica"/>
          <w:color w:val="000000"/>
        </w:rPr>
        <w:t>This information collection does not employ statistical methods.</w:t>
      </w:r>
    </w:p>
    <w:p w:rsidR="00B152BC" w:rsidRDefault="00B152BC">
      <w:pPr>
        <w:tabs>
          <w:tab w:val="left" w:pos="240"/>
        </w:tabs>
        <w:rPr>
          <w:rFonts w:ascii="Helvetica" w:hAnsi="Helvetica"/>
          <w:color w:val="000000"/>
          <w:sz w:val="16"/>
        </w:rPr>
      </w:pPr>
    </w:p>
    <w:sectPr w:rsidR="00B152BC" w:rsidSect="00EF3CDF">
      <w:footerReference w:type="first" r:id="rId7"/>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C8F" w:rsidRDefault="00DE1C8F">
      <w:r>
        <w:separator/>
      </w:r>
    </w:p>
  </w:endnote>
  <w:endnote w:type="continuationSeparator" w:id="0">
    <w:p w:rsidR="00DE1C8F" w:rsidRDefault="00DE1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86" w:rsidRDefault="008E1E8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C8F" w:rsidRDefault="00DE1C8F">
      <w:r>
        <w:separator/>
      </w:r>
    </w:p>
  </w:footnote>
  <w:footnote w:type="continuationSeparator" w:id="0">
    <w:p w:rsidR="00DE1C8F" w:rsidRDefault="00DE1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2267B33"/>
    <w:multiLevelType w:val="hybridMultilevel"/>
    <w:tmpl w:val="013A7146"/>
    <w:lvl w:ilvl="0" w:tplc="9E9AF97E">
      <w:start w:val="1"/>
      <w:numFmt w:val="bullet"/>
      <w:lvlText w:val=""/>
      <w:lvlJc w:val="left"/>
      <w:pPr>
        <w:tabs>
          <w:tab w:val="num" w:pos="720"/>
        </w:tabs>
        <w:ind w:left="432" w:hanging="72"/>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B7521E"/>
    <w:multiLevelType w:val="hybridMultilevel"/>
    <w:tmpl w:val="24507440"/>
    <w:lvl w:ilvl="0" w:tplc="9E9AF97E">
      <w:start w:val="1"/>
      <w:numFmt w:val="bullet"/>
      <w:lvlText w:val=""/>
      <w:lvlJc w:val="left"/>
      <w:pPr>
        <w:tabs>
          <w:tab w:val="num" w:pos="1368"/>
        </w:tabs>
        <w:ind w:left="1080"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5B54C4C"/>
    <w:multiLevelType w:val="hybridMultilevel"/>
    <w:tmpl w:val="697052B0"/>
    <w:lvl w:ilvl="0" w:tplc="9E9AF97E">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6">
    <w:nsid w:val="2F551860"/>
    <w:multiLevelType w:val="hybridMultilevel"/>
    <w:tmpl w:val="013A7146"/>
    <w:lvl w:ilvl="0" w:tplc="45E275D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7C57AC"/>
    <w:multiLevelType w:val="hybridMultilevel"/>
    <w:tmpl w:val="74AA234A"/>
    <w:lvl w:ilvl="0" w:tplc="9E9AF97E">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0F04C97"/>
    <w:multiLevelType w:val="hybridMultilevel"/>
    <w:tmpl w:val="9938A56C"/>
    <w:lvl w:ilvl="0" w:tplc="AE9E907E">
      <w:start w:val="14"/>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67ABD"/>
    <w:multiLevelType w:val="hybridMultilevel"/>
    <w:tmpl w:val="077ED330"/>
    <w:lvl w:ilvl="0" w:tplc="6BFC0C02">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A8B4A2F"/>
    <w:multiLevelType w:val="hybridMultilevel"/>
    <w:tmpl w:val="507AC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5"/>
  </w:num>
  <w:num w:numId="3">
    <w:abstractNumId w:val="1"/>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11"/>
  </w:num>
  <w:num w:numId="11">
    <w:abstractNumId w:val="9"/>
  </w:num>
  <w:num w:numId="12">
    <w:abstractNumId w:val="7"/>
  </w:num>
  <w:num w:numId="13">
    <w:abstractNumId w:val="4"/>
  </w:num>
  <w:num w:numId="14">
    <w:abstractNumId w:val="6"/>
  </w:num>
  <w:num w:numId="15">
    <w:abstractNumId w:val="3"/>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71625"/>
    <w:rsid w:val="00017A1B"/>
    <w:rsid w:val="000766F5"/>
    <w:rsid w:val="000E21F5"/>
    <w:rsid w:val="0019091B"/>
    <w:rsid w:val="001D71D5"/>
    <w:rsid w:val="002046DD"/>
    <w:rsid w:val="002C49CC"/>
    <w:rsid w:val="002D4581"/>
    <w:rsid w:val="002E1443"/>
    <w:rsid w:val="002E49A7"/>
    <w:rsid w:val="00343050"/>
    <w:rsid w:val="00370770"/>
    <w:rsid w:val="0037719E"/>
    <w:rsid w:val="00380C03"/>
    <w:rsid w:val="003E79C5"/>
    <w:rsid w:val="0046016C"/>
    <w:rsid w:val="00461697"/>
    <w:rsid w:val="00485640"/>
    <w:rsid w:val="004A61D1"/>
    <w:rsid w:val="004C39AD"/>
    <w:rsid w:val="0051238C"/>
    <w:rsid w:val="00530DCE"/>
    <w:rsid w:val="00555293"/>
    <w:rsid w:val="00573373"/>
    <w:rsid w:val="0058400B"/>
    <w:rsid w:val="00592903"/>
    <w:rsid w:val="0059631C"/>
    <w:rsid w:val="005E098D"/>
    <w:rsid w:val="0061444A"/>
    <w:rsid w:val="00617163"/>
    <w:rsid w:val="00637F80"/>
    <w:rsid w:val="00654399"/>
    <w:rsid w:val="00696528"/>
    <w:rsid w:val="006B5B87"/>
    <w:rsid w:val="006C1B96"/>
    <w:rsid w:val="006D06F0"/>
    <w:rsid w:val="00733EA9"/>
    <w:rsid w:val="0075511A"/>
    <w:rsid w:val="007E1360"/>
    <w:rsid w:val="00823CD7"/>
    <w:rsid w:val="00842807"/>
    <w:rsid w:val="00843575"/>
    <w:rsid w:val="00843A96"/>
    <w:rsid w:val="00871625"/>
    <w:rsid w:val="008E1E86"/>
    <w:rsid w:val="00950B05"/>
    <w:rsid w:val="009B4FBE"/>
    <w:rsid w:val="00A4442B"/>
    <w:rsid w:val="00A44578"/>
    <w:rsid w:val="00A52FA8"/>
    <w:rsid w:val="00A741A6"/>
    <w:rsid w:val="00AA5EFF"/>
    <w:rsid w:val="00AC4F41"/>
    <w:rsid w:val="00B152BC"/>
    <w:rsid w:val="00B44F13"/>
    <w:rsid w:val="00B82F7F"/>
    <w:rsid w:val="00C03F10"/>
    <w:rsid w:val="00C0766C"/>
    <w:rsid w:val="00C10426"/>
    <w:rsid w:val="00C60190"/>
    <w:rsid w:val="00C71D93"/>
    <w:rsid w:val="00C90FE2"/>
    <w:rsid w:val="00C96F18"/>
    <w:rsid w:val="00CC3FED"/>
    <w:rsid w:val="00D25F04"/>
    <w:rsid w:val="00DE1C8F"/>
    <w:rsid w:val="00E40DB9"/>
    <w:rsid w:val="00E56E82"/>
    <w:rsid w:val="00E92B71"/>
    <w:rsid w:val="00EF3CDF"/>
    <w:rsid w:val="00F01EEE"/>
    <w:rsid w:val="00F371D7"/>
    <w:rsid w:val="00F5646D"/>
    <w:rsid w:val="00F72299"/>
    <w:rsid w:val="00F9656F"/>
    <w:rsid w:val="00FC3C6F"/>
    <w:rsid w:val="00FE7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CDF"/>
    <w:pPr>
      <w:overflowPunct w:val="0"/>
      <w:autoSpaceDE w:val="0"/>
      <w:autoSpaceDN w:val="0"/>
      <w:adjustRightInd w:val="0"/>
      <w:textAlignment w:val="baseline"/>
    </w:pPr>
  </w:style>
  <w:style w:type="paragraph" w:styleId="Heading1">
    <w:name w:val="heading 1"/>
    <w:basedOn w:val="Normal"/>
    <w:next w:val="Normal"/>
    <w:qFormat/>
    <w:rsid w:val="00EF3CDF"/>
    <w:pPr>
      <w:keepNext/>
      <w:jc w:val="center"/>
      <w:outlineLvl w:val="0"/>
    </w:pPr>
    <w:rPr>
      <w:rFonts w:ascii="Helvetica" w:hAnsi="Helvetica"/>
      <w:b/>
      <w:bCs/>
      <w:sz w:val="18"/>
    </w:rPr>
  </w:style>
  <w:style w:type="paragraph" w:styleId="Heading2">
    <w:name w:val="heading 2"/>
    <w:basedOn w:val="Normal"/>
    <w:next w:val="Normal"/>
    <w:qFormat/>
    <w:rsid w:val="00EF3CDF"/>
    <w:pPr>
      <w:keepNext/>
      <w:keepLines/>
      <w:spacing w:before="60" w:after="60"/>
      <w:ind w:left="120"/>
      <w:outlineLvl w:val="1"/>
    </w:pPr>
    <w:rPr>
      <w:rFonts w:ascii="Helvetica" w:hAnsi="Helvetica"/>
      <w:b/>
      <w:bCs/>
      <w:sz w:val="18"/>
    </w:rPr>
  </w:style>
  <w:style w:type="paragraph" w:styleId="Heading3">
    <w:name w:val="heading 3"/>
    <w:basedOn w:val="Normal"/>
    <w:next w:val="Normal"/>
    <w:qFormat/>
    <w:rsid w:val="00EF3CDF"/>
    <w:pPr>
      <w:keepNext/>
      <w:overflowPunct/>
      <w:autoSpaceDE/>
      <w:autoSpaceDN/>
      <w:adjustRightInd/>
      <w:textAlignment w:val="auto"/>
      <w:outlineLvl w:val="2"/>
    </w:pPr>
    <w:rPr>
      <w:b/>
      <w:bCs/>
    </w:rPr>
  </w:style>
  <w:style w:type="paragraph" w:styleId="Heading4">
    <w:name w:val="heading 4"/>
    <w:basedOn w:val="Normal"/>
    <w:next w:val="Normal"/>
    <w:qFormat/>
    <w:rsid w:val="00EF3CDF"/>
    <w:pPr>
      <w:keepNext/>
      <w:keepLines/>
      <w:spacing w:before="60" w:after="60"/>
      <w:jc w:val="center"/>
      <w:outlineLvl w:val="3"/>
    </w:pPr>
    <w:rPr>
      <w:rFonts w:ascii="Helvetica" w:hAnsi="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CDF"/>
    <w:pPr>
      <w:tabs>
        <w:tab w:val="center" w:pos="4320"/>
        <w:tab w:val="right" w:pos="8640"/>
      </w:tabs>
    </w:pPr>
  </w:style>
  <w:style w:type="paragraph" w:styleId="Footer">
    <w:name w:val="footer"/>
    <w:basedOn w:val="Normal"/>
    <w:rsid w:val="00EF3CDF"/>
    <w:pPr>
      <w:tabs>
        <w:tab w:val="center" w:pos="4320"/>
        <w:tab w:val="right" w:pos="8640"/>
      </w:tabs>
    </w:pPr>
  </w:style>
  <w:style w:type="paragraph" w:styleId="BodyText3">
    <w:name w:val="Body Text 3"/>
    <w:basedOn w:val="Normal"/>
    <w:rsid w:val="00EF3CDF"/>
    <w:pPr>
      <w:overflowPunct/>
      <w:autoSpaceDE/>
      <w:autoSpaceDN/>
      <w:adjustRightInd/>
      <w:textAlignment w:val="auto"/>
    </w:pPr>
    <w:rPr>
      <w:sz w:val="24"/>
    </w:rPr>
  </w:style>
  <w:style w:type="paragraph" w:styleId="BodyTextIndent">
    <w:name w:val="Body Text Indent"/>
    <w:basedOn w:val="Normal"/>
    <w:rsid w:val="00EF3CDF"/>
    <w:pPr>
      <w:keepLines/>
      <w:tabs>
        <w:tab w:val="left" w:pos="360"/>
        <w:tab w:val="left" w:pos="720"/>
      </w:tabs>
      <w:ind w:left="360" w:hanging="360"/>
    </w:pPr>
    <w:rPr>
      <w:color w:val="000000"/>
      <w:sz w:val="22"/>
    </w:rPr>
  </w:style>
  <w:style w:type="paragraph" w:styleId="BodyText">
    <w:name w:val="Body Text"/>
    <w:basedOn w:val="Normal"/>
    <w:rsid w:val="00EF3CDF"/>
    <w:pPr>
      <w:keepLines/>
      <w:tabs>
        <w:tab w:val="left" w:pos="360"/>
        <w:tab w:val="left" w:pos="720"/>
      </w:tabs>
    </w:pPr>
    <w:rPr>
      <w:color w:val="000000"/>
      <w:sz w:val="22"/>
    </w:rPr>
  </w:style>
  <w:style w:type="paragraph" w:styleId="BodyTextIndent2">
    <w:name w:val="Body Text Indent 2"/>
    <w:basedOn w:val="Normal"/>
    <w:rsid w:val="00EF3CDF"/>
    <w:pPr>
      <w:tabs>
        <w:tab w:val="left" w:pos="360"/>
      </w:tabs>
      <w:ind w:left="360"/>
    </w:pPr>
    <w:rPr>
      <w:rFonts w:ascii="Helvetica" w:hAnsi="Helvetica"/>
      <w:color w:val="000000"/>
      <w:sz w:val="22"/>
    </w:rPr>
  </w:style>
  <w:style w:type="paragraph" w:styleId="BlockText">
    <w:name w:val="Block Text"/>
    <w:basedOn w:val="Normal"/>
    <w:rsid w:val="00EF3CDF"/>
    <w:pPr>
      <w:tabs>
        <w:tab w:val="left" w:pos="240"/>
      </w:tabs>
      <w:spacing w:after="40"/>
      <w:ind w:left="120" w:right="-120"/>
    </w:pPr>
    <w:rPr>
      <w:rFonts w:ascii="Helvetica" w:hAnsi="Helvetica"/>
      <w:b/>
      <w:color w:val="00008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3938</Words>
  <Characters>21732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5</cp:revision>
  <cp:lastPrinted>2009-12-03T17:05:00Z</cp:lastPrinted>
  <dcterms:created xsi:type="dcterms:W3CDTF">2010-04-15T17:24:00Z</dcterms:created>
  <dcterms:modified xsi:type="dcterms:W3CDTF">2010-04-15T18:03:00Z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-1784108597</vt:i4>
  </property>
  <property fmtid="{D5CDD505-2E9C-101B-9397-08002B2CF9AE}" pid="3" name="_NewReviewCycle">
    <vt:lpwstr/>
  </property>
  <property fmtid="{D5CDD505-2E9C-101B-9397-08002B2CF9AE}" pid="4" name="_EmailSubject">
    <vt:lpwstr>DEPARTMENTAL CLEARANCE: PRA-2009-021 - Section 901 Notice of Intent and Fungibility Plan for Combining Public Housing Capital or Operating Funds....</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1518051264</vt:i4>
  </property>
  <property fmtid="{D5CDD505-2E9C-101B-9397-08002B2CF9AE}" pid="8" name="_ReviewingToolsShownOnce">
    <vt:lpwstr/>
  </property>
</Properties>
</file>