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5C7" w:rsidRPr="00C000B5" w:rsidRDefault="006505C7" w:rsidP="006505C7">
      <w:pPr>
        <w:tabs>
          <w:tab w:val="center" w:pos="4680"/>
        </w:tabs>
        <w:jc w:val="center"/>
      </w:pPr>
      <w:r w:rsidRPr="00C000B5">
        <w:rPr>
          <w:b/>
          <w:bCs/>
        </w:rPr>
        <w:t>SUPPORTING STATEMENT FOR REQUEST FOR OMB APPROVAL</w:t>
      </w:r>
    </w:p>
    <w:p w:rsidR="006505C7" w:rsidRPr="00C000B5" w:rsidRDefault="006505C7" w:rsidP="006E373C">
      <w:pPr>
        <w:tabs>
          <w:tab w:val="left" w:pos="360"/>
          <w:tab w:val="center" w:pos="4680"/>
        </w:tabs>
        <w:jc w:val="center"/>
      </w:pPr>
      <w:r w:rsidRPr="00C000B5">
        <w:rPr>
          <w:b/>
          <w:bCs/>
        </w:rPr>
        <w:t>UNDER THE PAPERWORK REDUCTION ACT AND 5 CFR PART 1320</w:t>
      </w:r>
    </w:p>
    <w:p w:rsidR="006505C7" w:rsidRDefault="006505C7" w:rsidP="006505C7">
      <w:pPr>
        <w:rPr>
          <w:noProof/>
        </w:rPr>
      </w:pPr>
    </w:p>
    <w:p w:rsidR="00E857E4" w:rsidRPr="00C000B5" w:rsidRDefault="00E857E4" w:rsidP="006505C7">
      <w:pPr>
        <w:rPr>
          <w:noProof/>
        </w:rPr>
      </w:pPr>
    </w:p>
    <w:p w:rsidR="006505C7" w:rsidRPr="00C000B5" w:rsidRDefault="006505C7" w:rsidP="006505C7">
      <w:pPr>
        <w:tabs>
          <w:tab w:val="left" w:pos="-1440"/>
        </w:tabs>
      </w:pPr>
      <w:r w:rsidRPr="00C000B5">
        <w:rPr>
          <w:b/>
          <w:bCs/>
        </w:rPr>
        <w:t>AGENCY:</w:t>
      </w:r>
      <w:r w:rsidRPr="00C000B5">
        <w:tab/>
        <w:t>Pension Benefit Guaranty Corporation</w:t>
      </w:r>
    </w:p>
    <w:p w:rsidR="006505C7" w:rsidRPr="00C000B5" w:rsidRDefault="006505C7" w:rsidP="006505C7"/>
    <w:p w:rsidR="006505C7" w:rsidRPr="00C000B5" w:rsidRDefault="006505C7" w:rsidP="006505C7">
      <w:pPr>
        <w:tabs>
          <w:tab w:val="left" w:pos="-1440"/>
        </w:tabs>
        <w:ind w:left="1440" w:hanging="1440"/>
      </w:pPr>
      <w:r w:rsidRPr="00C000B5">
        <w:rPr>
          <w:b/>
          <w:bCs/>
        </w:rPr>
        <w:t>TITLE:</w:t>
      </w:r>
      <w:r w:rsidRPr="00C000B5">
        <w:tab/>
      </w:r>
      <w:r w:rsidR="009D6C40" w:rsidRPr="009D6C40">
        <w:t xml:space="preserve">Substantial Cessation of Operations </w:t>
      </w:r>
      <w:r w:rsidRPr="00C000B5">
        <w:t xml:space="preserve">(29 CFR </w:t>
      </w:r>
      <w:r w:rsidR="00177B06">
        <w:t>p</w:t>
      </w:r>
      <w:r w:rsidRPr="00C000B5">
        <w:t>art 40</w:t>
      </w:r>
      <w:r w:rsidR="009D6C40">
        <w:t>62</w:t>
      </w:r>
      <w:r w:rsidR="00492519">
        <w:t xml:space="preserve"> </w:t>
      </w:r>
      <w:r w:rsidR="00177B06">
        <w:t>s</w:t>
      </w:r>
      <w:r w:rsidR="009D6C40">
        <w:t>ubpart</w:t>
      </w:r>
      <w:r w:rsidR="00492519">
        <w:t xml:space="preserve"> </w:t>
      </w:r>
      <w:r w:rsidR="009D6C40">
        <w:t>B) (Form</w:t>
      </w:r>
      <w:r w:rsidRPr="00C000B5">
        <w:t xml:space="preserve"> </w:t>
      </w:r>
      <w:r w:rsidR="009D6C40">
        <w:t>4062</w:t>
      </w:r>
      <w:r w:rsidR="009D6C40">
        <w:noBreakHyphen/>
        <w:t xml:space="preserve">E </w:t>
      </w:r>
      <w:r w:rsidRPr="00C000B5">
        <w:t>and instructions)</w:t>
      </w:r>
    </w:p>
    <w:p w:rsidR="006505C7" w:rsidRPr="00C000B5" w:rsidRDefault="006505C7" w:rsidP="006505C7"/>
    <w:p w:rsidR="006505C7" w:rsidRPr="00C000B5" w:rsidRDefault="006505C7" w:rsidP="006505C7">
      <w:pPr>
        <w:tabs>
          <w:tab w:val="left" w:pos="-1440"/>
        </w:tabs>
        <w:ind w:left="1440" w:hanging="1440"/>
      </w:pPr>
      <w:r w:rsidRPr="00C000B5">
        <w:rPr>
          <w:b/>
          <w:bCs/>
        </w:rPr>
        <w:t>STATUS:</w:t>
      </w:r>
      <w:r w:rsidRPr="00C000B5">
        <w:tab/>
        <w:t xml:space="preserve">Request for approval of </w:t>
      </w:r>
      <w:r w:rsidR="007910C0">
        <w:t xml:space="preserve">new </w:t>
      </w:r>
      <w:r w:rsidRPr="00C000B5">
        <w:t>collection of information</w:t>
      </w:r>
    </w:p>
    <w:p w:rsidR="006505C7" w:rsidRPr="00C000B5" w:rsidRDefault="006505C7" w:rsidP="006505C7"/>
    <w:p w:rsidR="006505C7" w:rsidRPr="00C000B5" w:rsidRDefault="006505C7" w:rsidP="006505C7">
      <w:pPr>
        <w:tabs>
          <w:tab w:val="left" w:pos="-1440"/>
        </w:tabs>
        <w:ind w:left="1440" w:hanging="1440"/>
      </w:pPr>
      <w:r w:rsidRPr="00C000B5">
        <w:rPr>
          <w:b/>
          <w:bCs/>
        </w:rPr>
        <w:t>CONTACT:</w:t>
      </w:r>
      <w:r w:rsidRPr="00C000B5">
        <w:tab/>
      </w:r>
      <w:r w:rsidR="007910C0">
        <w:t xml:space="preserve">Deborah C. Murphy </w:t>
      </w:r>
      <w:r w:rsidRPr="00C000B5">
        <w:t>(202-326-4</w:t>
      </w:r>
      <w:r w:rsidR="007910C0">
        <w:t>223</w:t>
      </w:r>
      <w:r w:rsidRPr="00C000B5">
        <w:t>, ext. 3</w:t>
      </w:r>
      <w:r w:rsidR="007910C0">
        <w:t>451</w:t>
      </w:r>
      <w:r w:rsidRPr="00C000B5">
        <w:t xml:space="preserve">) or Catherine </w:t>
      </w:r>
      <w:r w:rsidR="00A47700">
        <w:t xml:space="preserve">B. </w:t>
      </w:r>
      <w:r w:rsidRPr="00C000B5">
        <w:t>Klion (202</w:t>
      </w:r>
      <w:r w:rsidR="00A47700">
        <w:noBreakHyphen/>
      </w:r>
      <w:r w:rsidRPr="00C000B5">
        <w:t>326</w:t>
      </w:r>
      <w:r w:rsidR="00A47700">
        <w:noBreakHyphen/>
      </w:r>
      <w:r w:rsidRPr="00C000B5">
        <w:t>4</w:t>
      </w:r>
      <w:r w:rsidR="007910C0">
        <w:t>223</w:t>
      </w:r>
      <w:r w:rsidRPr="00C000B5">
        <w:t>, ext. 3041)</w:t>
      </w:r>
    </w:p>
    <w:p w:rsidR="006505C7" w:rsidRPr="00C000B5" w:rsidRDefault="006505C7" w:rsidP="006505C7"/>
    <w:p w:rsidR="006505C7" w:rsidRPr="00C000B5" w:rsidRDefault="006505C7" w:rsidP="006505C7"/>
    <w:p w:rsidR="006505C7" w:rsidRDefault="006505C7" w:rsidP="00E13B14">
      <w:pPr>
        <w:spacing w:line="360" w:lineRule="auto"/>
      </w:pPr>
      <w:bookmarkStart w:id="0" w:name="OLE_LINK1"/>
      <w:bookmarkStart w:id="1" w:name="OLE_LINK2"/>
      <w:r w:rsidRPr="00C000B5">
        <w:t>1.</w:t>
      </w:r>
      <w:r w:rsidR="00311441">
        <w:tab/>
      </w:r>
      <w:r w:rsidRPr="00C000B5">
        <w:rPr>
          <w:u w:val="single"/>
        </w:rPr>
        <w:t>Need for collection.</w:t>
      </w:r>
      <w:r w:rsidRPr="00C000B5">
        <w:t xml:space="preserve">  </w:t>
      </w:r>
      <w:r w:rsidR="00CA2D99">
        <w:t>S</w:t>
      </w:r>
      <w:r w:rsidR="00285D21" w:rsidRPr="0014553E">
        <w:t>ection</w:t>
      </w:r>
      <w:r w:rsidR="001548CD">
        <w:t>s</w:t>
      </w:r>
      <w:r w:rsidR="00285D21" w:rsidRPr="0014553E">
        <w:t xml:space="preserve"> 4062(e) </w:t>
      </w:r>
      <w:r w:rsidR="001548CD">
        <w:t xml:space="preserve">and 4063 </w:t>
      </w:r>
      <w:r w:rsidR="00CA2D99" w:rsidRPr="00C000B5">
        <w:t xml:space="preserve">of the Employee Retirement Income Security Act of 1974 (ERISA) </w:t>
      </w:r>
      <w:r w:rsidR="001548CD">
        <w:t>provide</w:t>
      </w:r>
      <w:r w:rsidR="00285D21" w:rsidRPr="0014553E">
        <w:t xml:space="preserve"> for reporting of and liability for certain substantial cessations of operations by employers that maintain single-employer plans.</w:t>
      </w:r>
      <w:r w:rsidR="00256B72">
        <w:t xml:space="preserve">  A “section 4062(e) event” occurs if an employer ceases operations at a facility in any location and, as a result of </w:t>
      </w:r>
      <w:r w:rsidR="008E71A5">
        <w:t xml:space="preserve">the </w:t>
      </w:r>
      <w:r w:rsidR="00256B72">
        <w:t xml:space="preserve">cessation, more than 20 percent of the </w:t>
      </w:r>
      <w:r w:rsidR="008E71A5">
        <w:t xml:space="preserve">active </w:t>
      </w:r>
      <w:r w:rsidR="00256B72">
        <w:t xml:space="preserve">participants under a plan </w:t>
      </w:r>
      <w:r w:rsidR="008E71A5">
        <w:t xml:space="preserve">of the employer </w:t>
      </w:r>
      <w:r w:rsidR="00256B72">
        <w:t>are separated from employment</w:t>
      </w:r>
      <w:r w:rsidR="008E71A5">
        <w:t xml:space="preserve">.  </w:t>
      </w:r>
      <w:r w:rsidR="00D624A4">
        <w:t>When a section 4062(e) event occurs, liability arises to provide a bond or escrow in a specified amount for five years, to be applied — if the plan terminates within that period — against the plan’s underfunding.</w:t>
      </w:r>
      <w:r w:rsidR="003C17F4">
        <w:t xml:space="preserve">  </w:t>
      </w:r>
      <w:r w:rsidR="000E2FBF">
        <w:t xml:space="preserve">The amount of liability is determined by </w:t>
      </w:r>
      <w:r w:rsidR="000E2FBF" w:rsidRPr="00C000B5">
        <w:t>Pension Benefit Guaranty Corporation (PBGC)</w:t>
      </w:r>
      <w:r w:rsidR="000E2FBF">
        <w:t>, which</w:t>
      </w:r>
      <w:r w:rsidR="00562028">
        <w:t xml:space="preserve"> also has authority u</w:t>
      </w:r>
      <w:r w:rsidR="00AD6F29">
        <w:t xml:space="preserve">nder ERISA section 4067 </w:t>
      </w:r>
      <w:r w:rsidR="008C3638">
        <w:t xml:space="preserve">to make alternative arrangements for satisfaction of </w:t>
      </w:r>
      <w:r w:rsidR="00995CFD">
        <w:t xml:space="preserve">this </w:t>
      </w:r>
      <w:r w:rsidR="008C3638">
        <w:t>liability</w:t>
      </w:r>
      <w:r w:rsidR="00995CFD">
        <w:t xml:space="preserve">.  </w:t>
      </w:r>
      <w:r w:rsidR="002212A6">
        <w:t>Notice of a section 4062(e) event must be given to</w:t>
      </w:r>
      <w:r w:rsidR="00351053">
        <w:t xml:space="preserve"> </w:t>
      </w:r>
      <w:r w:rsidRPr="00C000B5">
        <w:t>PBGC</w:t>
      </w:r>
      <w:r w:rsidR="00351053">
        <w:t xml:space="preserve"> so that </w:t>
      </w:r>
      <w:r w:rsidRPr="00C000B5">
        <w:t xml:space="preserve">PBGC </w:t>
      </w:r>
      <w:r w:rsidR="00351053">
        <w:t>can determine the liability arising from the event</w:t>
      </w:r>
      <w:r w:rsidRPr="00C000B5">
        <w:t>.</w:t>
      </w:r>
    </w:p>
    <w:p w:rsidR="004749F7" w:rsidRDefault="00311441" w:rsidP="00E13B14">
      <w:pPr>
        <w:spacing w:line="360" w:lineRule="auto"/>
      </w:pPr>
      <w:r>
        <w:tab/>
      </w:r>
      <w:r w:rsidR="009D03BD">
        <w:t xml:space="preserve">PBGC is proposing to amend its regulation on </w:t>
      </w:r>
      <w:r w:rsidR="009D03BD" w:rsidRPr="009D03BD">
        <w:t>Liability for Termination of Single-Employer Plans</w:t>
      </w:r>
      <w:r w:rsidR="009D03BD">
        <w:t xml:space="preserve"> (29 CFR part 4062) </w:t>
      </w:r>
      <w:r w:rsidR="004B61B4">
        <w:t xml:space="preserve">to add a new subpart B providing guidance on the applicability and enforcement of ERISA section 4062(e).  </w:t>
      </w:r>
      <w:r w:rsidR="001472CB">
        <w:t>Proposed subpart B provides rules for filing section 4062(e) event notices</w:t>
      </w:r>
      <w:r w:rsidR="00AE04E0">
        <w:t>.  The rules refer to filing instructions to be promulgated by PBGC.</w:t>
      </w:r>
      <w:r w:rsidR="00DC0D0F">
        <w:t xml:space="preserve">  </w:t>
      </w:r>
      <w:r w:rsidR="00A9178F" w:rsidRPr="00A9178F">
        <w:t xml:space="preserve">PBGC is requesting approval by the Office of Management and Budget (OMB) of its proposed section 4062(e) filing form </w:t>
      </w:r>
      <w:r w:rsidR="008F7FF2">
        <w:t xml:space="preserve">(Form 4062-E) </w:t>
      </w:r>
      <w:r w:rsidR="00A9178F" w:rsidRPr="00A9178F">
        <w:t>and instructions</w:t>
      </w:r>
      <w:r w:rsidR="00AC1C23">
        <w:t>.</w:t>
      </w:r>
    </w:p>
    <w:bookmarkEnd w:id="0"/>
    <w:bookmarkEnd w:id="1"/>
    <w:p w:rsidR="006505C7" w:rsidRPr="00C000B5" w:rsidRDefault="006505C7" w:rsidP="00E13B14">
      <w:pPr>
        <w:spacing w:line="360" w:lineRule="auto"/>
      </w:pPr>
      <w:r w:rsidRPr="00C000B5">
        <w:t>2.</w:t>
      </w:r>
      <w:r w:rsidR="00606DD5">
        <w:tab/>
      </w:r>
      <w:r w:rsidRPr="00C000B5">
        <w:rPr>
          <w:u w:val="single"/>
        </w:rPr>
        <w:t>Use of information.</w:t>
      </w:r>
      <w:r w:rsidRPr="00C000B5">
        <w:t xml:space="preserve">  PBGC </w:t>
      </w:r>
      <w:r w:rsidR="00F02FBC">
        <w:t>will use</w:t>
      </w:r>
      <w:r w:rsidRPr="00C000B5">
        <w:t xml:space="preserve"> </w:t>
      </w:r>
      <w:r w:rsidR="00BA158F">
        <w:t>the requested information to calculate the liability arising from a section 4062(e) event and decide how that liability should be satisfied.</w:t>
      </w:r>
    </w:p>
    <w:p w:rsidR="006505C7" w:rsidRPr="00C000B5" w:rsidRDefault="006505C7" w:rsidP="00E13B14">
      <w:pPr>
        <w:spacing w:line="360" w:lineRule="auto"/>
      </w:pPr>
      <w:r w:rsidRPr="00C000B5">
        <w:lastRenderedPageBreak/>
        <w:t>3.</w:t>
      </w:r>
      <w:r w:rsidR="00DA161C">
        <w:tab/>
      </w:r>
      <w:r w:rsidRPr="00C000B5">
        <w:rPr>
          <w:u w:val="single"/>
        </w:rPr>
        <w:t>Information technology.</w:t>
      </w:r>
      <w:r w:rsidRPr="00C000B5">
        <w:t xml:space="preserve">  </w:t>
      </w:r>
      <w:r w:rsidR="00DA161C">
        <w:t xml:space="preserve">The proposed </w:t>
      </w:r>
      <w:r w:rsidRPr="00C000B5">
        <w:t xml:space="preserve">filing instructions </w:t>
      </w:r>
      <w:r w:rsidR="00DA161C">
        <w:t>permit filing by e-mail and fax</w:t>
      </w:r>
      <w:r w:rsidR="00616D11">
        <w:t xml:space="preserve"> and </w:t>
      </w:r>
      <w:r w:rsidRPr="00C000B5">
        <w:t>describe requirements for e-filing large files.</w:t>
      </w:r>
      <w:r w:rsidR="00616D11">
        <w:t xml:space="preserve">  PBGC proposes to make the reporting form available in “</w:t>
      </w:r>
      <w:proofErr w:type="spellStart"/>
      <w:r w:rsidR="00616D11">
        <w:t>fillable</w:t>
      </w:r>
      <w:proofErr w:type="spellEnd"/>
      <w:r w:rsidR="00616D11">
        <w:t xml:space="preserve">” </w:t>
      </w:r>
      <w:r w:rsidR="00300898">
        <w:t>PDF format to permit filers to fill the form out on the computer screen.  A filer with Adobe Acrobat Pro would also be able to save the completed form as a computer file</w:t>
      </w:r>
      <w:r w:rsidR="00584201">
        <w:t xml:space="preserve"> for direct electronic submission to PBGC.  To facilitate this process, no signature would be required.</w:t>
      </w:r>
    </w:p>
    <w:p w:rsidR="006505C7" w:rsidRPr="00C000B5" w:rsidRDefault="006505C7" w:rsidP="00E13B14">
      <w:pPr>
        <w:spacing w:line="360" w:lineRule="auto"/>
      </w:pPr>
      <w:r w:rsidRPr="00C000B5">
        <w:t>4.</w:t>
      </w:r>
      <w:r w:rsidR="00EE0EFA">
        <w:tab/>
      </w:r>
      <w:r w:rsidRPr="00C000B5">
        <w:rPr>
          <w:u w:val="single"/>
        </w:rPr>
        <w:t>Duplicate or similar information.</w:t>
      </w:r>
      <w:r w:rsidRPr="00C000B5">
        <w:t xml:space="preserve">  Some of the required information may already be in the possession of other Federal agencies.  However, there is no timely and reliable way to locate the required documents, particularly since the person reporting may have submitted to Federal agencies some, but fewer than all, of the required documents.  In most cases, it would take a respondent more time to help PBGC track down and verify documents in other agencies' files than simply to submit the information to PBGC.</w:t>
      </w:r>
      <w:r w:rsidR="005E5666">
        <w:t xml:space="preserve">  In general, information that has been formatted for other purposes (such as </w:t>
      </w:r>
      <w:r w:rsidR="00164197">
        <w:t xml:space="preserve">for </w:t>
      </w:r>
      <w:r w:rsidR="005E5666">
        <w:t>submission to another agency) need not be reformatted for submission</w:t>
      </w:r>
      <w:r w:rsidR="00E25355">
        <w:t xml:space="preserve"> to PBGC; copies of documents prepared for other purposes may be used.</w:t>
      </w:r>
      <w:r w:rsidR="003B53BB">
        <w:t xml:space="preserve">  The instructions for Form 4062-E</w:t>
      </w:r>
      <w:r w:rsidR="001C511C">
        <w:t xml:space="preserve"> </w:t>
      </w:r>
      <w:r w:rsidR="001E5F14">
        <w:t xml:space="preserve">permit a filer that has previously submitted required </w:t>
      </w:r>
      <w:r w:rsidR="003D0854">
        <w:t>information to PBGC to identify the information and the date previously submitted rather than resubmitting it.</w:t>
      </w:r>
    </w:p>
    <w:p w:rsidR="006505C7" w:rsidRPr="00C000B5" w:rsidRDefault="001F0741" w:rsidP="00E13B14">
      <w:pPr>
        <w:spacing w:line="360" w:lineRule="auto"/>
      </w:pPr>
      <w:r>
        <w:tab/>
      </w:r>
      <w:r w:rsidR="006505C7" w:rsidRPr="00C000B5">
        <w:t>PBGC believes that there is no information similar to that required under the regulation that could be used instead of the required information for the purposes served by the regulation.</w:t>
      </w:r>
    </w:p>
    <w:p w:rsidR="001C54F3" w:rsidRDefault="006505C7" w:rsidP="00E13B14">
      <w:pPr>
        <w:spacing w:line="360" w:lineRule="auto"/>
      </w:pPr>
      <w:r w:rsidRPr="00C000B5">
        <w:t>5.</w:t>
      </w:r>
      <w:r w:rsidR="0065351F">
        <w:tab/>
      </w:r>
      <w:r w:rsidRPr="00C000B5">
        <w:rPr>
          <w:u w:val="single"/>
        </w:rPr>
        <w:t>Reducing the burden on small entities.</w:t>
      </w:r>
      <w:r w:rsidRPr="00C000B5">
        <w:t xml:space="preserve">  This information collection does not have a significant economic impact on a substantial number of small entities.</w:t>
      </w:r>
    </w:p>
    <w:p w:rsidR="006505C7" w:rsidRPr="00C000B5" w:rsidRDefault="006505C7" w:rsidP="00E13B14">
      <w:pPr>
        <w:spacing w:line="360" w:lineRule="auto"/>
      </w:pPr>
      <w:r w:rsidRPr="00C000B5">
        <w:t>6.</w:t>
      </w:r>
      <w:r w:rsidR="0065351F">
        <w:tab/>
      </w:r>
      <w:r w:rsidRPr="00C000B5">
        <w:rPr>
          <w:u w:val="single"/>
        </w:rPr>
        <w:t>Consequences of no or less frequent collection.</w:t>
      </w:r>
      <w:r w:rsidRPr="00C000B5">
        <w:t xml:space="preserve">  </w:t>
      </w:r>
      <w:r w:rsidR="003030E1" w:rsidRPr="00F129DB">
        <w:t xml:space="preserve">ERISA </w:t>
      </w:r>
      <w:r w:rsidR="003030E1">
        <w:t>requires</w:t>
      </w:r>
      <w:r w:rsidR="003030E1" w:rsidRPr="00F129DB">
        <w:t xml:space="preserve"> that PBGC be notified of each </w:t>
      </w:r>
      <w:r w:rsidR="0065351F">
        <w:t xml:space="preserve">section 4062(e) </w:t>
      </w:r>
      <w:r w:rsidRPr="00C000B5">
        <w:t xml:space="preserve">event.  </w:t>
      </w:r>
      <w:r w:rsidR="00896324" w:rsidRPr="00F129DB">
        <w:t xml:space="preserve">If PBGC were notified less frequently, or not at all, </w:t>
      </w:r>
      <w:r w:rsidR="00896324">
        <w:t xml:space="preserve">its </w:t>
      </w:r>
      <w:r w:rsidRPr="00C000B5">
        <w:t>ability to fulfill its statutory responsibilities</w:t>
      </w:r>
      <w:r w:rsidR="00896324">
        <w:t xml:space="preserve"> would be impaired</w:t>
      </w:r>
      <w:r w:rsidRPr="00C000B5">
        <w:t>.</w:t>
      </w:r>
    </w:p>
    <w:p w:rsidR="006505C7" w:rsidRPr="00C000B5" w:rsidRDefault="006505C7" w:rsidP="00E13B14">
      <w:pPr>
        <w:spacing w:line="360" w:lineRule="auto"/>
      </w:pPr>
      <w:r w:rsidRPr="00C000B5">
        <w:t>7.</w:t>
      </w:r>
      <w:r w:rsidR="0065351F">
        <w:tab/>
      </w:r>
      <w:r w:rsidRPr="00C000B5">
        <w:rPr>
          <w:u w:val="single"/>
        </w:rPr>
        <w:t>Special circumstances.</w:t>
      </w:r>
      <w:r w:rsidRPr="00C000B5">
        <w:t xml:space="preserve">  Reporting is required whenever a </w:t>
      </w:r>
      <w:r w:rsidR="00B33823">
        <w:t xml:space="preserve">section 4062(e) </w:t>
      </w:r>
      <w:r w:rsidRPr="00C000B5">
        <w:t xml:space="preserve">event occurs.  More than one </w:t>
      </w:r>
      <w:r w:rsidR="00B33823">
        <w:t xml:space="preserve">such </w:t>
      </w:r>
      <w:r w:rsidRPr="00C000B5">
        <w:t xml:space="preserve">event </w:t>
      </w:r>
      <w:r w:rsidR="00B33823">
        <w:t xml:space="preserve">might </w:t>
      </w:r>
      <w:r w:rsidRPr="00C000B5">
        <w:t>occur within a quarter, thereby requiring reporting more frequently than quarterly.</w:t>
      </w:r>
    </w:p>
    <w:p w:rsidR="006505C7" w:rsidRDefault="00572BB8" w:rsidP="00E13B14">
      <w:pPr>
        <w:spacing w:line="360" w:lineRule="auto"/>
        <w:rPr>
          <w:rFonts w:eastAsia="SimSun"/>
        </w:rPr>
      </w:pPr>
      <w:r>
        <w:tab/>
      </w:r>
      <w:r w:rsidR="006505C7" w:rsidRPr="00C000B5">
        <w:t xml:space="preserve">In some cases, PBGC may require submission of additional information.  In general, the </w:t>
      </w:r>
      <w:r w:rsidR="00827D46">
        <w:t xml:space="preserve">proposed rule would require a response </w:t>
      </w:r>
      <w:r w:rsidR="006505C7" w:rsidRPr="00C000B5">
        <w:t xml:space="preserve">within </w:t>
      </w:r>
      <w:r>
        <w:t>45</w:t>
      </w:r>
      <w:r w:rsidR="006505C7" w:rsidRPr="00C000B5">
        <w:t xml:space="preserve"> days after PBGC makes a written request.  However, PBGC may shorten the </w:t>
      </w:r>
      <w:r w:rsidR="003E5531">
        <w:t>45</w:t>
      </w:r>
      <w:r w:rsidR="006505C7" w:rsidRPr="00C000B5">
        <w:t xml:space="preserve">-day time period </w:t>
      </w:r>
      <w:r w:rsidR="00DC2BD6" w:rsidRPr="00631978">
        <w:rPr>
          <w:rFonts w:eastAsia="SimSun"/>
        </w:rPr>
        <w:t xml:space="preserve">where it </w:t>
      </w:r>
      <w:r w:rsidR="00DC2BD6">
        <w:rPr>
          <w:rFonts w:eastAsia="SimSun"/>
        </w:rPr>
        <w:t xml:space="preserve">finds </w:t>
      </w:r>
      <w:r w:rsidR="00DC2BD6" w:rsidRPr="00631978">
        <w:rPr>
          <w:rFonts w:eastAsia="SimSun"/>
        </w:rPr>
        <w:t>that the interests of PBGC</w:t>
      </w:r>
      <w:r w:rsidR="00DC2BD6">
        <w:rPr>
          <w:rFonts w:eastAsia="SimSun"/>
        </w:rPr>
        <w:t>, participants,</w:t>
      </w:r>
      <w:r w:rsidR="00DC2BD6" w:rsidRPr="00631978">
        <w:rPr>
          <w:rFonts w:eastAsia="SimSun"/>
        </w:rPr>
        <w:t xml:space="preserve"> </w:t>
      </w:r>
      <w:r w:rsidR="00DC2BD6">
        <w:rPr>
          <w:rFonts w:eastAsia="SimSun"/>
        </w:rPr>
        <w:t xml:space="preserve">or the pension insurance system </w:t>
      </w:r>
      <w:r w:rsidR="00DC2BD6" w:rsidRPr="00631978">
        <w:rPr>
          <w:rFonts w:eastAsia="SimSun"/>
        </w:rPr>
        <w:t xml:space="preserve">may be prejudiced by a delay in the receipt of the </w:t>
      </w:r>
      <w:r w:rsidR="00DC2BD6" w:rsidRPr="00631978">
        <w:rPr>
          <w:rFonts w:eastAsia="SimSun"/>
        </w:rPr>
        <w:lastRenderedPageBreak/>
        <w:t>information (</w:t>
      </w:r>
      <w:r w:rsidR="00DC2BD6">
        <w:rPr>
          <w:rFonts w:eastAsia="SimSun"/>
        </w:rPr>
        <w:t>for example</w:t>
      </w:r>
      <w:r w:rsidR="00DC2BD6" w:rsidRPr="00631978">
        <w:rPr>
          <w:rFonts w:eastAsia="SimSun"/>
        </w:rPr>
        <w:t xml:space="preserve">, where </w:t>
      </w:r>
      <w:r w:rsidR="00DC2BD6">
        <w:rPr>
          <w:rFonts w:eastAsia="SimSun"/>
        </w:rPr>
        <w:t xml:space="preserve">timely enforcement of section 4062(e) of ERISA may </w:t>
      </w:r>
      <w:r w:rsidR="00DC2BD6" w:rsidRPr="00631978">
        <w:rPr>
          <w:rFonts w:eastAsia="SimSun"/>
        </w:rPr>
        <w:t>be jeopardized).</w:t>
      </w:r>
    </w:p>
    <w:p w:rsidR="00290C09" w:rsidRDefault="00290C09" w:rsidP="00E13B14">
      <w:pPr>
        <w:spacing w:line="360" w:lineRule="auto"/>
        <w:rPr>
          <w:rFonts w:eastAsia="SimSun"/>
        </w:rPr>
      </w:pPr>
      <w:r>
        <w:rPr>
          <w:rFonts w:eastAsia="SimSun"/>
        </w:rPr>
        <w:tab/>
      </w:r>
      <w:r w:rsidR="008E0854">
        <w:rPr>
          <w:rFonts w:eastAsia="SimSun"/>
        </w:rPr>
        <w:t>E</w:t>
      </w:r>
      <w:r w:rsidR="00364F2F">
        <w:rPr>
          <w:rFonts w:eastAsia="SimSun"/>
        </w:rPr>
        <w:t xml:space="preserve">mployers and plan sponsors </w:t>
      </w:r>
      <w:r w:rsidR="008E0854">
        <w:rPr>
          <w:rFonts w:eastAsia="SimSun"/>
        </w:rPr>
        <w:t xml:space="preserve">would be required </w:t>
      </w:r>
      <w:r w:rsidR="001A08D8">
        <w:rPr>
          <w:rFonts w:eastAsia="SimSun"/>
        </w:rPr>
        <w:t xml:space="preserve">under the proposed rule </w:t>
      </w:r>
      <w:r w:rsidR="00364F2F">
        <w:rPr>
          <w:rFonts w:eastAsia="SimSun"/>
        </w:rPr>
        <w:t xml:space="preserve">to retain relevant records for five years.  This record retention period corresponds with the </w:t>
      </w:r>
      <w:r w:rsidR="00152AD3">
        <w:rPr>
          <w:rFonts w:eastAsia="SimSun"/>
        </w:rPr>
        <w:t xml:space="preserve">five-year period </w:t>
      </w:r>
      <w:r w:rsidR="00FA039F">
        <w:rPr>
          <w:rFonts w:eastAsia="SimSun"/>
        </w:rPr>
        <w:t xml:space="preserve">during </w:t>
      </w:r>
      <w:r w:rsidR="00152AD3">
        <w:rPr>
          <w:rFonts w:eastAsia="SimSun"/>
        </w:rPr>
        <w:t>which</w:t>
      </w:r>
      <w:r w:rsidR="00A476BD">
        <w:rPr>
          <w:rFonts w:eastAsia="SimSun"/>
        </w:rPr>
        <w:t>,</w:t>
      </w:r>
      <w:r w:rsidR="00152AD3">
        <w:rPr>
          <w:rFonts w:eastAsia="SimSun"/>
        </w:rPr>
        <w:t xml:space="preserve"> </w:t>
      </w:r>
      <w:r w:rsidR="00A476BD">
        <w:rPr>
          <w:rFonts w:eastAsia="SimSun"/>
        </w:rPr>
        <w:t xml:space="preserve">under ERISA section 4063, </w:t>
      </w:r>
      <w:r w:rsidR="00152AD3">
        <w:rPr>
          <w:rFonts w:eastAsia="SimSun"/>
        </w:rPr>
        <w:t xml:space="preserve">liability for a section 4062(e) event </w:t>
      </w:r>
      <w:r w:rsidR="00A476BD">
        <w:rPr>
          <w:rFonts w:eastAsia="SimSun"/>
        </w:rPr>
        <w:t>is to be held.</w:t>
      </w:r>
      <w:r w:rsidR="009F51B8">
        <w:rPr>
          <w:rFonts w:eastAsia="SimSun"/>
        </w:rPr>
        <w:t xml:space="preserve"> </w:t>
      </w:r>
      <w:r w:rsidR="00A476BD">
        <w:rPr>
          <w:rFonts w:eastAsia="SimSun"/>
        </w:rPr>
        <w:t xml:space="preserve"> Five years </w:t>
      </w:r>
      <w:r w:rsidR="009F51B8">
        <w:rPr>
          <w:rFonts w:eastAsia="SimSun"/>
        </w:rPr>
        <w:t xml:space="preserve">is </w:t>
      </w:r>
      <w:r w:rsidR="00A476BD">
        <w:rPr>
          <w:rFonts w:eastAsia="SimSun"/>
        </w:rPr>
        <w:t xml:space="preserve">thus </w:t>
      </w:r>
      <w:r w:rsidR="009F51B8">
        <w:rPr>
          <w:rFonts w:eastAsia="SimSun"/>
        </w:rPr>
        <w:t>PBGC’s enforcement window for section 4062(e).</w:t>
      </w:r>
    </w:p>
    <w:p w:rsidR="006505C7" w:rsidRPr="00C000B5" w:rsidRDefault="0069128F" w:rsidP="00E13B14">
      <w:pPr>
        <w:spacing w:line="360" w:lineRule="auto"/>
      </w:pPr>
      <w:r>
        <w:tab/>
      </w:r>
      <w:r w:rsidR="006505C7" w:rsidRPr="00C000B5">
        <w:t xml:space="preserve">In other respects, this collection of information </w:t>
      </w:r>
      <w:r w:rsidR="00C7557F">
        <w:t xml:space="preserve">conforms to the requirements of </w:t>
      </w:r>
      <w:r w:rsidR="000852D6">
        <w:t>5 </w:t>
      </w:r>
      <w:r w:rsidR="006505C7" w:rsidRPr="00C000B5">
        <w:t>CFR § 1320.5(d</w:t>
      </w:r>
      <w:proofErr w:type="gramStart"/>
      <w:r w:rsidR="006505C7" w:rsidRPr="00C000B5">
        <w:t>)(</w:t>
      </w:r>
      <w:proofErr w:type="gramEnd"/>
      <w:r w:rsidR="006505C7" w:rsidRPr="00C000B5">
        <w:t>2).</w:t>
      </w:r>
    </w:p>
    <w:p w:rsidR="006505C7" w:rsidRPr="00C000B5" w:rsidRDefault="006505C7" w:rsidP="00E13B14">
      <w:pPr>
        <w:spacing w:line="360" w:lineRule="auto"/>
      </w:pPr>
      <w:r w:rsidRPr="00C000B5">
        <w:t>8.</w:t>
      </w:r>
      <w:r w:rsidR="00B608C6">
        <w:tab/>
      </w:r>
      <w:r w:rsidRPr="00C000B5">
        <w:rPr>
          <w:u w:val="single"/>
        </w:rPr>
        <w:t>Outside input.</w:t>
      </w:r>
      <w:r w:rsidRPr="00C000B5">
        <w:t xml:space="preserve">  On </w:t>
      </w:r>
      <w:r w:rsidR="00ED46AE">
        <w:t>August 10,</w:t>
      </w:r>
      <w:r w:rsidRPr="00BE2F13">
        <w:t xml:space="preserve"> 20</w:t>
      </w:r>
      <w:r w:rsidR="00B608C6">
        <w:t>1</w:t>
      </w:r>
      <w:r w:rsidRPr="00BE2F13">
        <w:t>0 (</w:t>
      </w:r>
      <w:r w:rsidR="00BE2F13" w:rsidRPr="00BE2F13">
        <w:t xml:space="preserve">at </w:t>
      </w:r>
      <w:r w:rsidR="00ED46AE">
        <w:t>75</w:t>
      </w:r>
      <w:r w:rsidRPr="00BE2F13">
        <w:t xml:space="preserve"> FR </w:t>
      </w:r>
      <w:r w:rsidR="00ED46AE" w:rsidRPr="00ED46AE">
        <w:t>48283</w:t>
      </w:r>
      <w:r w:rsidRPr="00BE2F13">
        <w:t>)</w:t>
      </w:r>
      <w:r w:rsidRPr="00C000B5">
        <w:t xml:space="preserve">, PBGC published </w:t>
      </w:r>
      <w:r w:rsidR="008347B4">
        <w:t xml:space="preserve">its </w:t>
      </w:r>
      <w:r w:rsidRPr="00C000B5">
        <w:t xml:space="preserve">proposed rule </w:t>
      </w:r>
      <w:r w:rsidR="004C5399">
        <w:t xml:space="preserve">on the applicability and enforcement of ERISA section 4062(e), which </w:t>
      </w:r>
      <w:r w:rsidRPr="00C000B5">
        <w:t>solicited public comment on this collection of information pursuant to 5 CFR § 1320.11(a).</w:t>
      </w:r>
    </w:p>
    <w:p w:rsidR="006505C7" w:rsidRPr="00C000B5" w:rsidRDefault="006505C7" w:rsidP="00E13B14">
      <w:pPr>
        <w:spacing w:line="360" w:lineRule="auto"/>
      </w:pPr>
      <w:r w:rsidRPr="00C000B5">
        <w:t>9.</w:t>
      </w:r>
      <w:r w:rsidR="006B6A35">
        <w:tab/>
      </w:r>
      <w:r w:rsidRPr="00C000B5">
        <w:rPr>
          <w:u w:val="single"/>
        </w:rPr>
        <w:t>Payments to respondents.</w:t>
      </w:r>
      <w:r w:rsidRPr="00C000B5">
        <w:t xml:space="preserve">  PBGC provides no payments or gifts to respondents in connection with this collection of information.</w:t>
      </w:r>
    </w:p>
    <w:p w:rsidR="006B6A35" w:rsidRDefault="006505C7" w:rsidP="00E13B14">
      <w:pPr>
        <w:spacing w:line="360" w:lineRule="auto"/>
      </w:pPr>
      <w:r w:rsidRPr="00C000B5">
        <w:t>10.</w:t>
      </w:r>
      <w:r w:rsidR="006B6A35">
        <w:tab/>
      </w:r>
      <w:r w:rsidRPr="00C000B5">
        <w:rPr>
          <w:u w:val="single"/>
        </w:rPr>
        <w:t>Confidentiality.</w:t>
      </w:r>
      <w:r w:rsidRPr="00C000B5">
        <w:t xml:space="preserve">  </w:t>
      </w:r>
      <w:proofErr w:type="gramStart"/>
      <w:r w:rsidR="00EB5BCF">
        <w:t xml:space="preserve">PBGC’s section 4062(e) event notice instructions </w:t>
      </w:r>
      <w:r w:rsidR="008D13F1">
        <w:t xml:space="preserve">state that confidentiality </w:t>
      </w:r>
      <w:r w:rsidR="008D13F1">
        <w:rPr>
          <w:szCs w:val="24"/>
        </w:rPr>
        <w:t xml:space="preserve">is that provided by the Privacy Act and the Freedom of Information Act and by </w:t>
      </w:r>
      <w:r w:rsidR="008D13F1" w:rsidRPr="00F538DA">
        <w:rPr>
          <w:szCs w:val="24"/>
        </w:rPr>
        <w:t>18 U.S.C. 1905</w:t>
      </w:r>
      <w:r w:rsidR="008D13F1">
        <w:rPr>
          <w:szCs w:val="24"/>
        </w:rPr>
        <w:t>.</w:t>
      </w:r>
      <w:proofErr w:type="gramEnd"/>
    </w:p>
    <w:p w:rsidR="006505C7" w:rsidRPr="00C000B5" w:rsidRDefault="006505C7" w:rsidP="00E13B14">
      <w:pPr>
        <w:spacing w:line="360" w:lineRule="auto"/>
      </w:pPr>
      <w:r w:rsidRPr="00C000B5">
        <w:t>11.</w:t>
      </w:r>
      <w:r w:rsidR="001D3DD3">
        <w:tab/>
      </w:r>
      <w:r w:rsidRPr="00C000B5">
        <w:rPr>
          <w:u w:val="single"/>
        </w:rPr>
        <w:t>Personal questions.</w:t>
      </w:r>
      <w:r w:rsidRPr="00C000B5">
        <w:t xml:space="preserve">  This collection of information does not call for submission of information of a sensitive or private nature.</w:t>
      </w:r>
    </w:p>
    <w:p w:rsidR="00963115" w:rsidRDefault="006505C7" w:rsidP="00E13B14">
      <w:pPr>
        <w:spacing w:line="360" w:lineRule="auto"/>
      </w:pPr>
      <w:r w:rsidRPr="00C000B5">
        <w:t>12.</w:t>
      </w:r>
      <w:r w:rsidR="001D3DD3">
        <w:tab/>
      </w:r>
      <w:r w:rsidRPr="001C7415">
        <w:rPr>
          <w:u w:val="single"/>
        </w:rPr>
        <w:t>Hour burden on the public.</w:t>
      </w:r>
      <w:r w:rsidRPr="00C000B5">
        <w:t xml:space="preserve">  PBGC </w:t>
      </w:r>
      <w:r w:rsidR="00695666">
        <w:t xml:space="preserve">estimates </w:t>
      </w:r>
      <w:r w:rsidRPr="00C000B5">
        <w:t xml:space="preserve">that </w:t>
      </w:r>
      <w:r w:rsidR="00615CA8">
        <w:t xml:space="preserve">it </w:t>
      </w:r>
      <w:r w:rsidRPr="00C000B5">
        <w:t xml:space="preserve">will </w:t>
      </w:r>
      <w:r w:rsidR="00615CA8">
        <w:t xml:space="preserve">receive </w:t>
      </w:r>
      <w:r w:rsidRPr="00C000B5">
        <w:t xml:space="preserve">approximately </w:t>
      </w:r>
      <w:r w:rsidR="00695666">
        <w:t>2</w:t>
      </w:r>
      <w:r w:rsidR="001D3DD3">
        <w:t>0</w:t>
      </w:r>
      <w:r w:rsidR="00695666">
        <w:t xml:space="preserve">0 </w:t>
      </w:r>
      <w:r w:rsidR="00615CA8">
        <w:t xml:space="preserve">notices of section 4062(e) </w:t>
      </w:r>
      <w:r w:rsidRPr="00C000B5">
        <w:t>event</w:t>
      </w:r>
      <w:r w:rsidR="00615CA8">
        <w:t>s</w:t>
      </w:r>
      <w:r w:rsidRPr="00C000B5">
        <w:t xml:space="preserve"> per year.</w:t>
      </w:r>
      <w:r w:rsidR="00661220">
        <w:t xml:space="preserve">  P</w:t>
      </w:r>
      <w:r w:rsidRPr="00C000B5">
        <w:t xml:space="preserve">BGC estimates that </w:t>
      </w:r>
      <w:r w:rsidR="00A268F0">
        <w:t xml:space="preserve">each </w:t>
      </w:r>
      <w:r w:rsidR="00661220">
        <w:t xml:space="preserve">notice </w:t>
      </w:r>
      <w:r w:rsidR="00B95755">
        <w:t xml:space="preserve">will </w:t>
      </w:r>
      <w:r w:rsidR="009F2566">
        <w:t xml:space="preserve">require </w:t>
      </w:r>
      <w:r w:rsidR="00A268F0">
        <w:t xml:space="preserve">about </w:t>
      </w:r>
      <w:r w:rsidR="009F2566" w:rsidRPr="00476097">
        <w:t>1</w:t>
      </w:r>
      <w:r w:rsidR="00476097">
        <w:t>4</w:t>
      </w:r>
      <w:r w:rsidR="00A268F0" w:rsidRPr="00476097">
        <w:t xml:space="preserve"> hours</w:t>
      </w:r>
      <w:r w:rsidR="00A268F0">
        <w:t xml:space="preserve"> to prepare and that half the work </w:t>
      </w:r>
      <w:r w:rsidR="00B95755">
        <w:t xml:space="preserve">will be </w:t>
      </w:r>
      <w:r w:rsidR="00A268F0">
        <w:t>done in-house</w:t>
      </w:r>
      <w:r w:rsidR="00B95755">
        <w:t xml:space="preserve"> by filers and half will be contracted out.  Thus </w:t>
      </w:r>
      <w:r w:rsidRPr="00C000B5">
        <w:t xml:space="preserve">the average hour burden per response </w:t>
      </w:r>
      <w:r w:rsidR="006B5293">
        <w:t xml:space="preserve">will be </w:t>
      </w:r>
      <w:r w:rsidRPr="00C000B5">
        <w:t xml:space="preserve">approximately </w:t>
      </w:r>
      <w:r w:rsidR="00476097">
        <w:t>7</w:t>
      </w:r>
      <w:r w:rsidR="00457812" w:rsidRPr="00476097">
        <w:t xml:space="preserve"> </w:t>
      </w:r>
      <w:r w:rsidRPr="00476097">
        <w:t>hours</w:t>
      </w:r>
      <w:r w:rsidRPr="00C000B5">
        <w:t xml:space="preserve"> and the annual hour burden </w:t>
      </w:r>
      <w:r w:rsidR="006B5293">
        <w:t xml:space="preserve">will be </w:t>
      </w:r>
      <w:r w:rsidRPr="00C000B5">
        <w:t xml:space="preserve">approximately </w:t>
      </w:r>
      <w:r w:rsidR="00552A75" w:rsidRPr="00476097">
        <w:t>1,</w:t>
      </w:r>
      <w:r w:rsidR="00476097">
        <w:t>4</w:t>
      </w:r>
      <w:r w:rsidR="00132051" w:rsidRPr="00476097">
        <w:t xml:space="preserve">00 </w:t>
      </w:r>
      <w:r w:rsidRPr="00476097">
        <w:t>hours</w:t>
      </w:r>
      <w:r w:rsidRPr="00C000B5">
        <w:t>.</w:t>
      </w:r>
    </w:p>
    <w:p w:rsidR="008D064B" w:rsidRDefault="006505C7" w:rsidP="00E13B14">
      <w:pPr>
        <w:spacing w:line="360" w:lineRule="auto"/>
      </w:pPr>
      <w:r w:rsidRPr="00C000B5">
        <w:t>13.</w:t>
      </w:r>
      <w:r w:rsidR="00552A75">
        <w:tab/>
      </w:r>
      <w:r w:rsidRPr="00C0766F">
        <w:rPr>
          <w:u w:val="single"/>
        </w:rPr>
        <w:t>Cost burden on the public.</w:t>
      </w:r>
      <w:r w:rsidRPr="00C000B5">
        <w:t xml:space="preserve">  PBGC </w:t>
      </w:r>
      <w:r w:rsidR="0063761A">
        <w:t xml:space="preserve">assumes </w:t>
      </w:r>
      <w:r w:rsidR="0063761A" w:rsidRPr="00C000B5">
        <w:t xml:space="preserve">an average </w:t>
      </w:r>
      <w:r w:rsidR="00343130">
        <w:t xml:space="preserve">cost </w:t>
      </w:r>
      <w:r w:rsidR="0063761A" w:rsidRPr="00C000B5">
        <w:t xml:space="preserve">of $350 </w:t>
      </w:r>
      <w:r w:rsidR="0063761A">
        <w:t xml:space="preserve">per hour </w:t>
      </w:r>
      <w:r w:rsidR="0063761A" w:rsidRPr="00C000B5">
        <w:t>(including professional time, support assistance, ove</w:t>
      </w:r>
      <w:r w:rsidR="0063761A">
        <w:t xml:space="preserve">rhead, postage and other costs) </w:t>
      </w:r>
      <w:r w:rsidR="00343130">
        <w:t xml:space="preserve">for work on </w:t>
      </w:r>
      <w:r w:rsidR="0036764D">
        <w:t>section 4062(e) event</w:t>
      </w:r>
      <w:r w:rsidR="00343130">
        <w:t xml:space="preserve"> filings that is contracted out.</w:t>
      </w:r>
      <w:r w:rsidR="00E86451">
        <w:t xml:space="preserve">  Thus, </w:t>
      </w:r>
      <w:r w:rsidR="0069276C" w:rsidRPr="00C000B5">
        <w:t xml:space="preserve">PBGC estimates that </w:t>
      </w:r>
      <w:r w:rsidR="00AD4C2A" w:rsidRPr="00C000B5">
        <w:t xml:space="preserve">the average </w:t>
      </w:r>
      <w:r w:rsidR="00AD4C2A">
        <w:t xml:space="preserve">cost </w:t>
      </w:r>
      <w:r w:rsidR="00AD4C2A" w:rsidRPr="00C000B5">
        <w:t xml:space="preserve">burden per response </w:t>
      </w:r>
      <w:r w:rsidR="00AD4C2A">
        <w:t xml:space="preserve">will be </w:t>
      </w:r>
      <w:r w:rsidR="00AD4C2A" w:rsidRPr="00C000B5">
        <w:t>approximately</w:t>
      </w:r>
      <w:r w:rsidR="00AD4C2A">
        <w:t xml:space="preserve"> </w:t>
      </w:r>
      <w:r w:rsidR="0069276C" w:rsidRPr="005C7FD4">
        <w:t>$</w:t>
      </w:r>
      <w:r w:rsidR="005C7FD4">
        <w:t>2,4</w:t>
      </w:r>
      <w:r w:rsidR="0036320C" w:rsidRPr="005C7FD4">
        <w:t>5</w:t>
      </w:r>
      <w:r w:rsidR="0069276C" w:rsidRPr="005C7FD4">
        <w:t>0</w:t>
      </w:r>
      <w:r w:rsidR="00FB24F2">
        <w:t xml:space="preserve">. </w:t>
      </w:r>
      <w:r w:rsidR="0069276C">
        <w:t xml:space="preserve"> </w:t>
      </w:r>
      <w:r w:rsidR="004262CC" w:rsidRPr="00C000B5">
        <w:t xml:space="preserve">PBGC </w:t>
      </w:r>
      <w:r w:rsidR="00AC41D0">
        <w:t xml:space="preserve">therefore </w:t>
      </w:r>
      <w:r w:rsidR="004262CC" w:rsidRPr="00C000B5">
        <w:t xml:space="preserve">estimates that </w:t>
      </w:r>
      <w:r w:rsidR="004A4AFF" w:rsidRPr="00C000B5">
        <w:t xml:space="preserve">the annual </w:t>
      </w:r>
      <w:r w:rsidR="004A4AFF">
        <w:t xml:space="preserve">cost </w:t>
      </w:r>
      <w:r w:rsidR="004A4AFF" w:rsidRPr="00C000B5">
        <w:t xml:space="preserve">burden </w:t>
      </w:r>
      <w:r w:rsidR="004A4AFF">
        <w:t xml:space="preserve">will be </w:t>
      </w:r>
      <w:r w:rsidR="004A4AFF" w:rsidRPr="00C000B5">
        <w:t>approximately</w:t>
      </w:r>
      <w:r w:rsidR="004A4AFF">
        <w:t xml:space="preserve"> </w:t>
      </w:r>
      <w:r w:rsidR="004A4AFF" w:rsidRPr="005C7FD4">
        <w:t>$</w:t>
      </w:r>
      <w:r w:rsidR="005C7FD4">
        <w:t>49</w:t>
      </w:r>
      <w:r w:rsidR="00433736" w:rsidRPr="005C7FD4">
        <w:t>0</w:t>
      </w:r>
      <w:r w:rsidR="004A4AFF" w:rsidRPr="005C7FD4">
        <w:t>,000</w:t>
      </w:r>
      <w:r w:rsidR="000057E4">
        <w:t>.</w:t>
      </w:r>
      <w:r w:rsidR="00A46E99">
        <w:t xml:space="preserve"> </w:t>
      </w:r>
      <w:r w:rsidR="005C7FD4">
        <w:t xml:space="preserve"> </w:t>
      </w:r>
      <w:r w:rsidR="008D064B">
        <w:t xml:space="preserve">PBGC believes that any recordkeeping burden </w:t>
      </w:r>
      <w:r w:rsidR="0069159F">
        <w:t>for section 4062(e) purposes</w:t>
      </w:r>
      <w:r w:rsidR="00B93EDE">
        <w:t>,</w:t>
      </w:r>
      <w:r w:rsidR="0069159F">
        <w:t xml:space="preserve"> </w:t>
      </w:r>
      <w:r w:rsidR="008D064B">
        <w:t xml:space="preserve">beyond that required </w:t>
      </w:r>
      <w:r w:rsidR="00B812D6">
        <w:t xml:space="preserve">under ERISA section </w:t>
      </w:r>
      <w:r w:rsidR="0069159F">
        <w:t xml:space="preserve">107 </w:t>
      </w:r>
      <w:r w:rsidR="00B93EDE">
        <w:t>(</w:t>
      </w:r>
      <w:r w:rsidR="0069159F">
        <w:t>which requires that recor</w:t>
      </w:r>
      <w:r w:rsidR="00B93EDE">
        <w:t xml:space="preserve">ds be maintained for six years), is minimal and </w:t>
      </w:r>
      <w:r w:rsidR="009970A5">
        <w:t>is subsumed in the estimated hour and cost burden.</w:t>
      </w:r>
    </w:p>
    <w:p w:rsidR="00030069" w:rsidRDefault="006505C7" w:rsidP="00E13B14">
      <w:pPr>
        <w:spacing w:line="360" w:lineRule="auto"/>
      </w:pPr>
      <w:r w:rsidRPr="00C000B5">
        <w:lastRenderedPageBreak/>
        <w:t>14.</w:t>
      </w:r>
      <w:r w:rsidR="001E6C84">
        <w:tab/>
      </w:r>
      <w:r w:rsidR="00030069" w:rsidRPr="005F5D4B">
        <w:rPr>
          <w:u w:val="single"/>
        </w:rPr>
        <w:t>Cost</w:t>
      </w:r>
      <w:r w:rsidRPr="005F5D4B">
        <w:rPr>
          <w:u w:val="single"/>
        </w:rPr>
        <w:t xml:space="preserve"> to the Federal government.</w:t>
      </w:r>
      <w:r w:rsidRPr="00C000B5">
        <w:t xml:space="preserve">  PBGC </w:t>
      </w:r>
      <w:r w:rsidR="00030069">
        <w:t xml:space="preserve">estimates that Federal employees </w:t>
      </w:r>
      <w:r w:rsidR="00807ECC">
        <w:t xml:space="preserve">will </w:t>
      </w:r>
      <w:r w:rsidR="00030069">
        <w:t xml:space="preserve">spend </w:t>
      </w:r>
      <w:r w:rsidR="00E26F87">
        <w:t>37</w:t>
      </w:r>
      <w:r w:rsidR="00F765F6">
        <w:t xml:space="preserve"> </w:t>
      </w:r>
      <w:r w:rsidR="00030069">
        <w:t xml:space="preserve">hours reviewing each </w:t>
      </w:r>
      <w:r w:rsidR="00807ECC">
        <w:t xml:space="preserve">section 4062(e) </w:t>
      </w:r>
      <w:r w:rsidR="00030069">
        <w:t>event</w:t>
      </w:r>
      <w:r w:rsidR="00485E05">
        <w:t xml:space="preserve"> </w:t>
      </w:r>
      <w:r w:rsidR="00807ECC">
        <w:t>notice</w:t>
      </w:r>
      <w:r w:rsidR="00485E05">
        <w:t>, at a cost to the government of about $70 per hour.  Thus, PBGC</w:t>
      </w:r>
      <w:r w:rsidR="001F4AA8">
        <w:t xml:space="preserve"> </w:t>
      </w:r>
      <w:r w:rsidR="00CE3888">
        <w:t>estimates that the government’s cost to process 2</w:t>
      </w:r>
      <w:r w:rsidR="00625112">
        <w:t>0</w:t>
      </w:r>
      <w:r w:rsidR="00CE3888">
        <w:t xml:space="preserve">0 </w:t>
      </w:r>
      <w:r w:rsidR="00625112">
        <w:t xml:space="preserve">notices </w:t>
      </w:r>
      <w:r w:rsidR="00094848">
        <w:t>per year will be approximately $</w:t>
      </w:r>
      <w:r w:rsidR="00667185">
        <w:t>518,000</w:t>
      </w:r>
      <w:r w:rsidR="00E27243">
        <w:t>.</w:t>
      </w:r>
    </w:p>
    <w:p w:rsidR="00A46E99" w:rsidRDefault="006505C7" w:rsidP="00E13B14">
      <w:pPr>
        <w:spacing w:line="360" w:lineRule="auto"/>
      </w:pPr>
      <w:r w:rsidRPr="00C000B5">
        <w:t>15.</w:t>
      </w:r>
      <w:r w:rsidR="00625112">
        <w:tab/>
      </w:r>
      <w:r w:rsidRPr="00674F5A">
        <w:rPr>
          <w:u w:val="single"/>
        </w:rPr>
        <w:t>Change in burden.</w:t>
      </w:r>
      <w:r w:rsidRPr="00C000B5">
        <w:t xml:space="preserve">  </w:t>
      </w:r>
      <w:r w:rsidR="00F341A3">
        <w:t>This is new collection.</w:t>
      </w:r>
    </w:p>
    <w:p w:rsidR="006505C7" w:rsidRPr="00C000B5" w:rsidRDefault="006505C7" w:rsidP="00E13B14">
      <w:pPr>
        <w:spacing w:line="360" w:lineRule="auto"/>
      </w:pPr>
      <w:r w:rsidRPr="00C000B5">
        <w:t>16.</w:t>
      </w:r>
      <w:r w:rsidR="00F341A3">
        <w:tab/>
      </w:r>
      <w:r w:rsidRPr="00C000B5">
        <w:rPr>
          <w:u w:val="single"/>
        </w:rPr>
        <w:t>Publication plans.</w:t>
      </w:r>
      <w:r w:rsidRPr="00C000B5">
        <w:t xml:space="preserve">  PBGC does not plan to publish the results of this collection of information.</w:t>
      </w:r>
    </w:p>
    <w:p w:rsidR="006505C7" w:rsidRPr="00C000B5" w:rsidRDefault="006505C7" w:rsidP="00E13B14">
      <w:pPr>
        <w:spacing w:line="360" w:lineRule="auto"/>
      </w:pPr>
      <w:r w:rsidRPr="00C000B5">
        <w:t>17.</w:t>
      </w:r>
      <w:r w:rsidR="00F341A3">
        <w:tab/>
      </w:r>
      <w:r w:rsidRPr="00C000B5">
        <w:rPr>
          <w:u w:val="single"/>
        </w:rPr>
        <w:t>Approval for omitting expiration date.</w:t>
      </w:r>
      <w:r w:rsidRPr="00C000B5">
        <w:t xml:space="preserve">  PBGC is not seeking OMB approval to omit the expiration date.</w:t>
      </w:r>
    </w:p>
    <w:p w:rsidR="006505C7" w:rsidRPr="00C000B5" w:rsidRDefault="006505C7" w:rsidP="00E13B14">
      <w:pPr>
        <w:spacing w:line="360" w:lineRule="auto"/>
        <w:rPr>
          <w:bCs/>
        </w:rPr>
      </w:pPr>
      <w:r w:rsidRPr="00C000B5">
        <w:t>18.</w:t>
      </w:r>
      <w:r w:rsidR="00F341A3">
        <w:tab/>
      </w:r>
      <w:r w:rsidRPr="00C000B5">
        <w:rPr>
          <w:u w:val="single"/>
        </w:rPr>
        <w:t>Exceptions to certification statement.</w:t>
      </w:r>
      <w:r w:rsidRPr="00C000B5">
        <w:t xml:space="preserve">  There are no exceptions to the certification statement for this submission.</w:t>
      </w:r>
    </w:p>
    <w:p w:rsidR="00B716B4" w:rsidRDefault="00B716B4"/>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521BF1" w:rsidRDefault="00521BF1"/>
    <w:p w:rsidR="000805BF" w:rsidRDefault="000805BF"/>
    <w:p w:rsidR="000805BF" w:rsidRDefault="000805BF"/>
    <w:p w:rsidR="000805BF" w:rsidRDefault="000805BF"/>
    <w:p w:rsidR="000805BF" w:rsidRDefault="000805BF"/>
    <w:p w:rsidR="00521BF1" w:rsidRDefault="00521BF1"/>
    <w:p w:rsidR="00521BF1" w:rsidRDefault="00521BF1"/>
    <w:p w:rsidR="00521BF1" w:rsidRPr="00521BF1" w:rsidRDefault="00521BF1" w:rsidP="00521BF1">
      <w:pPr>
        <w:tabs>
          <w:tab w:val="center" w:pos="4680"/>
        </w:tabs>
        <w:rPr>
          <w:rFonts w:ascii="Arial" w:hAnsi="Arial"/>
          <w:bCs/>
          <w:sz w:val="16"/>
        </w:rPr>
      </w:pPr>
      <w:fldSimple w:instr=" FILENAME  \p  \* MERGEFORMAT ">
        <w:r w:rsidR="00F04CE5">
          <w:rPr>
            <w:rFonts w:ascii="Arial" w:hAnsi="Arial"/>
            <w:bCs/>
            <w:noProof/>
            <w:sz w:val="16"/>
          </w:rPr>
          <w:t>I:\regulatory\RM\Paperwork\1212-00__ Form 4062-E\PRA docs\Form 4062-E SptgStmt.d4.doc</w:t>
        </w:r>
      </w:fldSimple>
      <w:r w:rsidRPr="00521BF1">
        <w:rPr>
          <w:rFonts w:ascii="Arial" w:hAnsi="Arial"/>
          <w:bCs/>
          <w:sz w:val="16"/>
        </w:rPr>
        <w:t xml:space="preserve"> </w:t>
      </w:r>
    </w:p>
    <w:sectPr w:rsidR="00521BF1" w:rsidRPr="00521BF1" w:rsidSect="000756F4">
      <w:headerReference w:type="default" r:id="rId6"/>
      <w:type w:val="continuous"/>
      <w:pgSz w:w="12240" w:h="15840" w:code="1"/>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1C6" w:rsidRDefault="001741C6" w:rsidP="002F5E9D">
      <w:r>
        <w:separator/>
      </w:r>
    </w:p>
  </w:endnote>
  <w:endnote w:type="continuationSeparator" w:id="0">
    <w:p w:rsidR="001741C6" w:rsidRDefault="001741C6" w:rsidP="002F5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1C6" w:rsidRDefault="001741C6" w:rsidP="002F5E9D">
      <w:r>
        <w:separator/>
      </w:r>
    </w:p>
  </w:footnote>
  <w:footnote w:type="continuationSeparator" w:id="0">
    <w:p w:rsidR="001741C6" w:rsidRDefault="001741C6" w:rsidP="002F5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97" w:rsidRDefault="00476097">
    <w:pPr>
      <w:pStyle w:val="Header"/>
      <w:jc w:val="center"/>
    </w:pPr>
    <w:r>
      <w:t xml:space="preserve">- </w:t>
    </w:r>
    <w:fldSimple w:instr=" PAGE   \* MERGEFORMAT ">
      <w:r w:rsidR="00ED46AE">
        <w:rPr>
          <w:noProof/>
        </w:rPr>
        <w:t>3</w:t>
      </w:r>
    </w:fldSimple>
    <w:r>
      <w:t xml:space="preserve"> -</w:t>
    </w:r>
  </w:p>
  <w:p w:rsidR="00476097" w:rsidRDefault="004760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oNotTrackMoves/>
  <w:defaultTabStop w:val="36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05C7"/>
    <w:rsid w:val="000002D1"/>
    <w:rsid w:val="00004FFB"/>
    <w:rsid w:val="000057E4"/>
    <w:rsid w:val="000156FB"/>
    <w:rsid w:val="00030069"/>
    <w:rsid w:val="000324BC"/>
    <w:rsid w:val="000522A1"/>
    <w:rsid w:val="00056045"/>
    <w:rsid w:val="000756F4"/>
    <w:rsid w:val="00080292"/>
    <w:rsid w:val="000805BF"/>
    <w:rsid w:val="000852D6"/>
    <w:rsid w:val="00085C6F"/>
    <w:rsid w:val="00090730"/>
    <w:rsid w:val="000920AB"/>
    <w:rsid w:val="00094848"/>
    <w:rsid w:val="000A4566"/>
    <w:rsid w:val="000B7F66"/>
    <w:rsid w:val="000C21D6"/>
    <w:rsid w:val="000E2FBF"/>
    <w:rsid w:val="000F522A"/>
    <w:rsid w:val="00104DE7"/>
    <w:rsid w:val="00126285"/>
    <w:rsid w:val="00132051"/>
    <w:rsid w:val="001472CB"/>
    <w:rsid w:val="00152AD3"/>
    <w:rsid w:val="001548CD"/>
    <w:rsid w:val="00164197"/>
    <w:rsid w:val="00171005"/>
    <w:rsid w:val="001741C6"/>
    <w:rsid w:val="00177B06"/>
    <w:rsid w:val="00181049"/>
    <w:rsid w:val="0018680C"/>
    <w:rsid w:val="00194F13"/>
    <w:rsid w:val="001A08D8"/>
    <w:rsid w:val="001A1127"/>
    <w:rsid w:val="001C38BD"/>
    <w:rsid w:val="001C511C"/>
    <w:rsid w:val="001C54F3"/>
    <w:rsid w:val="001C7415"/>
    <w:rsid w:val="001D3273"/>
    <w:rsid w:val="001D3DD3"/>
    <w:rsid w:val="001E5F14"/>
    <w:rsid w:val="001E6C84"/>
    <w:rsid w:val="001F0741"/>
    <w:rsid w:val="001F4AA8"/>
    <w:rsid w:val="0020101A"/>
    <w:rsid w:val="002212A6"/>
    <w:rsid w:val="00226157"/>
    <w:rsid w:val="00254AF2"/>
    <w:rsid w:val="00256B72"/>
    <w:rsid w:val="0026592C"/>
    <w:rsid w:val="00285D21"/>
    <w:rsid w:val="00290C09"/>
    <w:rsid w:val="0029271B"/>
    <w:rsid w:val="002E6DB4"/>
    <w:rsid w:val="002F5E9D"/>
    <w:rsid w:val="00300898"/>
    <w:rsid w:val="003030E1"/>
    <w:rsid w:val="00311441"/>
    <w:rsid w:val="003373A6"/>
    <w:rsid w:val="00343130"/>
    <w:rsid w:val="00350CFB"/>
    <w:rsid w:val="00350D39"/>
    <w:rsid w:val="00351053"/>
    <w:rsid w:val="0036320C"/>
    <w:rsid w:val="00364F2F"/>
    <w:rsid w:val="0036764D"/>
    <w:rsid w:val="00384C8C"/>
    <w:rsid w:val="003875D8"/>
    <w:rsid w:val="003A1E3D"/>
    <w:rsid w:val="003A6E25"/>
    <w:rsid w:val="003B53BB"/>
    <w:rsid w:val="003B78BB"/>
    <w:rsid w:val="003C17F4"/>
    <w:rsid w:val="003D0854"/>
    <w:rsid w:val="003E5531"/>
    <w:rsid w:val="003E693E"/>
    <w:rsid w:val="003F7F2F"/>
    <w:rsid w:val="004245B1"/>
    <w:rsid w:val="004262CC"/>
    <w:rsid w:val="00426346"/>
    <w:rsid w:val="00432B74"/>
    <w:rsid w:val="00433736"/>
    <w:rsid w:val="00457812"/>
    <w:rsid w:val="00473376"/>
    <w:rsid w:val="004747E0"/>
    <w:rsid w:val="004749F7"/>
    <w:rsid w:val="00476097"/>
    <w:rsid w:val="00485E05"/>
    <w:rsid w:val="00487A23"/>
    <w:rsid w:val="004914E9"/>
    <w:rsid w:val="00492519"/>
    <w:rsid w:val="004A4AFF"/>
    <w:rsid w:val="004A6776"/>
    <w:rsid w:val="004B3493"/>
    <w:rsid w:val="004B61B4"/>
    <w:rsid w:val="004C13C3"/>
    <w:rsid w:val="004C5399"/>
    <w:rsid w:val="004F4320"/>
    <w:rsid w:val="005070D5"/>
    <w:rsid w:val="0051657A"/>
    <w:rsid w:val="00521BF1"/>
    <w:rsid w:val="00522408"/>
    <w:rsid w:val="00552A75"/>
    <w:rsid w:val="00562028"/>
    <w:rsid w:val="00572BB8"/>
    <w:rsid w:val="00584201"/>
    <w:rsid w:val="005C7FD4"/>
    <w:rsid w:val="005D0796"/>
    <w:rsid w:val="005E5666"/>
    <w:rsid w:val="005F1CD8"/>
    <w:rsid w:val="005F5D4B"/>
    <w:rsid w:val="00606DD5"/>
    <w:rsid w:val="00614A53"/>
    <w:rsid w:val="00615CA8"/>
    <w:rsid w:val="00616D11"/>
    <w:rsid w:val="00625112"/>
    <w:rsid w:val="0063761A"/>
    <w:rsid w:val="00643D88"/>
    <w:rsid w:val="006505C7"/>
    <w:rsid w:val="0065351F"/>
    <w:rsid w:val="00661220"/>
    <w:rsid w:val="00667185"/>
    <w:rsid w:val="00674F5A"/>
    <w:rsid w:val="00677D80"/>
    <w:rsid w:val="006902CF"/>
    <w:rsid w:val="0069128F"/>
    <w:rsid w:val="0069159F"/>
    <w:rsid w:val="0069276C"/>
    <w:rsid w:val="00695666"/>
    <w:rsid w:val="006B472D"/>
    <w:rsid w:val="006B4A55"/>
    <w:rsid w:val="006B5293"/>
    <w:rsid w:val="006B6A35"/>
    <w:rsid w:val="006E373C"/>
    <w:rsid w:val="007240FE"/>
    <w:rsid w:val="00727555"/>
    <w:rsid w:val="0073049B"/>
    <w:rsid w:val="00761341"/>
    <w:rsid w:val="0077175F"/>
    <w:rsid w:val="007910C0"/>
    <w:rsid w:val="008028CD"/>
    <w:rsid w:val="00803A00"/>
    <w:rsid w:val="00807ECC"/>
    <w:rsid w:val="008206F0"/>
    <w:rsid w:val="00827D46"/>
    <w:rsid w:val="008347B4"/>
    <w:rsid w:val="00837887"/>
    <w:rsid w:val="008617A8"/>
    <w:rsid w:val="00876F06"/>
    <w:rsid w:val="0088391F"/>
    <w:rsid w:val="00890CB1"/>
    <w:rsid w:val="00896324"/>
    <w:rsid w:val="008A4BEA"/>
    <w:rsid w:val="008C09C0"/>
    <w:rsid w:val="008C2729"/>
    <w:rsid w:val="008C3638"/>
    <w:rsid w:val="008C68DE"/>
    <w:rsid w:val="008D064B"/>
    <w:rsid w:val="008D13F1"/>
    <w:rsid w:val="008E0854"/>
    <w:rsid w:val="008E71A5"/>
    <w:rsid w:val="008E7EB6"/>
    <w:rsid w:val="008F7FF2"/>
    <w:rsid w:val="00907DC9"/>
    <w:rsid w:val="00914849"/>
    <w:rsid w:val="00945060"/>
    <w:rsid w:val="00953C08"/>
    <w:rsid w:val="00954524"/>
    <w:rsid w:val="00963115"/>
    <w:rsid w:val="00970A60"/>
    <w:rsid w:val="00970D4A"/>
    <w:rsid w:val="00977370"/>
    <w:rsid w:val="009958DC"/>
    <w:rsid w:val="00995CFD"/>
    <w:rsid w:val="009970A5"/>
    <w:rsid w:val="009B6253"/>
    <w:rsid w:val="009B71AF"/>
    <w:rsid w:val="009C2152"/>
    <w:rsid w:val="009C3908"/>
    <w:rsid w:val="009D03BD"/>
    <w:rsid w:val="009D6C40"/>
    <w:rsid w:val="009E4A29"/>
    <w:rsid w:val="009F0057"/>
    <w:rsid w:val="009F2566"/>
    <w:rsid w:val="009F51B8"/>
    <w:rsid w:val="009F7CD8"/>
    <w:rsid w:val="00A268F0"/>
    <w:rsid w:val="00A26946"/>
    <w:rsid w:val="00A41936"/>
    <w:rsid w:val="00A46E99"/>
    <w:rsid w:val="00A476BD"/>
    <w:rsid w:val="00A47700"/>
    <w:rsid w:val="00A552F6"/>
    <w:rsid w:val="00A85C4F"/>
    <w:rsid w:val="00A9178F"/>
    <w:rsid w:val="00A92E33"/>
    <w:rsid w:val="00AB518A"/>
    <w:rsid w:val="00AC1C23"/>
    <w:rsid w:val="00AC2AA5"/>
    <w:rsid w:val="00AC2DE2"/>
    <w:rsid w:val="00AC41D0"/>
    <w:rsid w:val="00AC6F32"/>
    <w:rsid w:val="00AD1794"/>
    <w:rsid w:val="00AD4C2A"/>
    <w:rsid w:val="00AD6F29"/>
    <w:rsid w:val="00AD7929"/>
    <w:rsid w:val="00AD7ED8"/>
    <w:rsid w:val="00AE04E0"/>
    <w:rsid w:val="00B10ADB"/>
    <w:rsid w:val="00B206BC"/>
    <w:rsid w:val="00B27A9F"/>
    <w:rsid w:val="00B30D01"/>
    <w:rsid w:val="00B33823"/>
    <w:rsid w:val="00B35D47"/>
    <w:rsid w:val="00B55EEA"/>
    <w:rsid w:val="00B56A9A"/>
    <w:rsid w:val="00B608C6"/>
    <w:rsid w:val="00B66E70"/>
    <w:rsid w:val="00B716B4"/>
    <w:rsid w:val="00B812D6"/>
    <w:rsid w:val="00B93EDE"/>
    <w:rsid w:val="00B95755"/>
    <w:rsid w:val="00B963F2"/>
    <w:rsid w:val="00BA158F"/>
    <w:rsid w:val="00BB2233"/>
    <w:rsid w:val="00BB6B89"/>
    <w:rsid w:val="00BE0F0F"/>
    <w:rsid w:val="00BE2F13"/>
    <w:rsid w:val="00BE59A2"/>
    <w:rsid w:val="00C04C93"/>
    <w:rsid w:val="00C0766F"/>
    <w:rsid w:val="00C7557F"/>
    <w:rsid w:val="00C84F41"/>
    <w:rsid w:val="00C972DE"/>
    <w:rsid w:val="00CA1E1C"/>
    <w:rsid w:val="00CA2D99"/>
    <w:rsid w:val="00CC16A9"/>
    <w:rsid w:val="00CE3888"/>
    <w:rsid w:val="00CF3792"/>
    <w:rsid w:val="00D624A4"/>
    <w:rsid w:val="00DA161C"/>
    <w:rsid w:val="00DC0D0F"/>
    <w:rsid w:val="00DC2BD6"/>
    <w:rsid w:val="00DE057F"/>
    <w:rsid w:val="00DF0F3E"/>
    <w:rsid w:val="00E13B14"/>
    <w:rsid w:val="00E25355"/>
    <w:rsid w:val="00E26F87"/>
    <w:rsid w:val="00E27243"/>
    <w:rsid w:val="00E4594A"/>
    <w:rsid w:val="00E56D92"/>
    <w:rsid w:val="00E81DAC"/>
    <w:rsid w:val="00E83624"/>
    <w:rsid w:val="00E83B73"/>
    <w:rsid w:val="00E857E4"/>
    <w:rsid w:val="00E86451"/>
    <w:rsid w:val="00E915BE"/>
    <w:rsid w:val="00E94F8C"/>
    <w:rsid w:val="00EB5BCF"/>
    <w:rsid w:val="00ED46AE"/>
    <w:rsid w:val="00EE0EFA"/>
    <w:rsid w:val="00F0077B"/>
    <w:rsid w:val="00F02FBC"/>
    <w:rsid w:val="00F03F51"/>
    <w:rsid w:val="00F049D4"/>
    <w:rsid w:val="00F04CE5"/>
    <w:rsid w:val="00F200B7"/>
    <w:rsid w:val="00F341A3"/>
    <w:rsid w:val="00F765F6"/>
    <w:rsid w:val="00F770E0"/>
    <w:rsid w:val="00F9154C"/>
    <w:rsid w:val="00F96DB1"/>
    <w:rsid w:val="00FA039F"/>
    <w:rsid w:val="00FB24F2"/>
    <w:rsid w:val="00FD2630"/>
    <w:rsid w:val="00FE1206"/>
    <w:rsid w:val="00FE219F"/>
    <w:rsid w:val="00FE6120"/>
    <w:rsid w:val="00FF0E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B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05C7"/>
    <w:pPr>
      <w:widowControl w:val="0"/>
      <w:tabs>
        <w:tab w:val="center" w:pos="4320"/>
        <w:tab w:val="right" w:pos="8640"/>
      </w:tabs>
      <w:autoSpaceDE w:val="0"/>
      <w:autoSpaceDN w:val="0"/>
      <w:adjustRightInd w:val="0"/>
    </w:pPr>
    <w:rPr>
      <w:rFonts w:ascii="Courier" w:eastAsia="MS Mincho" w:hAnsi="Courier"/>
      <w:szCs w:val="24"/>
      <w:lang w:eastAsia="ja-JP"/>
    </w:rPr>
  </w:style>
  <w:style w:type="character" w:customStyle="1" w:styleId="HeaderChar">
    <w:name w:val="Header Char"/>
    <w:basedOn w:val="DefaultParagraphFont"/>
    <w:link w:val="Header"/>
    <w:uiPriority w:val="99"/>
    <w:rsid w:val="006505C7"/>
    <w:rPr>
      <w:rFonts w:ascii="Courier" w:eastAsia="MS Mincho" w:hAnsi="Courier" w:cs="Times New Roman"/>
      <w:szCs w:val="24"/>
      <w:lang w:eastAsia="ja-JP"/>
    </w:rPr>
  </w:style>
  <w:style w:type="paragraph" w:styleId="Footer">
    <w:name w:val="footer"/>
    <w:basedOn w:val="Normal"/>
    <w:link w:val="FooterChar"/>
    <w:uiPriority w:val="99"/>
    <w:semiHidden/>
    <w:unhideWhenUsed/>
    <w:rsid w:val="00CA1E1C"/>
    <w:pPr>
      <w:tabs>
        <w:tab w:val="center" w:pos="4680"/>
        <w:tab w:val="right" w:pos="9360"/>
      </w:tabs>
    </w:pPr>
  </w:style>
  <w:style w:type="character" w:customStyle="1" w:styleId="FooterChar">
    <w:name w:val="Footer Char"/>
    <w:basedOn w:val="DefaultParagraphFont"/>
    <w:link w:val="Footer"/>
    <w:uiPriority w:val="99"/>
    <w:semiHidden/>
    <w:rsid w:val="00CA1E1C"/>
    <w:rPr>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 Murphy</dc:creator>
  <cp:keywords/>
  <dc:description/>
  <cp:lastModifiedBy>Cathy Klion</cp:lastModifiedBy>
  <cp:revision>3</cp:revision>
  <cp:lastPrinted>2009-11-20T12:44:00Z</cp:lastPrinted>
  <dcterms:created xsi:type="dcterms:W3CDTF">2010-08-10T13:13:00Z</dcterms:created>
  <dcterms:modified xsi:type="dcterms:W3CDTF">2010-08-10T13:14:00Z</dcterms:modified>
</cp:coreProperties>
</file>