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61" w:rsidRPr="00E74F20" w:rsidRDefault="00162C61" w:rsidP="002E3DF9">
      <w:pPr>
        <w:widowControl/>
        <w:tabs>
          <w:tab w:val="center" w:pos="4680"/>
        </w:tabs>
        <w:outlineLvl w:val="0"/>
        <w:rPr>
          <w:rFonts w:cs="Courier New"/>
          <w:b/>
          <w:bCs/>
          <w:szCs w:val="28"/>
        </w:rPr>
      </w:pPr>
      <w:r>
        <w:rPr>
          <w:rFonts w:ascii="Shruti" w:hAnsi="Shruti" w:cs="Shruti"/>
          <w:sz w:val="28"/>
          <w:szCs w:val="28"/>
        </w:rPr>
        <w:tab/>
      </w:r>
      <w:r w:rsidRPr="00E74F20">
        <w:rPr>
          <w:rFonts w:cs="Courier New"/>
          <w:b/>
          <w:bCs/>
          <w:szCs w:val="28"/>
        </w:rPr>
        <w:t xml:space="preserve">SUPPORTING STATEMENT </w:t>
      </w:r>
    </w:p>
    <w:p w:rsidR="00162C61" w:rsidRPr="00E74F20" w:rsidRDefault="00162C61" w:rsidP="002E3DF9">
      <w:pPr>
        <w:widowControl/>
        <w:tabs>
          <w:tab w:val="center" w:pos="4680"/>
        </w:tabs>
        <w:jc w:val="center"/>
        <w:rPr>
          <w:rFonts w:cs="Courier New"/>
          <w:b/>
          <w:bCs/>
          <w:szCs w:val="28"/>
        </w:rPr>
      </w:pPr>
    </w:p>
    <w:p w:rsidR="00162C61" w:rsidRPr="00E74F20" w:rsidRDefault="00162C61" w:rsidP="002E3DF9">
      <w:pPr>
        <w:widowControl/>
        <w:tabs>
          <w:tab w:val="center" w:pos="4680"/>
        </w:tabs>
        <w:jc w:val="center"/>
        <w:outlineLvl w:val="0"/>
        <w:rPr>
          <w:rFonts w:cs="Courier New"/>
          <w:b/>
          <w:bCs/>
          <w:szCs w:val="28"/>
        </w:rPr>
      </w:pPr>
      <w:r w:rsidRPr="00E74F20">
        <w:rPr>
          <w:rFonts w:cs="Courier New"/>
          <w:b/>
          <w:bCs/>
          <w:szCs w:val="28"/>
        </w:rPr>
        <w:t>DEPARTMENT OF LABOR</w:t>
      </w:r>
    </w:p>
    <w:p w:rsidR="00162C61" w:rsidRPr="00E74F20" w:rsidRDefault="00162C61" w:rsidP="002E3DF9">
      <w:pPr>
        <w:widowControl/>
        <w:tabs>
          <w:tab w:val="center" w:pos="4680"/>
        </w:tabs>
        <w:jc w:val="center"/>
        <w:outlineLvl w:val="0"/>
        <w:rPr>
          <w:rFonts w:cs="Courier New"/>
          <w:b/>
          <w:bCs/>
          <w:szCs w:val="28"/>
        </w:rPr>
      </w:pPr>
      <w:r w:rsidRPr="00E74F20">
        <w:rPr>
          <w:rFonts w:cs="Courier New"/>
          <w:b/>
          <w:bCs/>
          <w:szCs w:val="28"/>
        </w:rPr>
        <w:t>VETERANS’ EMPLOYMENT AND TRAINING SERVICE</w:t>
      </w:r>
    </w:p>
    <w:p w:rsidR="00162C61" w:rsidRPr="00E74F20" w:rsidRDefault="00162C61" w:rsidP="002E3DF9">
      <w:pPr>
        <w:widowControl/>
        <w:tabs>
          <w:tab w:val="center" w:pos="4680"/>
        </w:tabs>
        <w:outlineLvl w:val="0"/>
        <w:rPr>
          <w:b/>
          <w:smallCaps/>
        </w:rPr>
      </w:pPr>
      <w:r w:rsidRPr="00E74F20">
        <w:rPr>
          <w:rFonts w:cs="Courier New"/>
          <w:b/>
          <w:bCs/>
          <w:smallCaps/>
          <w:szCs w:val="28"/>
        </w:rPr>
        <w:tab/>
      </w:r>
      <w:r w:rsidRPr="00E74F20">
        <w:rPr>
          <w:b/>
        </w:rPr>
        <w:t>VETS/USERRA/VP Form 1010 (VETS-1010 Form)</w:t>
      </w:r>
    </w:p>
    <w:p w:rsidR="00162C61" w:rsidRPr="00E74F20" w:rsidRDefault="00162C61" w:rsidP="002E3DF9">
      <w:pPr>
        <w:widowControl/>
        <w:tabs>
          <w:tab w:val="center" w:pos="4680"/>
        </w:tabs>
        <w:rPr>
          <w:b/>
        </w:rPr>
      </w:pPr>
    </w:p>
    <w:p w:rsidR="00162C61" w:rsidRPr="00E74F20" w:rsidRDefault="00162C61" w:rsidP="002E3DF9">
      <w:pPr>
        <w:widowControl/>
        <w:tabs>
          <w:tab w:val="center" w:pos="4680"/>
        </w:tabs>
        <w:jc w:val="center"/>
        <w:outlineLvl w:val="0"/>
        <w:rPr>
          <w:rFonts w:cs="Courier New"/>
          <w:b/>
        </w:rPr>
      </w:pPr>
      <w:r w:rsidRPr="00E74F20">
        <w:rPr>
          <w:b/>
        </w:rPr>
        <w:t>OMB No. 1293-0002</w:t>
      </w:r>
    </w:p>
    <w:p w:rsidR="00162C61" w:rsidRPr="00E74F20" w:rsidRDefault="00162C61" w:rsidP="002E3DF9">
      <w:pPr>
        <w:widowControl/>
        <w:rPr>
          <w:b/>
          <w:bCs/>
        </w:rPr>
      </w:pPr>
    </w:p>
    <w:p w:rsidR="00162C61" w:rsidRPr="00E74F20" w:rsidRDefault="00162C61" w:rsidP="002E3DF9">
      <w:pPr>
        <w:widowControl/>
        <w:outlineLvl w:val="0"/>
      </w:pPr>
      <w:r w:rsidRPr="00E74F20">
        <w:rPr>
          <w:b/>
          <w:bCs/>
        </w:rPr>
        <w:t>A.  Justification</w:t>
      </w:r>
    </w:p>
    <w:p w:rsidR="00162C61" w:rsidRPr="00E74F20" w:rsidRDefault="00162C61" w:rsidP="002E3DF9">
      <w:pPr>
        <w:widowControl/>
        <w:outlineLvl w:val="0"/>
        <w:rPr>
          <w:b/>
          <w:bCs/>
        </w:rPr>
      </w:pPr>
      <w:r w:rsidRPr="00E74F20">
        <w:rPr>
          <w:b/>
          <w:bCs/>
        </w:rPr>
        <w:t>1.</w:t>
      </w:r>
      <w:r w:rsidRPr="00E74F20">
        <w:rPr>
          <w:b/>
          <w:bCs/>
        </w:rPr>
        <w:tab/>
        <w:t>Legal and Administrative Requirements</w:t>
      </w:r>
    </w:p>
    <w:p w:rsidR="00162C61" w:rsidRPr="00E74F20" w:rsidRDefault="00162C61" w:rsidP="002E3DF9">
      <w:pPr>
        <w:widowControl/>
      </w:pPr>
    </w:p>
    <w:p w:rsidR="00162C61" w:rsidRPr="00E74F20" w:rsidRDefault="00162C61" w:rsidP="002E3DF9">
      <w:pPr>
        <w:widowControl/>
      </w:pPr>
      <w:r w:rsidRPr="00E74F20">
        <w:t>On October 13, 94, the Uniformed Services Employment and Reemployment Rights Act (USERRA), P.L. 103-353, 108 Stat. 3150, was signed into law.  Contained in Title 38, U.S.C., Sections 4301-4335, USERRA is the replacement for the Veterans’ Reemployment Rights (VRR) law.  USERRA’s purposes are: to encourage non-career service in the uniformed services by eliminating or minimizing the disadvantages to civilian careers and employment which can result from such service; to minimize the disruption of persons performing service in the uniformed services as well as to their completion of such service under honorable conditions; and to prohibit discrimination against persons because of their service in the uniformed service, 38 U.S.C. 4301(a).</w:t>
      </w:r>
    </w:p>
    <w:p w:rsidR="00162C61" w:rsidRPr="00E74F20" w:rsidRDefault="00162C61" w:rsidP="002E3DF9">
      <w:pPr>
        <w:widowControl/>
      </w:pPr>
    </w:p>
    <w:p w:rsidR="00162C61" w:rsidRPr="00E74F20" w:rsidRDefault="00162C61" w:rsidP="002E3DF9">
      <w:pPr>
        <w:widowControl/>
      </w:pPr>
      <w:r w:rsidRPr="00E74F20">
        <w:t>Recognizing the sacrifices made by members of the uniformed services, Congress enacted laws to prevent veterans seeking Federal employment from being penalized for their time in military service.  The Veterans Employment Opportunities Act (VEOA) of 1998, P.L. 105-339, 112 Stat. 3182, contained in Title 5 U.S.C. §3330a-3330(b), provides assistance to preference eligible individuals who believe their rights under the veteran’s preference (VP) laws and the Veterans Benefit Improvement Act of 2008 (Public Law No: 110-389) have been violated.  VP recognizes the sacrifices of those who have served our country in uniform, and provides them a favorable competitive position for Federal employment.</w:t>
      </w:r>
    </w:p>
    <w:p w:rsidR="00162C61" w:rsidRPr="00E74F20" w:rsidRDefault="00162C61" w:rsidP="002E3DF9">
      <w:pPr>
        <w:widowControl/>
      </w:pPr>
    </w:p>
    <w:p w:rsidR="00162C61" w:rsidRPr="00E74F20" w:rsidRDefault="00162C61" w:rsidP="002E3DF9">
      <w:pPr>
        <w:widowControl/>
      </w:pPr>
      <w:r w:rsidRPr="00E74F20">
        <w:t>Section 4322 of USERRA authorizes the Secretary of Labor (through the Veterans’ Employment and Training Service) to investigate claims by individuals who believe their USERRA rights have been violated.  Section 3 of the VEOA provides the Secretary of Labor similar authority to investigate complaints brought by preference eligibles.  The collection instrument completed by claimants contains much of the information needed for the Department to determine initial eligibility of the claimant.</w:t>
      </w:r>
      <w:bookmarkStart w:id="0" w:name="a_1"/>
      <w:bookmarkEnd w:id="0"/>
    </w:p>
    <w:p w:rsidR="00162C61" w:rsidRPr="00E74F20" w:rsidRDefault="00162C61" w:rsidP="002E3DF9">
      <w:pPr>
        <w:widowControl/>
      </w:pPr>
    </w:p>
    <w:p w:rsidR="00162C61" w:rsidRPr="00E74F20" w:rsidRDefault="00162C61" w:rsidP="002E3DF9">
      <w:pPr>
        <w:widowControl/>
        <w:outlineLvl w:val="0"/>
        <w:rPr>
          <w:b/>
          <w:bCs/>
        </w:rPr>
      </w:pPr>
      <w:r w:rsidRPr="00E74F20">
        <w:rPr>
          <w:b/>
          <w:bCs/>
        </w:rPr>
        <w:t>2.</w:t>
      </w:r>
      <w:r w:rsidRPr="00E74F20">
        <w:tab/>
      </w:r>
      <w:r w:rsidRPr="00E74F20">
        <w:rPr>
          <w:b/>
        </w:rPr>
        <w:t>Use of Information Collected</w:t>
      </w:r>
      <w:r w:rsidRPr="00E74F20">
        <w:t xml:space="preserve"> </w:t>
      </w:r>
    </w:p>
    <w:p w:rsidR="00162C61" w:rsidRPr="00E74F20" w:rsidRDefault="00162C61" w:rsidP="002E3DF9">
      <w:pPr>
        <w:widowControl/>
        <w:rPr>
          <w:b/>
          <w:bCs/>
        </w:rPr>
      </w:pPr>
    </w:p>
    <w:p w:rsidR="00162C61" w:rsidRPr="00E74F20" w:rsidRDefault="00162C61" w:rsidP="002E3DF9">
      <w:pPr>
        <w:widowControl/>
      </w:pPr>
      <w:r w:rsidRPr="00E74F20">
        <w:t xml:space="preserve">The information on the VETS/USERRA/VP Form 1010 (VETS-1010 Form)  is used by the Veteran’s Employment and Training Service (VETS) to determine eligibility and serves as an official notification that the claimant requested assistance in obtaining rights under VP or USERRA.  Detailed items on the form describe the employment relationship with the employer involved in the claim.  The information collected is essential to VETS in meeting its statutory mandate.   </w:t>
      </w:r>
    </w:p>
    <w:p w:rsidR="00162C61" w:rsidRPr="00E74F20" w:rsidRDefault="00162C61" w:rsidP="002E3DF9">
      <w:pPr>
        <w:widowControl/>
      </w:pPr>
    </w:p>
    <w:p w:rsidR="00162C61" w:rsidRPr="00E74F20" w:rsidRDefault="00162C61" w:rsidP="002E3DF9">
      <w:pPr>
        <w:widowControl/>
        <w:outlineLvl w:val="0"/>
        <w:rPr>
          <w:b/>
          <w:bCs/>
        </w:rPr>
      </w:pPr>
      <w:r w:rsidRPr="00E74F20">
        <w:rPr>
          <w:b/>
          <w:bCs/>
        </w:rPr>
        <w:t>3.</w:t>
      </w:r>
      <w:r w:rsidRPr="00E74F20">
        <w:rPr>
          <w:b/>
          <w:bCs/>
        </w:rPr>
        <w:tab/>
        <w:t>Use of Information Technology</w:t>
      </w:r>
    </w:p>
    <w:p w:rsidR="00162C61" w:rsidRPr="00E74F20" w:rsidRDefault="00162C61" w:rsidP="002E3DF9">
      <w:pPr>
        <w:widowControl/>
      </w:pPr>
    </w:p>
    <w:p w:rsidR="00162C61" w:rsidRPr="00E74F20" w:rsidRDefault="00162C61" w:rsidP="002E3DF9">
      <w:pPr>
        <w:widowControl/>
      </w:pPr>
      <w:r w:rsidRPr="00E74F20">
        <w:t>In order to comply with the Government Paperwork Elimination Act (GPEA) claimants have the option of submitting the report electronically.  The VETS-1010 Form can be submitted in paper form, by FAX or electronically using the Web.  The Web site allows a claimant to enter information and electronically transmit the claim to VETS.  VETS assigns an investigator and the claimant receives an e-mail conformation notice.  In Fiscal Year (FY) 2009, 62 percent of the USERRA cases and 74 percent of the VP cases were filed electronically.  Electronic submission of the VETS-1010 reduces the amount of time required by Federal staff to enter information from a hardcopy thus streamlining the claims process.</w:t>
      </w:r>
    </w:p>
    <w:p w:rsidR="00162C61" w:rsidRPr="00E74F20" w:rsidRDefault="00162C61" w:rsidP="002E3DF9">
      <w:pPr>
        <w:widowControl/>
        <w:rPr>
          <w:b/>
          <w:bCs/>
        </w:rPr>
      </w:pPr>
    </w:p>
    <w:p w:rsidR="00162C61" w:rsidRPr="00E74F20" w:rsidRDefault="00162C61" w:rsidP="002E3DF9">
      <w:pPr>
        <w:widowControl/>
        <w:outlineLvl w:val="0"/>
        <w:rPr>
          <w:b/>
          <w:bCs/>
        </w:rPr>
      </w:pPr>
      <w:r w:rsidRPr="00E74F20">
        <w:rPr>
          <w:b/>
          <w:bCs/>
        </w:rPr>
        <w:t>4.</w:t>
      </w:r>
      <w:r w:rsidRPr="00E74F20">
        <w:rPr>
          <w:b/>
          <w:bCs/>
        </w:rPr>
        <w:tab/>
        <w:t>Description of Efforts to Identify Duplication</w:t>
      </w:r>
    </w:p>
    <w:p w:rsidR="00162C61" w:rsidRPr="00E74F20" w:rsidRDefault="00162C61" w:rsidP="002E3DF9">
      <w:pPr>
        <w:widowControl/>
      </w:pPr>
    </w:p>
    <w:p w:rsidR="00162C61" w:rsidRPr="00E74F20" w:rsidRDefault="00162C61" w:rsidP="002E3DF9">
      <w:pPr>
        <w:widowControl/>
      </w:pPr>
      <w:r w:rsidRPr="00E74F20">
        <w:t xml:space="preserve">The information is submitted by the claimant and is unique and not kept by other known agencies.  </w:t>
      </w:r>
    </w:p>
    <w:p w:rsidR="00162C61" w:rsidRPr="00E74F20" w:rsidRDefault="00162C61" w:rsidP="002E3DF9">
      <w:pPr>
        <w:widowControl/>
      </w:pPr>
    </w:p>
    <w:p w:rsidR="00162C61" w:rsidRPr="00E74F20" w:rsidRDefault="00162C61" w:rsidP="002E3DF9">
      <w:pPr>
        <w:widowControl/>
        <w:outlineLvl w:val="0"/>
        <w:rPr>
          <w:b/>
          <w:bCs/>
        </w:rPr>
      </w:pPr>
      <w:r w:rsidRPr="00E74F20">
        <w:rPr>
          <w:b/>
          <w:bCs/>
        </w:rPr>
        <w:t>5.</w:t>
      </w:r>
      <w:r w:rsidRPr="00E74F20">
        <w:rPr>
          <w:b/>
          <w:bCs/>
        </w:rPr>
        <w:tab/>
        <w:t xml:space="preserve">Collection of Information Impact on Small Businesses or Other Entities </w:t>
      </w:r>
    </w:p>
    <w:p w:rsidR="00162C61" w:rsidRPr="00E74F20" w:rsidRDefault="00162C61" w:rsidP="002E3DF9">
      <w:pPr>
        <w:widowControl/>
        <w:rPr>
          <w:b/>
          <w:bCs/>
        </w:rPr>
      </w:pPr>
    </w:p>
    <w:p w:rsidR="00162C61" w:rsidRPr="00E74F20" w:rsidRDefault="00162C61" w:rsidP="002E3DF9">
      <w:pPr>
        <w:widowControl/>
      </w:pPr>
      <w:r w:rsidRPr="00E74F20">
        <w:t>The collection of information has no impact on small business</w:t>
      </w:r>
    </w:p>
    <w:p w:rsidR="00162C61" w:rsidRPr="00E74F20" w:rsidRDefault="00162C61" w:rsidP="002E3DF9">
      <w:pPr>
        <w:widowControl/>
      </w:pPr>
    </w:p>
    <w:p w:rsidR="00162C61" w:rsidRPr="00E74F20" w:rsidRDefault="00162C61" w:rsidP="002E3DF9">
      <w:pPr>
        <w:widowControl/>
        <w:outlineLvl w:val="0"/>
        <w:rPr>
          <w:b/>
          <w:bCs/>
        </w:rPr>
      </w:pPr>
      <w:r w:rsidRPr="00E74F20">
        <w:rPr>
          <w:b/>
          <w:bCs/>
        </w:rPr>
        <w:t>6.</w:t>
      </w:r>
      <w:r w:rsidRPr="00E74F20">
        <w:tab/>
      </w:r>
      <w:r w:rsidRPr="00E74F20">
        <w:rPr>
          <w:b/>
        </w:rPr>
        <w:t>Consequences to Federal Programs If Information Were Collected Less Frequently</w:t>
      </w:r>
    </w:p>
    <w:p w:rsidR="00162C61" w:rsidRPr="00E74F20" w:rsidRDefault="00162C61" w:rsidP="002E3DF9">
      <w:pPr>
        <w:widowControl/>
        <w:rPr>
          <w:b/>
          <w:bCs/>
        </w:rPr>
      </w:pPr>
    </w:p>
    <w:p w:rsidR="00162C61" w:rsidRPr="00E74F20" w:rsidRDefault="00162C61" w:rsidP="002E3DF9">
      <w:pPr>
        <w:widowControl/>
      </w:pPr>
      <w:r w:rsidRPr="00E74F20">
        <w:t>The collection of information is made at the time a claimant alleges that his/her USERRA or VP rights have been violated.  Therefore, the question of frequency of collection is not relevant.</w:t>
      </w:r>
    </w:p>
    <w:p w:rsidR="00162C61" w:rsidRPr="00E74F20" w:rsidRDefault="00162C61" w:rsidP="002E3DF9">
      <w:pPr>
        <w:widowControl/>
      </w:pPr>
    </w:p>
    <w:p w:rsidR="00162C61" w:rsidRPr="00E74F20" w:rsidRDefault="00162C61" w:rsidP="002E3DF9">
      <w:pPr>
        <w:widowControl/>
        <w:outlineLvl w:val="0"/>
        <w:rPr>
          <w:b/>
          <w:bCs/>
        </w:rPr>
      </w:pPr>
      <w:r w:rsidRPr="00E74F20">
        <w:rPr>
          <w:b/>
          <w:bCs/>
        </w:rPr>
        <w:t>7.</w:t>
      </w:r>
      <w:r w:rsidRPr="00E74F20">
        <w:rPr>
          <w:b/>
          <w:bCs/>
        </w:rPr>
        <w:tab/>
        <w:t xml:space="preserve">Special Circumstances for the Collection of Information </w:t>
      </w:r>
    </w:p>
    <w:p w:rsidR="00162C61" w:rsidRPr="00E74F20" w:rsidRDefault="00162C61" w:rsidP="002E3DF9">
      <w:pPr>
        <w:widowControl/>
        <w:rPr>
          <w:b/>
          <w:bCs/>
        </w:rPr>
      </w:pPr>
    </w:p>
    <w:p w:rsidR="00162C61" w:rsidRPr="00E74F20" w:rsidRDefault="00162C61" w:rsidP="002E3DF9">
      <w:pPr>
        <w:widowControl/>
      </w:pPr>
      <w:r w:rsidRPr="00E74F20">
        <w:t>This collection will not be conducted in a manner inconsistent with 5 CFR 1320.5.</w:t>
      </w:r>
    </w:p>
    <w:p w:rsidR="00162C61" w:rsidRPr="00E74F20" w:rsidRDefault="00162C61" w:rsidP="002E3DF9">
      <w:pPr>
        <w:widowControl/>
      </w:pPr>
    </w:p>
    <w:p w:rsidR="00162C61" w:rsidRPr="00E74F20" w:rsidRDefault="00162C61" w:rsidP="002E3DF9">
      <w:pPr>
        <w:widowControl/>
        <w:outlineLvl w:val="0"/>
      </w:pPr>
      <w:r w:rsidRPr="00E74F20">
        <w:rPr>
          <w:b/>
          <w:bCs/>
        </w:rPr>
        <w:t>8.</w:t>
      </w:r>
      <w:r w:rsidRPr="00E74F20">
        <w:tab/>
      </w:r>
      <w:r w:rsidRPr="00E74F20">
        <w:rPr>
          <w:b/>
        </w:rPr>
        <w:t>Solicitation of Public Comments on the Collection of Information</w:t>
      </w:r>
      <w:r w:rsidRPr="00E74F20">
        <w:t xml:space="preserve"> </w:t>
      </w:r>
    </w:p>
    <w:p w:rsidR="00162C61" w:rsidRPr="00E74F20" w:rsidRDefault="00162C61" w:rsidP="002E3DF9">
      <w:pPr>
        <w:widowControl/>
        <w:rPr>
          <w:b/>
          <w:bCs/>
          <w:highlight w:val="yellow"/>
        </w:rPr>
      </w:pPr>
    </w:p>
    <w:p w:rsidR="00162C61" w:rsidRPr="00E74F20" w:rsidRDefault="00162C61" w:rsidP="002E3DF9">
      <w:pPr>
        <w:widowControl/>
      </w:pPr>
      <w:r w:rsidRPr="00E74F20">
        <w:rPr>
          <w:bCs/>
        </w:rPr>
        <w:t xml:space="preserve">VETS published a Federal Register Notice on March 9, 2010 Volume, 75, Number 45, Page10821-10822, providing a period of 60 days for the public to submit comments </w:t>
      </w:r>
      <w:r w:rsidRPr="00E74F20">
        <w:t>on the proposal to revise the information collection request that is currently approved under OMB Control No. 1293-0002 (VETS-1010 Form) to include the burden associated with the VETS-1010 Form.  VETS received no comment during the 60-day open period.</w:t>
      </w:r>
    </w:p>
    <w:p w:rsidR="00162C61" w:rsidRPr="00E74F20" w:rsidRDefault="00162C61" w:rsidP="002E3DF9">
      <w:pPr>
        <w:widowControl/>
      </w:pPr>
    </w:p>
    <w:p w:rsidR="00162C61" w:rsidRPr="00E74F20" w:rsidRDefault="00162C61" w:rsidP="002E3DF9">
      <w:pPr>
        <w:widowControl/>
        <w:outlineLvl w:val="0"/>
        <w:rPr>
          <w:b/>
          <w:bCs/>
        </w:rPr>
      </w:pPr>
      <w:r w:rsidRPr="00E74F20">
        <w:rPr>
          <w:b/>
          <w:bCs/>
        </w:rPr>
        <w:t>9.</w:t>
      </w:r>
      <w:r w:rsidRPr="00E74F20">
        <w:tab/>
      </w:r>
      <w:r w:rsidRPr="00E74F20">
        <w:rPr>
          <w:b/>
        </w:rPr>
        <w:t xml:space="preserve">Gift </w:t>
      </w:r>
      <w:r w:rsidRPr="00E74F20">
        <w:rPr>
          <w:b/>
          <w:bCs/>
        </w:rPr>
        <w:t>Giving</w:t>
      </w:r>
    </w:p>
    <w:p w:rsidR="00162C61" w:rsidRPr="00E74F20" w:rsidRDefault="00162C61" w:rsidP="002E3DF9">
      <w:pPr>
        <w:widowControl/>
      </w:pPr>
    </w:p>
    <w:p w:rsidR="00162C61" w:rsidRPr="00E74F20" w:rsidRDefault="00162C61" w:rsidP="002E3DF9">
      <w:pPr>
        <w:widowControl/>
        <w:outlineLvl w:val="0"/>
      </w:pPr>
      <w:r w:rsidRPr="00E74F20">
        <w:t>There is no decision, nor is one contemplated, to provide any payment or gift to claimant.</w:t>
      </w:r>
    </w:p>
    <w:p w:rsidR="00162C61" w:rsidRPr="00E74F20" w:rsidRDefault="00162C61" w:rsidP="002E3DF9">
      <w:pPr>
        <w:widowControl/>
      </w:pPr>
    </w:p>
    <w:p w:rsidR="00162C61" w:rsidRPr="00E74F20" w:rsidRDefault="00162C61" w:rsidP="002E3DF9">
      <w:pPr>
        <w:widowControl/>
        <w:outlineLvl w:val="0"/>
        <w:rPr>
          <w:b/>
          <w:bCs/>
        </w:rPr>
      </w:pPr>
      <w:r w:rsidRPr="00E74F20">
        <w:rPr>
          <w:b/>
          <w:bCs/>
        </w:rPr>
        <w:t>10.</w:t>
      </w:r>
      <w:r w:rsidRPr="00E74F20">
        <w:tab/>
      </w:r>
      <w:r w:rsidRPr="00E74F20">
        <w:rPr>
          <w:b/>
        </w:rPr>
        <w:t>Assurance of Confidentiality</w:t>
      </w:r>
    </w:p>
    <w:p w:rsidR="00162C61" w:rsidRPr="00E74F20" w:rsidRDefault="00162C61" w:rsidP="002E3DF9">
      <w:pPr>
        <w:widowControl/>
        <w:rPr>
          <w:b/>
          <w:bCs/>
        </w:rPr>
      </w:pPr>
    </w:p>
    <w:p w:rsidR="00162C61" w:rsidRPr="00E74F20" w:rsidRDefault="00162C61" w:rsidP="002E3DF9">
      <w:pPr>
        <w:widowControl/>
      </w:pPr>
      <w:r w:rsidRPr="00E74F20">
        <w:t>All claimants are informed clearly that they must use the VETS-1010 Form when filing a USERRA claim.  The form authorizes VETS staff to contact their employer.  The VETS-1010 Form indicates that he/she wishes the employer to be contacted.  Further, the entire contents of a USERRA and VP investigative file are subject to the Privacy Act and the Freedom of Information Act disclosure, as appropriate.</w:t>
      </w:r>
    </w:p>
    <w:p w:rsidR="00162C61" w:rsidRPr="00E74F20" w:rsidRDefault="00162C61" w:rsidP="002E3DF9">
      <w:pPr>
        <w:widowControl/>
      </w:pPr>
    </w:p>
    <w:p w:rsidR="00162C61" w:rsidRPr="00E74F20" w:rsidRDefault="00162C61" w:rsidP="002E3DF9">
      <w:pPr>
        <w:widowControl/>
        <w:outlineLvl w:val="0"/>
        <w:rPr>
          <w:b/>
          <w:bCs/>
        </w:rPr>
      </w:pPr>
      <w:r w:rsidRPr="00E74F20">
        <w:rPr>
          <w:b/>
          <w:bCs/>
        </w:rPr>
        <w:t>11.</w:t>
      </w:r>
      <w:r w:rsidRPr="00E74F20">
        <w:rPr>
          <w:b/>
          <w:bCs/>
        </w:rPr>
        <w:tab/>
        <w:t>Sensitive Questions</w:t>
      </w:r>
    </w:p>
    <w:p w:rsidR="00162C61" w:rsidRPr="00E74F20" w:rsidRDefault="00162C61" w:rsidP="002E3DF9">
      <w:pPr>
        <w:widowControl/>
      </w:pPr>
    </w:p>
    <w:p w:rsidR="00162C61" w:rsidRPr="00E74F20" w:rsidRDefault="00162C61" w:rsidP="002E3DF9">
      <w:pPr>
        <w:widowControl/>
      </w:pPr>
      <w:r w:rsidRPr="00E74F20">
        <w:t>No questions of a sensitive nature are asked on the form.  During case processing, it is possible that medical information related to the person’s service-connected injuries could be asked.  The form asks if the claimant has a service-connected disability, however the response is limited to a “yes” or ‘no.”  VETS is required by statute to report aggregate information to Congress on the proportion of USERRA claimants with service-connected disabilities.</w:t>
      </w:r>
    </w:p>
    <w:p w:rsidR="00162C61" w:rsidRPr="00E74F20" w:rsidRDefault="00162C61" w:rsidP="002E3DF9">
      <w:pPr>
        <w:widowControl/>
        <w:outlineLvl w:val="0"/>
      </w:pPr>
      <w:r w:rsidRPr="00E74F20">
        <w:t>.</w:t>
      </w:r>
    </w:p>
    <w:p w:rsidR="00162C61" w:rsidRPr="00E74F20" w:rsidRDefault="00162C61" w:rsidP="002E3DF9">
      <w:pPr>
        <w:widowControl/>
        <w:tabs>
          <w:tab w:val="left" w:pos="-1440"/>
        </w:tabs>
        <w:ind w:hanging="720"/>
        <w:outlineLvl w:val="0"/>
        <w:rPr>
          <w:b/>
          <w:bCs/>
        </w:rPr>
      </w:pPr>
      <w:r w:rsidRPr="00E74F20">
        <w:rPr>
          <w:b/>
          <w:bCs/>
        </w:rPr>
        <w:tab/>
        <w:t>12.</w:t>
      </w:r>
      <w:r w:rsidRPr="00E74F20">
        <w:rPr>
          <w:b/>
          <w:bCs/>
        </w:rPr>
        <w:tab/>
        <w:t xml:space="preserve">Estimate of the Hour Burden for the Collection of Information </w:t>
      </w:r>
    </w:p>
    <w:p w:rsidR="00162C61" w:rsidRPr="00E74F20" w:rsidRDefault="00162C61" w:rsidP="002E3DF9">
      <w:pPr>
        <w:widowControl/>
        <w:rPr>
          <w:bCs/>
        </w:rPr>
      </w:pPr>
    </w:p>
    <w:p w:rsidR="00162C61" w:rsidRPr="00E74F20" w:rsidRDefault="00162C61" w:rsidP="002E3DF9">
      <w:pPr>
        <w:pStyle w:val="Default"/>
        <w:jc w:val="both"/>
      </w:pPr>
      <w:r w:rsidRPr="00E74F20">
        <w:t>VETS estimates that DOL will receive approximately 2,500 VETS-1010 Forms annually.  The total burden is estimated to be approximately 1,250 hours per year.</w:t>
      </w:r>
      <w:r>
        <w:t xml:space="preserve">  </w:t>
      </w:r>
      <w:r w:rsidRPr="00E74F20">
        <w:t xml:space="preserve">(30 minutes x 2,500 responses = 1,250 Burden Hours.)  The projected hours per response for this collection of information were derived by first breaking the process into two basic components: </w:t>
      </w:r>
    </w:p>
    <w:p w:rsidR="00162C61" w:rsidRPr="00E74F20" w:rsidRDefault="00162C61" w:rsidP="002E3DF9">
      <w:pPr>
        <w:pStyle w:val="Default"/>
        <w:numPr>
          <w:ilvl w:val="0"/>
          <w:numId w:val="3"/>
        </w:numPr>
        <w:jc w:val="both"/>
      </w:pPr>
      <w:r w:rsidRPr="00E74F20">
        <w:t xml:space="preserve">Collecting the necessary supporting documents: 10 minutes </w:t>
      </w:r>
    </w:p>
    <w:p w:rsidR="00162C61" w:rsidRDefault="00162C61" w:rsidP="002E3DF9">
      <w:pPr>
        <w:pStyle w:val="Default"/>
        <w:numPr>
          <w:ilvl w:val="0"/>
          <w:numId w:val="3"/>
        </w:numPr>
        <w:jc w:val="both"/>
      </w:pPr>
      <w:r w:rsidRPr="00E74F20">
        <w:t>Completion of the Form: 20 minutes</w:t>
      </w:r>
    </w:p>
    <w:p w:rsidR="00162C61" w:rsidRPr="00E74F20" w:rsidRDefault="00162C61" w:rsidP="002E3DF9">
      <w:pPr>
        <w:pStyle w:val="Default"/>
        <w:numPr>
          <w:ilvl w:val="0"/>
          <w:numId w:val="3"/>
        </w:numPr>
        <w:jc w:val="both"/>
      </w:pPr>
      <w:r w:rsidRPr="00E74F20">
        <w:t>Total Hours per Response: 30 minutes</w:t>
      </w:r>
    </w:p>
    <w:p w:rsidR="00162C61" w:rsidRPr="00E74F20" w:rsidRDefault="00162C61" w:rsidP="002E3DF9">
      <w:pPr>
        <w:widowControl/>
        <w:rPr>
          <w:bCs/>
        </w:rPr>
      </w:pPr>
    </w:p>
    <w:p w:rsidR="00162C61" w:rsidRPr="00E74F20" w:rsidRDefault="00162C61" w:rsidP="002E3DF9">
      <w:pPr>
        <w:widowControl/>
      </w:pPr>
      <w:r w:rsidRPr="00E74F20">
        <w:rPr>
          <w:bCs/>
        </w:rPr>
        <w:t>The</w:t>
      </w:r>
      <w:r>
        <w:rPr>
          <w:bCs/>
        </w:rPr>
        <w:t xml:space="preserve"> use of electronic submission (I</w:t>
      </w:r>
      <w:r w:rsidRPr="00E74F20">
        <w:rPr>
          <w:bCs/>
        </w:rPr>
        <w:t>nternet) takes about the same amount of time it takes as for a claimant to submit a hardcopy VETS-1010 Form.  The agency estimates that it takes one half-hour (30 minutes) to submit the VETS-1010 Form.  In FY 2009, 62 percent of the USERRA cases were filed electronically and 74 percent of the VP cases were filed electronically.</w:t>
      </w:r>
    </w:p>
    <w:p w:rsidR="00162C61" w:rsidRPr="00E74F20" w:rsidRDefault="00162C61" w:rsidP="002E3DF9">
      <w:pPr>
        <w:widowControl/>
        <w:jc w:val="center"/>
        <w:outlineLvl w:val="0"/>
      </w:pPr>
      <w:r w:rsidRPr="00E74F20">
        <w:br w:type="page"/>
        <w:t>Estimated Annual Burden Hours Table in FY 2009</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1170"/>
        <w:gridCol w:w="1170"/>
        <w:gridCol w:w="1890"/>
      </w:tblGrid>
      <w:tr w:rsidR="00162C61" w:rsidRPr="00E74F20" w:rsidTr="008A0A7C">
        <w:tc>
          <w:tcPr>
            <w:tcW w:w="4500" w:type="dxa"/>
          </w:tcPr>
          <w:p w:rsidR="00162C61" w:rsidRPr="00E74F20" w:rsidRDefault="00162C61" w:rsidP="002E3DF9">
            <w:pPr>
              <w:widowControl/>
            </w:pPr>
          </w:p>
        </w:tc>
        <w:tc>
          <w:tcPr>
            <w:tcW w:w="1170" w:type="dxa"/>
          </w:tcPr>
          <w:p w:rsidR="00162C61" w:rsidRPr="00E74F20" w:rsidRDefault="00162C61" w:rsidP="002E3DF9">
            <w:pPr>
              <w:widowControl/>
              <w:jc w:val="center"/>
            </w:pPr>
            <w:r w:rsidRPr="00E74F20">
              <w:t>USERRA</w:t>
            </w:r>
          </w:p>
        </w:tc>
        <w:tc>
          <w:tcPr>
            <w:tcW w:w="1170" w:type="dxa"/>
          </w:tcPr>
          <w:p w:rsidR="00162C61" w:rsidRPr="00E74F20" w:rsidRDefault="00162C61" w:rsidP="002E3DF9">
            <w:pPr>
              <w:widowControl/>
              <w:jc w:val="center"/>
            </w:pPr>
            <w:r w:rsidRPr="00E74F20">
              <w:t>VP</w:t>
            </w:r>
          </w:p>
        </w:tc>
        <w:tc>
          <w:tcPr>
            <w:tcW w:w="1890" w:type="dxa"/>
          </w:tcPr>
          <w:p w:rsidR="00162C61" w:rsidRPr="00E74F20" w:rsidRDefault="00162C61" w:rsidP="002E3DF9">
            <w:pPr>
              <w:widowControl/>
              <w:jc w:val="center"/>
            </w:pPr>
            <w:r w:rsidRPr="00E74F20">
              <w:t>Total Forms</w:t>
            </w:r>
          </w:p>
        </w:tc>
      </w:tr>
      <w:tr w:rsidR="00162C61" w:rsidRPr="00E74F20" w:rsidTr="008A0A7C">
        <w:tc>
          <w:tcPr>
            <w:tcW w:w="4500" w:type="dxa"/>
          </w:tcPr>
          <w:p w:rsidR="00162C61" w:rsidRPr="00E74F20" w:rsidRDefault="00162C61" w:rsidP="002E3DF9">
            <w:pPr>
              <w:widowControl/>
              <w:rPr>
                <w:b/>
              </w:rPr>
            </w:pPr>
            <w:r w:rsidRPr="00E74F20">
              <w:rPr>
                <w:b/>
              </w:rPr>
              <w:t>Total Number of VETS-1010 Forms Filed</w:t>
            </w:r>
          </w:p>
        </w:tc>
        <w:tc>
          <w:tcPr>
            <w:tcW w:w="1170" w:type="dxa"/>
          </w:tcPr>
          <w:p w:rsidR="00162C61" w:rsidRPr="00E74F20" w:rsidRDefault="00162C61" w:rsidP="002E3DF9">
            <w:pPr>
              <w:widowControl/>
              <w:jc w:val="right"/>
              <w:rPr>
                <w:b/>
              </w:rPr>
            </w:pPr>
            <w:r w:rsidRPr="00E74F20">
              <w:rPr>
                <w:b/>
              </w:rPr>
              <w:t>1,600</w:t>
            </w:r>
          </w:p>
        </w:tc>
        <w:tc>
          <w:tcPr>
            <w:tcW w:w="1170" w:type="dxa"/>
          </w:tcPr>
          <w:p w:rsidR="00162C61" w:rsidRPr="00E74F20" w:rsidRDefault="00162C61" w:rsidP="002E3DF9">
            <w:pPr>
              <w:widowControl/>
              <w:jc w:val="right"/>
              <w:rPr>
                <w:b/>
              </w:rPr>
            </w:pPr>
            <w:r w:rsidRPr="00E74F20">
              <w:rPr>
                <w:b/>
              </w:rPr>
              <w:t>900</w:t>
            </w:r>
          </w:p>
        </w:tc>
        <w:tc>
          <w:tcPr>
            <w:tcW w:w="1890" w:type="dxa"/>
          </w:tcPr>
          <w:p w:rsidR="00162C61" w:rsidRPr="00E74F20" w:rsidRDefault="00162C61" w:rsidP="002E3DF9">
            <w:pPr>
              <w:widowControl/>
              <w:jc w:val="right"/>
              <w:rPr>
                <w:b/>
              </w:rPr>
            </w:pPr>
            <w:r w:rsidRPr="00E74F20">
              <w:rPr>
                <w:b/>
              </w:rPr>
              <w:t>2,500</w:t>
            </w:r>
          </w:p>
        </w:tc>
      </w:tr>
      <w:tr w:rsidR="00162C61" w:rsidRPr="00E74F20" w:rsidTr="008A0A7C">
        <w:tc>
          <w:tcPr>
            <w:tcW w:w="4500" w:type="dxa"/>
          </w:tcPr>
          <w:p w:rsidR="00162C61" w:rsidRPr="00E74F20" w:rsidRDefault="00162C61" w:rsidP="002E3DF9">
            <w:pPr>
              <w:widowControl/>
            </w:pPr>
            <w:r w:rsidRPr="00E74F20">
              <w:t xml:space="preserve">  Percent of Paper Forms </w:t>
            </w:r>
          </w:p>
        </w:tc>
        <w:tc>
          <w:tcPr>
            <w:tcW w:w="1170" w:type="dxa"/>
          </w:tcPr>
          <w:p w:rsidR="00162C61" w:rsidRPr="00E74F20" w:rsidRDefault="00162C61" w:rsidP="002E3DF9">
            <w:pPr>
              <w:widowControl/>
            </w:pPr>
            <w:r w:rsidRPr="00E74F20">
              <w:t>38%</w:t>
            </w:r>
          </w:p>
        </w:tc>
        <w:tc>
          <w:tcPr>
            <w:tcW w:w="1170" w:type="dxa"/>
          </w:tcPr>
          <w:p w:rsidR="00162C61" w:rsidRPr="00E74F20" w:rsidRDefault="00162C61" w:rsidP="002E3DF9">
            <w:pPr>
              <w:widowControl/>
            </w:pPr>
            <w:r w:rsidRPr="00E74F20">
              <w:t>26%</w:t>
            </w:r>
          </w:p>
        </w:tc>
        <w:tc>
          <w:tcPr>
            <w:tcW w:w="1890" w:type="dxa"/>
          </w:tcPr>
          <w:p w:rsidR="00162C61" w:rsidRPr="00E74F20" w:rsidRDefault="00162C61" w:rsidP="002E3DF9">
            <w:pPr>
              <w:widowControl/>
              <w:jc w:val="right"/>
            </w:pPr>
            <w:r w:rsidRPr="00E74F20">
              <w:t>-</w:t>
            </w:r>
          </w:p>
        </w:tc>
      </w:tr>
      <w:tr w:rsidR="00162C61" w:rsidRPr="00E74F20" w:rsidTr="008A0A7C">
        <w:tc>
          <w:tcPr>
            <w:tcW w:w="4500" w:type="dxa"/>
          </w:tcPr>
          <w:p w:rsidR="00162C61" w:rsidRPr="00E74F20" w:rsidRDefault="00162C61" w:rsidP="002E3DF9">
            <w:pPr>
              <w:widowControl/>
            </w:pPr>
            <w:r w:rsidRPr="00E74F20">
              <w:t xml:space="preserve">     Number of Paper Forms</w:t>
            </w:r>
          </w:p>
        </w:tc>
        <w:tc>
          <w:tcPr>
            <w:tcW w:w="1170" w:type="dxa"/>
          </w:tcPr>
          <w:p w:rsidR="00162C61" w:rsidRPr="00E74F20" w:rsidRDefault="00162C61" w:rsidP="002E3DF9">
            <w:pPr>
              <w:widowControl/>
              <w:jc w:val="right"/>
            </w:pPr>
            <w:r w:rsidRPr="00E74F20">
              <w:t>608</w:t>
            </w:r>
          </w:p>
        </w:tc>
        <w:tc>
          <w:tcPr>
            <w:tcW w:w="1170" w:type="dxa"/>
          </w:tcPr>
          <w:p w:rsidR="00162C61" w:rsidRPr="00E74F20" w:rsidRDefault="00162C61" w:rsidP="002E3DF9">
            <w:pPr>
              <w:widowControl/>
              <w:jc w:val="right"/>
            </w:pPr>
            <w:r w:rsidRPr="00E74F20">
              <w:t>234</w:t>
            </w:r>
          </w:p>
        </w:tc>
        <w:tc>
          <w:tcPr>
            <w:tcW w:w="1890" w:type="dxa"/>
          </w:tcPr>
          <w:p w:rsidR="00162C61" w:rsidRPr="00E74F20" w:rsidRDefault="00162C61" w:rsidP="002E3DF9">
            <w:pPr>
              <w:widowControl/>
              <w:jc w:val="right"/>
            </w:pPr>
            <w:r w:rsidRPr="00E74F20">
              <w:t>842</w:t>
            </w:r>
          </w:p>
        </w:tc>
      </w:tr>
      <w:tr w:rsidR="00162C61" w:rsidRPr="00E74F20" w:rsidTr="008A0A7C">
        <w:tc>
          <w:tcPr>
            <w:tcW w:w="4500" w:type="dxa"/>
          </w:tcPr>
          <w:p w:rsidR="00162C61" w:rsidRPr="00E74F20" w:rsidRDefault="00162C61" w:rsidP="002E3DF9">
            <w:pPr>
              <w:widowControl/>
            </w:pPr>
            <w:r w:rsidRPr="00E74F20">
              <w:t xml:space="preserve">  Percent of  Electronic Forms</w:t>
            </w:r>
          </w:p>
        </w:tc>
        <w:tc>
          <w:tcPr>
            <w:tcW w:w="1170" w:type="dxa"/>
          </w:tcPr>
          <w:p w:rsidR="00162C61" w:rsidRPr="00E74F20" w:rsidRDefault="00162C61" w:rsidP="002E3DF9">
            <w:pPr>
              <w:widowControl/>
            </w:pPr>
            <w:r w:rsidRPr="00E74F20">
              <w:t>62%</w:t>
            </w:r>
          </w:p>
        </w:tc>
        <w:tc>
          <w:tcPr>
            <w:tcW w:w="1170" w:type="dxa"/>
          </w:tcPr>
          <w:p w:rsidR="00162C61" w:rsidRPr="00E74F20" w:rsidRDefault="00162C61" w:rsidP="002E3DF9">
            <w:pPr>
              <w:widowControl/>
            </w:pPr>
            <w:r w:rsidRPr="00E74F20">
              <w:t>74%</w:t>
            </w:r>
          </w:p>
        </w:tc>
        <w:tc>
          <w:tcPr>
            <w:tcW w:w="1890" w:type="dxa"/>
          </w:tcPr>
          <w:p w:rsidR="00162C61" w:rsidRPr="00E74F20" w:rsidRDefault="00162C61" w:rsidP="002E3DF9">
            <w:pPr>
              <w:widowControl/>
              <w:jc w:val="right"/>
            </w:pPr>
            <w:r w:rsidRPr="00E74F20">
              <w:t>-</w:t>
            </w:r>
          </w:p>
        </w:tc>
      </w:tr>
      <w:tr w:rsidR="00162C61" w:rsidRPr="00E74F20" w:rsidTr="008A0A7C">
        <w:tc>
          <w:tcPr>
            <w:tcW w:w="4500" w:type="dxa"/>
          </w:tcPr>
          <w:p w:rsidR="00162C61" w:rsidRPr="00E74F20" w:rsidRDefault="00162C61" w:rsidP="002E3DF9">
            <w:pPr>
              <w:widowControl/>
            </w:pPr>
            <w:r w:rsidRPr="00E74F20">
              <w:t xml:space="preserve">     Number of Electronic Forms</w:t>
            </w:r>
          </w:p>
        </w:tc>
        <w:tc>
          <w:tcPr>
            <w:tcW w:w="1170" w:type="dxa"/>
          </w:tcPr>
          <w:p w:rsidR="00162C61" w:rsidRPr="00E74F20" w:rsidRDefault="00162C61" w:rsidP="002E3DF9">
            <w:pPr>
              <w:widowControl/>
              <w:jc w:val="right"/>
            </w:pPr>
            <w:r w:rsidRPr="00E74F20">
              <w:t>992</w:t>
            </w:r>
          </w:p>
        </w:tc>
        <w:tc>
          <w:tcPr>
            <w:tcW w:w="1170" w:type="dxa"/>
          </w:tcPr>
          <w:p w:rsidR="00162C61" w:rsidRPr="00E74F20" w:rsidRDefault="00162C61" w:rsidP="002E3DF9">
            <w:pPr>
              <w:widowControl/>
              <w:jc w:val="right"/>
            </w:pPr>
            <w:r w:rsidRPr="00E74F20">
              <w:t>666</w:t>
            </w:r>
          </w:p>
        </w:tc>
        <w:tc>
          <w:tcPr>
            <w:tcW w:w="1890" w:type="dxa"/>
          </w:tcPr>
          <w:p w:rsidR="00162C61" w:rsidRPr="00E74F20" w:rsidRDefault="00162C61" w:rsidP="002E3DF9">
            <w:pPr>
              <w:widowControl/>
              <w:jc w:val="right"/>
            </w:pPr>
            <w:r w:rsidRPr="00E74F20">
              <w:t>1,658</w:t>
            </w:r>
          </w:p>
        </w:tc>
      </w:tr>
      <w:tr w:rsidR="00162C61" w:rsidRPr="00E74F20" w:rsidTr="008A0A7C">
        <w:tc>
          <w:tcPr>
            <w:tcW w:w="4500" w:type="dxa"/>
          </w:tcPr>
          <w:p w:rsidR="00162C61" w:rsidRPr="00E74F20" w:rsidRDefault="00162C61" w:rsidP="002E3DF9">
            <w:pPr>
              <w:widowControl/>
              <w:rPr>
                <w:b/>
              </w:rPr>
            </w:pPr>
            <w:r w:rsidRPr="00E74F20">
              <w:rPr>
                <w:b/>
              </w:rPr>
              <w:t>Total Forms</w:t>
            </w:r>
          </w:p>
        </w:tc>
        <w:tc>
          <w:tcPr>
            <w:tcW w:w="1170" w:type="dxa"/>
          </w:tcPr>
          <w:p w:rsidR="00162C61" w:rsidRPr="00E74F20" w:rsidRDefault="00162C61" w:rsidP="002E3DF9">
            <w:pPr>
              <w:widowControl/>
              <w:jc w:val="right"/>
              <w:rPr>
                <w:b/>
              </w:rPr>
            </w:pPr>
            <w:r w:rsidRPr="00E74F20">
              <w:rPr>
                <w:b/>
              </w:rPr>
              <w:t>1,600</w:t>
            </w:r>
          </w:p>
        </w:tc>
        <w:tc>
          <w:tcPr>
            <w:tcW w:w="1170" w:type="dxa"/>
          </w:tcPr>
          <w:p w:rsidR="00162C61" w:rsidRPr="00E74F20" w:rsidRDefault="00162C61" w:rsidP="002E3DF9">
            <w:pPr>
              <w:widowControl/>
              <w:jc w:val="right"/>
              <w:rPr>
                <w:b/>
              </w:rPr>
            </w:pPr>
            <w:r w:rsidRPr="00E74F20">
              <w:rPr>
                <w:b/>
              </w:rPr>
              <w:t>900</w:t>
            </w:r>
          </w:p>
        </w:tc>
        <w:tc>
          <w:tcPr>
            <w:tcW w:w="1890" w:type="dxa"/>
          </w:tcPr>
          <w:p w:rsidR="00162C61" w:rsidRPr="00E74F20" w:rsidRDefault="00162C61" w:rsidP="002E3DF9">
            <w:pPr>
              <w:widowControl/>
              <w:jc w:val="right"/>
              <w:rPr>
                <w:b/>
              </w:rPr>
            </w:pPr>
            <w:r w:rsidRPr="00E74F20">
              <w:rPr>
                <w:b/>
              </w:rPr>
              <w:t>2,500</w:t>
            </w:r>
          </w:p>
        </w:tc>
      </w:tr>
      <w:tr w:rsidR="00162C61" w:rsidRPr="00E74F20" w:rsidTr="008A0A7C">
        <w:tc>
          <w:tcPr>
            <w:tcW w:w="4500" w:type="dxa"/>
          </w:tcPr>
          <w:p w:rsidR="00162C61" w:rsidRPr="00E74F20" w:rsidRDefault="00162C61" w:rsidP="002E3DF9">
            <w:pPr>
              <w:widowControl/>
              <w:rPr>
                <w:b/>
              </w:rPr>
            </w:pPr>
          </w:p>
        </w:tc>
        <w:tc>
          <w:tcPr>
            <w:tcW w:w="1170" w:type="dxa"/>
          </w:tcPr>
          <w:p w:rsidR="00162C61" w:rsidRPr="00E74F20" w:rsidRDefault="00162C61" w:rsidP="002E3DF9">
            <w:pPr>
              <w:widowControl/>
              <w:jc w:val="right"/>
              <w:rPr>
                <w:b/>
              </w:rPr>
            </w:pPr>
          </w:p>
        </w:tc>
        <w:tc>
          <w:tcPr>
            <w:tcW w:w="1170" w:type="dxa"/>
          </w:tcPr>
          <w:p w:rsidR="00162C61" w:rsidRPr="00E74F20" w:rsidRDefault="00162C61" w:rsidP="002E3DF9">
            <w:pPr>
              <w:widowControl/>
              <w:jc w:val="right"/>
              <w:rPr>
                <w:b/>
              </w:rPr>
            </w:pPr>
          </w:p>
        </w:tc>
        <w:tc>
          <w:tcPr>
            <w:tcW w:w="1890" w:type="dxa"/>
          </w:tcPr>
          <w:p w:rsidR="00162C61" w:rsidRPr="00E74F20" w:rsidRDefault="00162C61" w:rsidP="002E3DF9">
            <w:pPr>
              <w:widowControl/>
              <w:jc w:val="right"/>
              <w:rPr>
                <w:b/>
              </w:rPr>
            </w:pPr>
          </w:p>
        </w:tc>
      </w:tr>
      <w:tr w:rsidR="00162C61" w:rsidRPr="00E74F20" w:rsidTr="008A0A7C">
        <w:tc>
          <w:tcPr>
            <w:tcW w:w="4500" w:type="dxa"/>
          </w:tcPr>
          <w:p w:rsidR="00162C61" w:rsidRPr="00E74F20" w:rsidRDefault="00162C61" w:rsidP="002E3DF9">
            <w:pPr>
              <w:widowControl/>
              <w:rPr>
                <w:b/>
              </w:rPr>
            </w:pPr>
            <w:r w:rsidRPr="00E74F20">
              <w:rPr>
                <w:b/>
              </w:rPr>
              <w:t>Burden Hours</w:t>
            </w:r>
          </w:p>
        </w:tc>
        <w:tc>
          <w:tcPr>
            <w:tcW w:w="1170" w:type="dxa"/>
          </w:tcPr>
          <w:p w:rsidR="00162C61" w:rsidRPr="00E74F20" w:rsidRDefault="00162C61" w:rsidP="002E3DF9">
            <w:pPr>
              <w:widowControl/>
              <w:jc w:val="right"/>
            </w:pPr>
          </w:p>
        </w:tc>
        <w:tc>
          <w:tcPr>
            <w:tcW w:w="1170" w:type="dxa"/>
          </w:tcPr>
          <w:p w:rsidR="00162C61" w:rsidRPr="00E74F20" w:rsidRDefault="00162C61" w:rsidP="002E3DF9">
            <w:pPr>
              <w:widowControl/>
              <w:jc w:val="right"/>
            </w:pPr>
          </w:p>
        </w:tc>
        <w:tc>
          <w:tcPr>
            <w:tcW w:w="1890" w:type="dxa"/>
          </w:tcPr>
          <w:p w:rsidR="00162C61" w:rsidRPr="00E74F20" w:rsidRDefault="00162C61" w:rsidP="002E3DF9">
            <w:pPr>
              <w:widowControl/>
              <w:jc w:val="right"/>
            </w:pPr>
          </w:p>
        </w:tc>
      </w:tr>
      <w:tr w:rsidR="00162C61" w:rsidRPr="00E74F20" w:rsidTr="008A0A7C">
        <w:tc>
          <w:tcPr>
            <w:tcW w:w="4500" w:type="dxa"/>
          </w:tcPr>
          <w:p w:rsidR="00162C61" w:rsidRPr="00E74F20" w:rsidRDefault="00162C61" w:rsidP="002E3DF9">
            <w:pPr>
              <w:widowControl/>
            </w:pPr>
            <w:r w:rsidRPr="00E74F20">
              <w:t xml:space="preserve">   Paper 30 Min/Form</w:t>
            </w:r>
          </w:p>
        </w:tc>
        <w:tc>
          <w:tcPr>
            <w:tcW w:w="1170" w:type="dxa"/>
          </w:tcPr>
          <w:p w:rsidR="00162C61" w:rsidRPr="00E74F20" w:rsidRDefault="00162C61" w:rsidP="002E3DF9">
            <w:pPr>
              <w:widowControl/>
              <w:jc w:val="right"/>
            </w:pPr>
            <w:r w:rsidRPr="00E74F20">
              <w:t>304</w:t>
            </w:r>
          </w:p>
        </w:tc>
        <w:tc>
          <w:tcPr>
            <w:tcW w:w="1170" w:type="dxa"/>
          </w:tcPr>
          <w:p w:rsidR="00162C61" w:rsidRPr="00E74F20" w:rsidRDefault="00162C61" w:rsidP="002E3DF9">
            <w:pPr>
              <w:widowControl/>
              <w:jc w:val="right"/>
            </w:pPr>
            <w:r w:rsidRPr="00E74F20">
              <w:t>117</w:t>
            </w:r>
          </w:p>
        </w:tc>
        <w:tc>
          <w:tcPr>
            <w:tcW w:w="1890" w:type="dxa"/>
          </w:tcPr>
          <w:p w:rsidR="00162C61" w:rsidRPr="00E74F20" w:rsidRDefault="00162C61" w:rsidP="002E3DF9">
            <w:pPr>
              <w:widowControl/>
              <w:jc w:val="right"/>
            </w:pPr>
            <w:r w:rsidRPr="00E74F20">
              <w:t>421</w:t>
            </w:r>
          </w:p>
        </w:tc>
      </w:tr>
      <w:tr w:rsidR="00162C61" w:rsidRPr="00E74F20" w:rsidTr="008A0A7C">
        <w:tc>
          <w:tcPr>
            <w:tcW w:w="4500" w:type="dxa"/>
          </w:tcPr>
          <w:p w:rsidR="00162C61" w:rsidRPr="00E74F20" w:rsidRDefault="00162C61" w:rsidP="002E3DF9">
            <w:pPr>
              <w:widowControl/>
            </w:pPr>
            <w:r w:rsidRPr="00E74F20">
              <w:t xml:space="preserve">   Electronic 30 Min/Form</w:t>
            </w:r>
          </w:p>
        </w:tc>
        <w:tc>
          <w:tcPr>
            <w:tcW w:w="1170" w:type="dxa"/>
          </w:tcPr>
          <w:p w:rsidR="00162C61" w:rsidRPr="00E74F20" w:rsidRDefault="00162C61" w:rsidP="002E3DF9">
            <w:pPr>
              <w:widowControl/>
              <w:jc w:val="right"/>
            </w:pPr>
            <w:r w:rsidRPr="00E74F20">
              <w:t>496</w:t>
            </w:r>
          </w:p>
        </w:tc>
        <w:tc>
          <w:tcPr>
            <w:tcW w:w="1170" w:type="dxa"/>
          </w:tcPr>
          <w:p w:rsidR="00162C61" w:rsidRPr="00E74F20" w:rsidRDefault="00162C61" w:rsidP="002E3DF9">
            <w:pPr>
              <w:widowControl/>
              <w:jc w:val="right"/>
            </w:pPr>
            <w:r w:rsidRPr="00E74F20">
              <w:t>333</w:t>
            </w:r>
          </w:p>
        </w:tc>
        <w:tc>
          <w:tcPr>
            <w:tcW w:w="1890" w:type="dxa"/>
          </w:tcPr>
          <w:p w:rsidR="00162C61" w:rsidRPr="00E74F20" w:rsidRDefault="00162C61" w:rsidP="002E3DF9">
            <w:pPr>
              <w:widowControl/>
              <w:jc w:val="right"/>
            </w:pPr>
            <w:r w:rsidRPr="00E74F20">
              <w:t>829</w:t>
            </w:r>
          </w:p>
        </w:tc>
      </w:tr>
      <w:tr w:rsidR="00162C61" w:rsidRPr="00E74F20" w:rsidTr="008A0A7C">
        <w:tc>
          <w:tcPr>
            <w:tcW w:w="4500" w:type="dxa"/>
          </w:tcPr>
          <w:p w:rsidR="00162C61" w:rsidRPr="00E74F20" w:rsidRDefault="00162C61" w:rsidP="002E3DF9">
            <w:pPr>
              <w:widowControl/>
              <w:rPr>
                <w:b/>
              </w:rPr>
            </w:pPr>
            <w:r w:rsidRPr="00E74F20">
              <w:rPr>
                <w:b/>
              </w:rPr>
              <w:t>Total Annual Burden Hours</w:t>
            </w:r>
          </w:p>
        </w:tc>
        <w:tc>
          <w:tcPr>
            <w:tcW w:w="1170" w:type="dxa"/>
          </w:tcPr>
          <w:p w:rsidR="00162C61" w:rsidRPr="00E74F20" w:rsidRDefault="00162C61" w:rsidP="002E3DF9">
            <w:pPr>
              <w:widowControl/>
              <w:jc w:val="right"/>
              <w:rPr>
                <w:b/>
              </w:rPr>
            </w:pPr>
            <w:r w:rsidRPr="00E74F20">
              <w:rPr>
                <w:b/>
              </w:rPr>
              <w:t>800</w:t>
            </w:r>
          </w:p>
        </w:tc>
        <w:tc>
          <w:tcPr>
            <w:tcW w:w="1170" w:type="dxa"/>
          </w:tcPr>
          <w:p w:rsidR="00162C61" w:rsidRPr="00E74F20" w:rsidRDefault="00162C61" w:rsidP="002E3DF9">
            <w:pPr>
              <w:widowControl/>
              <w:jc w:val="right"/>
              <w:rPr>
                <w:b/>
              </w:rPr>
            </w:pPr>
            <w:r w:rsidRPr="00E74F20">
              <w:rPr>
                <w:b/>
              </w:rPr>
              <w:t>450</w:t>
            </w:r>
          </w:p>
        </w:tc>
        <w:tc>
          <w:tcPr>
            <w:tcW w:w="1890" w:type="dxa"/>
          </w:tcPr>
          <w:p w:rsidR="00162C61" w:rsidRPr="00E74F20" w:rsidRDefault="00162C61" w:rsidP="002E3DF9">
            <w:pPr>
              <w:widowControl/>
              <w:jc w:val="right"/>
              <w:rPr>
                <w:b/>
              </w:rPr>
            </w:pPr>
            <w:r w:rsidRPr="00E74F20">
              <w:rPr>
                <w:b/>
              </w:rPr>
              <w:t>1,250</w:t>
            </w:r>
          </w:p>
        </w:tc>
      </w:tr>
    </w:tbl>
    <w:p w:rsidR="00162C61" w:rsidRPr="00E74F20" w:rsidRDefault="00162C61" w:rsidP="002E3DF9">
      <w:pPr>
        <w:widowControl/>
      </w:pPr>
    </w:p>
    <w:p w:rsidR="00162C61" w:rsidRPr="00E74F20" w:rsidRDefault="00162C61" w:rsidP="002E3DF9">
      <w:pPr>
        <w:widowControl/>
        <w:tabs>
          <w:tab w:val="left" w:pos="-1440"/>
        </w:tabs>
        <w:outlineLvl w:val="0"/>
        <w:rPr>
          <w:b/>
          <w:bCs/>
        </w:rPr>
      </w:pPr>
      <w:r w:rsidRPr="00E74F20">
        <w:rPr>
          <w:b/>
        </w:rPr>
        <w:t>13.</w:t>
      </w:r>
      <w:r w:rsidRPr="00E74F20">
        <w:rPr>
          <w:b/>
        </w:rPr>
        <w:tab/>
        <w:t>Annual Cost Burden for Maintaining and Providing the Information Collection</w:t>
      </w:r>
    </w:p>
    <w:p w:rsidR="00162C61" w:rsidRPr="00E74F20" w:rsidRDefault="00162C61" w:rsidP="002E3DF9">
      <w:pPr>
        <w:widowControl/>
      </w:pPr>
    </w:p>
    <w:p w:rsidR="00162C61" w:rsidRPr="00E74F20" w:rsidRDefault="00162C61" w:rsidP="002E3DF9">
      <w:pPr>
        <w:widowControl/>
      </w:pPr>
      <w:r w:rsidRPr="00E74F20">
        <w:t>There are no requirements for claimants to have any kind of equipment to be able complete and file a claim.  Therefore, there are no additional costs not reported in item 12.</w:t>
      </w:r>
    </w:p>
    <w:p w:rsidR="00162C61" w:rsidRPr="00E74F20" w:rsidRDefault="00162C61" w:rsidP="002E3DF9">
      <w:pPr>
        <w:widowControl/>
        <w:rPr>
          <w:b/>
          <w:bCs/>
        </w:rPr>
      </w:pPr>
    </w:p>
    <w:p w:rsidR="00162C61" w:rsidRPr="00E74F20" w:rsidRDefault="00162C61" w:rsidP="002E3DF9">
      <w:pPr>
        <w:widowControl/>
        <w:outlineLvl w:val="0"/>
      </w:pPr>
      <w:r w:rsidRPr="00E74F20">
        <w:rPr>
          <w:b/>
          <w:bCs/>
        </w:rPr>
        <w:t>14.</w:t>
      </w:r>
      <w:r w:rsidRPr="00E74F20">
        <w:rPr>
          <w:b/>
          <w:bCs/>
        </w:rPr>
        <w:tab/>
        <w:t>Annualized Costs to the Federal Government</w:t>
      </w:r>
    </w:p>
    <w:p w:rsidR="00162C61" w:rsidRPr="00E74F20" w:rsidRDefault="00162C61" w:rsidP="002E3DF9">
      <w:pPr>
        <w:widowControl/>
      </w:pPr>
    </w:p>
    <w:p w:rsidR="00162C61" w:rsidRPr="00E74F20" w:rsidRDefault="00162C61" w:rsidP="002E3DF9">
      <w:pPr>
        <w:widowControl/>
      </w:pPr>
      <w:r w:rsidRPr="00E74F20">
        <w:t>The cost to the Federal Government for printing, stocking, and disbursal of this form is minimal ($100.00 a year).  Claimants are able to print the form from the web and submit as a hardcopy, or file a claimant electronically.</w:t>
      </w:r>
    </w:p>
    <w:p w:rsidR="00162C61" w:rsidRPr="00E74F20" w:rsidRDefault="00162C61" w:rsidP="002E3DF9">
      <w:pPr>
        <w:widowControl/>
        <w:rPr>
          <w:b/>
          <w:bCs/>
        </w:rPr>
      </w:pPr>
    </w:p>
    <w:p w:rsidR="00162C61" w:rsidRPr="00E74F20" w:rsidRDefault="00162C61" w:rsidP="002E3DF9">
      <w:pPr>
        <w:widowControl/>
        <w:outlineLvl w:val="0"/>
        <w:rPr>
          <w:b/>
          <w:bCs/>
        </w:rPr>
      </w:pPr>
      <w:r w:rsidRPr="00E74F20">
        <w:rPr>
          <w:b/>
          <w:bCs/>
        </w:rPr>
        <w:t>15.</w:t>
      </w:r>
      <w:r w:rsidRPr="00E74F20">
        <w:rPr>
          <w:b/>
          <w:bCs/>
        </w:rPr>
        <w:tab/>
        <w:t>Changes in Burden Hours</w:t>
      </w:r>
    </w:p>
    <w:p w:rsidR="00162C61" w:rsidRPr="00E74F20" w:rsidRDefault="00162C61" w:rsidP="002E3DF9">
      <w:pPr>
        <w:widowControl/>
      </w:pPr>
      <w:r w:rsidRPr="00E74F20">
        <w:t xml:space="preserve">    </w:t>
      </w:r>
    </w:p>
    <w:p w:rsidR="00162C61" w:rsidRDefault="00162C61" w:rsidP="002E3DF9">
      <w:pPr>
        <w:widowControl/>
        <w:rPr>
          <w:rFonts w:cs="Arial"/>
        </w:rPr>
      </w:pPr>
      <w:r w:rsidRPr="00E74F20">
        <w:rPr>
          <w:rFonts w:cs="Arial"/>
        </w:rPr>
        <w:t>VETS is requesting an increase of 1000 responses and 875 burden hours.</w:t>
      </w:r>
    </w:p>
    <w:p w:rsidR="00162C61" w:rsidRDefault="00162C61" w:rsidP="002E3DF9">
      <w:pPr>
        <w:widowControl/>
        <w:rPr>
          <w:rFonts w:cs="Arial"/>
        </w:rPr>
      </w:pPr>
    </w:p>
    <w:p w:rsidR="00162C61" w:rsidRPr="00E74F20" w:rsidRDefault="00162C61" w:rsidP="002E3DF9">
      <w:pPr>
        <w:widowControl/>
        <w:rPr>
          <w:rFonts w:cs="Arial"/>
        </w:rPr>
      </w:pPr>
      <w:r w:rsidRPr="00E74F20">
        <w:rPr>
          <w:rFonts w:cs="Arial"/>
        </w:rPr>
        <w:t xml:space="preserve">The increased number of responses results from an increase in the number of USERRA and Veterans Preference (VP) claims filed.  This trend is expected to continue as the military remains involved in armed conflicts abroad, and continues its unprecedented use of National Guard and Reserve Forces.  In the past four years (fiscal years 2006 – 2009), the number of USERRA claims has increased by 13 percent and the number of VP claims has increased by 55 percent.  VETS anticipates receiving an additional 1,000 claim forms.  </w:t>
      </w:r>
    </w:p>
    <w:p w:rsidR="00162C61" w:rsidRPr="00E74F20" w:rsidRDefault="00162C61" w:rsidP="002E3DF9">
      <w:pPr>
        <w:widowControl/>
        <w:rPr>
          <w:rFonts w:cs="Arial"/>
        </w:rPr>
      </w:pPr>
    </w:p>
    <w:p w:rsidR="00162C61" w:rsidRPr="00E74F20" w:rsidRDefault="00162C61" w:rsidP="002E3DF9">
      <w:pPr>
        <w:widowControl/>
      </w:pPr>
      <w:r w:rsidRPr="00E74F20">
        <w:rPr>
          <w:rFonts w:cs="Arial"/>
        </w:rPr>
        <w:t>The increase in the estimated time required to complete the form can be attributed the increased complexity of USERRA issues, which necessitate that the respondent review more of his or her records and provide a more detailed narrative of the issue(s) involved.  VETS estimates that, because of these factors, the form takes an additional 14 minutes to complete, resulting in an annual increase of 833 burden hours.  In addition, two straightforward “check the box” questions have been added to the form as a result of the Veterans’ Benefits Improvement Act of 2008.  It is estimated that responding to those questions takes one minute per form, resulting in an annual increase of 42 burden hours</w:t>
      </w:r>
      <w:r>
        <w:rPr>
          <w:rFonts w:cs="Arial"/>
        </w:rPr>
        <w:t>.</w:t>
      </w:r>
    </w:p>
    <w:p w:rsidR="00162C61" w:rsidRPr="00E74F20" w:rsidRDefault="00162C61" w:rsidP="002E3DF9">
      <w:pPr>
        <w:widowControl/>
        <w:outlineLvl w:val="0"/>
      </w:pPr>
      <w:r w:rsidRPr="00E74F20">
        <w:rPr>
          <w:b/>
          <w:bCs/>
        </w:rPr>
        <w:t>16.</w:t>
      </w:r>
      <w:r w:rsidRPr="00E74F20">
        <w:tab/>
      </w:r>
      <w:r w:rsidRPr="00E74F20">
        <w:rPr>
          <w:b/>
        </w:rPr>
        <w:t>Publication of Results of the Information Collection</w:t>
      </w:r>
      <w:r w:rsidRPr="00E74F20">
        <w:t xml:space="preserve"> </w:t>
      </w:r>
    </w:p>
    <w:p w:rsidR="00162C61" w:rsidRPr="00E74F20" w:rsidRDefault="00162C61" w:rsidP="002E3DF9">
      <w:pPr>
        <w:widowControl/>
      </w:pPr>
    </w:p>
    <w:p w:rsidR="00162C61" w:rsidRPr="00E74F20" w:rsidRDefault="00162C61" w:rsidP="002E3DF9">
      <w:pPr>
        <w:widowControl/>
        <w:outlineLvl w:val="0"/>
      </w:pPr>
      <w:r w:rsidRPr="00E74F20">
        <w:t>The results of this information collection will not be published however; aggregate data from the form is used for DOL’s USERRA Annual Report to Congress.</w:t>
      </w:r>
    </w:p>
    <w:p w:rsidR="00162C61" w:rsidRPr="00E74F20" w:rsidRDefault="00162C61" w:rsidP="002E3DF9">
      <w:pPr>
        <w:widowControl/>
      </w:pPr>
    </w:p>
    <w:p w:rsidR="00162C61" w:rsidRPr="00E74F20" w:rsidRDefault="00162C61" w:rsidP="002E3DF9">
      <w:pPr>
        <w:widowControl/>
        <w:outlineLvl w:val="0"/>
      </w:pPr>
      <w:r w:rsidRPr="00E74F20">
        <w:rPr>
          <w:b/>
          <w:bCs/>
        </w:rPr>
        <w:t>17.</w:t>
      </w:r>
      <w:r w:rsidRPr="00E74F20">
        <w:rPr>
          <w:b/>
          <w:bCs/>
        </w:rPr>
        <w:tab/>
        <w:t xml:space="preserve">Approval Not to Display Expiration Date for OMB Approval </w:t>
      </w:r>
    </w:p>
    <w:p w:rsidR="00162C61" w:rsidRPr="00E74F20" w:rsidRDefault="00162C61" w:rsidP="002E3DF9">
      <w:pPr>
        <w:widowControl/>
      </w:pPr>
    </w:p>
    <w:p w:rsidR="00162C61" w:rsidRPr="00E74F20" w:rsidRDefault="00162C61" w:rsidP="002E3DF9">
      <w:pPr>
        <w:widowControl/>
      </w:pPr>
      <w:r w:rsidRPr="00E74F20">
        <w:t>VETS will display the expiration date on the Form VETS/USERRA/VP Form 1010 (VETS-1010.)</w:t>
      </w:r>
    </w:p>
    <w:p w:rsidR="00162C61" w:rsidRPr="00E74F20" w:rsidRDefault="00162C61" w:rsidP="002E3DF9">
      <w:pPr>
        <w:widowControl/>
      </w:pPr>
    </w:p>
    <w:p w:rsidR="00162C61" w:rsidRPr="00E74F20" w:rsidRDefault="00162C61" w:rsidP="002E3DF9">
      <w:pPr>
        <w:widowControl/>
        <w:outlineLvl w:val="0"/>
        <w:rPr>
          <w:bCs/>
        </w:rPr>
      </w:pPr>
      <w:r w:rsidRPr="00E74F20">
        <w:rPr>
          <w:b/>
          <w:bCs/>
        </w:rPr>
        <w:t>18</w:t>
      </w:r>
      <w:r w:rsidRPr="00E74F20">
        <w:t>.</w:t>
      </w:r>
      <w:r w:rsidRPr="00E74F20">
        <w:rPr>
          <w:b/>
          <w:bCs/>
        </w:rPr>
        <w:tab/>
        <w:t>Exceptions to the Certification Statement for Paperwork Reduction Act Submission</w:t>
      </w:r>
    </w:p>
    <w:p w:rsidR="00162C61" w:rsidRPr="00E74F20" w:rsidRDefault="00162C61" w:rsidP="002E3DF9">
      <w:pPr>
        <w:widowControl/>
        <w:rPr>
          <w:bCs/>
        </w:rPr>
      </w:pPr>
    </w:p>
    <w:p w:rsidR="00162C61" w:rsidRPr="00E74F20" w:rsidRDefault="00162C61" w:rsidP="002E3DF9">
      <w:pPr>
        <w:widowControl/>
        <w:outlineLvl w:val="0"/>
        <w:rPr>
          <w:bCs/>
        </w:rPr>
      </w:pPr>
      <w:r w:rsidRPr="00E74F20">
        <w:rPr>
          <w:bCs/>
        </w:rPr>
        <w:t>No exceptions to the certification statement were identified in item 19 of OMB Form 83-1.</w:t>
      </w:r>
    </w:p>
    <w:p w:rsidR="00162C61" w:rsidRPr="00E74F20" w:rsidRDefault="00162C61" w:rsidP="002E3DF9">
      <w:pPr>
        <w:widowControl/>
        <w:tabs>
          <w:tab w:val="left" w:pos="-1440"/>
        </w:tabs>
        <w:ind w:left="720" w:hanging="720"/>
        <w:rPr>
          <w:b/>
          <w:bCs/>
        </w:rPr>
      </w:pPr>
    </w:p>
    <w:p w:rsidR="00162C61" w:rsidRPr="00E74F20" w:rsidRDefault="00162C61" w:rsidP="002E3DF9">
      <w:pPr>
        <w:widowControl/>
        <w:tabs>
          <w:tab w:val="left" w:pos="-1440"/>
        </w:tabs>
        <w:ind w:left="720" w:hanging="720"/>
        <w:outlineLvl w:val="0"/>
        <w:rPr>
          <w:b/>
          <w:bCs/>
        </w:rPr>
      </w:pPr>
      <w:r w:rsidRPr="00E74F20">
        <w:rPr>
          <w:b/>
          <w:bCs/>
        </w:rPr>
        <w:t>B.</w:t>
      </w:r>
      <w:r w:rsidRPr="00E74F20">
        <w:rPr>
          <w:b/>
          <w:bCs/>
        </w:rPr>
        <w:tab/>
        <w:t>Collection of Information Employing Statistical Methods</w:t>
      </w:r>
    </w:p>
    <w:p w:rsidR="00162C61" w:rsidRPr="00E74F20" w:rsidRDefault="00162C61" w:rsidP="002E3DF9">
      <w:pPr>
        <w:widowControl/>
        <w:rPr>
          <w:b/>
          <w:bCs/>
        </w:rPr>
      </w:pPr>
    </w:p>
    <w:p w:rsidR="00162C61" w:rsidRPr="00E74F20" w:rsidRDefault="00162C61" w:rsidP="002E3DF9">
      <w:pPr>
        <w:widowControl/>
      </w:pPr>
      <w:r w:rsidRPr="00E74F20">
        <w:rPr>
          <w:bCs/>
        </w:rPr>
        <w:t>The information collection does not employ any statistical methods.</w:t>
      </w:r>
    </w:p>
    <w:p w:rsidR="00162C61" w:rsidRPr="00E74F20" w:rsidRDefault="00162C61" w:rsidP="002E3DF9">
      <w:pPr>
        <w:widowControl/>
        <w:spacing w:line="480" w:lineRule="auto"/>
      </w:pPr>
    </w:p>
    <w:sectPr w:rsidR="00162C61" w:rsidRPr="00E74F20" w:rsidSect="00A86D2E">
      <w:footerReference w:type="even" r:id="rId7"/>
      <w:footerReference w:type="default" r:id="rId8"/>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C61" w:rsidRDefault="00162C61">
      <w:r>
        <w:separator/>
      </w:r>
    </w:p>
  </w:endnote>
  <w:endnote w:type="continuationSeparator" w:id="0">
    <w:p w:rsidR="00162C61" w:rsidRDefault="00162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C61" w:rsidRDefault="00162C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2C61" w:rsidRDefault="00162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C61" w:rsidRDefault="00162C61">
    <w:pPr>
      <w:spacing w:line="240" w:lineRule="exact"/>
    </w:pPr>
  </w:p>
  <w:p w:rsidR="00162C61" w:rsidRDefault="00162C61">
    <w:pPr>
      <w:framePr w:wrap="around" w:vAnchor="text" w:hAnchor="margin" w:xAlign="center" w:y="1"/>
      <w:jc w:val="center"/>
    </w:pPr>
    <w:fldSimple w:instr="PAGE ">
      <w:r>
        <w:rPr>
          <w:noProof/>
        </w:rPr>
        <w:t>5</w:t>
      </w:r>
    </w:fldSimple>
  </w:p>
  <w:p w:rsidR="00162C61" w:rsidRDefault="00162C6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C61" w:rsidRDefault="00162C61">
      <w:r>
        <w:separator/>
      </w:r>
    </w:p>
  </w:footnote>
  <w:footnote w:type="continuationSeparator" w:id="0">
    <w:p w:rsidR="00162C61" w:rsidRDefault="00162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71368568"/>
    <w:lvl w:ilvl="0">
      <w:start w:val="1"/>
      <w:numFmt w:val="upperRoman"/>
      <w:pStyle w:val="Heading1"/>
      <w:lvlText w:val="%1."/>
      <w:lvlJc w:val="left"/>
      <w:pPr>
        <w:tabs>
          <w:tab w:val="num" w:pos="720"/>
        </w:tabs>
        <w:ind w:left="720" w:hanging="720"/>
      </w:pPr>
      <w:rPr>
        <w:rFonts w:ascii="Times New Roman" w:hAnsi="Times New Roman" w:cs="Times New Roman"/>
        <w:sz w:val="24"/>
        <w:szCs w:val="24"/>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nsid w:val="02B86D5B"/>
    <w:multiLevelType w:val="hybridMultilevel"/>
    <w:tmpl w:val="4F7828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69577A3A"/>
    <w:multiLevelType w:val="hybridMultilevel"/>
    <w:tmpl w:val="87E4A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62CF"/>
    <w:rsid w:val="000C4E59"/>
    <w:rsid w:val="00162C61"/>
    <w:rsid w:val="002562CF"/>
    <w:rsid w:val="002748BF"/>
    <w:rsid w:val="002E3DF9"/>
    <w:rsid w:val="00671A5D"/>
    <w:rsid w:val="00876659"/>
    <w:rsid w:val="008A0A7C"/>
    <w:rsid w:val="009367EE"/>
    <w:rsid w:val="00A86D2E"/>
    <w:rsid w:val="00C35FB4"/>
    <w:rsid w:val="00C7076A"/>
    <w:rsid w:val="00DC2C8E"/>
    <w:rsid w:val="00E74F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D2E"/>
    <w:pPr>
      <w:widowControl w:val="0"/>
      <w:autoSpaceDE w:val="0"/>
      <w:autoSpaceDN w:val="0"/>
      <w:adjustRightInd w:val="0"/>
    </w:pPr>
    <w:rPr>
      <w:sz w:val="24"/>
      <w:szCs w:val="24"/>
    </w:rPr>
  </w:style>
  <w:style w:type="paragraph" w:styleId="Heading1">
    <w:name w:val="heading 1"/>
    <w:basedOn w:val="Normal"/>
    <w:link w:val="Heading1Char"/>
    <w:uiPriority w:val="99"/>
    <w:qFormat/>
    <w:rsid w:val="00A86D2E"/>
    <w:pPr>
      <w:numPr>
        <w:numId w:val="1"/>
      </w:numPr>
      <w:autoSpaceDE/>
      <w:autoSpaceDN/>
      <w:outlineLvl w:val="0"/>
    </w:pPr>
  </w:style>
  <w:style w:type="paragraph" w:styleId="Heading3">
    <w:name w:val="heading 3"/>
    <w:basedOn w:val="Normal"/>
    <w:next w:val="Normal"/>
    <w:link w:val="Heading3Char"/>
    <w:uiPriority w:val="99"/>
    <w:qFormat/>
    <w:rsid w:val="00A86D2E"/>
    <w:pPr>
      <w:keepNext/>
      <w:autoSpaceDE/>
      <w:autoSpaceDN/>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86D2E"/>
    <w:pPr>
      <w:autoSpaceDE/>
      <w:autoSpaceDN/>
      <w:spacing w:before="240" w:after="60"/>
      <w:outlineLvl w:val="4"/>
    </w:pPr>
    <w:rPr>
      <w:b/>
      <w:bCs/>
      <w:i/>
      <w:iCs/>
      <w:sz w:val="26"/>
      <w:szCs w:val="26"/>
    </w:rPr>
  </w:style>
  <w:style w:type="paragraph" w:styleId="Heading6">
    <w:name w:val="heading 6"/>
    <w:basedOn w:val="Normal"/>
    <w:next w:val="Normal"/>
    <w:link w:val="Heading6Char"/>
    <w:uiPriority w:val="99"/>
    <w:qFormat/>
    <w:rsid w:val="00A86D2E"/>
    <w:pPr>
      <w:autoSpaceDE/>
      <w:autoSpaceDN/>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0C7"/>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3100C7"/>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3100C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100C7"/>
    <w:rPr>
      <w:rFonts w:asciiTheme="minorHAnsi" w:eastAsiaTheme="minorEastAsia" w:hAnsiTheme="minorHAnsi" w:cstheme="minorBidi"/>
      <w:b/>
      <w:bCs/>
    </w:rPr>
  </w:style>
  <w:style w:type="character" w:styleId="FootnoteReference">
    <w:name w:val="footnote reference"/>
    <w:basedOn w:val="DefaultParagraphFont"/>
    <w:uiPriority w:val="99"/>
    <w:semiHidden/>
    <w:rsid w:val="00A86D2E"/>
    <w:rPr>
      <w:rFonts w:cs="Times New Roman"/>
    </w:rPr>
  </w:style>
  <w:style w:type="character" w:customStyle="1" w:styleId="ptext-2">
    <w:name w:val="ptext-2"/>
    <w:basedOn w:val="DefaultParagraphFont"/>
    <w:uiPriority w:val="99"/>
    <w:rsid w:val="00A86D2E"/>
    <w:rPr>
      <w:rFonts w:cs="Times New Roman"/>
    </w:rPr>
  </w:style>
  <w:style w:type="character" w:customStyle="1" w:styleId="enumbell">
    <w:name w:val="enumbell"/>
    <w:basedOn w:val="DefaultParagraphFont"/>
    <w:uiPriority w:val="99"/>
    <w:rsid w:val="00A86D2E"/>
    <w:rPr>
      <w:rFonts w:cs="Times New Roman"/>
      <w:b/>
      <w:bCs/>
    </w:rPr>
  </w:style>
  <w:style w:type="character" w:customStyle="1" w:styleId="ptext-4">
    <w:name w:val="ptext-4"/>
    <w:basedOn w:val="DefaultParagraphFont"/>
    <w:uiPriority w:val="99"/>
    <w:rsid w:val="00A86D2E"/>
    <w:rPr>
      <w:rFonts w:cs="Times New Roman"/>
    </w:rPr>
  </w:style>
  <w:style w:type="paragraph" w:styleId="BodyText">
    <w:name w:val="Body Text"/>
    <w:basedOn w:val="Normal"/>
    <w:link w:val="BodyTextChar"/>
    <w:uiPriority w:val="99"/>
    <w:rsid w:val="00A86D2E"/>
    <w:pPr>
      <w:widowControl/>
      <w:autoSpaceDE/>
      <w:autoSpaceDN/>
      <w:adjustRightInd/>
      <w:jc w:val="center"/>
    </w:pPr>
    <w:rPr>
      <w:rFonts w:ascii="Arial Narrow" w:hAnsi="Arial Narrow"/>
      <w:sz w:val="12"/>
      <w:szCs w:val="20"/>
    </w:rPr>
  </w:style>
  <w:style w:type="character" w:customStyle="1" w:styleId="BodyTextChar">
    <w:name w:val="Body Text Char"/>
    <w:basedOn w:val="DefaultParagraphFont"/>
    <w:link w:val="BodyText"/>
    <w:uiPriority w:val="99"/>
    <w:semiHidden/>
    <w:rsid w:val="003100C7"/>
    <w:rPr>
      <w:sz w:val="24"/>
      <w:szCs w:val="24"/>
    </w:rPr>
  </w:style>
  <w:style w:type="paragraph" w:styleId="HTMLPreformatted">
    <w:name w:val="HTML Preformatted"/>
    <w:basedOn w:val="Normal"/>
    <w:link w:val="HTMLPreformattedChar"/>
    <w:uiPriority w:val="99"/>
    <w:rsid w:val="00A86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100C7"/>
    <w:rPr>
      <w:rFonts w:ascii="Courier New" w:hAnsi="Courier New" w:cs="Courier New"/>
      <w:sz w:val="20"/>
      <w:szCs w:val="20"/>
    </w:rPr>
  </w:style>
  <w:style w:type="paragraph" w:styleId="BalloonText">
    <w:name w:val="Balloon Text"/>
    <w:basedOn w:val="Normal"/>
    <w:link w:val="BalloonTextChar"/>
    <w:uiPriority w:val="99"/>
    <w:semiHidden/>
    <w:rsid w:val="00A86D2E"/>
    <w:rPr>
      <w:rFonts w:ascii="Tahoma" w:hAnsi="Tahoma" w:cs="Tahoma"/>
      <w:sz w:val="16"/>
      <w:szCs w:val="16"/>
    </w:rPr>
  </w:style>
  <w:style w:type="character" w:customStyle="1" w:styleId="BalloonTextChar">
    <w:name w:val="Balloon Text Char"/>
    <w:basedOn w:val="DefaultParagraphFont"/>
    <w:link w:val="BalloonText"/>
    <w:uiPriority w:val="99"/>
    <w:semiHidden/>
    <w:rsid w:val="003100C7"/>
    <w:rPr>
      <w:sz w:val="0"/>
      <w:szCs w:val="0"/>
    </w:rPr>
  </w:style>
  <w:style w:type="table" w:styleId="TableGrid">
    <w:name w:val="Table Grid"/>
    <w:basedOn w:val="TableNormal"/>
    <w:uiPriority w:val="99"/>
    <w:rsid w:val="00A86D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A86D2E"/>
    <w:pPr>
      <w:widowControl/>
      <w:autoSpaceDE/>
      <w:autoSpaceDN/>
      <w:adjustRightInd/>
    </w:pPr>
    <w:rPr>
      <w:sz w:val="20"/>
      <w:szCs w:val="20"/>
    </w:rPr>
  </w:style>
  <w:style w:type="character" w:customStyle="1" w:styleId="CommentTextChar">
    <w:name w:val="Comment Text Char"/>
    <w:basedOn w:val="DefaultParagraphFont"/>
    <w:link w:val="CommentText"/>
    <w:uiPriority w:val="99"/>
    <w:semiHidden/>
    <w:locked/>
    <w:rsid w:val="002562CF"/>
    <w:rPr>
      <w:rFonts w:cs="Times New Roman"/>
    </w:rPr>
  </w:style>
  <w:style w:type="paragraph" w:styleId="DocumentMap">
    <w:name w:val="Document Map"/>
    <w:basedOn w:val="Normal"/>
    <w:link w:val="DocumentMapChar"/>
    <w:uiPriority w:val="99"/>
    <w:semiHidden/>
    <w:rsid w:val="00A86D2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100C7"/>
    <w:rPr>
      <w:sz w:val="0"/>
      <w:szCs w:val="0"/>
    </w:rPr>
  </w:style>
  <w:style w:type="character" w:styleId="Hyperlink">
    <w:name w:val="Hyperlink"/>
    <w:basedOn w:val="DefaultParagraphFont"/>
    <w:uiPriority w:val="99"/>
    <w:rsid w:val="00A86D2E"/>
    <w:rPr>
      <w:rFonts w:cs="Times New Roman"/>
      <w:color w:val="0000FF"/>
      <w:u w:val="single"/>
    </w:rPr>
  </w:style>
  <w:style w:type="paragraph" w:styleId="Title">
    <w:name w:val="Title"/>
    <w:basedOn w:val="Normal"/>
    <w:link w:val="TitleChar"/>
    <w:uiPriority w:val="99"/>
    <w:qFormat/>
    <w:rsid w:val="00A86D2E"/>
    <w:pPr>
      <w:widowControl/>
      <w:autoSpaceDE/>
      <w:autoSpaceDN/>
      <w:adjustRightInd/>
      <w:jc w:val="center"/>
    </w:pPr>
    <w:rPr>
      <w:rFonts w:ascii="Univers" w:hAnsi="Univers"/>
      <w:b/>
      <w:szCs w:val="20"/>
    </w:rPr>
  </w:style>
  <w:style w:type="character" w:customStyle="1" w:styleId="TitleChar">
    <w:name w:val="Title Char"/>
    <w:basedOn w:val="DefaultParagraphFont"/>
    <w:link w:val="Title"/>
    <w:uiPriority w:val="10"/>
    <w:rsid w:val="003100C7"/>
    <w:rPr>
      <w:rFonts w:asciiTheme="majorHAnsi" w:eastAsiaTheme="majorEastAsia" w:hAnsiTheme="majorHAnsi" w:cstheme="majorBidi"/>
      <w:b/>
      <w:bCs/>
      <w:kern w:val="28"/>
      <w:sz w:val="32"/>
      <w:szCs w:val="32"/>
    </w:rPr>
  </w:style>
  <w:style w:type="paragraph" w:customStyle="1" w:styleId="Default">
    <w:name w:val="Default"/>
    <w:uiPriority w:val="99"/>
    <w:rsid w:val="00A86D2E"/>
    <w:pPr>
      <w:autoSpaceDE w:val="0"/>
      <w:autoSpaceDN w:val="0"/>
      <w:adjustRightInd w:val="0"/>
    </w:pPr>
    <w:rPr>
      <w:color w:val="000000"/>
      <w:sz w:val="24"/>
      <w:szCs w:val="24"/>
    </w:rPr>
  </w:style>
  <w:style w:type="paragraph" w:styleId="Footer">
    <w:name w:val="footer"/>
    <w:basedOn w:val="Normal"/>
    <w:link w:val="FooterChar"/>
    <w:uiPriority w:val="99"/>
    <w:rsid w:val="00A86D2E"/>
    <w:pPr>
      <w:tabs>
        <w:tab w:val="center" w:pos="4320"/>
        <w:tab w:val="right" w:pos="8640"/>
      </w:tabs>
    </w:pPr>
  </w:style>
  <w:style w:type="character" w:customStyle="1" w:styleId="FooterChar">
    <w:name w:val="Footer Char"/>
    <w:basedOn w:val="DefaultParagraphFont"/>
    <w:link w:val="Footer"/>
    <w:uiPriority w:val="99"/>
    <w:semiHidden/>
    <w:rsid w:val="003100C7"/>
    <w:rPr>
      <w:sz w:val="24"/>
      <w:szCs w:val="24"/>
    </w:rPr>
  </w:style>
  <w:style w:type="character" w:styleId="PageNumber">
    <w:name w:val="page number"/>
    <w:basedOn w:val="DefaultParagraphFont"/>
    <w:uiPriority w:val="99"/>
    <w:rsid w:val="00A86D2E"/>
    <w:rPr>
      <w:rFonts w:cs="Times New Roman"/>
    </w:rPr>
  </w:style>
  <w:style w:type="character" w:styleId="CommentReference">
    <w:name w:val="annotation reference"/>
    <w:basedOn w:val="DefaultParagraphFont"/>
    <w:uiPriority w:val="99"/>
    <w:rsid w:val="002562CF"/>
    <w:rPr>
      <w:rFonts w:cs="Times New Roman"/>
      <w:sz w:val="16"/>
      <w:szCs w:val="16"/>
    </w:rPr>
  </w:style>
  <w:style w:type="paragraph" w:styleId="CommentSubject">
    <w:name w:val="annotation subject"/>
    <w:basedOn w:val="CommentText"/>
    <w:next w:val="CommentText"/>
    <w:link w:val="CommentSubjectChar"/>
    <w:uiPriority w:val="99"/>
    <w:rsid w:val="002562CF"/>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locked/>
    <w:rsid w:val="002562CF"/>
  </w:style>
</w:styles>
</file>

<file path=word/webSettings.xml><?xml version="1.0" encoding="utf-8"?>
<w:webSettings xmlns:r="http://schemas.openxmlformats.org/officeDocument/2006/relationships" xmlns:w="http://schemas.openxmlformats.org/wordprocessingml/2006/main">
  <w:divs>
    <w:div w:id="2141486048">
      <w:marLeft w:val="0"/>
      <w:marRight w:val="0"/>
      <w:marTop w:val="0"/>
      <w:marBottom w:val="0"/>
      <w:divBdr>
        <w:top w:val="none" w:sz="0" w:space="0" w:color="auto"/>
        <w:left w:val="none" w:sz="0" w:space="0" w:color="auto"/>
        <w:bottom w:val="none" w:sz="0" w:space="0" w:color="auto"/>
        <w:right w:val="none" w:sz="0" w:space="0" w:color="auto"/>
      </w:divBdr>
      <w:divsChild>
        <w:div w:id="2141486062">
          <w:marLeft w:val="0"/>
          <w:marRight w:val="0"/>
          <w:marTop w:val="0"/>
          <w:marBottom w:val="0"/>
          <w:divBdr>
            <w:top w:val="none" w:sz="0" w:space="0" w:color="auto"/>
            <w:left w:val="none" w:sz="0" w:space="0" w:color="auto"/>
            <w:bottom w:val="none" w:sz="0" w:space="0" w:color="auto"/>
            <w:right w:val="none" w:sz="0" w:space="0" w:color="auto"/>
          </w:divBdr>
          <w:divsChild>
            <w:div w:id="2141486081">
              <w:marLeft w:val="0"/>
              <w:marRight w:val="0"/>
              <w:marTop w:val="0"/>
              <w:marBottom w:val="0"/>
              <w:divBdr>
                <w:top w:val="none" w:sz="0" w:space="0" w:color="auto"/>
                <w:left w:val="none" w:sz="0" w:space="0" w:color="auto"/>
                <w:bottom w:val="none" w:sz="0" w:space="0" w:color="auto"/>
                <w:right w:val="none" w:sz="0" w:space="0" w:color="auto"/>
              </w:divBdr>
              <w:divsChild>
                <w:div w:id="2141486078">
                  <w:marLeft w:val="0"/>
                  <w:marRight w:val="0"/>
                  <w:marTop w:val="0"/>
                  <w:marBottom w:val="0"/>
                  <w:divBdr>
                    <w:top w:val="none" w:sz="0" w:space="0" w:color="auto"/>
                    <w:left w:val="none" w:sz="0" w:space="0" w:color="auto"/>
                    <w:bottom w:val="none" w:sz="0" w:space="0" w:color="auto"/>
                    <w:right w:val="none" w:sz="0" w:space="0" w:color="auto"/>
                  </w:divBdr>
                  <w:divsChild>
                    <w:div w:id="2141486051">
                      <w:marLeft w:val="0"/>
                      <w:marRight w:val="0"/>
                      <w:marTop w:val="0"/>
                      <w:marBottom w:val="0"/>
                      <w:divBdr>
                        <w:top w:val="none" w:sz="0" w:space="0" w:color="auto"/>
                        <w:left w:val="none" w:sz="0" w:space="0" w:color="auto"/>
                        <w:bottom w:val="none" w:sz="0" w:space="0" w:color="auto"/>
                        <w:right w:val="none" w:sz="0" w:space="0" w:color="auto"/>
                      </w:divBdr>
                      <w:divsChild>
                        <w:div w:id="2141486065">
                          <w:marLeft w:val="0"/>
                          <w:marRight w:val="0"/>
                          <w:marTop w:val="0"/>
                          <w:marBottom w:val="0"/>
                          <w:divBdr>
                            <w:top w:val="none" w:sz="0" w:space="0" w:color="auto"/>
                            <w:left w:val="none" w:sz="0" w:space="0" w:color="auto"/>
                            <w:bottom w:val="none" w:sz="0" w:space="0" w:color="auto"/>
                            <w:right w:val="none" w:sz="0" w:space="0" w:color="auto"/>
                          </w:divBdr>
                          <w:divsChild>
                            <w:div w:id="2141486073">
                              <w:marLeft w:val="1"/>
                              <w:marRight w:val="1"/>
                              <w:marTop w:val="120"/>
                              <w:marBottom w:val="120"/>
                              <w:divBdr>
                                <w:top w:val="none" w:sz="0" w:space="0" w:color="auto"/>
                                <w:left w:val="none" w:sz="0" w:space="0" w:color="auto"/>
                                <w:bottom w:val="none" w:sz="0" w:space="0" w:color="auto"/>
                                <w:right w:val="none" w:sz="0" w:space="0" w:color="auto"/>
                              </w:divBdr>
                              <w:divsChild>
                                <w:div w:id="2141486050">
                                  <w:marLeft w:val="0"/>
                                  <w:marRight w:val="0"/>
                                  <w:marTop w:val="0"/>
                                  <w:marBottom w:val="0"/>
                                  <w:divBdr>
                                    <w:top w:val="none" w:sz="0" w:space="0" w:color="auto"/>
                                    <w:left w:val="none" w:sz="0" w:space="0" w:color="auto"/>
                                    <w:bottom w:val="none" w:sz="0" w:space="0" w:color="auto"/>
                                    <w:right w:val="none" w:sz="0" w:space="0" w:color="auto"/>
                                  </w:divBdr>
                                  <w:divsChild>
                                    <w:div w:id="2141486058">
                                      <w:marLeft w:val="0"/>
                                      <w:marRight w:val="0"/>
                                      <w:marTop w:val="0"/>
                                      <w:marBottom w:val="0"/>
                                      <w:divBdr>
                                        <w:top w:val="none" w:sz="0" w:space="0" w:color="auto"/>
                                        <w:left w:val="none" w:sz="0" w:space="0" w:color="auto"/>
                                        <w:bottom w:val="none" w:sz="0" w:space="0" w:color="auto"/>
                                        <w:right w:val="none" w:sz="0" w:space="0" w:color="auto"/>
                                      </w:divBdr>
                                      <w:divsChild>
                                        <w:div w:id="2141486054">
                                          <w:marLeft w:val="4"/>
                                          <w:marRight w:val="0"/>
                                          <w:marTop w:val="0"/>
                                          <w:marBottom w:val="0"/>
                                          <w:divBdr>
                                            <w:top w:val="none" w:sz="0" w:space="0" w:color="auto"/>
                                            <w:left w:val="none" w:sz="0" w:space="0" w:color="auto"/>
                                            <w:bottom w:val="none" w:sz="0" w:space="0" w:color="auto"/>
                                            <w:right w:val="none" w:sz="0" w:space="0" w:color="auto"/>
                                          </w:divBdr>
                                          <w:divsChild>
                                            <w:div w:id="2141486056">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486059">
      <w:marLeft w:val="0"/>
      <w:marRight w:val="0"/>
      <w:marTop w:val="0"/>
      <w:marBottom w:val="0"/>
      <w:divBdr>
        <w:top w:val="none" w:sz="0" w:space="0" w:color="auto"/>
        <w:left w:val="none" w:sz="0" w:space="0" w:color="auto"/>
        <w:bottom w:val="none" w:sz="0" w:space="0" w:color="auto"/>
        <w:right w:val="none" w:sz="0" w:space="0" w:color="auto"/>
      </w:divBdr>
      <w:divsChild>
        <w:div w:id="2141486066">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0"/>
              <w:marRight w:val="0"/>
              <w:marTop w:val="0"/>
              <w:marBottom w:val="0"/>
              <w:divBdr>
                <w:top w:val="none" w:sz="0" w:space="0" w:color="auto"/>
                <w:left w:val="none" w:sz="0" w:space="0" w:color="auto"/>
                <w:bottom w:val="none" w:sz="0" w:space="0" w:color="auto"/>
                <w:right w:val="none" w:sz="0" w:space="0" w:color="auto"/>
              </w:divBdr>
              <w:divsChild>
                <w:div w:id="2141486084">
                  <w:marLeft w:val="0"/>
                  <w:marRight w:val="0"/>
                  <w:marTop w:val="0"/>
                  <w:marBottom w:val="0"/>
                  <w:divBdr>
                    <w:top w:val="none" w:sz="0" w:space="0" w:color="auto"/>
                    <w:left w:val="none" w:sz="0" w:space="0" w:color="auto"/>
                    <w:bottom w:val="none" w:sz="0" w:space="0" w:color="auto"/>
                    <w:right w:val="none" w:sz="0" w:space="0" w:color="auto"/>
                  </w:divBdr>
                  <w:divsChild>
                    <w:div w:id="2141486068">
                      <w:marLeft w:val="0"/>
                      <w:marRight w:val="0"/>
                      <w:marTop w:val="0"/>
                      <w:marBottom w:val="0"/>
                      <w:divBdr>
                        <w:top w:val="none" w:sz="0" w:space="0" w:color="auto"/>
                        <w:left w:val="none" w:sz="0" w:space="0" w:color="auto"/>
                        <w:bottom w:val="none" w:sz="0" w:space="0" w:color="auto"/>
                        <w:right w:val="none" w:sz="0" w:space="0" w:color="auto"/>
                      </w:divBdr>
                      <w:divsChild>
                        <w:div w:id="2141486061">
                          <w:marLeft w:val="0"/>
                          <w:marRight w:val="0"/>
                          <w:marTop w:val="0"/>
                          <w:marBottom w:val="0"/>
                          <w:divBdr>
                            <w:top w:val="none" w:sz="0" w:space="0" w:color="auto"/>
                            <w:left w:val="none" w:sz="0" w:space="0" w:color="auto"/>
                            <w:bottom w:val="none" w:sz="0" w:space="0" w:color="auto"/>
                            <w:right w:val="none" w:sz="0" w:space="0" w:color="auto"/>
                          </w:divBdr>
                          <w:divsChild>
                            <w:div w:id="2141486074">
                              <w:marLeft w:val="1"/>
                              <w:marRight w:val="1"/>
                              <w:marTop w:val="120"/>
                              <w:marBottom w:val="120"/>
                              <w:divBdr>
                                <w:top w:val="none" w:sz="0" w:space="0" w:color="auto"/>
                                <w:left w:val="none" w:sz="0" w:space="0" w:color="auto"/>
                                <w:bottom w:val="none" w:sz="0" w:space="0" w:color="auto"/>
                                <w:right w:val="none" w:sz="0" w:space="0" w:color="auto"/>
                              </w:divBdr>
                              <w:divsChild>
                                <w:div w:id="2141486076">
                                  <w:marLeft w:val="0"/>
                                  <w:marRight w:val="0"/>
                                  <w:marTop w:val="0"/>
                                  <w:marBottom w:val="0"/>
                                  <w:divBdr>
                                    <w:top w:val="none" w:sz="0" w:space="0" w:color="auto"/>
                                    <w:left w:val="none" w:sz="0" w:space="0" w:color="auto"/>
                                    <w:bottom w:val="none" w:sz="0" w:space="0" w:color="auto"/>
                                    <w:right w:val="none" w:sz="0" w:space="0" w:color="auto"/>
                                  </w:divBdr>
                                  <w:divsChild>
                                    <w:div w:id="2141486046">
                                      <w:marLeft w:val="0"/>
                                      <w:marRight w:val="0"/>
                                      <w:marTop w:val="0"/>
                                      <w:marBottom w:val="0"/>
                                      <w:divBdr>
                                        <w:top w:val="none" w:sz="0" w:space="0" w:color="auto"/>
                                        <w:left w:val="none" w:sz="0" w:space="0" w:color="auto"/>
                                        <w:bottom w:val="none" w:sz="0" w:space="0" w:color="auto"/>
                                        <w:right w:val="none" w:sz="0" w:space="0" w:color="auto"/>
                                      </w:divBdr>
                                      <w:divsChild>
                                        <w:div w:id="2141486075">
                                          <w:marLeft w:val="4"/>
                                          <w:marRight w:val="0"/>
                                          <w:marTop w:val="0"/>
                                          <w:marBottom w:val="0"/>
                                          <w:divBdr>
                                            <w:top w:val="none" w:sz="0" w:space="0" w:color="auto"/>
                                            <w:left w:val="none" w:sz="0" w:space="0" w:color="auto"/>
                                            <w:bottom w:val="none" w:sz="0" w:space="0" w:color="auto"/>
                                            <w:right w:val="none" w:sz="0" w:space="0" w:color="auto"/>
                                          </w:divBdr>
                                          <w:divsChild>
                                            <w:div w:id="2141486067">
                                              <w:marLeft w:val="4"/>
                                              <w:marRight w:val="0"/>
                                              <w:marTop w:val="0"/>
                                              <w:marBottom w:val="0"/>
                                              <w:divBdr>
                                                <w:top w:val="none" w:sz="0" w:space="0" w:color="auto"/>
                                                <w:left w:val="none" w:sz="0" w:space="0" w:color="auto"/>
                                                <w:bottom w:val="none" w:sz="0" w:space="0" w:color="auto"/>
                                                <w:right w:val="none" w:sz="0" w:space="0" w:color="auto"/>
                                              </w:divBdr>
                                              <w:divsChild>
                                                <w:div w:id="2141486049">
                                                  <w:marLeft w:val="4"/>
                                                  <w:marRight w:val="0"/>
                                                  <w:marTop w:val="0"/>
                                                  <w:marBottom w:val="0"/>
                                                  <w:divBdr>
                                                    <w:top w:val="none" w:sz="0" w:space="0" w:color="auto"/>
                                                    <w:left w:val="none" w:sz="0" w:space="0" w:color="auto"/>
                                                    <w:bottom w:val="none" w:sz="0" w:space="0" w:color="auto"/>
                                                    <w:right w:val="none" w:sz="0" w:space="0" w:color="auto"/>
                                                  </w:divBdr>
                                                </w:div>
                                                <w:div w:id="2141486055">
                                                  <w:marLeft w:val="4"/>
                                                  <w:marRight w:val="0"/>
                                                  <w:marTop w:val="0"/>
                                                  <w:marBottom w:val="0"/>
                                                  <w:divBdr>
                                                    <w:top w:val="none" w:sz="0" w:space="0" w:color="auto"/>
                                                    <w:left w:val="none" w:sz="0" w:space="0" w:color="auto"/>
                                                    <w:bottom w:val="none" w:sz="0" w:space="0" w:color="auto"/>
                                                    <w:right w:val="none" w:sz="0" w:space="0" w:color="auto"/>
                                                  </w:divBdr>
                                                </w:div>
                                                <w:div w:id="214148607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486072">
      <w:marLeft w:val="0"/>
      <w:marRight w:val="0"/>
      <w:marTop w:val="0"/>
      <w:marBottom w:val="0"/>
      <w:divBdr>
        <w:top w:val="none" w:sz="0" w:space="0" w:color="auto"/>
        <w:left w:val="none" w:sz="0" w:space="0" w:color="auto"/>
        <w:bottom w:val="none" w:sz="0" w:space="0" w:color="auto"/>
        <w:right w:val="none" w:sz="0" w:space="0" w:color="auto"/>
      </w:divBdr>
      <w:divsChild>
        <w:div w:id="2141486077">
          <w:marLeft w:val="0"/>
          <w:marRight w:val="0"/>
          <w:marTop w:val="0"/>
          <w:marBottom w:val="0"/>
          <w:divBdr>
            <w:top w:val="none" w:sz="0" w:space="0" w:color="auto"/>
            <w:left w:val="none" w:sz="0" w:space="0" w:color="auto"/>
            <w:bottom w:val="none" w:sz="0" w:space="0" w:color="auto"/>
            <w:right w:val="none" w:sz="0" w:space="0" w:color="auto"/>
          </w:divBdr>
          <w:divsChild>
            <w:div w:id="2141486064">
              <w:marLeft w:val="0"/>
              <w:marRight w:val="0"/>
              <w:marTop w:val="0"/>
              <w:marBottom w:val="0"/>
              <w:divBdr>
                <w:top w:val="none" w:sz="0" w:space="0" w:color="auto"/>
                <w:left w:val="none" w:sz="0" w:space="0" w:color="auto"/>
                <w:bottom w:val="none" w:sz="0" w:space="0" w:color="auto"/>
                <w:right w:val="none" w:sz="0" w:space="0" w:color="auto"/>
              </w:divBdr>
              <w:divsChild>
                <w:div w:id="2141486085">
                  <w:marLeft w:val="0"/>
                  <w:marRight w:val="0"/>
                  <w:marTop w:val="0"/>
                  <w:marBottom w:val="0"/>
                  <w:divBdr>
                    <w:top w:val="none" w:sz="0" w:space="0" w:color="auto"/>
                    <w:left w:val="none" w:sz="0" w:space="0" w:color="auto"/>
                    <w:bottom w:val="none" w:sz="0" w:space="0" w:color="auto"/>
                    <w:right w:val="none" w:sz="0" w:space="0" w:color="auto"/>
                  </w:divBdr>
                  <w:divsChild>
                    <w:div w:id="2141486086">
                      <w:marLeft w:val="0"/>
                      <w:marRight w:val="0"/>
                      <w:marTop w:val="0"/>
                      <w:marBottom w:val="0"/>
                      <w:divBdr>
                        <w:top w:val="none" w:sz="0" w:space="0" w:color="auto"/>
                        <w:left w:val="none" w:sz="0" w:space="0" w:color="auto"/>
                        <w:bottom w:val="none" w:sz="0" w:space="0" w:color="auto"/>
                        <w:right w:val="none" w:sz="0" w:space="0" w:color="auto"/>
                      </w:divBdr>
                      <w:divsChild>
                        <w:div w:id="2141486083">
                          <w:marLeft w:val="0"/>
                          <w:marRight w:val="0"/>
                          <w:marTop w:val="0"/>
                          <w:marBottom w:val="0"/>
                          <w:divBdr>
                            <w:top w:val="none" w:sz="0" w:space="0" w:color="auto"/>
                            <w:left w:val="none" w:sz="0" w:space="0" w:color="auto"/>
                            <w:bottom w:val="none" w:sz="0" w:space="0" w:color="auto"/>
                            <w:right w:val="none" w:sz="0" w:space="0" w:color="auto"/>
                          </w:divBdr>
                          <w:divsChild>
                            <w:div w:id="2141486069">
                              <w:marLeft w:val="1"/>
                              <w:marRight w:val="1"/>
                              <w:marTop w:val="120"/>
                              <w:marBottom w:val="120"/>
                              <w:divBdr>
                                <w:top w:val="none" w:sz="0" w:space="0" w:color="auto"/>
                                <w:left w:val="none" w:sz="0" w:space="0" w:color="auto"/>
                                <w:bottom w:val="none" w:sz="0" w:space="0" w:color="auto"/>
                                <w:right w:val="none" w:sz="0" w:space="0" w:color="auto"/>
                              </w:divBdr>
                              <w:divsChild>
                                <w:div w:id="2141486053">
                                  <w:marLeft w:val="0"/>
                                  <w:marRight w:val="0"/>
                                  <w:marTop w:val="0"/>
                                  <w:marBottom w:val="0"/>
                                  <w:divBdr>
                                    <w:top w:val="none" w:sz="0" w:space="0" w:color="auto"/>
                                    <w:left w:val="none" w:sz="0" w:space="0" w:color="auto"/>
                                    <w:bottom w:val="none" w:sz="0" w:space="0" w:color="auto"/>
                                    <w:right w:val="none" w:sz="0" w:space="0" w:color="auto"/>
                                  </w:divBdr>
                                  <w:divsChild>
                                    <w:div w:id="2141486071">
                                      <w:marLeft w:val="0"/>
                                      <w:marRight w:val="0"/>
                                      <w:marTop w:val="0"/>
                                      <w:marBottom w:val="0"/>
                                      <w:divBdr>
                                        <w:top w:val="none" w:sz="0" w:space="0" w:color="auto"/>
                                        <w:left w:val="none" w:sz="0" w:space="0" w:color="auto"/>
                                        <w:bottom w:val="none" w:sz="0" w:space="0" w:color="auto"/>
                                        <w:right w:val="none" w:sz="0" w:space="0" w:color="auto"/>
                                      </w:divBdr>
                                      <w:divsChild>
                                        <w:div w:id="2141486080">
                                          <w:marLeft w:val="4"/>
                                          <w:marRight w:val="0"/>
                                          <w:marTop w:val="0"/>
                                          <w:marBottom w:val="0"/>
                                          <w:divBdr>
                                            <w:top w:val="none" w:sz="0" w:space="0" w:color="auto"/>
                                            <w:left w:val="none" w:sz="0" w:space="0" w:color="auto"/>
                                            <w:bottom w:val="none" w:sz="0" w:space="0" w:color="auto"/>
                                            <w:right w:val="none" w:sz="0" w:space="0" w:color="auto"/>
                                          </w:divBdr>
                                          <w:divsChild>
                                            <w:div w:id="2141486052">
                                              <w:marLeft w:val="4"/>
                                              <w:marRight w:val="0"/>
                                              <w:marTop w:val="0"/>
                                              <w:marBottom w:val="0"/>
                                              <w:divBdr>
                                                <w:top w:val="none" w:sz="0" w:space="0" w:color="auto"/>
                                                <w:left w:val="none" w:sz="0" w:space="0" w:color="auto"/>
                                                <w:bottom w:val="none" w:sz="0" w:space="0" w:color="auto"/>
                                                <w:right w:val="none" w:sz="0" w:space="0" w:color="auto"/>
                                              </w:divBdr>
                                              <w:divsChild>
                                                <w:div w:id="2141486060">
                                                  <w:marLeft w:val="4"/>
                                                  <w:marRight w:val="0"/>
                                                  <w:marTop w:val="0"/>
                                                  <w:marBottom w:val="0"/>
                                                  <w:divBdr>
                                                    <w:top w:val="none" w:sz="0" w:space="0" w:color="auto"/>
                                                    <w:left w:val="none" w:sz="0" w:space="0" w:color="auto"/>
                                                    <w:bottom w:val="none" w:sz="0" w:space="0" w:color="auto"/>
                                                    <w:right w:val="none" w:sz="0" w:space="0" w:color="auto"/>
                                                  </w:divBdr>
                                                  <w:divsChild>
                                                    <w:div w:id="2141486047">
                                                      <w:marLeft w:val="4"/>
                                                      <w:marRight w:val="0"/>
                                                      <w:marTop w:val="0"/>
                                                      <w:marBottom w:val="0"/>
                                                      <w:divBdr>
                                                        <w:top w:val="none" w:sz="0" w:space="0" w:color="auto"/>
                                                        <w:left w:val="none" w:sz="0" w:space="0" w:color="auto"/>
                                                        <w:bottom w:val="none" w:sz="0" w:space="0" w:color="auto"/>
                                                        <w:right w:val="none" w:sz="0" w:space="0" w:color="auto"/>
                                                      </w:divBdr>
                                                    </w:div>
                                                    <w:div w:id="2141486057">
                                                      <w:marLeft w:val="4"/>
                                                      <w:marRight w:val="0"/>
                                                      <w:marTop w:val="0"/>
                                                      <w:marBottom w:val="0"/>
                                                      <w:divBdr>
                                                        <w:top w:val="none" w:sz="0" w:space="0" w:color="auto"/>
                                                        <w:left w:val="none" w:sz="0" w:space="0" w:color="auto"/>
                                                        <w:bottom w:val="none" w:sz="0" w:space="0" w:color="auto"/>
                                                        <w:right w:val="none" w:sz="0" w:space="0" w:color="auto"/>
                                                      </w:divBdr>
                                                    </w:div>
                                                    <w:div w:id="2141486070">
                                                      <w:marLeft w:val="4"/>
                                                      <w:marRight w:val="0"/>
                                                      <w:marTop w:val="0"/>
                                                      <w:marBottom w:val="0"/>
                                                      <w:divBdr>
                                                        <w:top w:val="none" w:sz="0" w:space="0" w:color="auto"/>
                                                        <w:left w:val="none" w:sz="0" w:space="0" w:color="auto"/>
                                                        <w:bottom w:val="none" w:sz="0" w:space="0" w:color="auto"/>
                                                        <w:right w:val="none" w:sz="0" w:space="0" w:color="auto"/>
                                                      </w:divBdr>
                                                    </w:div>
                                                    <w:div w:id="2141486082">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1420</Words>
  <Characters>8094</Characters>
  <Application>Microsoft Office Outlook</Application>
  <DocSecurity>0</DocSecurity>
  <Lines>0</Lines>
  <Paragraphs>0</Paragraphs>
  <ScaleCrop>false</ScaleCrop>
  <Company>U.S. Dept. Of Labor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robertson-paul</dc:creator>
  <cp:keywords/>
  <dc:description/>
  <cp:lastModifiedBy>Michel Smyth</cp:lastModifiedBy>
  <cp:revision>3</cp:revision>
  <cp:lastPrinted>2010-02-12T16:18:00Z</cp:lastPrinted>
  <dcterms:created xsi:type="dcterms:W3CDTF">2010-10-05T21:21:00Z</dcterms:created>
  <dcterms:modified xsi:type="dcterms:W3CDTF">2010-10-05T21:25:00Z</dcterms:modified>
</cp:coreProperties>
</file>