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DA" w:rsidRDefault="00B556DA">
      <w:pPr>
        <w:jc w:val="center"/>
      </w:pPr>
      <w:r>
        <w:rPr>
          <w:rFonts w:ascii="Helvetica" w:hAnsi="Helvetica"/>
          <w:b/>
          <w:sz w:val="28"/>
        </w:rPr>
        <w:t>Paperwork Reduction Act Submission</w:t>
      </w:r>
    </w:p>
    <w:p w:rsidR="00B556DA" w:rsidRDefault="00B556DA">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r w:rsidR="00DA095F">
        <w:rPr>
          <w:sz w:val="18"/>
        </w:rPr>
        <w:t>, Washington</w:t>
      </w:r>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r>
        <w:rPr>
          <w:sz w:val="18"/>
        </w:rPr>
        <w:t>.</w:t>
      </w:r>
    </w:p>
    <w:tbl>
      <w:tblPr>
        <w:tblW w:w="0" w:type="auto"/>
        <w:tblLayout w:type="fixed"/>
        <w:tblLook w:val="0000"/>
      </w:tblPr>
      <w:tblGrid>
        <w:gridCol w:w="5508"/>
        <w:gridCol w:w="1920"/>
        <w:gridCol w:w="1800"/>
        <w:gridCol w:w="1788"/>
      </w:tblGrid>
      <w:tr w:rsidR="00B556DA">
        <w:tc>
          <w:tcPr>
            <w:tcW w:w="7428" w:type="dxa"/>
            <w:gridSpan w:val="2"/>
            <w:tcBorders>
              <w:top w:val="single" w:sz="6" w:space="0" w:color="auto"/>
            </w:tcBorders>
          </w:tcPr>
          <w:p w:rsidR="00B556DA" w:rsidRDefault="00B556DA">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B556DA" w:rsidRDefault="004D7116">
            <w:pPr>
              <w:ind w:left="120"/>
              <w:rPr>
                <w:rFonts w:ascii="Helvetica" w:hAnsi="Helvetica"/>
                <w:b/>
                <w:sz w:val="18"/>
              </w:rPr>
            </w:pPr>
            <w:r>
              <w:rPr>
                <w:rFonts w:ascii="Helvetica" w:hAnsi="Helvetica"/>
                <w:b/>
                <w:sz w:val="18"/>
              </w:rPr>
              <w:t>U</w:t>
            </w:r>
            <w:r w:rsidR="00B556DA">
              <w:rPr>
                <w:rFonts w:ascii="Helvetica" w:hAnsi="Helvetica"/>
                <w:b/>
                <w:sz w:val="18"/>
              </w:rPr>
              <w:t>.</w:t>
            </w:r>
            <w:r>
              <w:rPr>
                <w:rFonts w:ascii="Helvetica" w:hAnsi="Helvetica"/>
                <w:b/>
                <w:sz w:val="18"/>
              </w:rPr>
              <w:t>S.</w:t>
            </w:r>
            <w:r w:rsidR="00B556DA">
              <w:rPr>
                <w:rFonts w:ascii="Helvetica" w:hAnsi="Helvetica"/>
                <w:b/>
                <w:sz w:val="18"/>
              </w:rPr>
              <w:t xml:space="preserve"> Department of Housing and Urban Development</w:t>
            </w:r>
          </w:p>
          <w:p w:rsidR="00B556DA" w:rsidRDefault="004D7116" w:rsidP="006D3621">
            <w:pPr>
              <w:ind w:left="120"/>
              <w:rPr>
                <w:rFonts w:ascii="Helvetica" w:hAnsi="Helvetica"/>
                <w:b/>
                <w:sz w:val="18"/>
              </w:rPr>
            </w:pPr>
            <w:r>
              <w:rPr>
                <w:rFonts w:ascii="Helvetica" w:hAnsi="Helvetica"/>
                <w:b/>
                <w:sz w:val="18"/>
              </w:rPr>
              <w:t>Off</w:t>
            </w:r>
            <w:r w:rsidR="006D3621">
              <w:rPr>
                <w:rFonts w:ascii="Helvetica" w:hAnsi="Helvetica"/>
                <w:b/>
                <w:sz w:val="18"/>
              </w:rPr>
              <w:t>ice of Public and Indian Housing</w:t>
            </w:r>
          </w:p>
          <w:p w:rsidR="00A56931" w:rsidRDefault="00A56931" w:rsidP="006D3621">
            <w:pPr>
              <w:ind w:left="120"/>
              <w:rPr>
                <w:rFonts w:ascii="Helvetica" w:hAnsi="Helvetica"/>
                <w:sz w:val="16"/>
              </w:rPr>
            </w:pPr>
            <w:r>
              <w:rPr>
                <w:rFonts w:ascii="Helvetica" w:hAnsi="Helvetica"/>
                <w:b/>
                <w:sz w:val="18"/>
              </w:rPr>
              <w:t>Office of Public Housing and Voucher Programs</w:t>
            </w:r>
          </w:p>
        </w:tc>
        <w:tc>
          <w:tcPr>
            <w:tcW w:w="1800" w:type="dxa"/>
            <w:tcBorders>
              <w:top w:val="single" w:sz="6" w:space="0" w:color="auto"/>
              <w:left w:val="single" w:sz="6" w:space="0" w:color="auto"/>
            </w:tcBorders>
          </w:tcPr>
          <w:p w:rsidR="00B556DA" w:rsidRDefault="00B556DA">
            <w:pPr>
              <w:rPr>
                <w:rFonts w:ascii="Helvetica" w:hAnsi="Helvetica"/>
                <w:sz w:val="16"/>
              </w:rPr>
            </w:pPr>
            <w:r>
              <w:rPr>
                <w:rFonts w:ascii="Helvetica" w:hAnsi="Helvetica"/>
                <w:sz w:val="16"/>
              </w:rPr>
              <w:t xml:space="preserve">2. </w:t>
            </w:r>
            <w:r>
              <w:rPr>
                <w:rFonts w:ascii="Helvetica" w:hAnsi="Helvetica"/>
                <w:sz w:val="14"/>
              </w:rPr>
              <w:t>OMB Control Number:</w:t>
            </w:r>
          </w:p>
          <w:p w:rsidR="00B556DA" w:rsidRDefault="00B556DA">
            <w:pPr>
              <w:spacing w:before="40" w:after="40"/>
              <w:ind w:left="132"/>
              <w:rPr>
                <w:rFonts w:ascii="Helvetica" w:hAnsi="Helvetica"/>
                <w:b/>
                <w:color w:val="000080"/>
              </w:rPr>
            </w:pPr>
            <w:r>
              <w:rPr>
                <w:rFonts w:ascii="Helvetica" w:hAnsi="Helvetica"/>
                <w:sz w:val="16"/>
              </w:rPr>
              <w:t xml:space="preserve">a. </w:t>
            </w:r>
            <w:r w:rsidR="00AE4E77">
              <w:rPr>
                <w:rFonts w:ascii="Helvetica" w:hAnsi="Helvetica"/>
                <w:b/>
                <w:color w:val="000080"/>
              </w:rPr>
              <w:fldChar w:fldCharType="begin">
                <w:ffData>
                  <w:name w:val="Text2"/>
                  <w:enabled/>
                  <w:calcOnExit w:val="0"/>
                  <w:textInput/>
                </w:ffData>
              </w:fldChar>
            </w:r>
            <w:bookmarkStart w:id="0" w:name="Text2"/>
            <w:r>
              <w:rPr>
                <w:rFonts w:ascii="Helvetica" w:hAnsi="Helvetica"/>
                <w:b/>
                <w:color w:val="000080"/>
              </w:rPr>
              <w:instrText xml:space="preserve"> FORMTEXT </w:instrText>
            </w:r>
            <w:r w:rsidR="00AE4E77">
              <w:rPr>
                <w:rFonts w:ascii="Helvetica" w:hAnsi="Helvetica"/>
                <w:b/>
                <w:color w:val="000080"/>
              </w:rPr>
            </w:r>
            <w:r w:rsidR="00AE4E77">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AE4E77">
              <w:rPr>
                <w:rFonts w:ascii="Helvetica" w:hAnsi="Helvetica"/>
                <w:b/>
                <w:color w:val="000080"/>
              </w:rPr>
              <w:fldChar w:fldCharType="end"/>
            </w:r>
            <w:bookmarkEnd w:id="0"/>
          </w:p>
          <w:p w:rsidR="006D3621" w:rsidRDefault="006D3621">
            <w:pPr>
              <w:spacing w:before="40" w:after="40"/>
              <w:ind w:left="132"/>
              <w:rPr>
                <w:rFonts w:ascii="Helvetica" w:hAnsi="Helvetica"/>
                <w:sz w:val="16"/>
              </w:rPr>
            </w:pPr>
            <w:r>
              <w:rPr>
                <w:rFonts w:ascii="Helvetica" w:hAnsi="Helvetica"/>
                <w:b/>
                <w:color w:val="000080"/>
              </w:rPr>
              <w:t>2577-</w:t>
            </w:r>
            <w:r w:rsidR="00A56931">
              <w:rPr>
                <w:rFonts w:ascii="Helvetica" w:hAnsi="Helvetica"/>
                <w:b/>
                <w:color w:val="000080"/>
              </w:rPr>
              <w:t>0169</w:t>
            </w:r>
          </w:p>
          <w:p w:rsidR="00B556DA" w:rsidRDefault="00B556DA">
            <w:pPr>
              <w:ind w:left="-120"/>
              <w:rPr>
                <w:rFonts w:ascii="Helvetica" w:hAnsi="Helvetica"/>
                <w:sz w:val="16"/>
              </w:rPr>
            </w:pPr>
          </w:p>
        </w:tc>
        <w:tc>
          <w:tcPr>
            <w:tcW w:w="1788" w:type="dxa"/>
            <w:tcBorders>
              <w:top w:val="single" w:sz="6" w:space="0" w:color="auto"/>
            </w:tcBorders>
          </w:tcPr>
          <w:p w:rsidR="00B556DA" w:rsidRDefault="00B556DA">
            <w:pPr>
              <w:spacing w:before="120"/>
              <w:rPr>
                <w:rFonts w:ascii="Helvetica" w:hAnsi="Helvetica"/>
                <w:sz w:val="18"/>
              </w:rPr>
            </w:pPr>
            <w:r>
              <w:rPr>
                <w:rFonts w:ascii="Helvetica" w:hAnsi="Helvetica"/>
                <w:sz w:val="16"/>
              </w:rPr>
              <w:t xml:space="preserve">b. </w:t>
            </w:r>
            <w:r w:rsidR="00AE4E77">
              <w:rPr>
                <w:rFonts w:ascii="Helvetica" w:hAnsi="Helvetica"/>
                <w:b/>
              </w:rPr>
              <w:fldChar w:fldCharType="begin">
                <w:ffData>
                  <w:name w:val=""/>
                  <w:enabled/>
                  <w:calcOnExit w:val="0"/>
                  <w:checkBox>
                    <w:sizeAuto/>
                    <w:default w:val="1"/>
                  </w:checkBox>
                </w:ffData>
              </w:fldChar>
            </w:r>
            <w:r w:rsidR="00AD50F1">
              <w:rPr>
                <w:rFonts w:ascii="Helvetica" w:hAnsi="Helvetica"/>
                <w:b/>
              </w:rPr>
              <w:instrText xml:space="preserve"> FORMCHECKBOX </w:instrText>
            </w:r>
            <w:r w:rsidR="00AE4E77">
              <w:rPr>
                <w:rFonts w:ascii="Helvetica" w:hAnsi="Helvetica"/>
                <w:b/>
              </w:rPr>
            </w:r>
            <w:r w:rsidR="00AE4E77">
              <w:rPr>
                <w:rFonts w:ascii="Helvetica" w:hAnsi="Helvetica"/>
                <w:b/>
              </w:rPr>
              <w:fldChar w:fldCharType="end"/>
            </w:r>
            <w:r>
              <w:rPr>
                <w:rFonts w:ascii="Helvetica" w:hAnsi="Helvetica"/>
                <w:b/>
                <w:color w:val="800000"/>
              </w:rPr>
              <w:t xml:space="preserve"> </w:t>
            </w:r>
            <w:r>
              <w:rPr>
                <w:rFonts w:ascii="Helvetica" w:hAnsi="Helvetica"/>
                <w:sz w:val="18"/>
              </w:rPr>
              <w:t>None</w:t>
            </w:r>
          </w:p>
          <w:p w:rsidR="00B556DA" w:rsidRDefault="00B556DA">
            <w:pPr>
              <w:spacing w:before="40" w:after="40"/>
              <w:ind w:left="252"/>
              <w:rPr>
                <w:rFonts w:ascii="Helvetica" w:hAnsi="Helvetica"/>
                <w:color w:val="000080"/>
              </w:rPr>
            </w:pPr>
            <w:r>
              <w:rPr>
                <w:rFonts w:ascii="Helvetica" w:hAnsi="Helvetica"/>
                <w:sz w:val="16"/>
              </w:rPr>
              <w:t xml:space="preserve"> </w:t>
            </w:r>
            <w:r w:rsidR="00AE4E77">
              <w:rPr>
                <w:rFonts w:ascii="Helvetica" w:hAnsi="Helvetica"/>
                <w:b/>
                <w:color w:val="000080"/>
              </w:rPr>
              <w:fldChar w:fldCharType="begin">
                <w:ffData>
                  <w:name w:val="Text3"/>
                  <w:enabled/>
                  <w:calcOnExit w:val="0"/>
                  <w:textInput/>
                </w:ffData>
              </w:fldChar>
            </w:r>
            <w:bookmarkStart w:id="1" w:name="Text3"/>
            <w:r>
              <w:rPr>
                <w:rFonts w:ascii="Helvetica" w:hAnsi="Helvetica"/>
                <w:b/>
                <w:color w:val="000080"/>
              </w:rPr>
              <w:instrText xml:space="preserve"> FORMTEXT </w:instrText>
            </w:r>
            <w:r w:rsidR="00AE4E77">
              <w:rPr>
                <w:rFonts w:ascii="Helvetica" w:hAnsi="Helvetica"/>
                <w:b/>
                <w:color w:val="000080"/>
              </w:rPr>
            </w:r>
            <w:r w:rsidR="00AE4E77">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sidR="00AE4E77">
              <w:rPr>
                <w:rFonts w:ascii="Helvetica" w:hAnsi="Helvetica"/>
                <w:b/>
                <w:color w:val="000080"/>
              </w:rPr>
              <w:fldChar w:fldCharType="end"/>
            </w:r>
            <w:bookmarkEnd w:id="1"/>
          </w:p>
        </w:tc>
      </w:tr>
      <w:tr w:rsidR="00B556DA" w:rsidTr="00DE54B5">
        <w:trPr>
          <w:trHeight w:val="3195"/>
        </w:trPr>
        <w:tc>
          <w:tcPr>
            <w:tcW w:w="5508" w:type="dxa"/>
            <w:tcBorders>
              <w:top w:val="single" w:sz="6" w:space="0" w:color="auto"/>
            </w:tcBorders>
          </w:tcPr>
          <w:p w:rsidR="00B556DA" w:rsidRDefault="00B556DA">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B556DA" w:rsidRDefault="00AE4E77">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New Collection </w:t>
            </w:r>
          </w:p>
          <w:p w:rsidR="00B556DA" w:rsidRDefault="00AE4E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sidR="00054306">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Revision of a currently approved collection</w:t>
            </w:r>
          </w:p>
          <w:p w:rsidR="00B556DA" w:rsidRDefault="00AE4E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Extension of a currently approved collection</w:t>
            </w:r>
          </w:p>
          <w:p w:rsidR="00B556DA" w:rsidRDefault="00AE4E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without change</w:t>
            </w:r>
            <w:r w:rsidR="00B556DA">
              <w:rPr>
                <w:rFonts w:ascii="Helvetica" w:hAnsi="Helvetica"/>
                <w:sz w:val="16"/>
              </w:rPr>
              <w:t xml:space="preserve">, of previously approved </w:t>
            </w:r>
          </w:p>
          <w:p w:rsidR="00B556DA" w:rsidRDefault="00B556DA">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B556DA" w:rsidRDefault="00AE4E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sidR="00E16210">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 xml:space="preserve">Reinstatement, </w:t>
            </w:r>
            <w:r w:rsidR="00B556DA">
              <w:rPr>
                <w:rFonts w:ascii="Helvetica" w:hAnsi="Helvetica"/>
                <w:b/>
                <w:sz w:val="16"/>
              </w:rPr>
              <w:t>with change</w:t>
            </w:r>
            <w:r w:rsidR="00B556DA">
              <w:rPr>
                <w:rFonts w:ascii="Helvetica" w:hAnsi="Helvetica"/>
                <w:sz w:val="16"/>
              </w:rPr>
              <w:t xml:space="preserve">, of previously approved collection </w:t>
            </w:r>
          </w:p>
          <w:p w:rsidR="00B556DA" w:rsidRDefault="00B556DA">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B556DA" w:rsidRDefault="00AE4E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6"/>
              </w:rPr>
              <w:t>Existing collection in use without an OMB control number</w:t>
            </w:r>
          </w:p>
          <w:p w:rsidR="00B556DA" w:rsidRDefault="00B556DA">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B556DA" w:rsidRDefault="00B556DA">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bookmarkStart w:id="2" w:name="Check10"/>
          <w:p w:rsidR="00B556DA" w:rsidRDefault="00AE4E77">
            <w:pPr>
              <w:numPr>
                <w:ilvl w:val="0"/>
                <w:numId w:val="2"/>
              </w:numPr>
              <w:tabs>
                <w:tab w:val="left" w:pos="492"/>
                <w:tab w:val="left" w:pos="732"/>
              </w:tabs>
              <w:rPr>
                <w:rFonts w:ascii="Helvetica" w:hAnsi="Helvetica"/>
                <w:sz w:val="16"/>
              </w:rPr>
            </w:pPr>
            <w:r>
              <w:rPr>
                <w:rFonts w:ascii="Helvetica" w:hAnsi="Helvetica"/>
                <w:b/>
              </w:rPr>
              <w:fldChar w:fldCharType="begin">
                <w:ffData>
                  <w:name w:val="Check10"/>
                  <w:enabled/>
                  <w:calcOnExit w:val="0"/>
                  <w:checkBox>
                    <w:sizeAuto/>
                    <w:default w:val="0"/>
                  </w:checkBox>
                </w:ffData>
              </w:fldChar>
            </w:r>
            <w:r w:rsidR="00054306">
              <w:rPr>
                <w:rFonts w:ascii="Helvetica" w:hAnsi="Helvetica"/>
                <w:b/>
              </w:rPr>
              <w:instrText xml:space="preserve"> FORMCHECKBOX </w:instrText>
            </w:r>
            <w:r>
              <w:rPr>
                <w:rFonts w:ascii="Helvetica" w:hAnsi="Helvetica"/>
                <w:b/>
              </w:rPr>
            </w:r>
            <w:r>
              <w:rPr>
                <w:rFonts w:ascii="Helvetica" w:hAnsi="Helvetica"/>
                <w:b/>
              </w:rPr>
              <w:fldChar w:fldCharType="end"/>
            </w:r>
            <w:bookmarkEnd w:id="2"/>
            <w:r w:rsidR="00B556DA">
              <w:rPr>
                <w:rFonts w:ascii="Helvetica" w:hAnsi="Helvetica"/>
                <w:b/>
                <w:color w:val="800000"/>
              </w:rPr>
              <w:t xml:space="preserve">  </w:t>
            </w:r>
            <w:r w:rsidR="00B556DA">
              <w:rPr>
                <w:rFonts w:ascii="Helvetica" w:hAnsi="Helvetica"/>
                <w:sz w:val="16"/>
              </w:rPr>
              <w:t>Regular</w:t>
            </w:r>
          </w:p>
          <w:p w:rsidR="00B556DA" w:rsidRDefault="00AE4E77">
            <w:pPr>
              <w:numPr>
                <w:ilvl w:val="0"/>
                <w:numId w:val="2"/>
              </w:numPr>
              <w:tabs>
                <w:tab w:val="left" w:pos="492"/>
                <w:tab w:val="left" w:pos="732"/>
              </w:tabs>
              <w:rPr>
                <w:rFonts w:ascii="Helvetica" w:hAnsi="Helvetica"/>
                <w:sz w:val="16"/>
              </w:rPr>
            </w:pPr>
            <w:r>
              <w:rPr>
                <w:rFonts w:ascii="Helvetica" w:hAnsi="Helvetica"/>
                <w:b/>
              </w:rPr>
              <w:fldChar w:fldCharType="begin">
                <w:ffData>
                  <w:name w:val=""/>
                  <w:enabled/>
                  <w:calcOnExit w:val="0"/>
                  <w:checkBox>
                    <w:sizeAuto/>
                    <w:default w:val="1"/>
                  </w:checkBox>
                </w:ffData>
              </w:fldChar>
            </w:r>
            <w:r w:rsidR="00054306">
              <w:rPr>
                <w:rFonts w:ascii="Helvetica" w:hAnsi="Helvetica"/>
                <w:b/>
              </w:rPr>
              <w:instrText xml:space="preserve"> FORMCHECKBOX </w:instrText>
            </w:r>
            <w:r>
              <w:rPr>
                <w:rFonts w:ascii="Helvetica" w:hAnsi="Helvetica"/>
                <w:b/>
              </w:rPr>
            </w:r>
            <w:r>
              <w:rPr>
                <w:rFonts w:ascii="Helvetica" w:hAnsi="Helvetica"/>
                <w:b/>
              </w:rPr>
              <w:fldChar w:fldCharType="end"/>
            </w:r>
            <w:r w:rsidR="00B556DA">
              <w:rPr>
                <w:rFonts w:ascii="Helvetica" w:hAnsi="Helvetica"/>
                <w:b/>
                <w:color w:val="800000"/>
              </w:rPr>
              <w:t xml:space="preserve">  </w:t>
            </w:r>
            <w:r w:rsidR="00B556DA">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3" w:name="Text4"/>
            <w:r w:rsidR="00B556DA">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sidR="00B556DA">
              <w:rPr>
                <w:rFonts w:ascii="Helvetica" w:hAnsi="Helvetica"/>
                <w:noProof/>
                <w:color w:val="000080"/>
                <w:sz w:val="18"/>
              </w:rPr>
              <w:t> </w:t>
            </w:r>
            <w:r>
              <w:rPr>
                <w:rFonts w:ascii="Helvetica" w:hAnsi="Helvetica"/>
                <w:color w:val="000080"/>
                <w:sz w:val="18"/>
              </w:rPr>
              <w:fldChar w:fldCharType="end"/>
            </w:r>
            <w:bookmarkEnd w:id="3"/>
          </w:p>
          <w:p w:rsidR="00B556DA" w:rsidRDefault="00AE4E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sz w:val="18"/>
              </w:rPr>
              <w:t xml:space="preserve"> </w:t>
            </w:r>
            <w:r w:rsidR="00B556DA">
              <w:rPr>
                <w:rFonts w:ascii="Helvetica" w:hAnsi="Helvetica"/>
                <w:b/>
                <w:color w:val="800000"/>
              </w:rPr>
              <w:t xml:space="preserve"> </w:t>
            </w:r>
            <w:r w:rsidR="00B556DA">
              <w:rPr>
                <w:rFonts w:ascii="Helvetica" w:hAnsi="Helvetica"/>
                <w:sz w:val="16"/>
              </w:rPr>
              <w:t>Delegated</w:t>
            </w:r>
          </w:p>
          <w:p w:rsidR="00B556DA" w:rsidRDefault="00B556DA">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B556DA" w:rsidRDefault="00AE4E77">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7B734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B556DA" w:rsidRDefault="00B556DA">
            <w:pPr>
              <w:tabs>
                <w:tab w:val="left" w:pos="240"/>
                <w:tab w:val="left" w:pos="3132"/>
              </w:tabs>
              <w:ind w:left="252"/>
              <w:rPr>
                <w:rFonts w:ascii="Helvetica" w:hAnsi="Helvetica"/>
                <w:sz w:val="16"/>
              </w:rPr>
            </w:pPr>
            <w:r>
              <w:rPr>
                <w:rFonts w:ascii="Helvetica" w:hAnsi="Helvetica"/>
                <w:sz w:val="16"/>
              </w:rPr>
              <w:t xml:space="preserve">a. </w:t>
            </w:r>
            <w:r w:rsidR="00AE4E77">
              <w:rPr>
                <w:rFonts w:ascii="Helvetica" w:hAnsi="Helvetica"/>
                <w:b/>
                <w:sz w:val="18"/>
              </w:rPr>
              <w:fldChar w:fldCharType="begin">
                <w:ffData>
                  <w:name w:val=""/>
                  <w:enabled/>
                  <w:calcOnExit w:val="0"/>
                  <w:checkBox>
                    <w:sizeAuto/>
                    <w:default w:val="0"/>
                  </w:checkBox>
                </w:ffData>
              </w:fldChar>
            </w:r>
            <w:r w:rsidR="00054306">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sidR="00AE4E77">
              <w:rPr>
                <w:rFonts w:ascii="Helvetica" w:hAnsi="Helvetica"/>
                <w:b/>
                <w:sz w:val="18"/>
              </w:rPr>
              <w:fldChar w:fldCharType="begin">
                <w:ffData>
                  <w:name w:val=""/>
                  <w:enabled/>
                  <w:calcOnExit w:val="0"/>
                  <w:checkBox>
                    <w:sizeAuto/>
                    <w:default w:val="1"/>
                  </w:checkBox>
                </w:ffData>
              </w:fldChar>
            </w:r>
            <w:r w:rsidR="00054306">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B556DA" w:rsidRDefault="00B556DA" w:rsidP="00054306">
            <w:pPr>
              <w:tabs>
                <w:tab w:val="left" w:pos="3252"/>
              </w:tabs>
              <w:spacing w:after="60"/>
              <w:rPr>
                <w:rFonts w:ascii="Helvetica" w:hAnsi="Helvetica"/>
                <w:color w:val="000080"/>
                <w:sz w:val="16"/>
              </w:rPr>
            </w:pPr>
            <w:r>
              <w:rPr>
                <w:rFonts w:ascii="Helvetica" w:hAnsi="Helvetica"/>
                <w:sz w:val="18"/>
              </w:rPr>
              <w:tab/>
              <w:t xml:space="preserve"> </w:t>
            </w:r>
            <w:r w:rsidR="00054306">
              <w:rPr>
                <w:rFonts w:ascii="Helvetica" w:hAnsi="Helvetica"/>
                <w:color w:val="000080"/>
                <w:sz w:val="18"/>
              </w:rPr>
              <w:t>180 days</w:t>
            </w:r>
          </w:p>
        </w:tc>
      </w:tr>
    </w:tbl>
    <w:p w:rsidR="005919A7" w:rsidRDefault="00B556DA" w:rsidP="005919A7">
      <w:pPr>
        <w:pBdr>
          <w:top w:val="single" w:sz="6" w:space="0" w:color="auto"/>
        </w:pBdr>
        <w:tabs>
          <w:tab w:val="left" w:pos="240"/>
        </w:tabs>
        <w:ind w:left="-120"/>
        <w:rPr>
          <w:rFonts w:ascii="Helvetica" w:hAnsi="Helvetica"/>
          <w:sz w:val="16"/>
        </w:rPr>
      </w:pPr>
      <w:r>
        <w:rPr>
          <w:rFonts w:ascii="Helvetica" w:hAnsi="Helvetica"/>
          <w:sz w:val="16"/>
        </w:rPr>
        <w:t xml:space="preserve">7. </w:t>
      </w:r>
      <w:r>
        <w:rPr>
          <w:rFonts w:ascii="Helvetica" w:hAnsi="Helvetica"/>
          <w:sz w:val="14"/>
        </w:rPr>
        <w:t>Title:</w:t>
      </w:r>
      <w:r w:rsidR="005919A7" w:rsidRPr="005919A7">
        <w:rPr>
          <w:rFonts w:ascii="Helvetica" w:hAnsi="Helvetica"/>
          <w:sz w:val="14"/>
        </w:rPr>
        <w:t xml:space="preserve"> </w:t>
      </w:r>
      <w:r w:rsidR="005919A7">
        <w:rPr>
          <w:rFonts w:ascii="Helvetica" w:hAnsi="Helvetica"/>
          <w:sz w:val="14"/>
        </w:rPr>
        <w:t>Title:</w:t>
      </w:r>
    </w:p>
    <w:p w:rsidR="005919A7" w:rsidRDefault="005919A7" w:rsidP="005919A7">
      <w:pPr>
        <w:tabs>
          <w:tab w:val="left" w:pos="240"/>
        </w:tabs>
        <w:spacing w:after="40"/>
        <w:ind w:left="120" w:right="-120"/>
        <w:rPr>
          <w:rFonts w:ascii="Helvetica" w:hAnsi="Helvetica"/>
          <w:sz w:val="18"/>
        </w:rPr>
      </w:pPr>
      <w:r>
        <w:rPr>
          <w:rFonts w:ascii="Helvetica" w:hAnsi="Helvetica"/>
          <w:b/>
          <w:sz w:val="18"/>
        </w:rPr>
        <w:t>Housing Choice Voucher Program</w:t>
      </w:r>
    </w:p>
    <w:p w:rsidR="005919A7" w:rsidRPr="00EA0024" w:rsidRDefault="005919A7" w:rsidP="005919A7">
      <w:pPr>
        <w:pBdr>
          <w:top w:val="single" w:sz="6" w:space="0" w:color="auto"/>
        </w:pBdr>
        <w:tabs>
          <w:tab w:val="left" w:pos="240"/>
        </w:tabs>
        <w:spacing w:after="60" w:line="180" w:lineRule="exact"/>
        <w:ind w:left="-120"/>
        <w:rPr>
          <w:rFonts w:ascii="Helvetica" w:hAnsi="Helvetica"/>
          <w:sz w:val="18"/>
        </w:rPr>
      </w:pPr>
      <w:r>
        <w:rPr>
          <w:rFonts w:ascii="Helvetica" w:hAnsi="Helvetica"/>
          <w:sz w:val="16"/>
        </w:rPr>
        <w:t xml:space="preserve">8. </w:t>
      </w:r>
      <w:r>
        <w:rPr>
          <w:rFonts w:ascii="Helvetica" w:hAnsi="Helvetica"/>
          <w:sz w:val="14"/>
        </w:rPr>
        <w:t xml:space="preserve">Agency form number(s):  </w:t>
      </w:r>
      <w:r>
        <w:t xml:space="preserve"> </w:t>
      </w:r>
      <w:r w:rsidRPr="00F35257">
        <w:t xml:space="preserve">HUD-52515, HUD-52667, HUD-52580, HUD-52580-A, HUD-52681, HUD-52681-B, HUD-52672, HUD-, HUD-52517, HUD-52646, HUD-52665, HUD-52641, HUD-52641-A, HUD 52642, HUD 52642-A, HUD 52649, HUD 52531A and B, </w:t>
      </w:r>
      <w:r>
        <w:t xml:space="preserve">HUD 52530A, HUD 52530B, HUD 52530C, </w:t>
      </w:r>
      <w:r w:rsidRPr="00F35257">
        <w:t>HUD 52578B.</w:t>
      </w:r>
    </w:p>
    <w:p w:rsidR="005919A7" w:rsidRPr="00F35257" w:rsidRDefault="005919A7" w:rsidP="005919A7">
      <w:pPr>
        <w:pBdr>
          <w:top w:val="single" w:sz="4" w:space="1" w:color="auto"/>
        </w:pBdr>
        <w:ind w:left="-120"/>
      </w:pPr>
      <w:r w:rsidRPr="00F35257">
        <w:t xml:space="preserve"> 9. Keywords:</w:t>
      </w:r>
    </w:p>
    <w:p w:rsidR="005919A7" w:rsidRPr="00F35257" w:rsidRDefault="005919A7" w:rsidP="005919A7">
      <w:pPr>
        <w:spacing w:after="40"/>
        <w:ind w:left="120" w:right="-120"/>
      </w:pPr>
      <w:r w:rsidRPr="00F35257">
        <w:t>Housing Choice Vouchers (HCV), Rent subsidies, Low-income housing, Homeownership, HCV Transfers; Project-Based Vouchers</w:t>
      </w:r>
    </w:p>
    <w:p w:rsidR="005919A7" w:rsidRPr="00F35257" w:rsidRDefault="005919A7" w:rsidP="005919A7">
      <w:pPr>
        <w:pBdr>
          <w:top w:val="single" w:sz="6" w:space="0" w:color="auto"/>
        </w:pBdr>
        <w:tabs>
          <w:tab w:val="left" w:pos="240"/>
        </w:tabs>
        <w:ind w:left="-120"/>
      </w:pPr>
      <w:r w:rsidRPr="00F35257">
        <w:t>10. Abstract:</w:t>
      </w:r>
    </w:p>
    <w:p w:rsidR="005919A7" w:rsidRDefault="005919A7" w:rsidP="005919A7">
      <w:pPr>
        <w:tabs>
          <w:tab w:val="left" w:pos="240"/>
        </w:tabs>
        <w:ind w:left="115"/>
        <w:rPr>
          <w:sz w:val="22"/>
        </w:rPr>
      </w:pPr>
      <w:r w:rsidRPr="00EA0024">
        <w:t>Public Housing Authorities (PHA) apply for funding to assist very low-income families to lease or purchase housing.  PHAs maintain records on participant eligibility, unit acceptability, lease and/or housing assistance payments, and budget and payment documentation.</w:t>
      </w:r>
      <w:r>
        <w:t xml:space="preserve"> </w:t>
      </w:r>
      <w:r w:rsidRPr="00EA0024">
        <w:t xml:space="preserve"> In some cases</w:t>
      </w:r>
      <w:r>
        <w:t>,</w:t>
      </w:r>
      <w:r w:rsidRPr="00EA0024">
        <w:t xml:space="preserve"> PHAs voluntarily divest their voucher programs to a receiving PHA.  PHAs may also project-base a portion of their vouchers or use their vouchers under the Homeownership Option</w:t>
      </w:r>
      <w:r>
        <w:rPr>
          <w:sz w:val="22"/>
        </w:rPr>
        <w:t>.</w:t>
      </w:r>
    </w:p>
    <w:p w:rsidR="00B556DA" w:rsidRDefault="00B556DA">
      <w:pPr>
        <w:pBdr>
          <w:top w:val="single" w:sz="6" w:space="0" w:color="auto"/>
        </w:pBdr>
        <w:tabs>
          <w:tab w:val="left" w:pos="240"/>
        </w:tabs>
        <w:ind w:right="-120"/>
        <w:rPr>
          <w:rFonts w:ascii="Helvetica" w:hAnsi="Helvetica"/>
          <w:sz w:val="16"/>
        </w:rPr>
      </w:pPr>
    </w:p>
    <w:tbl>
      <w:tblPr>
        <w:tblW w:w="0" w:type="auto"/>
        <w:tblLayout w:type="fixed"/>
        <w:tblLook w:val="0000"/>
      </w:tblPr>
      <w:tblGrid>
        <w:gridCol w:w="4908"/>
        <w:gridCol w:w="720"/>
        <w:gridCol w:w="5388"/>
      </w:tblGrid>
      <w:tr w:rsidR="00B556DA">
        <w:trPr>
          <w:trHeight w:val="1129"/>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B556DA" w:rsidRDefault="00B556DA">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sidR="00AE4E77">
              <w:rPr>
                <w:rFonts w:ascii="Helvetica" w:hAnsi="Helvetica"/>
                <w:b/>
                <w:sz w:val="18"/>
              </w:rPr>
              <w:fldChar w:fldCharType="begin">
                <w:ffData>
                  <w:name w:val="Text17"/>
                  <w:enabled/>
                  <w:calcOnExit w:val="0"/>
                  <w:textInput>
                    <w:maxLength w:val="1"/>
                  </w:textInput>
                </w:ffData>
              </w:fldChar>
            </w:r>
            <w:bookmarkStart w:id="4" w:name="Text17"/>
            <w:r>
              <w:rPr>
                <w:rFonts w:ascii="Helvetica" w:hAnsi="Helvetica"/>
                <w:b/>
                <w:sz w:val="18"/>
              </w:rPr>
              <w:instrText xml:space="preserve"> FORMTEXT </w:instrText>
            </w:r>
            <w:r w:rsidR="00AE4E77">
              <w:rPr>
                <w:rFonts w:ascii="Helvetica" w:hAnsi="Helvetica"/>
                <w:b/>
                <w:sz w:val="18"/>
              </w:rPr>
            </w:r>
            <w:r w:rsidR="00AE4E77">
              <w:rPr>
                <w:rFonts w:ascii="Helvetica" w:hAnsi="Helvetica"/>
                <w:b/>
                <w:sz w:val="18"/>
              </w:rPr>
              <w:fldChar w:fldCharType="separate"/>
            </w:r>
            <w:r>
              <w:rPr>
                <w:rFonts w:ascii="Helvetica" w:hAnsi="Helvetica"/>
                <w:b/>
                <w:noProof/>
                <w:sz w:val="18"/>
              </w:rPr>
              <w:t> </w:t>
            </w:r>
            <w:r w:rsidR="00AE4E77">
              <w:rPr>
                <w:rFonts w:ascii="Helvetica" w:hAnsi="Helvetica"/>
                <w:b/>
                <w:sz w:val="18"/>
              </w:rPr>
              <w:fldChar w:fldCharType="end"/>
            </w:r>
            <w:bookmarkEnd w:id="4"/>
            <w:r>
              <w:rPr>
                <w:rFonts w:ascii="Helvetica" w:hAnsi="Helvetica"/>
                <w:b/>
                <w:sz w:val="18"/>
              </w:rPr>
              <w:tab/>
            </w:r>
            <w:r>
              <w:rPr>
                <w:rFonts w:ascii="Helvetica" w:hAnsi="Helvetica"/>
                <w:sz w:val="16"/>
              </w:rPr>
              <w:t>Individuals or households</w:t>
            </w:r>
            <w:r>
              <w:rPr>
                <w:rFonts w:ascii="Helvetica" w:hAnsi="Helvetica"/>
                <w:sz w:val="16"/>
              </w:rPr>
              <w:tab/>
              <w:t xml:space="preserve">e. </w:t>
            </w:r>
            <w:r w:rsidR="00AE4E7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E4E77">
              <w:rPr>
                <w:rFonts w:ascii="Helvetica" w:hAnsi="Helvetica"/>
                <w:b/>
                <w:sz w:val="18"/>
              </w:rPr>
            </w:r>
            <w:r w:rsidR="00AE4E77">
              <w:rPr>
                <w:rFonts w:ascii="Helvetica" w:hAnsi="Helvetica"/>
                <w:b/>
                <w:sz w:val="18"/>
              </w:rPr>
              <w:fldChar w:fldCharType="separate"/>
            </w:r>
            <w:r>
              <w:rPr>
                <w:rFonts w:ascii="Helvetica" w:hAnsi="Helvetica"/>
                <w:b/>
                <w:noProof/>
                <w:sz w:val="18"/>
              </w:rPr>
              <w:t> </w:t>
            </w:r>
            <w:r w:rsidR="00AE4E77">
              <w:rPr>
                <w:rFonts w:ascii="Helvetica" w:hAnsi="Helvetica"/>
                <w:b/>
                <w:sz w:val="18"/>
              </w:rPr>
              <w:fldChar w:fldCharType="end"/>
            </w:r>
            <w:r>
              <w:rPr>
                <w:rFonts w:ascii="Helvetica" w:hAnsi="Helvetica"/>
                <w:b/>
                <w:sz w:val="18"/>
              </w:rPr>
              <w:tab/>
            </w:r>
            <w:r>
              <w:rPr>
                <w:rFonts w:ascii="Helvetica" w:hAnsi="Helvetica"/>
                <w:sz w:val="16"/>
              </w:rPr>
              <w:t>Farms</w:t>
            </w:r>
          </w:p>
          <w:p w:rsidR="00B556DA" w:rsidRDefault="00B556DA">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sidR="00AE4E7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E4E77">
              <w:rPr>
                <w:rFonts w:ascii="Helvetica" w:hAnsi="Helvetica"/>
                <w:b/>
                <w:sz w:val="18"/>
              </w:rPr>
            </w:r>
            <w:r w:rsidR="00AE4E77">
              <w:rPr>
                <w:rFonts w:ascii="Helvetica" w:hAnsi="Helvetica"/>
                <w:b/>
                <w:sz w:val="18"/>
              </w:rPr>
              <w:fldChar w:fldCharType="separate"/>
            </w:r>
            <w:r>
              <w:rPr>
                <w:rFonts w:ascii="Helvetica" w:hAnsi="Helvetica"/>
                <w:b/>
                <w:noProof/>
                <w:sz w:val="18"/>
              </w:rPr>
              <w:t> </w:t>
            </w:r>
            <w:r w:rsidR="00AE4E77">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sidR="00AE4E7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E4E77">
              <w:rPr>
                <w:rFonts w:ascii="Helvetica" w:hAnsi="Helvetica"/>
                <w:b/>
                <w:sz w:val="18"/>
              </w:rPr>
            </w:r>
            <w:r w:rsidR="00AE4E77">
              <w:rPr>
                <w:rFonts w:ascii="Helvetica" w:hAnsi="Helvetica"/>
                <w:b/>
                <w:sz w:val="18"/>
              </w:rPr>
              <w:fldChar w:fldCharType="separate"/>
            </w:r>
            <w:r>
              <w:rPr>
                <w:rFonts w:ascii="Helvetica" w:hAnsi="Helvetica"/>
                <w:b/>
                <w:noProof/>
                <w:sz w:val="18"/>
              </w:rPr>
              <w:t> </w:t>
            </w:r>
            <w:r w:rsidR="00AE4E77">
              <w:rPr>
                <w:rFonts w:ascii="Helvetica" w:hAnsi="Helvetica"/>
                <w:b/>
                <w:sz w:val="18"/>
              </w:rPr>
              <w:fldChar w:fldCharType="end"/>
            </w:r>
            <w:r>
              <w:rPr>
                <w:rFonts w:ascii="Helvetica" w:hAnsi="Helvetica"/>
                <w:b/>
                <w:sz w:val="18"/>
              </w:rPr>
              <w:tab/>
            </w:r>
            <w:r>
              <w:rPr>
                <w:rFonts w:ascii="Helvetica" w:hAnsi="Helvetica"/>
                <w:sz w:val="16"/>
              </w:rPr>
              <w:t>Federal Government</w:t>
            </w:r>
          </w:p>
          <w:p w:rsidR="00B556DA" w:rsidRDefault="00B556DA" w:rsidP="00D37D1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sidR="00AE4E77">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sidR="00AE4E77">
              <w:rPr>
                <w:rFonts w:ascii="Helvetica" w:hAnsi="Helvetica"/>
                <w:b/>
                <w:sz w:val="18"/>
              </w:rPr>
            </w:r>
            <w:r w:rsidR="00AE4E77">
              <w:rPr>
                <w:rFonts w:ascii="Helvetica" w:hAnsi="Helvetica"/>
                <w:b/>
                <w:sz w:val="18"/>
              </w:rPr>
              <w:fldChar w:fldCharType="separate"/>
            </w:r>
            <w:r>
              <w:rPr>
                <w:rFonts w:ascii="Cambria Math" w:hAnsi="Cambria Math" w:cs="Cambria Math"/>
                <w:b/>
                <w:noProof/>
                <w:sz w:val="18"/>
              </w:rPr>
              <w:t> </w:t>
            </w:r>
            <w:r w:rsidR="00AE4E77">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sidR="00AE4E77">
              <w:rPr>
                <w:rFonts w:ascii="Helvetica" w:hAnsi="Helvetica"/>
                <w:b/>
                <w:sz w:val="18"/>
              </w:rPr>
              <w:fldChar w:fldCharType="begin">
                <w:ffData>
                  <w:name w:val=""/>
                  <w:enabled/>
                  <w:calcOnExit w:val="0"/>
                  <w:textInput>
                    <w:default w:val="P"/>
                    <w:maxLength w:val="1"/>
                  </w:textInput>
                </w:ffData>
              </w:fldChar>
            </w:r>
            <w:r w:rsidR="00D37D17">
              <w:rPr>
                <w:rFonts w:ascii="Helvetica" w:hAnsi="Helvetica"/>
                <w:b/>
                <w:sz w:val="18"/>
              </w:rPr>
              <w:instrText xml:space="preserve"> FORMTEXT </w:instrText>
            </w:r>
            <w:r w:rsidR="00AE4E77">
              <w:rPr>
                <w:rFonts w:ascii="Helvetica" w:hAnsi="Helvetica"/>
                <w:b/>
                <w:sz w:val="18"/>
              </w:rPr>
            </w:r>
            <w:r w:rsidR="00AE4E77">
              <w:rPr>
                <w:rFonts w:ascii="Helvetica" w:hAnsi="Helvetica"/>
                <w:b/>
                <w:sz w:val="18"/>
              </w:rPr>
              <w:fldChar w:fldCharType="separate"/>
            </w:r>
            <w:r w:rsidR="00D37D17">
              <w:rPr>
                <w:rFonts w:ascii="Helvetica" w:hAnsi="Helvetica"/>
                <w:b/>
                <w:noProof/>
                <w:sz w:val="18"/>
              </w:rPr>
              <w:t>P</w:t>
            </w:r>
            <w:r w:rsidR="00AE4E77">
              <w:rPr>
                <w:rFonts w:ascii="Helvetica" w:hAnsi="Helvetica"/>
                <w:b/>
                <w:sz w:val="18"/>
              </w:rPr>
              <w:fldChar w:fldCharType="end"/>
            </w:r>
            <w:r>
              <w:rPr>
                <w:rFonts w:ascii="Helvetica" w:hAnsi="Helvetica"/>
                <w:b/>
                <w:sz w:val="18"/>
              </w:rPr>
              <w:tab/>
            </w:r>
            <w:r>
              <w:rPr>
                <w:rFonts w:ascii="Helvetica" w:hAnsi="Helvetica"/>
                <w:sz w:val="16"/>
              </w:rPr>
              <w:t>State, Local or Tribal Government</w:t>
            </w:r>
          </w:p>
        </w:tc>
        <w:tc>
          <w:tcPr>
            <w:tcW w:w="5388" w:type="dxa"/>
            <w:tcBorders>
              <w:top w:val="single" w:sz="6" w:space="0" w:color="auto"/>
              <w:left w:val="nil"/>
            </w:tcBorders>
          </w:tcPr>
          <w:p w:rsidR="00B556DA" w:rsidRDefault="00B556DA">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B556DA" w:rsidRDefault="00B556DA">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sidR="00AE4E77">
              <w:rPr>
                <w:rFonts w:ascii="Helvetica" w:hAnsi="Helvetica"/>
                <w:b/>
                <w:sz w:val="18"/>
              </w:rPr>
              <w:fldChar w:fldCharType="begin">
                <w:ffData>
                  <w:name w:val="Text25"/>
                  <w:enabled/>
                  <w:calcOnExit w:val="0"/>
                  <w:textInput>
                    <w:maxLength w:val="1"/>
                  </w:textInput>
                </w:ffData>
              </w:fldChar>
            </w:r>
            <w:bookmarkStart w:id="5" w:name="Text25"/>
            <w:r>
              <w:rPr>
                <w:rFonts w:ascii="Helvetica" w:hAnsi="Helvetica"/>
                <w:b/>
                <w:sz w:val="18"/>
              </w:rPr>
              <w:instrText xml:space="preserve"> FORMTEXT </w:instrText>
            </w:r>
            <w:r w:rsidR="00AE4E77">
              <w:rPr>
                <w:rFonts w:ascii="Helvetica" w:hAnsi="Helvetica"/>
                <w:b/>
                <w:sz w:val="18"/>
              </w:rPr>
            </w:r>
            <w:r w:rsidR="00AE4E77">
              <w:rPr>
                <w:rFonts w:ascii="Helvetica" w:hAnsi="Helvetica"/>
                <w:b/>
                <w:sz w:val="18"/>
              </w:rPr>
              <w:fldChar w:fldCharType="separate"/>
            </w:r>
            <w:r>
              <w:rPr>
                <w:rFonts w:ascii="Helvetica" w:hAnsi="Helvetica"/>
                <w:b/>
                <w:noProof/>
                <w:sz w:val="18"/>
              </w:rPr>
              <w:t> </w:t>
            </w:r>
            <w:r w:rsidR="00AE4E77">
              <w:rPr>
                <w:rFonts w:ascii="Helvetica" w:hAnsi="Helvetica"/>
                <w:b/>
                <w:sz w:val="18"/>
              </w:rPr>
              <w:fldChar w:fldCharType="end"/>
            </w:r>
            <w:bookmarkEnd w:id="5"/>
            <w:r>
              <w:rPr>
                <w:rFonts w:ascii="Helvetica" w:hAnsi="Helvetica"/>
                <w:sz w:val="14"/>
              </w:rPr>
              <w:tab/>
            </w:r>
            <w:r>
              <w:rPr>
                <w:rFonts w:ascii="Helvetica" w:hAnsi="Helvetica"/>
                <w:sz w:val="16"/>
              </w:rPr>
              <w:t>Voluntary</w:t>
            </w:r>
          </w:p>
          <w:p w:rsidR="00B556DA" w:rsidRDefault="00B556DA">
            <w:pPr>
              <w:tabs>
                <w:tab w:val="left" w:pos="492"/>
                <w:tab w:val="left" w:pos="2520"/>
              </w:tabs>
              <w:ind w:left="120"/>
              <w:rPr>
                <w:rFonts w:ascii="Helvetica" w:hAnsi="Helvetica"/>
                <w:sz w:val="16"/>
              </w:rPr>
            </w:pPr>
            <w:r>
              <w:rPr>
                <w:rFonts w:ascii="Helvetica" w:hAnsi="Helvetica"/>
                <w:sz w:val="16"/>
              </w:rPr>
              <w:t xml:space="preserve">b. </w:t>
            </w:r>
            <w:bookmarkStart w:id="6" w:name="Text26"/>
            <w:r w:rsidR="00AE4E77">
              <w:rPr>
                <w:rFonts w:ascii="Helvetica" w:hAnsi="Helvetica"/>
                <w:b/>
                <w:sz w:val="18"/>
              </w:rPr>
              <w:fldChar w:fldCharType="begin">
                <w:ffData>
                  <w:name w:val="Text26"/>
                  <w:enabled/>
                  <w:calcOnExit w:val="0"/>
                  <w:textInput>
                    <w:default w:val="P"/>
                    <w:maxLength w:val="1"/>
                  </w:textInput>
                </w:ffData>
              </w:fldChar>
            </w:r>
            <w:r w:rsidR="00D37D17">
              <w:rPr>
                <w:rFonts w:ascii="Helvetica" w:hAnsi="Helvetica"/>
                <w:b/>
                <w:sz w:val="18"/>
              </w:rPr>
              <w:instrText xml:space="preserve"> FORMTEXT </w:instrText>
            </w:r>
            <w:r w:rsidR="00AE4E77">
              <w:rPr>
                <w:rFonts w:ascii="Helvetica" w:hAnsi="Helvetica"/>
                <w:b/>
                <w:sz w:val="18"/>
              </w:rPr>
            </w:r>
            <w:r w:rsidR="00AE4E77">
              <w:rPr>
                <w:rFonts w:ascii="Helvetica" w:hAnsi="Helvetica"/>
                <w:b/>
                <w:sz w:val="18"/>
              </w:rPr>
              <w:fldChar w:fldCharType="separate"/>
            </w:r>
            <w:r w:rsidR="00D37D17">
              <w:rPr>
                <w:rFonts w:ascii="Helvetica" w:hAnsi="Helvetica"/>
                <w:b/>
                <w:noProof/>
                <w:sz w:val="18"/>
              </w:rPr>
              <w:t>P</w:t>
            </w:r>
            <w:r w:rsidR="00AE4E77">
              <w:rPr>
                <w:rFonts w:ascii="Helvetica" w:hAnsi="Helvetica"/>
                <w:b/>
                <w:sz w:val="18"/>
              </w:rPr>
              <w:fldChar w:fldCharType="end"/>
            </w:r>
            <w:bookmarkEnd w:id="6"/>
            <w:r>
              <w:rPr>
                <w:rFonts w:ascii="Helvetica" w:hAnsi="Helvetica"/>
                <w:sz w:val="16"/>
              </w:rPr>
              <w:tab/>
              <w:t xml:space="preserve">Required to obtain or retain </w:t>
            </w:r>
            <w:r w:rsidR="00DA095F">
              <w:rPr>
                <w:rFonts w:ascii="Helvetica" w:hAnsi="Helvetica"/>
                <w:sz w:val="16"/>
              </w:rPr>
              <w:t>benefits</w:t>
            </w:r>
          </w:p>
          <w:p w:rsidR="00B556DA" w:rsidRDefault="00B556DA">
            <w:pPr>
              <w:tabs>
                <w:tab w:val="left" w:pos="492"/>
              </w:tabs>
              <w:spacing w:after="60"/>
              <w:ind w:left="120"/>
              <w:rPr>
                <w:rFonts w:ascii="Helvetica" w:hAnsi="Helvetica"/>
                <w:sz w:val="16"/>
              </w:rPr>
            </w:pPr>
            <w:r>
              <w:rPr>
                <w:rFonts w:ascii="Helvetica" w:hAnsi="Helvetica"/>
                <w:sz w:val="16"/>
              </w:rPr>
              <w:t xml:space="preserve">c. </w:t>
            </w:r>
            <w:r w:rsidR="00AE4E77">
              <w:rPr>
                <w:rFonts w:ascii="Helvetica" w:hAnsi="Helvetica"/>
                <w:b/>
                <w:sz w:val="18"/>
              </w:rPr>
              <w:fldChar w:fldCharType="begin">
                <w:ffData>
                  <w:name w:val="Text27"/>
                  <w:enabled/>
                  <w:calcOnExit w:val="0"/>
                  <w:textInput>
                    <w:maxLength w:val="1"/>
                  </w:textInput>
                </w:ffData>
              </w:fldChar>
            </w:r>
            <w:bookmarkStart w:id="7" w:name="Text27"/>
            <w:r>
              <w:rPr>
                <w:rFonts w:ascii="Helvetica" w:hAnsi="Helvetica"/>
                <w:b/>
                <w:sz w:val="18"/>
              </w:rPr>
              <w:instrText xml:space="preserve"> FORMTEXT </w:instrText>
            </w:r>
            <w:r w:rsidR="00AE4E77">
              <w:rPr>
                <w:rFonts w:ascii="Helvetica" w:hAnsi="Helvetica"/>
                <w:b/>
                <w:sz w:val="18"/>
              </w:rPr>
            </w:r>
            <w:r w:rsidR="00AE4E77">
              <w:rPr>
                <w:rFonts w:ascii="Helvetica" w:hAnsi="Helvetica"/>
                <w:b/>
                <w:sz w:val="18"/>
              </w:rPr>
              <w:fldChar w:fldCharType="separate"/>
            </w:r>
            <w:r>
              <w:rPr>
                <w:rFonts w:ascii="Helvetica" w:hAnsi="Helvetica"/>
                <w:b/>
                <w:noProof/>
                <w:sz w:val="18"/>
              </w:rPr>
              <w:t> </w:t>
            </w:r>
            <w:r w:rsidR="00AE4E77">
              <w:rPr>
                <w:rFonts w:ascii="Helvetica" w:hAnsi="Helvetica"/>
                <w:b/>
                <w:sz w:val="18"/>
              </w:rPr>
              <w:fldChar w:fldCharType="end"/>
            </w:r>
            <w:bookmarkEnd w:id="7"/>
            <w:r>
              <w:rPr>
                <w:rFonts w:ascii="Helvetica" w:hAnsi="Helvetica"/>
                <w:sz w:val="16"/>
              </w:rPr>
              <w:tab/>
              <w:t>Mandatory</w:t>
            </w:r>
          </w:p>
        </w:tc>
      </w:tr>
      <w:tr w:rsidR="00B556DA">
        <w:trPr>
          <w:trHeight w:val="2146"/>
        </w:trPr>
        <w:tc>
          <w:tcPr>
            <w:tcW w:w="5628" w:type="dxa"/>
            <w:gridSpan w:val="2"/>
            <w:tcBorders>
              <w:top w:val="single" w:sz="6" w:space="0" w:color="auto"/>
              <w:right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a. Number of respondents</w:t>
            </w:r>
            <w:r w:rsidRPr="003D4F00">
              <w:rPr>
                <w:rFonts w:ascii="Helvetica" w:hAnsi="Helvetica"/>
                <w:sz w:val="16"/>
                <w:szCs w:val="16"/>
              </w:rPr>
              <w:tab/>
              <w:t>492,450</w:t>
            </w:r>
          </w:p>
          <w:p w:rsidR="007E089C" w:rsidRPr="003D4F00" w:rsidRDefault="007E089C" w:rsidP="007E089C">
            <w:pPr>
              <w:keepLines/>
              <w:tabs>
                <w:tab w:val="left" w:pos="240"/>
                <w:tab w:val="right" w:pos="5040"/>
              </w:tabs>
              <w:ind w:left="120"/>
              <w:rPr>
                <w:rFonts w:ascii="Helvetica" w:hAnsi="Helvetica"/>
                <w:sz w:val="16"/>
                <w:szCs w:val="16"/>
              </w:rPr>
            </w:pPr>
            <w:r w:rsidRPr="003D4F00">
              <w:rPr>
                <w:rFonts w:ascii="Helvetica" w:hAnsi="Helvetica"/>
                <w:sz w:val="16"/>
                <w:szCs w:val="16"/>
              </w:rPr>
              <w:t>b. Total annual responses</w:t>
            </w:r>
            <w:r w:rsidRPr="003D4F00">
              <w:rPr>
                <w:rFonts w:ascii="Helvetica" w:hAnsi="Helvetica"/>
                <w:sz w:val="16"/>
                <w:szCs w:val="16"/>
              </w:rPr>
              <w:tab/>
            </w:r>
            <w:r>
              <w:rPr>
                <w:rFonts w:ascii="Helvetica" w:hAnsi="Helvetica"/>
                <w:sz w:val="16"/>
                <w:szCs w:val="16"/>
              </w:rPr>
              <w:t>3,037,954</w:t>
            </w:r>
          </w:p>
          <w:p w:rsidR="007E089C" w:rsidRPr="003D4F00" w:rsidRDefault="007E089C" w:rsidP="007E089C">
            <w:pPr>
              <w:keepLines/>
              <w:numPr>
                <w:ilvl w:val="12"/>
                <w:numId w:val="0"/>
              </w:numPr>
              <w:tabs>
                <w:tab w:val="left" w:pos="240"/>
                <w:tab w:val="right" w:pos="5040"/>
              </w:tabs>
              <w:ind w:left="360" w:hanging="240"/>
              <w:rPr>
                <w:rFonts w:ascii="Helvetica" w:hAnsi="Helvetica"/>
                <w:sz w:val="16"/>
                <w:szCs w:val="16"/>
              </w:rPr>
            </w:pPr>
            <w:r w:rsidRPr="003D4F00">
              <w:rPr>
                <w:rFonts w:ascii="Helvetica" w:hAnsi="Helvetica"/>
                <w:sz w:val="16"/>
                <w:szCs w:val="16"/>
              </w:rPr>
              <w:t xml:space="preserve">Percentage of these responses collected electronically </w:t>
            </w:r>
            <w:r w:rsidRPr="003D4F00">
              <w:rPr>
                <w:rFonts w:ascii="Helvetica" w:hAnsi="Helvetica"/>
                <w:sz w:val="16"/>
                <w:szCs w:val="16"/>
              </w:rPr>
              <w:tab/>
              <w:t>0.3%</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c. Total annual hours requested</w:t>
            </w:r>
            <w:r w:rsidRPr="003D4F00">
              <w:rPr>
                <w:rFonts w:ascii="Helvetica" w:hAnsi="Helvetica"/>
                <w:sz w:val="16"/>
                <w:szCs w:val="16"/>
              </w:rPr>
              <w:tab/>
            </w:r>
            <w:r>
              <w:rPr>
                <w:rFonts w:ascii="Helvetica" w:hAnsi="Helvetica"/>
                <w:sz w:val="16"/>
                <w:szCs w:val="16"/>
              </w:rPr>
              <w:t>1,2</w:t>
            </w:r>
            <w:r w:rsidR="008245B4">
              <w:rPr>
                <w:rFonts w:ascii="Helvetica" w:hAnsi="Helvetica"/>
                <w:sz w:val="16"/>
                <w:szCs w:val="16"/>
              </w:rPr>
              <w:t>38</w:t>
            </w:r>
            <w:r>
              <w:rPr>
                <w:rFonts w:ascii="Helvetica" w:hAnsi="Helvetica"/>
                <w:sz w:val="16"/>
                <w:szCs w:val="16"/>
              </w:rPr>
              <w:t>,</w:t>
            </w:r>
            <w:r w:rsidR="008245B4">
              <w:rPr>
                <w:rFonts w:ascii="Helvetica" w:hAnsi="Helvetica"/>
                <w:sz w:val="16"/>
                <w:szCs w:val="16"/>
              </w:rPr>
              <w:t>4</w:t>
            </w:r>
            <w:r>
              <w:rPr>
                <w:rFonts w:ascii="Helvetica" w:hAnsi="Helvetica"/>
                <w:sz w:val="16"/>
                <w:szCs w:val="16"/>
              </w:rPr>
              <w:t>48</w:t>
            </w:r>
          </w:p>
          <w:p w:rsidR="007E089C" w:rsidRPr="003D4F00" w:rsidRDefault="007E089C" w:rsidP="007E089C">
            <w:pPr>
              <w:keepLines/>
              <w:numPr>
                <w:ilvl w:val="12"/>
                <w:numId w:val="0"/>
              </w:numPr>
              <w:tabs>
                <w:tab w:val="left" w:pos="240"/>
                <w:tab w:val="right" w:pos="5040"/>
              </w:tabs>
              <w:ind w:left="120"/>
              <w:rPr>
                <w:rFonts w:ascii="Helvetica" w:hAnsi="Helvetica"/>
                <w:sz w:val="16"/>
                <w:szCs w:val="16"/>
              </w:rPr>
            </w:pPr>
            <w:r w:rsidRPr="003D4F00">
              <w:rPr>
                <w:rFonts w:ascii="Helvetica" w:hAnsi="Helvetica"/>
                <w:sz w:val="16"/>
                <w:szCs w:val="16"/>
              </w:rPr>
              <w:t>d.</w:t>
            </w:r>
            <w:r w:rsidR="00524CAB">
              <w:rPr>
                <w:rFonts w:ascii="Helvetica" w:hAnsi="Helvetica"/>
                <w:sz w:val="16"/>
                <w:szCs w:val="16"/>
              </w:rPr>
              <w:t xml:space="preserve"> Current OMB inventory</w:t>
            </w:r>
            <w:r w:rsidR="00524CAB">
              <w:rPr>
                <w:rFonts w:ascii="Helvetica" w:hAnsi="Helvetica"/>
                <w:sz w:val="16"/>
                <w:szCs w:val="16"/>
              </w:rPr>
              <w:tab/>
              <w:t>1,223,748</w:t>
            </w:r>
          </w:p>
          <w:p w:rsidR="007E089C" w:rsidRPr="003D4F00" w:rsidRDefault="007E089C" w:rsidP="007E089C">
            <w:pPr>
              <w:keepLines/>
              <w:tabs>
                <w:tab w:val="left" w:pos="240"/>
                <w:tab w:val="right" w:pos="5040"/>
              </w:tabs>
              <w:ind w:left="120"/>
              <w:rPr>
                <w:rFonts w:ascii="Helvetica" w:hAnsi="Helvetica"/>
                <w:sz w:val="16"/>
                <w:szCs w:val="16"/>
              </w:rPr>
            </w:pPr>
            <w:r>
              <w:rPr>
                <w:rFonts w:ascii="Helvetica" w:hAnsi="Helvetica"/>
                <w:sz w:val="16"/>
                <w:szCs w:val="16"/>
              </w:rPr>
              <w:t>e. Difference (+,-)</w:t>
            </w:r>
            <w:r>
              <w:rPr>
                <w:rFonts w:ascii="Helvetica" w:hAnsi="Helvetica"/>
                <w:sz w:val="16"/>
                <w:szCs w:val="16"/>
              </w:rPr>
              <w:tab/>
              <w:t>+</w:t>
            </w:r>
            <w:r w:rsidR="008245B4">
              <w:rPr>
                <w:rFonts w:ascii="Helvetica" w:hAnsi="Helvetica"/>
                <w:sz w:val="16"/>
                <w:szCs w:val="16"/>
              </w:rPr>
              <w:t>14,700</w:t>
            </w:r>
          </w:p>
          <w:p w:rsidR="007E089C" w:rsidRPr="003D4F00" w:rsidRDefault="007E089C" w:rsidP="007E089C">
            <w:pPr>
              <w:keepLines/>
              <w:numPr>
                <w:ilvl w:val="12"/>
                <w:numId w:val="0"/>
              </w:numPr>
              <w:tabs>
                <w:tab w:val="left" w:pos="240"/>
                <w:tab w:val="right" w:pos="4800"/>
              </w:tabs>
              <w:ind w:left="120"/>
              <w:rPr>
                <w:rFonts w:ascii="Helvetica" w:hAnsi="Helvetica"/>
                <w:sz w:val="16"/>
                <w:szCs w:val="16"/>
              </w:rPr>
            </w:pPr>
            <w:r w:rsidRPr="003D4F00">
              <w:rPr>
                <w:rFonts w:ascii="Helvetica" w:hAnsi="Helvetica"/>
                <w:sz w:val="16"/>
                <w:szCs w:val="16"/>
              </w:rPr>
              <w:t>f. Explanation of difference:</w:t>
            </w:r>
          </w:p>
          <w:p w:rsidR="007E089C" w:rsidRPr="003D4F00" w:rsidRDefault="007E089C" w:rsidP="007E089C">
            <w:pPr>
              <w:keepLines/>
              <w:numPr>
                <w:ilvl w:val="12"/>
                <w:numId w:val="0"/>
              </w:numPr>
              <w:tabs>
                <w:tab w:val="left" w:pos="240"/>
                <w:tab w:val="right" w:pos="5040"/>
              </w:tabs>
              <w:ind w:left="360"/>
              <w:rPr>
                <w:rFonts w:ascii="Helvetica" w:hAnsi="Helvetica"/>
                <w:sz w:val="16"/>
                <w:szCs w:val="16"/>
              </w:rPr>
            </w:pPr>
            <w:r w:rsidRPr="003D4F00">
              <w:rPr>
                <w:rFonts w:ascii="Helvetica" w:hAnsi="Helvetica"/>
                <w:sz w:val="16"/>
                <w:szCs w:val="16"/>
              </w:rPr>
              <w:t>1. Program change:</w:t>
            </w:r>
            <w:r>
              <w:rPr>
                <w:rFonts w:ascii="Helvetica" w:hAnsi="Helvetica"/>
                <w:sz w:val="16"/>
                <w:szCs w:val="16"/>
              </w:rPr>
              <w:t xml:space="preserve">       </w:t>
            </w:r>
            <w:r w:rsidR="008245B4">
              <w:rPr>
                <w:rFonts w:ascii="Helvetica" w:hAnsi="Helvetica"/>
                <w:sz w:val="16"/>
                <w:szCs w:val="16"/>
              </w:rPr>
              <w:t xml:space="preserve"> </w:t>
            </w:r>
            <w:r>
              <w:rPr>
                <w:rFonts w:ascii="Helvetica" w:hAnsi="Helvetica"/>
                <w:sz w:val="16"/>
                <w:szCs w:val="16"/>
              </w:rPr>
              <w:t xml:space="preserve">                                     </w:t>
            </w:r>
            <w:r w:rsidR="00524CAB">
              <w:rPr>
                <w:rFonts w:ascii="Helvetica" w:hAnsi="Helvetica"/>
                <w:sz w:val="16"/>
                <w:szCs w:val="16"/>
              </w:rPr>
              <w:t xml:space="preserve">            </w:t>
            </w:r>
            <w:r>
              <w:rPr>
                <w:rFonts w:ascii="Helvetica" w:hAnsi="Helvetica"/>
                <w:sz w:val="16"/>
                <w:szCs w:val="16"/>
              </w:rPr>
              <w:t xml:space="preserve">    +</w:t>
            </w:r>
            <w:r w:rsidR="008245B4">
              <w:rPr>
                <w:rFonts w:ascii="Helvetica" w:hAnsi="Helvetica"/>
                <w:sz w:val="16"/>
                <w:szCs w:val="16"/>
              </w:rPr>
              <w:t>14,70</w:t>
            </w:r>
            <w:r w:rsidR="00524CAB">
              <w:rPr>
                <w:rFonts w:ascii="Helvetica" w:hAnsi="Helvetica"/>
                <w:sz w:val="16"/>
                <w:szCs w:val="16"/>
              </w:rPr>
              <w:t>0</w:t>
            </w:r>
          </w:p>
          <w:p w:rsidR="007E089C" w:rsidRDefault="007E089C" w:rsidP="007E089C">
            <w:pPr>
              <w:keepLines/>
              <w:numPr>
                <w:ilvl w:val="12"/>
                <w:numId w:val="0"/>
              </w:numPr>
              <w:tabs>
                <w:tab w:val="left" w:pos="240"/>
                <w:tab w:val="right" w:pos="5040"/>
              </w:tabs>
              <w:spacing w:after="60"/>
              <w:ind w:left="360"/>
              <w:rPr>
                <w:rFonts w:ascii="Helvetica" w:hAnsi="Helvetica"/>
                <w:sz w:val="16"/>
                <w:szCs w:val="16"/>
              </w:rPr>
            </w:pPr>
            <w:r w:rsidRPr="003D4F00">
              <w:rPr>
                <w:rFonts w:ascii="Helvetica" w:hAnsi="Helvetica"/>
                <w:sz w:val="16"/>
                <w:szCs w:val="16"/>
              </w:rPr>
              <w:t>2. Adjustment:</w:t>
            </w:r>
            <w:r w:rsidRPr="003D4F00">
              <w:rPr>
                <w:rFonts w:ascii="Helvetica" w:hAnsi="Helvetica"/>
                <w:sz w:val="16"/>
                <w:szCs w:val="16"/>
              </w:rPr>
              <w:tab/>
            </w:r>
          </w:p>
          <w:p w:rsidR="00B556DA" w:rsidRDefault="00B556DA" w:rsidP="00C5031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ab/>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B556DA" w:rsidRDefault="00B556DA">
            <w:pPr>
              <w:tabs>
                <w:tab w:val="left" w:pos="240"/>
              </w:tabs>
              <w:rPr>
                <w:rFonts w:ascii="Helvetica" w:hAnsi="Helvetica"/>
                <w:sz w:val="14"/>
              </w:rPr>
            </w:pPr>
            <w:r>
              <w:rPr>
                <w:rFonts w:ascii="Helvetica" w:hAnsi="Helvetica"/>
                <w:sz w:val="14"/>
              </w:rPr>
              <w:tab/>
              <w:t>Do not include costs based on the hours in item 13.</w:t>
            </w:r>
          </w:p>
          <w:p w:rsidR="00B556DA" w:rsidRDefault="00B556DA">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sidR="00AE4E77">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E4E77">
              <w:rPr>
                <w:rFonts w:ascii="Helvetica" w:hAnsi="Helvetica"/>
                <w:sz w:val="18"/>
              </w:rPr>
            </w:r>
            <w:r w:rsidR="00AE4E7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E4E77">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sidR="00AE4E77">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E4E77">
              <w:rPr>
                <w:rFonts w:ascii="Helvetica" w:hAnsi="Helvetica"/>
                <w:sz w:val="18"/>
              </w:rPr>
            </w:r>
            <w:r w:rsidR="00AE4E7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E4E77">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sidR="00AE4E77">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E4E77">
              <w:rPr>
                <w:rFonts w:ascii="Helvetica" w:hAnsi="Helvetica"/>
                <w:sz w:val="18"/>
              </w:rPr>
            </w:r>
            <w:r w:rsidR="00AE4E7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E4E77">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sidR="00AE4E77">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E4E77">
              <w:rPr>
                <w:rFonts w:ascii="Helvetica" w:hAnsi="Helvetica"/>
                <w:sz w:val="18"/>
              </w:rPr>
            </w:r>
            <w:r w:rsidR="00AE4E7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E4E77">
              <w:rPr>
                <w:rFonts w:ascii="Helvetica" w:hAnsi="Helvetica"/>
                <w:sz w:val="18"/>
              </w:rPr>
              <w:fldChar w:fldCharType="end"/>
            </w:r>
          </w:p>
          <w:p w:rsidR="00B556DA" w:rsidRDefault="00B556DA">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sidR="00AE4E77">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sidR="00AE4E77">
              <w:rPr>
                <w:rFonts w:ascii="Helvetica" w:hAnsi="Helvetica"/>
                <w:sz w:val="18"/>
              </w:rPr>
            </w:r>
            <w:r w:rsidR="00AE4E7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E4E77">
              <w:rPr>
                <w:rFonts w:ascii="Helvetica" w:hAnsi="Helvetica"/>
                <w:sz w:val="18"/>
              </w:rPr>
              <w:fldChar w:fldCharType="end"/>
            </w:r>
          </w:p>
          <w:p w:rsidR="00B556DA" w:rsidRDefault="00B556DA">
            <w:pPr>
              <w:tabs>
                <w:tab w:val="left" w:pos="240"/>
                <w:tab w:val="right" w:pos="4800"/>
              </w:tabs>
              <w:ind w:left="132"/>
              <w:rPr>
                <w:rFonts w:ascii="Helvetica" w:hAnsi="Helvetica"/>
                <w:sz w:val="16"/>
              </w:rPr>
            </w:pPr>
            <w:r>
              <w:rPr>
                <w:rFonts w:ascii="Helvetica" w:hAnsi="Helvetica"/>
                <w:sz w:val="16"/>
              </w:rPr>
              <w:t>f. Explanation of difference:</w:t>
            </w:r>
          </w:p>
          <w:p w:rsidR="00B556DA" w:rsidRDefault="00B556DA">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sidR="00AE4E77">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sidR="00AE4E77">
              <w:rPr>
                <w:rFonts w:ascii="Helvetica" w:hAnsi="Helvetica"/>
                <w:sz w:val="18"/>
              </w:rPr>
            </w:r>
            <w:r w:rsidR="00AE4E7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E4E77">
              <w:rPr>
                <w:rFonts w:ascii="Helvetica" w:hAnsi="Helvetica"/>
                <w:sz w:val="18"/>
              </w:rPr>
              <w:fldChar w:fldCharType="end"/>
            </w:r>
          </w:p>
          <w:p w:rsidR="00B556DA" w:rsidRDefault="00B556DA">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sidR="00AE4E77">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sidR="00AE4E77">
              <w:rPr>
                <w:rFonts w:ascii="Helvetica" w:hAnsi="Helvetica"/>
                <w:sz w:val="18"/>
              </w:rPr>
            </w:r>
            <w:r w:rsidR="00AE4E77">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sidR="00AE4E77">
              <w:rPr>
                <w:rFonts w:ascii="Helvetica" w:hAnsi="Helvetica"/>
                <w:sz w:val="18"/>
              </w:rPr>
              <w:fldChar w:fldCharType="end"/>
            </w:r>
          </w:p>
        </w:tc>
      </w:tr>
      <w:tr w:rsidR="00B556DA">
        <w:trPr>
          <w:trHeight w:val="1474"/>
        </w:trPr>
        <w:tc>
          <w:tcPr>
            <w:tcW w:w="5628" w:type="dxa"/>
            <w:gridSpan w:val="2"/>
            <w:tcBorders>
              <w:top w:val="single" w:sz="6" w:space="0" w:color="auto"/>
              <w:right w:val="single" w:sz="6" w:space="0" w:color="auto"/>
            </w:tcBorders>
          </w:tcPr>
          <w:p w:rsidR="00B556DA" w:rsidRDefault="00B556DA">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a. </w:t>
            </w:r>
            <w:r w:rsidR="00AE4E77">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E4E77">
              <w:rPr>
                <w:rFonts w:ascii="Helvetica" w:hAnsi="Helvetica"/>
                <w:b/>
                <w:color w:val="800000"/>
              </w:rPr>
            </w:r>
            <w:r w:rsidR="00AE4E77">
              <w:rPr>
                <w:rFonts w:ascii="Helvetica" w:hAnsi="Helvetica"/>
                <w:b/>
                <w:color w:val="800000"/>
              </w:rPr>
              <w:fldChar w:fldCharType="separate"/>
            </w:r>
            <w:r>
              <w:rPr>
                <w:rFonts w:ascii="Helvetica" w:hAnsi="Helvetica"/>
                <w:b/>
                <w:noProof/>
                <w:color w:val="800000"/>
              </w:rPr>
              <w:t> </w:t>
            </w:r>
            <w:r w:rsidR="00AE4E77">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sidR="00AE4E77">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AE4E77">
              <w:rPr>
                <w:rFonts w:ascii="Helvetica" w:hAnsi="Helvetica"/>
                <w:b/>
                <w:color w:val="800000"/>
              </w:rPr>
            </w:r>
            <w:r w:rsidR="00AE4E77">
              <w:rPr>
                <w:rFonts w:ascii="Helvetica" w:hAnsi="Helvetica"/>
                <w:b/>
                <w:color w:val="800000"/>
              </w:rPr>
              <w:fldChar w:fldCharType="separate"/>
            </w:r>
            <w:r w:rsidR="00A44DCE">
              <w:rPr>
                <w:rFonts w:ascii="Helvetica" w:hAnsi="Helvetica"/>
                <w:b/>
                <w:noProof/>
                <w:color w:val="800000"/>
              </w:rPr>
              <w:t>X</w:t>
            </w:r>
            <w:r w:rsidR="00AE4E77">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 management</w:t>
            </w:r>
          </w:p>
          <w:p w:rsidR="00B556DA" w:rsidRDefault="00B556DA">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sidR="00AE4E77">
              <w:rPr>
                <w:rFonts w:ascii="Helvetica" w:hAnsi="Helvetica"/>
                <w:b/>
                <w:color w:val="800000"/>
              </w:rPr>
              <w:fldChar w:fldCharType="begin">
                <w:ffData>
                  <w:name w:val=""/>
                  <w:enabled/>
                  <w:calcOnExit w:val="0"/>
                  <w:textInput>
                    <w:default w:val="X"/>
                    <w:maxLength w:val="1"/>
                  </w:textInput>
                </w:ffData>
              </w:fldChar>
            </w:r>
            <w:r w:rsidR="00A44DCE">
              <w:rPr>
                <w:rFonts w:ascii="Helvetica" w:hAnsi="Helvetica"/>
                <w:b/>
                <w:color w:val="800000"/>
              </w:rPr>
              <w:instrText xml:space="preserve"> FORMTEXT </w:instrText>
            </w:r>
            <w:r w:rsidR="00AE4E77">
              <w:rPr>
                <w:rFonts w:ascii="Helvetica" w:hAnsi="Helvetica"/>
                <w:b/>
                <w:color w:val="800000"/>
              </w:rPr>
            </w:r>
            <w:r w:rsidR="00AE4E77">
              <w:rPr>
                <w:rFonts w:ascii="Helvetica" w:hAnsi="Helvetica"/>
                <w:b/>
                <w:color w:val="800000"/>
              </w:rPr>
              <w:fldChar w:fldCharType="separate"/>
            </w:r>
            <w:r w:rsidR="00A44DCE">
              <w:rPr>
                <w:rFonts w:ascii="Helvetica" w:hAnsi="Helvetica"/>
                <w:b/>
                <w:noProof/>
                <w:color w:val="800000"/>
              </w:rPr>
              <w:t>X</w:t>
            </w:r>
            <w:r w:rsidR="00AE4E77">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sidR="00AE4E77">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E4E77">
              <w:rPr>
                <w:rFonts w:ascii="Helvetica" w:hAnsi="Helvetica"/>
                <w:b/>
                <w:color w:val="800000"/>
              </w:rPr>
            </w:r>
            <w:r w:rsidR="00AE4E77">
              <w:rPr>
                <w:rFonts w:ascii="Helvetica" w:hAnsi="Helvetica"/>
                <w:b/>
                <w:color w:val="800000"/>
              </w:rPr>
              <w:fldChar w:fldCharType="separate"/>
            </w:r>
            <w:r>
              <w:rPr>
                <w:rFonts w:ascii="Helvetica" w:hAnsi="Helvetica"/>
                <w:b/>
                <w:noProof/>
                <w:color w:val="800000"/>
              </w:rPr>
              <w:t> </w:t>
            </w:r>
            <w:r w:rsidR="00AE4E77">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B556DA" w:rsidRDefault="00B556DA">
            <w:pPr>
              <w:keepLines/>
              <w:tabs>
                <w:tab w:val="left" w:pos="480"/>
                <w:tab w:val="left" w:pos="2520"/>
                <w:tab w:val="left" w:pos="2880"/>
              </w:tabs>
              <w:ind w:left="120"/>
              <w:rPr>
                <w:rFonts w:ascii="Helvetica" w:hAnsi="Helvetica"/>
                <w:sz w:val="16"/>
              </w:rPr>
            </w:pPr>
            <w:r>
              <w:rPr>
                <w:rFonts w:ascii="Helvetica" w:hAnsi="Helvetica"/>
                <w:sz w:val="16"/>
              </w:rPr>
              <w:t xml:space="preserve">c. </w:t>
            </w:r>
            <w:r w:rsidR="00AE4E77">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E4E77">
              <w:rPr>
                <w:rFonts w:ascii="Helvetica" w:hAnsi="Helvetica"/>
                <w:b/>
                <w:color w:val="800000"/>
              </w:rPr>
            </w:r>
            <w:r w:rsidR="00AE4E77">
              <w:rPr>
                <w:rFonts w:ascii="Helvetica" w:hAnsi="Helvetica"/>
                <w:b/>
                <w:color w:val="800000"/>
              </w:rPr>
              <w:fldChar w:fldCharType="separate"/>
            </w:r>
            <w:r>
              <w:rPr>
                <w:rFonts w:ascii="Helvetica" w:hAnsi="Helvetica"/>
                <w:b/>
                <w:noProof/>
                <w:color w:val="800000"/>
              </w:rPr>
              <w:t> </w:t>
            </w:r>
            <w:r w:rsidR="00AE4E77">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sidR="00AE4E77">
              <w:rPr>
                <w:rFonts w:ascii="Helvetica" w:hAnsi="Helvetica"/>
                <w:b/>
                <w:color w:val="800000"/>
              </w:rPr>
              <w:fldChar w:fldCharType="begin">
                <w:ffData>
                  <w:name w:val=""/>
                  <w:enabled/>
                  <w:calcOnExit w:val="0"/>
                  <w:textInput>
                    <w:default w:val="P"/>
                    <w:maxLength w:val="1"/>
                  </w:textInput>
                </w:ffData>
              </w:fldChar>
            </w:r>
            <w:r w:rsidR="00A44DCE">
              <w:rPr>
                <w:rFonts w:ascii="Helvetica" w:hAnsi="Helvetica"/>
                <w:b/>
                <w:color w:val="800000"/>
              </w:rPr>
              <w:instrText xml:space="preserve"> FORMTEXT </w:instrText>
            </w:r>
            <w:r w:rsidR="00AE4E77">
              <w:rPr>
                <w:rFonts w:ascii="Helvetica" w:hAnsi="Helvetica"/>
                <w:b/>
                <w:color w:val="800000"/>
              </w:rPr>
            </w:r>
            <w:r w:rsidR="00AE4E77">
              <w:rPr>
                <w:rFonts w:ascii="Helvetica" w:hAnsi="Helvetica"/>
                <w:b/>
                <w:color w:val="800000"/>
              </w:rPr>
              <w:fldChar w:fldCharType="separate"/>
            </w:r>
            <w:r w:rsidR="00A44DCE">
              <w:rPr>
                <w:rFonts w:ascii="Helvetica" w:hAnsi="Helvetica"/>
                <w:b/>
                <w:noProof/>
                <w:color w:val="800000"/>
              </w:rPr>
              <w:t>P</w:t>
            </w:r>
            <w:r w:rsidR="00AE4E77">
              <w:rPr>
                <w:rFonts w:ascii="Helvetica" w:hAnsi="Helvetica"/>
                <w:b/>
                <w:color w:val="800000"/>
              </w:rPr>
              <w:fldChar w:fldCharType="end"/>
            </w:r>
            <w:r>
              <w:rPr>
                <w:rFonts w:ascii="Helvetica" w:hAnsi="Helvetica"/>
                <w:b/>
                <w:color w:val="800000"/>
              </w:rPr>
              <w:t xml:space="preserve">  </w:t>
            </w:r>
            <w:r w:rsidR="000912B9">
              <w:rPr>
                <w:rFonts w:ascii="Helvetica" w:hAnsi="Helvetica"/>
                <w:sz w:val="16"/>
              </w:rPr>
              <w:t>Regulatory</w:t>
            </w:r>
            <w:r>
              <w:rPr>
                <w:rFonts w:ascii="Helvetica" w:hAnsi="Helvetica"/>
                <w:sz w:val="16"/>
              </w:rPr>
              <w:t xml:space="preserve"> or compliance</w:t>
            </w:r>
          </w:p>
          <w:p w:rsidR="00B556DA" w:rsidRDefault="00B556DA">
            <w:pPr>
              <w:keepLines/>
              <w:tabs>
                <w:tab w:val="left" w:pos="480"/>
                <w:tab w:val="left" w:pos="2880"/>
              </w:tabs>
              <w:spacing w:after="60"/>
              <w:ind w:left="120"/>
              <w:rPr>
                <w:rFonts w:ascii="Helvetica" w:hAnsi="Helvetica"/>
                <w:sz w:val="16"/>
              </w:rPr>
            </w:pPr>
            <w:r>
              <w:rPr>
                <w:rFonts w:ascii="Helvetica" w:hAnsi="Helvetica"/>
                <w:sz w:val="16"/>
              </w:rPr>
              <w:t xml:space="preserve">d. </w:t>
            </w:r>
            <w:r w:rsidR="00AE4E77">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sidR="00AE4E77">
              <w:rPr>
                <w:rFonts w:ascii="Helvetica" w:hAnsi="Helvetica"/>
                <w:b/>
                <w:color w:val="800000"/>
              </w:rPr>
            </w:r>
            <w:r w:rsidR="00AE4E77">
              <w:rPr>
                <w:rFonts w:ascii="Helvetica" w:hAnsi="Helvetica"/>
                <w:b/>
                <w:color w:val="800000"/>
              </w:rPr>
              <w:fldChar w:fldCharType="separate"/>
            </w:r>
            <w:r>
              <w:rPr>
                <w:rFonts w:ascii="Helvetica" w:hAnsi="Helvetica"/>
                <w:b/>
                <w:noProof/>
                <w:color w:val="800000"/>
              </w:rPr>
              <w:t> </w:t>
            </w:r>
            <w:r w:rsidR="00AE4E77">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B556DA" w:rsidRDefault="00B556DA">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B556DA" w:rsidRDefault="00B556DA">
            <w:pPr>
              <w:tabs>
                <w:tab w:val="left" w:pos="240"/>
                <w:tab w:val="left" w:pos="1932"/>
              </w:tabs>
              <w:ind w:left="120"/>
              <w:rPr>
                <w:rFonts w:ascii="Helvetica" w:hAnsi="Helvetica"/>
                <w:sz w:val="16"/>
              </w:rPr>
            </w:pPr>
            <w:r>
              <w:rPr>
                <w:rFonts w:ascii="Helvetica" w:hAnsi="Helvetica"/>
                <w:sz w:val="16"/>
              </w:rPr>
              <w:t xml:space="preserve">a. </w:t>
            </w:r>
            <w:r w:rsidR="00AE4E77">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sidR="00AE4E77">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B556DA" w:rsidRDefault="00B556DA">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AE4E77">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1. </w:t>
            </w:r>
            <w:r w:rsidR="00AE4E77">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sidR="00AE4E77">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sidR="00AE4E77">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B556DA" w:rsidRDefault="00B556DA">
            <w:pPr>
              <w:tabs>
                <w:tab w:val="left" w:pos="240"/>
                <w:tab w:val="left" w:pos="2052"/>
                <w:tab w:val="left" w:pos="3732"/>
              </w:tabs>
              <w:ind w:left="492"/>
              <w:rPr>
                <w:rFonts w:ascii="Helvetica" w:hAnsi="Helvetica"/>
                <w:sz w:val="16"/>
              </w:rPr>
            </w:pPr>
            <w:r>
              <w:rPr>
                <w:rFonts w:ascii="Helvetica" w:hAnsi="Helvetica"/>
                <w:sz w:val="16"/>
              </w:rPr>
              <w:t xml:space="preserve">4. </w:t>
            </w:r>
            <w:r w:rsidR="00AE4E77">
              <w:rPr>
                <w:rFonts w:ascii="Helvetica" w:hAnsi="Helvetica"/>
                <w:b/>
                <w:sz w:val="18"/>
              </w:rPr>
              <w:fldChar w:fldCharType="begin">
                <w:ffData>
                  <w:name w:val=""/>
                  <w:enabled/>
                  <w:calcOnExit w:val="0"/>
                  <w:checkBox>
                    <w:sizeAuto/>
                    <w:default w:val="1"/>
                  </w:checkBox>
                </w:ffData>
              </w:fldChar>
            </w:r>
            <w:r w:rsidR="00723779">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sidR="00AE4E77">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sidR="00AE4E77">
              <w:rPr>
                <w:rFonts w:ascii="Helvetica" w:hAnsi="Helvetica"/>
                <w:b/>
                <w:sz w:val="18"/>
              </w:rPr>
              <w:fldChar w:fldCharType="begin">
                <w:ffData>
                  <w:name w:val=""/>
                  <w:enabled/>
                  <w:calcOnExit w:val="0"/>
                  <w:checkBox>
                    <w:sizeAuto/>
                    <w:default w:val="1"/>
                  </w:checkBox>
                </w:ffData>
              </w:fldChar>
            </w:r>
            <w:r w:rsidR="00FE4A86">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B556DA" w:rsidRDefault="00B556DA">
            <w:pPr>
              <w:tabs>
                <w:tab w:val="left" w:pos="240"/>
                <w:tab w:val="left" w:pos="2052"/>
                <w:tab w:val="left" w:pos="3732"/>
              </w:tabs>
              <w:ind w:left="2412" w:hanging="1920"/>
              <w:rPr>
                <w:rFonts w:ascii="Helvetica" w:hAnsi="Helvetica"/>
                <w:sz w:val="16"/>
              </w:rPr>
            </w:pPr>
            <w:r>
              <w:rPr>
                <w:rFonts w:ascii="Helvetica" w:hAnsi="Helvetica"/>
                <w:sz w:val="16"/>
              </w:rPr>
              <w:t xml:space="preserve">7. </w:t>
            </w:r>
            <w:r w:rsidR="00AE4E77">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proofErr w:type="spellStart"/>
            <w:r>
              <w:rPr>
                <w:rFonts w:ascii="Helvetica" w:hAnsi="Helvetica"/>
                <w:sz w:val="16"/>
              </w:rPr>
              <w:t>Biennually</w:t>
            </w:r>
            <w:proofErr w:type="spellEnd"/>
            <w:r>
              <w:rPr>
                <w:rFonts w:ascii="Helvetica" w:hAnsi="Helvetica"/>
                <w:sz w:val="16"/>
              </w:rPr>
              <w:tab/>
              <w:t xml:space="preserve">8. </w:t>
            </w:r>
            <w:r w:rsidR="00AE4E77">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AE4E77">
              <w:rPr>
                <w:rFonts w:ascii="Helvetica" w:hAnsi="Helvetica"/>
                <w:b/>
                <w:sz w:val="18"/>
              </w:rPr>
            </w:r>
            <w:r w:rsidR="00AE4E77">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sidR="00AE4E77">
              <w:rPr>
                <w:rFonts w:ascii="Helvetica" w:hAnsi="Helvetica"/>
                <w:color w:val="000080"/>
                <w:sz w:val="16"/>
              </w:rPr>
              <w:fldChar w:fldCharType="begin">
                <w:ffData>
                  <w:name w:val="Text18"/>
                  <w:enabled/>
                  <w:calcOnExit w:val="0"/>
                  <w:textInput/>
                </w:ffData>
              </w:fldChar>
            </w:r>
            <w:bookmarkStart w:id="8" w:name="Text18"/>
            <w:r>
              <w:rPr>
                <w:rFonts w:ascii="Helvetica" w:hAnsi="Helvetica"/>
                <w:color w:val="000080"/>
                <w:sz w:val="16"/>
              </w:rPr>
              <w:instrText xml:space="preserve"> FORMTEXT </w:instrText>
            </w:r>
            <w:r w:rsidR="00AE4E77">
              <w:rPr>
                <w:rFonts w:ascii="Helvetica" w:hAnsi="Helvetica"/>
                <w:color w:val="000080"/>
                <w:sz w:val="16"/>
              </w:rPr>
            </w:r>
            <w:r w:rsidR="00AE4E77">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sidR="00AE4E77">
              <w:rPr>
                <w:rFonts w:ascii="Helvetica" w:hAnsi="Helvetica"/>
                <w:color w:val="000080"/>
                <w:sz w:val="16"/>
              </w:rPr>
              <w:fldChar w:fldCharType="end"/>
            </w:r>
            <w:bookmarkEnd w:id="8"/>
          </w:p>
          <w:p w:rsidR="00B556DA" w:rsidRDefault="00B556DA">
            <w:pPr>
              <w:tabs>
                <w:tab w:val="left" w:pos="240"/>
              </w:tabs>
              <w:rPr>
                <w:rFonts w:ascii="Helvetica" w:hAnsi="Helvetica"/>
                <w:sz w:val="16"/>
              </w:rPr>
            </w:pPr>
          </w:p>
        </w:tc>
      </w:tr>
      <w:tr w:rsidR="00B556DA">
        <w:tc>
          <w:tcPr>
            <w:tcW w:w="4908" w:type="dxa"/>
            <w:tcBorders>
              <w:top w:val="single" w:sz="6" w:space="0" w:color="auto"/>
              <w:bottom w:val="single" w:sz="6" w:space="0" w:color="auto"/>
            </w:tcBorders>
          </w:tcPr>
          <w:p w:rsidR="00B556DA" w:rsidRDefault="00B556DA">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B556DA" w:rsidRDefault="00B556DA">
            <w:pPr>
              <w:keepLines/>
              <w:ind w:left="240"/>
              <w:rPr>
                <w:rFonts w:ascii="Helvetica" w:hAnsi="Helvetica"/>
                <w:sz w:val="16"/>
              </w:rPr>
            </w:pPr>
            <w:r>
              <w:rPr>
                <w:rFonts w:ascii="Helvetica" w:hAnsi="Helvetica"/>
                <w:sz w:val="16"/>
              </w:rPr>
              <w:t>Does this information collection employ statistical methods?</w:t>
            </w:r>
          </w:p>
          <w:p w:rsidR="00B556DA" w:rsidRDefault="00AE4E77">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sidR="00B556DA">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sidR="00D37D17">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sidR="00B556DA">
              <w:rPr>
                <w:rFonts w:ascii="Helvetica" w:hAnsi="Helvetica"/>
                <w:b/>
                <w:color w:val="800000"/>
              </w:rPr>
              <w:t xml:space="preserve">  </w:t>
            </w:r>
            <w:r w:rsidR="00B556DA">
              <w:rPr>
                <w:rFonts w:ascii="Helvetica" w:hAnsi="Helvetica"/>
                <w:sz w:val="18"/>
              </w:rPr>
              <w:t>No</w:t>
            </w:r>
          </w:p>
          <w:p w:rsidR="00B556DA" w:rsidRDefault="00B556DA">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B556DA" w:rsidRDefault="00B556DA">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5919A7" w:rsidRDefault="00B556DA" w:rsidP="005919A7">
            <w:pPr>
              <w:tabs>
                <w:tab w:val="left" w:pos="240"/>
              </w:tabs>
              <w:ind w:left="132"/>
              <w:rPr>
                <w:rFonts w:ascii="Helvetica" w:hAnsi="Helvetica"/>
                <w:sz w:val="16"/>
              </w:rPr>
            </w:pPr>
            <w:r>
              <w:rPr>
                <w:rFonts w:ascii="Helvetica" w:hAnsi="Helvetica"/>
                <w:sz w:val="16"/>
              </w:rPr>
              <w:t xml:space="preserve">Name: </w:t>
            </w:r>
            <w:r w:rsidR="00AD50F1">
              <w:rPr>
                <w:rFonts w:ascii="Helvetica" w:hAnsi="Helvetica"/>
                <w:color w:val="800000"/>
                <w:sz w:val="18"/>
              </w:rPr>
              <w:t xml:space="preserve"> </w:t>
            </w:r>
            <w:r w:rsidR="005919A7">
              <w:rPr>
                <w:rFonts w:ascii="Helvetica" w:hAnsi="Helvetica"/>
                <w:sz w:val="16"/>
              </w:rPr>
              <w:t xml:space="preserve">Phyllis </w:t>
            </w:r>
            <w:proofErr w:type="spellStart"/>
            <w:r w:rsidR="005919A7">
              <w:rPr>
                <w:rFonts w:ascii="Helvetica" w:hAnsi="Helvetica"/>
                <w:sz w:val="16"/>
              </w:rPr>
              <w:t>Smelkinson</w:t>
            </w:r>
            <w:proofErr w:type="spellEnd"/>
          </w:p>
          <w:p w:rsidR="005919A7" w:rsidRDefault="005919A7" w:rsidP="005919A7">
            <w:pPr>
              <w:tabs>
                <w:tab w:val="left" w:pos="240"/>
              </w:tabs>
              <w:ind w:left="132"/>
              <w:rPr>
                <w:rFonts w:ascii="Helvetica" w:hAnsi="Helvetica"/>
                <w:sz w:val="16"/>
              </w:rPr>
            </w:pPr>
            <w:r>
              <w:rPr>
                <w:rFonts w:ascii="Helvetica" w:hAnsi="Helvetica"/>
                <w:sz w:val="16"/>
              </w:rPr>
              <w:t xml:space="preserve">Phone: </w:t>
            </w:r>
            <w:smartTag w:uri="urn:schemas-microsoft-com:office:smarttags" w:element="phone">
              <w:smartTagPr>
                <w:attr w:uri="urn:schemas-microsoft-com:office:office" w:name="ls" w:val="trans"/>
                <w:attr w:name="phonenumber" w:val="$6402$$$"/>
              </w:smartTagPr>
              <w:r>
                <w:rPr>
                  <w:rFonts w:ascii="Helvetica" w:hAnsi="Helvetica"/>
                  <w:sz w:val="18"/>
                </w:rPr>
                <w:t>202-402-4138</w:t>
              </w:r>
            </w:smartTag>
          </w:p>
          <w:p w:rsidR="00B556DA" w:rsidRDefault="00B556DA" w:rsidP="005919A7">
            <w:pPr>
              <w:ind w:left="252"/>
              <w:rPr>
                <w:rFonts w:ascii="Helvetica" w:hAnsi="Helvetica"/>
                <w:sz w:val="16"/>
              </w:rPr>
            </w:pPr>
          </w:p>
        </w:tc>
      </w:tr>
    </w:tbl>
    <w:p w:rsidR="00B556DA" w:rsidRDefault="00B556DA">
      <w:pPr>
        <w:tabs>
          <w:tab w:val="left" w:pos="240"/>
        </w:tabs>
        <w:rPr>
          <w:rFonts w:ascii="Helvetica" w:hAnsi="Helvetica"/>
          <w:sz w:val="16"/>
        </w:rPr>
      </w:pPr>
    </w:p>
    <w:p w:rsidR="00B556DA" w:rsidRDefault="00B556DA">
      <w:pPr>
        <w:pBdr>
          <w:top w:val="single" w:sz="6" w:space="1" w:color="auto"/>
        </w:pBdr>
        <w:tabs>
          <w:tab w:val="left" w:pos="240"/>
        </w:tabs>
        <w:jc w:val="center"/>
        <w:rPr>
          <w:rFonts w:ascii="Helvetica" w:hAnsi="Helvetica"/>
          <w:sz w:val="16"/>
        </w:rPr>
        <w:sectPr w:rsidR="00B556DA">
          <w:footerReference w:type="default" r:id="rId8"/>
          <w:pgSz w:w="12240" w:h="15840"/>
          <w:pgMar w:top="480" w:right="600" w:bottom="480" w:left="720" w:header="480" w:footer="480" w:gutter="0"/>
          <w:cols w:space="480" w:equalWidth="0">
            <w:col w:w="10920"/>
          </w:cols>
        </w:sectPr>
      </w:pPr>
    </w:p>
    <w:p w:rsidR="00B556DA" w:rsidRDefault="00B556DA">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B556DA" w:rsidRDefault="00B556DA">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B556DA" w:rsidRDefault="00B556DA">
      <w:pPr>
        <w:tabs>
          <w:tab w:val="left" w:pos="240"/>
        </w:tabs>
        <w:spacing w:line="280" w:lineRule="exact"/>
        <w:rPr>
          <w:sz w:val="22"/>
        </w:rPr>
      </w:pPr>
      <w:r>
        <w:rPr>
          <w:b/>
          <w:sz w:val="22"/>
        </w:rPr>
        <w:t>Note:</w:t>
      </w:r>
      <w:r>
        <w:rPr>
          <w:sz w:val="22"/>
        </w:rPr>
        <w:t xml:space="preserve"> The text of 5 CFR 1320.9, and the related p</w:t>
      </w:r>
      <w:r w:rsidR="00C17003">
        <w:rPr>
          <w:sz w:val="22"/>
        </w:rPr>
        <w:t>rovisions of 5 CFR 1320/8(b</w:t>
      </w:r>
      <w:proofErr w:type="gramStart"/>
      <w:r w:rsidR="00C17003">
        <w:rPr>
          <w:sz w:val="22"/>
        </w:rPr>
        <w:t>)(</w:t>
      </w:r>
      <w:proofErr w:type="gramEnd"/>
      <w:r w:rsidR="00C17003">
        <w:rPr>
          <w:sz w:val="22"/>
        </w:rPr>
        <w:t>3)</w:t>
      </w:r>
      <w:r>
        <w:rPr>
          <w:sz w:val="22"/>
        </w:rPr>
        <w:t xml:space="preserve"> appear at the end of the instructions.  The certification is to be made with reference to those regulatory provisions as set forth in the instructions.</w:t>
      </w:r>
    </w:p>
    <w:p w:rsidR="00B556DA" w:rsidRDefault="00B556DA">
      <w:pPr>
        <w:tabs>
          <w:tab w:val="left" w:pos="240"/>
        </w:tabs>
        <w:spacing w:line="280" w:lineRule="exact"/>
        <w:rPr>
          <w:sz w:val="22"/>
        </w:rPr>
      </w:pPr>
    </w:p>
    <w:p w:rsidR="00B556DA" w:rsidRDefault="00B556DA">
      <w:pPr>
        <w:tabs>
          <w:tab w:val="left" w:pos="240"/>
        </w:tabs>
        <w:spacing w:line="280" w:lineRule="exact"/>
        <w:rPr>
          <w:sz w:val="22"/>
        </w:rPr>
      </w:pPr>
      <w:r>
        <w:rPr>
          <w:sz w:val="22"/>
        </w:rPr>
        <w:t xml:space="preserve">The following is a summary of the topics, regarding the proposed collections of </w:t>
      </w:r>
      <w:r w:rsidR="00C17003">
        <w:rPr>
          <w:sz w:val="22"/>
        </w:rPr>
        <w:t>information that</w:t>
      </w:r>
      <w:r>
        <w:rPr>
          <w:sz w:val="22"/>
        </w:rPr>
        <w:t xml:space="preserve"> the certification covers:</w:t>
      </w:r>
    </w:p>
    <w:p w:rsidR="00B556DA" w:rsidRDefault="00B556DA">
      <w:pPr>
        <w:numPr>
          <w:ilvl w:val="0"/>
          <w:numId w:val="3"/>
        </w:numPr>
        <w:tabs>
          <w:tab w:val="left" w:pos="720"/>
        </w:tabs>
        <w:spacing w:line="280" w:lineRule="exact"/>
        <w:rPr>
          <w:sz w:val="22"/>
        </w:rPr>
      </w:pPr>
      <w:r>
        <w:rPr>
          <w:sz w:val="22"/>
        </w:rPr>
        <w:t>It is necessary for the proper performance of agency functions;</w:t>
      </w:r>
    </w:p>
    <w:p w:rsidR="00B556DA" w:rsidRDefault="00B556DA">
      <w:pPr>
        <w:numPr>
          <w:ilvl w:val="0"/>
          <w:numId w:val="3"/>
        </w:numPr>
        <w:tabs>
          <w:tab w:val="left" w:pos="720"/>
        </w:tabs>
        <w:spacing w:line="280" w:lineRule="exact"/>
        <w:rPr>
          <w:sz w:val="22"/>
        </w:rPr>
      </w:pPr>
      <w:r>
        <w:rPr>
          <w:sz w:val="22"/>
        </w:rPr>
        <w:t>It avoids unnecessary duplication;</w:t>
      </w:r>
    </w:p>
    <w:p w:rsidR="00B556DA" w:rsidRDefault="00B556DA">
      <w:pPr>
        <w:numPr>
          <w:ilvl w:val="0"/>
          <w:numId w:val="3"/>
        </w:numPr>
        <w:tabs>
          <w:tab w:val="left" w:pos="720"/>
        </w:tabs>
        <w:spacing w:line="280" w:lineRule="exact"/>
        <w:rPr>
          <w:sz w:val="22"/>
        </w:rPr>
      </w:pPr>
      <w:r>
        <w:rPr>
          <w:sz w:val="22"/>
        </w:rPr>
        <w:t>It reduces burden on small entities;</w:t>
      </w:r>
    </w:p>
    <w:p w:rsidR="00B556DA" w:rsidRDefault="00B556DA">
      <w:pPr>
        <w:numPr>
          <w:ilvl w:val="0"/>
          <w:numId w:val="3"/>
        </w:numPr>
        <w:tabs>
          <w:tab w:val="left" w:pos="720"/>
        </w:tabs>
        <w:spacing w:line="280" w:lineRule="exact"/>
        <w:rPr>
          <w:sz w:val="22"/>
        </w:rPr>
      </w:pPr>
      <w:r>
        <w:rPr>
          <w:sz w:val="22"/>
        </w:rPr>
        <w:t>It uses plain, coherent, and unambiguous terminology that is understandable to respondents;</w:t>
      </w:r>
    </w:p>
    <w:p w:rsidR="00B556DA" w:rsidRDefault="00B556DA">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B556DA" w:rsidRDefault="00B556DA">
      <w:pPr>
        <w:numPr>
          <w:ilvl w:val="0"/>
          <w:numId w:val="3"/>
        </w:numPr>
        <w:tabs>
          <w:tab w:val="left" w:pos="720"/>
        </w:tabs>
        <w:spacing w:line="280" w:lineRule="exact"/>
        <w:rPr>
          <w:sz w:val="22"/>
        </w:rPr>
      </w:pPr>
      <w:r>
        <w:rPr>
          <w:sz w:val="22"/>
        </w:rPr>
        <w:t>It indicates the retention periods for recordkeeping requirements;</w:t>
      </w:r>
    </w:p>
    <w:p w:rsidR="00B556DA" w:rsidRDefault="00B556DA">
      <w:pPr>
        <w:numPr>
          <w:ilvl w:val="0"/>
          <w:numId w:val="3"/>
        </w:numPr>
        <w:tabs>
          <w:tab w:val="left" w:pos="720"/>
        </w:tabs>
        <w:spacing w:line="280" w:lineRule="exact"/>
        <w:rPr>
          <w:sz w:val="22"/>
        </w:rPr>
      </w:pPr>
      <w:r>
        <w:rPr>
          <w:sz w:val="22"/>
        </w:rPr>
        <w:t>It informs respondents of the information called for under 5 CFR 1320.8(b)(3):</w:t>
      </w:r>
    </w:p>
    <w:p w:rsidR="00B556DA" w:rsidRDefault="00B556DA">
      <w:pPr>
        <w:numPr>
          <w:ilvl w:val="0"/>
          <w:numId w:val="4"/>
        </w:numPr>
        <w:tabs>
          <w:tab w:val="left" w:pos="720"/>
        </w:tabs>
        <w:spacing w:line="280" w:lineRule="exact"/>
        <w:rPr>
          <w:sz w:val="22"/>
        </w:rPr>
      </w:pPr>
      <w:r>
        <w:rPr>
          <w:sz w:val="22"/>
        </w:rPr>
        <w:t>Why the information is being collected;</w:t>
      </w:r>
    </w:p>
    <w:p w:rsidR="00B556DA" w:rsidRDefault="00B556DA">
      <w:pPr>
        <w:numPr>
          <w:ilvl w:val="0"/>
          <w:numId w:val="4"/>
        </w:numPr>
        <w:tabs>
          <w:tab w:val="left" w:pos="720"/>
        </w:tabs>
        <w:spacing w:line="280" w:lineRule="exact"/>
        <w:rPr>
          <w:sz w:val="22"/>
        </w:rPr>
      </w:pPr>
      <w:r>
        <w:rPr>
          <w:sz w:val="22"/>
        </w:rPr>
        <w:t>Use of the information;</w:t>
      </w:r>
    </w:p>
    <w:p w:rsidR="00B556DA" w:rsidRDefault="00B556DA">
      <w:pPr>
        <w:numPr>
          <w:ilvl w:val="0"/>
          <w:numId w:val="4"/>
        </w:numPr>
        <w:tabs>
          <w:tab w:val="left" w:pos="720"/>
        </w:tabs>
        <w:spacing w:line="280" w:lineRule="exact"/>
        <w:rPr>
          <w:sz w:val="22"/>
        </w:rPr>
      </w:pPr>
      <w:r>
        <w:rPr>
          <w:sz w:val="22"/>
        </w:rPr>
        <w:t>Burden estimate;</w:t>
      </w:r>
    </w:p>
    <w:p w:rsidR="00B556DA" w:rsidRDefault="00B556DA">
      <w:pPr>
        <w:numPr>
          <w:ilvl w:val="0"/>
          <w:numId w:val="4"/>
        </w:numPr>
        <w:tabs>
          <w:tab w:val="left" w:pos="720"/>
        </w:tabs>
        <w:spacing w:line="280" w:lineRule="exact"/>
        <w:rPr>
          <w:sz w:val="22"/>
        </w:rPr>
      </w:pPr>
      <w:r>
        <w:rPr>
          <w:sz w:val="22"/>
        </w:rPr>
        <w:t>Nature of response (voluntary, required for a benefit, or mandatory);</w:t>
      </w:r>
    </w:p>
    <w:p w:rsidR="00B556DA" w:rsidRDefault="00B556DA">
      <w:pPr>
        <w:numPr>
          <w:ilvl w:val="0"/>
          <w:numId w:val="4"/>
        </w:numPr>
        <w:tabs>
          <w:tab w:val="left" w:pos="720"/>
        </w:tabs>
        <w:spacing w:line="280" w:lineRule="exact"/>
        <w:rPr>
          <w:sz w:val="22"/>
        </w:rPr>
      </w:pPr>
      <w:r>
        <w:rPr>
          <w:sz w:val="22"/>
        </w:rPr>
        <w:t>Nature and extent of confidentiality; and</w:t>
      </w:r>
    </w:p>
    <w:p w:rsidR="00B556DA" w:rsidRDefault="00B556DA">
      <w:pPr>
        <w:numPr>
          <w:ilvl w:val="0"/>
          <w:numId w:val="4"/>
        </w:numPr>
        <w:tabs>
          <w:tab w:val="left" w:pos="720"/>
        </w:tabs>
        <w:spacing w:line="280" w:lineRule="exact"/>
        <w:rPr>
          <w:sz w:val="22"/>
        </w:rPr>
      </w:pPr>
      <w:r>
        <w:rPr>
          <w:sz w:val="22"/>
        </w:rPr>
        <w:t>Need to display currently valid OMB control number;</w:t>
      </w:r>
    </w:p>
    <w:p w:rsidR="00B556DA" w:rsidRDefault="00B556DA">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B556DA" w:rsidRDefault="00B556DA">
      <w:pPr>
        <w:numPr>
          <w:ilvl w:val="0"/>
          <w:numId w:val="6"/>
        </w:numPr>
        <w:tabs>
          <w:tab w:val="left" w:pos="720"/>
        </w:tabs>
        <w:spacing w:line="280" w:lineRule="exact"/>
        <w:rPr>
          <w:sz w:val="22"/>
        </w:rPr>
      </w:pPr>
      <w:r>
        <w:rPr>
          <w:sz w:val="22"/>
        </w:rPr>
        <w:t>It uses effective and efficient statistical survey methodology; and</w:t>
      </w:r>
    </w:p>
    <w:p w:rsidR="00B556DA" w:rsidRDefault="00B556DA">
      <w:pPr>
        <w:numPr>
          <w:ilvl w:val="0"/>
          <w:numId w:val="6"/>
        </w:numPr>
        <w:tabs>
          <w:tab w:val="left" w:pos="720"/>
        </w:tabs>
        <w:spacing w:line="280" w:lineRule="exact"/>
        <w:rPr>
          <w:sz w:val="22"/>
        </w:rPr>
      </w:pPr>
      <w:r>
        <w:rPr>
          <w:sz w:val="22"/>
        </w:rPr>
        <w:t>It makes appropriate use of information technology.</w:t>
      </w:r>
    </w:p>
    <w:p w:rsidR="00B556DA" w:rsidRDefault="00B556DA">
      <w:pPr>
        <w:tabs>
          <w:tab w:val="left" w:pos="600"/>
        </w:tabs>
        <w:spacing w:line="280" w:lineRule="exact"/>
        <w:rPr>
          <w:sz w:val="22"/>
        </w:rPr>
      </w:pPr>
    </w:p>
    <w:p w:rsidR="00B556DA" w:rsidRDefault="00B556DA">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B556DA" w:rsidRDefault="00AE4E77">
      <w:pPr>
        <w:tabs>
          <w:tab w:val="left" w:pos="240"/>
        </w:tabs>
        <w:ind w:left="240"/>
      </w:pPr>
      <w:r>
        <w:fldChar w:fldCharType="begin">
          <w:ffData>
            <w:name w:val="Text20"/>
            <w:enabled/>
            <w:calcOnExit w:val="0"/>
            <w:textInput/>
          </w:ffData>
        </w:fldChar>
      </w:r>
      <w:bookmarkStart w:id="9" w:name="Text20"/>
      <w:r w:rsidR="00B556DA">
        <w:instrText xml:space="preserve"> FORMTEXT </w:instrText>
      </w:r>
      <w:r>
        <w:fldChar w:fldCharType="separate"/>
      </w:r>
      <w:r w:rsidR="00B556DA">
        <w:rPr>
          <w:noProof/>
        </w:rPr>
        <w:t> </w:t>
      </w:r>
      <w:r w:rsidR="00B556DA">
        <w:rPr>
          <w:noProof/>
        </w:rPr>
        <w:t> </w:t>
      </w:r>
      <w:r w:rsidR="00B556DA">
        <w:rPr>
          <w:noProof/>
        </w:rPr>
        <w:t> </w:t>
      </w:r>
      <w:r w:rsidR="00B556DA">
        <w:rPr>
          <w:noProof/>
        </w:rPr>
        <w:t> </w:t>
      </w:r>
      <w:r w:rsidR="00B556DA">
        <w:rPr>
          <w:noProof/>
        </w:rPr>
        <w:t> </w:t>
      </w:r>
      <w:r>
        <w:fldChar w:fldCharType="end"/>
      </w:r>
      <w:bookmarkEnd w:id="9"/>
    </w:p>
    <w:p w:rsidR="00B556DA" w:rsidRDefault="00B556DA">
      <w:pPr>
        <w:tabs>
          <w:tab w:val="left" w:pos="240"/>
        </w:tabs>
      </w:pPr>
    </w:p>
    <w:tbl>
      <w:tblPr>
        <w:tblW w:w="0" w:type="auto"/>
        <w:tblLayout w:type="fixed"/>
        <w:tblLook w:val="0000"/>
      </w:tblPr>
      <w:tblGrid>
        <w:gridCol w:w="8388"/>
        <w:gridCol w:w="2628"/>
      </w:tblGrid>
      <w:tr w:rsidR="00B556DA">
        <w:tc>
          <w:tcPr>
            <w:tcW w:w="8388" w:type="dxa"/>
            <w:tcBorders>
              <w:top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Signature of Program Official:</w:t>
            </w: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B556DA">
            <w:pPr>
              <w:tabs>
                <w:tab w:val="left" w:pos="240"/>
              </w:tabs>
              <w:rPr>
                <w:rFonts w:ascii="Helvetica" w:hAnsi="Helvetica"/>
                <w:sz w:val="16"/>
              </w:rPr>
            </w:pPr>
          </w:p>
          <w:p w:rsidR="00B556DA" w:rsidRDefault="00A56931">
            <w:pPr>
              <w:tabs>
                <w:tab w:val="left" w:pos="240"/>
              </w:tabs>
              <w:rPr>
                <w:rFonts w:ascii="Helvetica" w:hAnsi="Helvetica"/>
                <w:sz w:val="16"/>
              </w:rPr>
            </w:pPr>
            <w:r>
              <w:rPr>
                <w:rFonts w:ascii="Helvetica" w:hAnsi="Helvetica"/>
                <w:sz w:val="16"/>
              </w:rPr>
              <w:t xml:space="preserve">X Milan M. </w:t>
            </w:r>
            <w:proofErr w:type="spellStart"/>
            <w:r>
              <w:rPr>
                <w:rFonts w:ascii="Helvetica" w:hAnsi="Helvetica"/>
                <w:sz w:val="16"/>
              </w:rPr>
              <w:t>Ozdinec</w:t>
            </w:r>
            <w:proofErr w:type="spellEnd"/>
            <w:r>
              <w:rPr>
                <w:rFonts w:ascii="Helvetica" w:hAnsi="Helvetica"/>
                <w:sz w:val="16"/>
              </w:rPr>
              <w:t>, Deputy Assistant Secretary, Office of Public Housing and Voucher Programs, PIH, HUD</w:t>
            </w:r>
          </w:p>
        </w:tc>
        <w:tc>
          <w:tcPr>
            <w:tcW w:w="2628" w:type="dxa"/>
            <w:tcBorders>
              <w:top w:val="single" w:sz="6" w:space="0" w:color="auto"/>
              <w:left w:val="single" w:sz="6" w:space="0" w:color="auto"/>
              <w:bottom w:val="single" w:sz="6" w:space="0" w:color="auto"/>
            </w:tcBorders>
          </w:tcPr>
          <w:p w:rsidR="00B556DA" w:rsidRDefault="00B556DA">
            <w:pPr>
              <w:tabs>
                <w:tab w:val="left" w:pos="240"/>
              </w:tabs>
              <w:rPr>
                <w:rFonts w:ascii="Helvetica" w:hAnsi="Helvetica"/>
                <w:sz w:val="16"/>
              </w:rPr>
            </w:pPr>
            <w:r>
              <w:rPr>
                <w:rFonts w:ascii="Helvetica" w:hAnsi="Helvetica"/>
                <w:sz w:val="16"/>
              </w:rPr>
              <w:t>Date:</w:t>
            </w:r>
          </w:p>
        </w:tc>
      </w:tr>
    </w:tbl>
    <w:p w:rsidR="00CF67E7" w:rsidRDefault="00B556DA" w:rsidP="00CF6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sz w:val="16"/>
        </w:rPr>
        <w:br w:type="page"/>
      </w:r>
      <w:r w:rsidR="00E90DF3" w:rsidRPr="00E90DF3">
        <w:rPr>
          <w:b/>
        </w:rPr>
        <w:lastRenderedPageBreak/>
        <w:t xml:space="preserve"> </w:t>
      </w:r>
      <w:r w:rsidR="00CF67E7">
        <w:rPr>
          <w:rFonts w:ascii="Helvetica" w:hAnsi="Helvetica"/>
          <w:b/>
          <w:sz w:val="24"/>
        </w:rPr>
        <w:t>Supporting Statement for Paperwork Reduction Act Submissions</w:t>
      </w:r>
    </w:p>
    <w:p w:rsidR="00CF67E7" w:rsidRDefault="00CF67E7" w:rsidP="00CF67E7">
      <w:pPr>
        <w:pStyle w:val="OmniPage2"/>
        <w:tabs>
          <w:tab w:val="left" w:pos="9990"/>
        </w:tabs>
        <w:ind w:hanging="720"/>
        <w:jc w:val="center"/>
        <w:rPr>
          <w:b/>
          <w:sz w:val="24"/>
        </w:rPr>
      </w:pPr>
    </w:p>
    <w:p w:rsidR="00CF67E7" w:rsidRDefault="00CF67E7" w:rsidP="00CF67E7">
      <w:pPr>
        <w:pBdr>
          <w:top w:val="single" w:sz="4" w:space="1" w:color="auto"/>
        </w:pBdr>
        <w:tabs>
          <w:tab w:val="left" w:pos="480"/>
          <w:tab w:val="left" w:pos="9990"/>
        </w:tabs>
        <w:ind w:left="480" w:hanging="480"/>
        <w:rPr>
          <w:b/>
          <w:bCs/>
          <w:sz w:val="24"/>
        </w:rPr>
      </w:pPr>
      <w:r>
        <w:rPr>
          <w:b/>
          <w:bCs/>
          <w:sz w:val="24"/>
        </w:rPr>
        <w:t>A.</w:t>
      </w:r>
      <w:r>
        <w:rPr>
          <w:b/>
          <w:bCs/>
          <w:sz w:val="24"/>
        </w:rPr>
        <w:tab/>
        <w:t>Justification:</w:t>
      </w:r>
    </w:p>
    <w:p w:rsidR="00CF67E7" w:rsidRDefault="00CF67E7" w:rsidP="00CF67E7">
      <w:pPr>
        <w:tabs>
          <w:tab w:val="left" w:pos="480"/>
          <w:tab w:val="left" w:pos="9990"/>
        </w:tabs>
        <w:ind w:left="480" w:hanging="480"/>
        <w:rPr>
          <w:b/>
          <w:bCs/>
          <w:sz w:val="22"/>
        </w:rPr>
      </w:pPr>
    </w:p>
    <w:p w:rsidR="00CF67E7" w:rsidRPr="007502A5" w:rsidRDefault="00CF67E7" w:rsidP="009F4D6F">
      <w:pPr>
        <w:pStyle w:val="BodyText"/>
        <w:keepNext/>
        <w:numPr>
          <w:ilvl w:val="0"/>
          <w:numId w:val="14"/>
        </w:numPr>
        <w:tabs>
          <w:tab w:val="clear" w:pos="360"/>
          <w:tab w:val="num" w:pos="450"/>
          <w:tab w:val="left" w:pos="480"/>
          <w:tab w:val="left" w:pos="9990"/>
        </w:tabs>
        <w:ind w:left="450" w:hanging="450"/>
        <w:rPr>
          <w:sz w:val="22"/>
          <w:szCs w:val="22"/>
        </w:rPr>
      </w:pPr>
      <w:r>
        <w:rPr>
          <w:b/>
          <w:bCs/>
          <w:sz w:val="22"/>
        </w:rPr>
        <w:t xml:space="preserve">Why is this information necessary? </w:t>
      </w:r>
      <w:r w:rsidRPr="009F4D6F">
        <w:rPr>
          <w:b/>
          <w:bCs/>
          <w:sz w:val="22"/>
          <w:szCs w:val="22"/>
        </w:rPr>
        <w:t xml:space="preserve"> </w:t>
      </w:r>
    </w:p>
    <w:p w:rsidR="007502A5" w:rsidRPr="009F4D6F" w:rsidRDefault="007502A5" w:rsidP="007502A5">
      <w:pPr>
        <w:pStyle w:val="BodyText"/>
        <w:keepNext/>
        <w:tabs>
          <w:tab w:val="left" w:pos="480"/>
          <w:tab w:val="left" w:pos="9990"/>
        </w:tabs>
        <w:ind w:left="450"/>
        <w:rPr>
          <w:sz w:val="22"/>
          <w:szCs w:val="22"/>
        </w:rPr>
      </w:pPr>
    </w:p>
    <w:p w:rsidR="007502A5" w:rsidRDefault="009F4D6F" w:rsidP="003F7C7B">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r w:rsidR="007502A5" w:rsidRPr="007502A5">
        <w:rPr>
          <w:rFonts w:ascii="Times New Roman" w:hAnsi="Times New Roman"/>
          <w:sz w:val="22"/>
          <w:szCs w:val="22"/>
        </w:rPr>
        <w:t xml:space="preserve">The housing choice voucher (HCV) program is the federal government's major program for assisting very low-income families, the elderly, and the disabled to afford decent, safe, and sanitary housing in the private market. Since housing assistance is provided on behalf of the family or individual, participants are able to find their own housing, including single-family homes, townhouses and apartments. </w:t>
      </w:r>
    </w:p>
    <w:p w:rsidR="007502A5" w:rsidRDefault="007502A5" w:rsidP="003F7C7B">
      <w:pPr>
        <w:pStyle w:val="BodyText2"/>
        <w:tabs>
          <w:tab w:val="num" w:pos="450"/>
        </w:tabs>
        <w:ind w:left="450" w:hanging="450"/>
        <w:outlineLvl w:val="8"/>
        <w:rPr>
          <w:rFonts w:ascii="Times New Roman" w:hAnsi="Times New Roman"/>
          <w:sz w:val="22"/>
          <w:szCs w:val="22"/>
        </w:rPr>
      </w:pPr>
    </w:p>
    <w:p w:rsidR="007502A5" w:rsidRPr="007502A5" w:rsidRDefault="007502A5" w:rsidP="007502A5">
      <w:pPr>
        <w:pStyle w:val="BodyText2"/>
        <w:tabs>
          <w:tab w:val="num" w:pos="450"/>
        </w:tabs>
        <w:ind w:left="450" w:hanging="450"/>
        <w:outlineLvl w:val="8"/>
        <w:rPr>
          <w:rFonts w:ascii="Times New Roman" w:hAnsi="Times New Roman"/>
          <w:sz w:val="22"/>
          <w:szCs w:val="22"/>
        </w:rPr>
      </w:pPr>
      <w:r>
        <w:rPr>
          <w:sz w:val="22"/>
          <w:szCs w:val="22"/>
        </w:rPr>
        <w:tab/>
      </w:r>
      <w:r w:rsidRPr="007502A5">
        <w:rPr>
          <w:rFonts w:ascii="Times New Roman" w:hAnsi="Times New Roman"/>
          <w:sz w:val="22"/>
          <w:szCs w:val="22"/>
        </w:rPr>
        <w:t>Under the HCV program, the Department enters into an Annual Contributions Contract (ACC) with PHAs to assist very low-income families to lease or purchase safe, decent, and affordable housing.  PHAs are required to maintain complete and accurate program and accounting records in accordance with HUD requirements; in a manner that permits a speedy and effective audit.  PHAs must maintain records on eligibility (e.g., verification of income, disability status and citizenship); records of subsidized units (e.g., unit inspection reports, rent reasonableness documentation, tenant leases and housing assistance payments (HAP) contracts); and accounts and other records supporting PHA budget and financial statements for the program (e.g. HAP registers which document payments to landlords).</w:t>
      </w:r>
    </w:p>
    <w:p w:rsidR="007502A5" w:rsidRDefault="007502A5" w:rsidP="003F7C7B">
      <w:pPr>
        <w:pStyle w:val="BodyText2"/>
        <w:tabs>
          <w:tab w:val="num" w:pos="450"/>
        </w:tabs>
        <w:ind w:left="450" w:hanging="450"/>
        <w:outlineLvl w:val="8"/>
        <w:rPr>
          <w:rFonts w:ascii="Times New Roman" w:hAnsi="Times New Roman"/>
          <w:sz w:val="22"/>
          <w:szCs w:val="22"/>
        </w:rPr>
      </w:pPr>
    </w:p>
    <w:p w:rsidR="00163D13" w:rsidRPr="009F4D6F" w:rsidRDefault="007502A5" w:rsidP="003F7C7B">
      <w:pPr>
        <w:pStyle w:val="BodyText2"/>
        <w:tabs>
          <w:tab w:val="num" w:pos="450"/>
        </w:tabs>
        <w:ind w:left="450" w:hanging="450"/>
        <w:outlineLvl w:val="8"/>
        <w:rPr>
          <w:rFonts w:ascii="Times New Roman" w:hAnsi="Times New Roman"/>
          <w:sz w:val="22"/>
          <w:szCs w:val="22"/>
        </w:rPr>
      </w:pPr>
      <w:r>
        <w:rPr>
          <w:rFonts w:ascii="Times New Roman" w:hAnsi="Times New Roman"/>
          <w:sz w:val="22"/>
          <w:szCs w:val="22"/>
        </w:rPr>
        <w:tab/>
      </w:r>
      <w:proofErr w:type="gramStart"/>
      <w:r w:rsidR="00563DD1" w:rsidRPr="009F4D6F">
        <w:rPr>
          <w:rFonts w:ascii="Times New Roman" w:hAnsi="Times New Roman"/>
          <w:sz w:val="22"/>
          <w:szCs w:val="22"/>
        </w:rPr>
        <w:t xml:space="preserve">Section </w:t>
      </w:r>
      <w:r w:rsidR="008E202D">
        <w:rPr>
          <w:rFonts w:ascii="Times New Roman" w:hAnsi="Times New Roman"/>
          <w:sz w:val="22"/>
          <w:szCs w:val="22"/>
        </w:rPr>
        <w:t>8</w:t>
      </w:r>
      <w:r w:rsidR="003F7C7B">
        <w:rPr>
          <w:rFonts w:ascii="Times New Roman" w:hAnsi="Times New Roman"/>
          <w:sz w:val="22"/>
          <w:szCs w:val="22"/>
        </w:rPr>
        <w:t xml:space="preserve"> of the United States Housing Act of </w:t>
      </w:r>
      <w:r w:rsidR="003F7C7B" w:rsidRPr="003F7C7B">
        <w:rPr>
          <w:rFonts w:ascii="Times New Roman" w:hAnsi="Times New Roman"/>
          <w:sz w:val="22"/>
          <w:szCs w:val="22"/>
        </w:rPr>
        <w:t>1937</w:t>
      </w:r>
      <w:r w:rsidR="0091041D" w:rsidRPr="007502A5">
        <w:rPr>
          <w:rFonts w:ascii="Times New Roman" w:hAnsi="Times New Roman"/>
          <w:sz w:val="22"/>
          <w:szCs w:val="22"/>
        </w:rPr>
        <w:t xml:space="preserve"> (42 U.S.C. 1437 f</w:t>
      </w:r>
      <w:r w:rsidR="003F7C7B" w:rsidRPr="007502A5">
        <w:rPr>
          <w:rFonts w:ascii="Times New Roman" w:hAnsi="Times New Roman"/>
          <w:sz w:val="22"/>
          <w:szCs w:val="22"/>
        </w:rPr>
        <w:t xml:space="preserve">) permits the Secretary of </w:t>
      </w:r>
      <w:r w:rsidR="006B496A" w:rsidRPr="007502A5">
        <w:rPr>
          <w:rFonts w:ascii="Times New Roman" w:hAnsi="Times New Roman"/>
          <w:sz w:val="22"/>
          <w:szCs w:val="22"/>
        </w:rPr>
        <w:t>H</w:t>
      </w:r>
      <w:r w:rsidR="003F7C7B" w:rsidRPr="007502A5">
        <w:rPr>
          <w:rFonts w:ascii="Times New Roman" w:hAnsi="Times New Roman"/>
          <w:sz w:val="22"/>
          <w:szCs w:val="22"/>
        </w:rPr>
        <w:t>UD to make annual contributions to publi</w:t>
      </w:r>
      <w:r w:rsidR="006B496A" w:rsidRPr="007502A5">
        <w:rPr>
          <w:rFonts w:ascii="Times New Roman" w:hAnsi="Times New Roman"/>
          <w:sz w:val="22"/>
          <w:szCs w:val="22"/>
        </w:rPr>
        <w:t>c housing agencie</w:t>
      </w:r>
      <w:r w:rsidR="008E202D" w:rsidRPr="007502A5">
        <w:rPr>
          <w:rFonts w:ascii="Times New Roman" w:hAnsi="Times New Roman"/>
          <w:sz w:val="22"/>
          <w:szCs w:val="22"/>
        </w:rPr>
        <w:t xml:space="preserve">s (PHAs) </w:t>
      </w:r>
      <w:r w:rsidR="005919A7" w:rsidRPr="007502A5">
        <w:rPr>
          <w:rFonts w:ascii="Times New Roman" w:hAnsi="Times New Roman"/>
          <w:sz w:val="22"/>
          <w:szCs w:val="22"/>
        </w:rPr>
        <w:t xml:space="preserve">to </w:t>
      </w:r>
      <w:r w:rsidR="008E202D" w:rsidRPr="007502A5">
        <w:rPr>
          <w:rFonts w:ascii="Times New Roman" w:hAnsi="Times New Roman"/>
          <w:sz w:val="22"/>
          <w:szCs w:val="22"/>
        </w:rPr>
        <w:t>provide voucher-based rental assistance</w:t>
      </w:r>
      <w:r w:rsidR="003F7C7B" w:rsidRPr="007502A5">
        <w:rPr>
          <w:rFonts w:ascii="Times New Roman" w:hAnsi="Times New Roman"/>
          <w:sz w:val="22"/>
          <w:szCs w:val="22"/>
        </w:rPr>
        <w:t>.</w:t>
      </w:r>
      <w:proofErr w:type="gramEnd"/>
      <w:r w:rsidR="003F7C7B" w:rsidRPr="007502A5">
        <w:rPr>
          <w:rFonts w:ascii="Times New Roman" w:hAnsi="Times New Roman"/>
          <w:sz w:val="22"/>
          <w:szCs w:val="22"/>
        </w:rPr>
        <w:t xml:space="preserve">  The Secretary is required to embody the provisions for such annual contributions in a contract guaranteeing payment.</w:t>
      </w:r>
      <w:r w:rsidR="006B496A" w:rsidRPr="007502A5">
        <w:rPr>
          <w:rFonts w:ascii="Times New Roman" w:hAnsi="Times New Roman"/>
          <w:sz w:val="22"/>
          <w:szCs w:val="22"/>
        </w:rPr>
        <w:t xml:space="preserve"> </w:t>
      </w:r>
      <w:r w:rsidR="00257A76" w:rsidRPr="007502A5">
        <w:rPr>
          <w:rFonts w:ascii="Times New Roman" w:hAnsi="Times New Roman"/>
          <w:sz w:val="22"/>
          <w:szCs w:val="22"/>
        </w:rPr>
        <w:t xml:space="preserve"> Applicable r</w:t>
      </w:r>
      <w:r w:rsidR="006B496A" w:rsidRPr="007502A5">
        <w:rPr>
          <w:rFonts w:ascii="Times New Roman" w:hAnsi="Times New Roman"/>
          <w:sz w:val="22"/>
          <w:szCs w:val="22"/>
        </w:rPr>
        <w:t xml:space="preserve">egulations </w:t>
      </w:r>
      <w:r w:rsidR="0091041D" w:rsidRPr="007502A5">
        <w:rPr>
          <w:rFonts w:ascii="Times New Roman" w:hAnsi="Times New Roman"/>
          <w:sz w:val="22"/>
          <w:szCs w:val="22"/>
        </w:rPr>
        <w:t>are 24 CFR 982 for Section 8 Tenant Based Assistance: Housing Choice Voucher Program.</w:t>
      </w:r>
    </w:p>
    <w:p w:rsidR="00CF67E7" w:rsidRPr="007502A5" w:rsidRDefault="00CF67E7" w:rsidP="007502A5">
      <w:pPr>
        <w:pStyle w:val="BodyText2"/>
        <w:tabs>
          <w:tab w:val="num" w:pos="450"/>
        </w:tabs>
        <w:ind w:left="450" w:hanging="450"/>
        <w:outlineLvl w:val="8"/>
        <w:rPr>
          <w:rFonts w:ascii="Times New Roman" w:hAnsi="Times New Roman"/>
          <w:sz w:val="22"/>
          <w:szCs w:val="22"/>
        </w:rPr>
      </w:pPr>
    </w:p>
    <w:p w:rsidR="006A24F9" w:rsidRPr="00020EEE" w:rsidRDefault="00CF67E7" w:rsidP="006A24F9">
      <w:pPr>
        <w:pStyle w:val="Heading1"/>
        <w:keepNext w:val="0"/>
        <w:numPr>
          <w:ilvl w:val="0"/>
          <w:numId w:val="10"/>
        </w:numPr>
        <w:tabs>
          <w:tab w:val="clear" w:pos="360"/>
          <w:tab w:val="num" w:pos="-450"/>
          <w:tab w:val="left" w:pos="480"/>
        </w:tabs>
        <w:ind w:left="480" w:hanging="480"/>
        <w:jc w:val="left"/>
        <w:rPr>
          <w:sz w:val="22"/>
          <w:u w:val="none"/>
        </w:rPr>
      </w:pPr>
      <w:r w:rsidRPr="00020EEE">
        <w:rPr>
          <w:sz w:val="22"/>
          <w:u w:val="none"/>
        </w:rPr>
        <w:t xml:space="preserve">How is this information to be used?  </w:t>
      </w:r>
    </w:p>
    <w:p w:rsidR="006A24F9" w:rsidRDefault="00525159" w:rsidP="006A24F9">
      <w:pPr>
        <w:pStyle w:val="BodyTextIndent2"/>
        <w:ind w:left="480"/>
        <w:rPr>
          <w:sz w:val="22"/>
        </w:rPr>
      </w:pPr>
      <w:r>
        <w:rPr>
          <w:sz w:val="22"/>
        </w:rPr>
        <w:t xml:space="preserve">Financial </w:t>
      </w:r>
      <w:r w:rsidR="00020EEE" w:rsidRPr="00020EEE">
        <w:rPr>
          <w:sz w:val="22"/>
        </w:rPr>
        <w:t xml:space="preserve">Form HUD-52681-B is entered by the PHA into the Voucher Management System (VMS).  None of the other data under this submission is automated.  </w:t>
      </w:r>
      <w:r w:rsidR="006A24F9" w:rsidRPr="00020EEE">
        <w:rPr>
          <w:sz w:val="22"/>
        </w:rPr>
        <w:t>The i</w:t>
      </w:r>
      <w:r w:rsidR="006B496A" w:rsidRPr="00020EEE">
        <w:rPr>
          <w:sz w:val="22"/>
        </w:rPr>
        <w:t>nformation collected from PHAs</w:t>
      </w:r>
      <w:r w:rsidR="006A24F9" w:rsidRPr="00020EEE">
        <w:rPr>
          <w:sz w:val="22"/>
        </w:rPr>
        <w:t xml:space="preserve"> </w:t>
      </w:r>
      <w:r>
        <w:rPr>
          <w:sz w:val="22"/>
        </w:rPr>
        <w:t xml:space="preserve">will used to </w:t>
      </w:r>
      <w:r w:rsidR="006B496A" w:rsidRPr="00020EEE">
        <w:rPr>
          <w:sz w:val="22"/>
        </w:rPr>
        <w:t>ensure statutory, regulatory and contractual compliance.</w:t>
      </w:r>
    </w:p>
    <w:p w:rsidR="00932990" w:rsidRDefault="00932990" w:rsidP="006A24F9">
      <w:pPr>
        <w:pStyle w:val="BodyTextIndent2"/>
        <w:ind w:left="480"/>
        <w:rPr>
          <w:sz w:val="22"/>
        </w:rPr>
      </w:pPr>
    </w:p>
    <w:p w:rsidR="00932990" w:rsidRDefault="00932990" w:rsidP="00932990">
      <w:pPr>
        <w:tabs>
          <w:tab w:val="left" w:pos="480"/>
        </w:tabs>
        <w:suppressAutoHyphens/>
        <w:ind w:left="480" w:hanging="480"/>
        <w:rPr>
          <w:sz w:val="22"/>
        </w:rPr>
      </w:pPr>
      <w:r>
        <w:rPr>
          <w:b/>
          <w:bCs/>
          <w:sz w:val="22"/>
        </w:rPr>
        <w:tab/>
      </w:r>
      <w:proofErr w:type="gramStart"/>
      <w:r>
        <w:rPr>
          <w:b/>
          <w:bCs/>
          <w:sz w:val="22"/>
        </w:rPr>
        <w:t>Use of information.</w:t>
      </w:r>
      <w:proofErr w:type="gramEnd"/>
      <w:r>
        <w:rPr>
          <w:b/>
          <w:bCs/>
          <w:sz w:val="22"/>
        </w:rPr>
        <w:t xml:space="preserve">  </w:t>
      </w:r>
      <w:r>
        <w:rPr>
          <w:sz w:val="22"/>
        </w:rPr>
        <w:t>The requested information requirements (how, by whom and for what purpose the information is to be used) for the voucher program consists of the following:</w:t>
      </w:r>
    </w:p>
    <w:p w:rsidR="00932990" w:rsidRDefault="00932990" w:rsidP="00932990">
      <w:pPr>
        <w:pStyle w:val="EndnoteText"/>
        <w:suppressAutoHyphens/>
        <w:rPr>
          <w:rFonts w:ascii="Times New Roman" w:hAnsi="Times New Roman"/>
          <w:sz w:val="22"/>
        </w:rPr>
      </w:pPr>
    </w:p>
    <w:p w:rsidR="00932990" w:rsidRDefault="00932990" w:rsidP="00932990">
      <w:pPr>
        <w:pStyle w:val="EndnoteText"/>
        <w:pBdr>
          <w:top w:val="single" w:sz="4" w:space="0" w:color="auto"/>
        </w:pBdr>
        <w:suppressAutoHyphens/>
        <w:ind w:left="480"/>
        <w:rPr>
          <w:rFonts w:ascii="Times New Roman" w:hAnsi="Times New Roman"/>
          <w:b/>
          <w:bCs/>
          <w:sz w:val="22"/>
        </w:rPr>
      </w:pPr>
      <w:r>
        <w:rPr>
          <w:rFonts w:ascii="Times New Roman" w:hAnsi="Times New Roman"/>
          <w:b/>
          <w:bCs/>
          <w:sz w:val="22"/>
        </w:rPr>
        <w:t>Information Collections Required of PHAs</w:t>
      </w:r>
    </w:p>
    <w:p w:rsidR="00932990" w:rsidRDefault="00932990" w:rsidP="00932990">
      <w:pPr>
        <w:pStyle w:val="EndnoteText"/>
        <w:suppressAutoHyphens/>
        <w:rPr>
          <w:rFonts w:ascii="Times New Roman" w:hAnsi="Times New Roman"/>
          <w:sz w:val="22"/>
        </w:rPr>
      </w:pPr>
    </w:p>
    <w:p w:rsidR="00932990" w:rsidRDefault="00932990" w:rsidP="00932990">
      <w:pPr>
        <w:tabs>
          <w:tab w:val="left" w:pos="-720"/>
          <w:tab w:val="left" w:pos="0"/>
          <w:tab w:val="left" w:pos="480"/>
        </w:tabs>
        <w:suppressAutoHyphens/>
        <w:ind w:left="480" w:hanging="480"/>
        <w:rPr>
          <w:sz w:val="22"/>
        </w:rPr>
      </w:pPr>
      <w:r>
        <w:rPr>
          <w:sz w:val="22"/>
        </w:rPr>
        <w:tab/>
      </w:r>
      <w:r>
        <w:rPr>
          <w:b/>
          <w:bCs/>
          <w:sz w:val="22"/>
        </w:rPr>
        <w:t>Funding Application, Form HUD-52515</w:t>
      </w:r>
      <w:r>
        <w:rPr>
          <w:sz w:val="22"/>
        </w:rPr>
        <w:t xml:space="preserve">, Regulatory References 982.54, 982.103, and 982.158.  HUD collects information from the PHA on Form HUD-52515, which is the HCV program funding application that specifies the number of units requested, as well as the PHA's objectives and plans for administering the HCV program.  The application is reviewed by HUD and ranked according to the PHA's administrative capability, the need for housing assistance, and other factors specified in the Notice of Funding Availability.  PHAs are required to prepare an Administrative Plan that states local PHA policy on matters for which the PHA has discretion to establish local policies. The PHA must discuss in these plans how it will operate the HCV program, e.g., organization of the waiting list, opening and closing of the waiting list, selection of families from the waiting list, terms of the voucher and occupancy policies.  Standard forms were added to the funding application process.  </w:t>
      </w:r>
      <w:r>
        <w:rPr>
          <w:b/>
          <w:bCs/>
          <w:sz w:val="22"/>
        </w:rPr>
        <w:t>Purpose:  Application for benefits.</w:t>
      </w:r>
    </w:p>
    <w:p w:rsidR="00932990" w:rsidRDefault="00932990" w:rsidP="00932990">
      <w:pPr>
        <w:tabs>
          <w:tab w:val="left" w:pos="-720"/>
          <w:tab w:val="left" w:pos="0"/>
          <w:tab w:val="left" w:pos="480"/>
        </w:tabs>
        <w:suppressAutoHyphens/>
        <w:ind w:left="480"/>
        <w:rPr>
          <w:sz w:val="22"/>
        </w:rPr>
      </w:pPr>
    </w:p>
    <w:p w:rsidR="00932990" w:rsidRPr="00AD16E4" w:rsidRDefault="00932990" w:rsidP="00932990">
      <w:pPr>
        <w:tabs>
          <w:tab w:val="left" w:pos="-720"/>
          <w:tab w:val="left" w:pos="0"/>
          <w:tab w:val="left" w:pos="480"/>
        </w:tabs>
        <w:suppressAutoHyphens/>
        <w:ind w:left="480"/>
        <w:rPr>
          <w:b/>
          <w:sz w:val="22"/>
        </w:rPr>
      </w:pPr>
      <w:r>
        <w:rPr>
          <w:b/>
          <w:bCs/>
          <w:sz w:val="22"/>
        </w:rPr>
        <w:t>Allowances for Tenant Furnished Utilities and Other Services, Form HUD-52667</w:t>
      </w:r>
      <w:r>
        <w:rPr>
          <w:sz w:val="22"/>
        </w:rPr>
        <w:t xml:space="preserve">, Regulatory References 982.158 and 982.517.  The PHA must establish a utility allowance schedule for all utilities and other services.  The utility allowance is used in determining the family's monthly HAP and rental or homeownership share. The allowance is provided for those utilities paid by the family.  The utility allowance schedule is determined based on the typical cost of utilities and services paid by energy-conservative households that occupy housing of a similar size and type in the same locality.  The PHA must submit its initial utility allowance schedule and supporting documentation to HUD in order for HUD to ensure that the costs are reasonable.  Thereafter, the updated form is not sent to HUD unless requested.  </w:t>
      </w:r>
      <w:r>
        <w:rPr>
          <w:b/>
          <w:bCs/>
          <w:sz w:val="22"/>
        </w:rPr>
        <w:t>Purpose:  Program planning or management; Regulatory compliance.</w:t>
      </w:r>
      <w:r>
        <w:rPr>
          <w:sz w:val="22"/>
        </w:rPr>
        <w:t xml:space="preserve">  </w:t>
      </w:r>
      <w:r>
        <w:rPr>
          <w:b/>
          <w:sz w:val="22"/>
        </w:rPr>
        <w:t>This purpose will remain applicable to remaining forms and documents.</w:t>
      </w:r>
    </w:p>
    <w:p w:rsidR="00932990" w:rsidRDefault="00932990" w:rsidP="00932990">
      <w:pPr>
        <w:tabs>
          <w:tab w:val="left" w:pos="-720"/>
        </w:tabs>
        <w:suppressAutoHyphens/>
        <w:ind w:left="480"/>
        <w:rPr>
          <w:sz w:val="22"/>
        </w:rPr>
      </w:pPr>
    </w:p>
    <w:p w:rsidR="00932990" w:rsidRDefault="00932990" w:rsidP="00932990">
      <w:pPr>
        <w:tabs>
          <w:tab w:val="left" w:pos="-720"/>
          <w:tab w:val="left" w:pos="0"/>
        </w:tabs>
        <w:suppressAutoHyphens/>
        <w:ind w:left="480"/>
        <w:rPr>
          <w:sz w:val="22"/>
        </w:rPr>
      </w:pPr>
      <w:proofErr w:type="gramStart"/>
      <w:r>
        <w:rPr>
          <w:b/>
          <w:bCs/>
          <w:sz w:val="22"/>
        </w:rPr>
        <w:lastRenderedPageBreak/>
        <w:t>Inspection Form, HUD-52580</w:t>
      </w:r>
      <w:r>
        <w:rPr>
          <w:sz w:val="22"/>
        </w:rPr>
        <w:t>, Regulatory References 982.158, 982.401, 982.405 and 982.631.</w:t>
      </w:r>
      <w:proofErr w:type="gramEnd"/>
      <w:r>
        <w:rPr>
          <w:sz w:val="22"/>
        </w:rPr>
        <w:t xml:space="preserve">  Form HUD-52580 (form HUD-52580-A is the same form as 52580 with the addition of detailed instructions on the form) is the inspection form used by the PHA to determine if a unit meets the housing quality standards (HQS) of the HCV program.  The goal of the HCV program is to provide decent, safe and sanitary housing to very low-income families.  In keeping with that goal, the primary objective of the HQS is to protect the family receiving assistance under the program by guaranteeing a basic level of assisted housing.  The units must pass inspection before HAP may be paid to owners and must be re-inspected at least once a year when an assisted family continues occupancy.  Annual re-inspections are not required under the homeownership option.  The inspection reports are not submitted to HUD.  </w:t>
      </w:r>
    </w:p>
    <w:p w:rsidR="00932990" w:rsidRDefault="00932990" w:rsidP="00932990">
      <w:pPr>
        <w:tabs>
          <w:tab w:val="left" w:pos="-720"/>
        </w:tabs>
        <w:suppressAutoHyphens/>
        <w:ind w:left="480"/>
        <w:rPr>
          <w:sz w:val="22"/>
        </w:rPr>
      </w:pPr>
    </w:p>
    <w:p w:rsidR="00932990" w:rsidRDefault="00932990" w:rsidP="00932990">
      <w:pPr>
        <w:tabs>
          <w:tab w:val="left" w:pos="-720"/>
          <w:tab w:val="left" w:pos="0"/>
        </w:tabs>
        <w:suppressAutoHyphens/>
        <w:ind w:left="480"/>
        <w:rPr>
          <w:sz w:val="22"/>
        </w:rPr>
      </w:pPr>
      <w:proofErr w:type="gramStart"/>
      <w:r>
        <w:rPr>
          <w:b/>
          <w:bCs/>
          <w:sz w:val="22"/>
        </w:rPr>
        <w:t>Financial Forms, HUD- 52672, 52681, 52681-B,</w:t>
      </w:r>
      <w:r>
        <w:rPr>
          <w:sz w:val="22"/>
        </w:rPr>
        <w:t xml:space="preserve"> Regulatory References 982.157 and 982.158.</w:t>
      </w:r>
      <w:proofErr w:type="gramEnd"/>
      <w:r>
        <w:rPr>
          <w:sz w:val="22"/>
        </w:rPr>
        <w:t xml:space="preserve">  PHAs that administer the HCV program are required to maintain financial reports in accordance with accepted accounting standards in order to permit timely and effective audits.  The HUD-52672 and 52681 financial records identify the amount of annual contributions that are received and disbursed by the PHA and are used by PHAs that administer the five-year Mainstream Program.  The required financial statements are similar to those prepared by any responsible business or organization at the end of the fiscal year.  Form HUD-52681-B is entered by the PHA into the Voucher Management System (VMS) on a monthly basis during each calendar year to track HAP and administrative fee expenses as well as portability families, fraud recovery, Family Self-Sufficiency escrow accounts, etc.  </w:t>
      </w:r>
      <w:r w:rsidRPr="00932990">
        <w:rPr>
          <w:sz w:val="22"/>
        </w:rPr>
        <w:t xml:space="preserve">The inclusion of the four new fields of </w:t>
      </w:r>
      <w:r w:rsidRPr="00932990">
        <w:rPr>
          <w:sz w:val="22"/>
          <w:szCs w:val="22"/>
        </w:rPr>
        <w:t>Net Restricted Assets (NRA), Unrestricted Net Assets (UNA), Cash/Investments, and the number of vouchers issued but not under active housing assistance payment (HAP) contract</w:t>
      </w:r>
      <w:r w:rsidRPr="00932990">
        <w:rPr>
          <w:sz w:val="22"/>
        </w:rPr>
        <w:t xml:space="preserve"> will further allow the PHAs and </w:t>
      </w:r>
      <w:r w:rsidRPr="00932990">
        <w:rPr>
          <w:sz w:val="22"/>
          <w:szCs w:val="22"/>
        </w:rPr>
        <w:t xml:space="preserve">the Department to realize a more complete picture of the PHAs’ resources and program activities, promote financial accountability, and improve the PHAs’ ability to provide assistance to as many households as possible while maximizing budgets. In addition, the aforementioned fields will be crucial to the identification of </w:t>
      </w:r>
      <w:r w:rsidRPr="00932990">
        <w:rPr>
          <w:sz w:val="24"/>
          <w:szCs w:val="24"/>
        </w:rPr>
        <w:t xml:space="preserve">actual or incipient financial problems that will ultimately effect funding for program participants.  </w:t>
      </w:r>
      <w:r w:rsidRPr="00932990">
        <w:rPr>
          <w:sz w:val="22"/>
        </w:rPr>
        <w:t>Through submission of these reports, HUD is able to ensure that PHAs do not over or under utilize their baseline unit months or annual budget authority thereby affecting the number of qualified families that can participate in the HCV programs.  HCV funding</w:t>
      </w:r>
      <w:r>
        <w:rPr>
          <w:sz w:val="22"/>
        </w:rPr>
        <w:t xml:space="preserve"> is provided to PHAs each calendar year on a formula basis in accordance with recent Congressional Appropriations Acts.  </w:t>
      </w:r>
    </w:p>
    <w:p w:rsidR="00932990" w:rsidRDefault="00932990" w:rsidP="00932990">
      <w:pPr>
        <w:tabs>
          <w:tab w:val="left" w:pos="-720"/>
          <w:tab w:val="left" w:pos="0"/>
        </w:tabs>
        <w:suppressAutoHyphens/>
        <w:ind w:left="480"/>
        <w:rPr>
          <w:b/>
          <w:bCs/>
          <w:sz w:val="22"/>
        </w:rPr>
      </w:pPr>
    </w:p>
    <w:p w:rsidR="00932990" w:rsidRDefault="00932990" w:rsidP="00932990">
      <w:pPr>
        <w:tabs>
          <w:tab w:val="left" w:pos="-720"/>
          <w:tab w:val="left" w:pos="-90"/>
        </w:tabs>
        <w:suppressAutoHyphens/>
        <w:ind w:left="480"/>
        <w:rPr>
          <w:b/>
          <w:bCs/>
          <w:sz w:val="22"/>
        </w:rPr>
      </w:pPr>
      <w:proofErr w:type="gramStart"/>
      <w:r>
        <w:rPr>
          <w:b/>
          <w:bCs/>
          <w:sz w:val="22"/>
        </w:rPr>
        <w:t>Voucher, Form HUD-52646</w:t>
      </w:r>
      <w:r>
        <w:rPr>
          <w:sz w:val="22"/>
        </w:rPr>
        <w:t>, Regulatory References 982.158, 982.302 and 982.629.</w:t>
      </w:r>
      <w:proofErr w:type="gramEnd"/>
      <w:r>
        <w:rPr>
          <w:sz w:val="22"/>
        </w:rPr>
        <w:t xml:space="preserve">  The voucher is the document that authorizes the family to look for an eligible unit and specifies the appropriate unit size necessary to meet the family's needs. The voucher also sets forth the family's obligations under the HCV program.  This form is not sent to HUD.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80"/>
        <w:rPr>
          <w:sz w:val="22"/>
        </w:rPr>
      </w:pPr>
      <w:r>
        <w:rPr>
          <w:b/>
          <w:bCs/>
          <w:sz w:val="22"/>
        </w:rPr>
        <w:t xml:space="preserve">HAP Contracts and Tenancy Addenda, Forms HUD-52641, 52641A, 52642 and 52642A </w:t>
      </w:r>
      <w:r>
        <w:rPr>
          <w:sz w:val="22"/>
        </w:rPr>
        <w:t>-Regulatory References, 982.158, 982.305, 982.308, 982.309, 982.451, 982.454, 982.620.  The HAP contract is a written agreement between the PHA and the owner of a unit or manufactured home space occupied by a voucher participant.  The HAP contract must be executed before the PHA can make payment on behalf of an eligible family.  The HAP contract consists of three parts:  Part A (Contract Information); Part B (Body of the Contract); and Part C (Tenancy Addendum).  Separate tenancy addenda forms are provided to the landlord for attachment to the tenant’s lease.  The PHA must be provided a copy of any revisions to the lease agreed to by the owner and the tenant.  This information is not submitted to HUD.    Below is an explanation of each contract form.</w:t>
      </w:r>
    </w:p>
    <w:p w:rsidR="00932990" w:rsidRDefault="00932990" w:rsidP="00932990">
      <w:pPr>
        <w:pStyle w:val="BodyText"/>
        <w:spacing w:before="120"/>
        <w:ind w:left="720"/>
        <w:rPr>
          <w:sz w:val="22"/>
        </w:rPr>
      </w:pPr>
      <w:r>
        <w:rPr>
          <w:b/>
          <w:bCs/>
          <w:sz w:val="22"/>
        </w:rPr>
        <w:t xml:space="preserve">HAP Contract for Section 8 Tenant-Based Assistance Housing Choice Voucher Program, Form HUD-52641 </w:t>
      </w:r>
      <w:r>
        <w:rPr>
          <w:sz w:val="22"/>
        </w:rPr>
        <w:t>-- This contract form is used for all program, participants except manufactured homeowners leasing the manufactured home space.  This form is not sent to HUD.</w:t>
      </w:r>
    </w:p>
    <w:p w:rsidR="00932990" w:rsidRDefault="00932990" w:rsidP="00932990">
      <w:pPr>
        <w:pStyle w:val="BodyText"/>
        <w:spacing w:before="120"/>
        <w:ind w:left="720"/>
        <w:rPr>
          <w:sz w:val="22"/>
        </w:rPr>
      </w:pPr>
      <w:r>
        <w:rPr>
          <w:b/>
          <w:bCs/>
          <w:sz w:val="22"/>
        </w:rPr>
        <w:t>Tenancy Addendum, Form HUD-52641-A</w:t>
      </w:r>
      <w:r>
        <w:rPr>
          <w:sz w:val="22"/>
        </w:rPr>
        <w:t>-- This form must be attached to a copy of the lease that is provided to the tenant by the landlord.  If there is any conflict between the tenancy addendum and any other provisions of the lease, the language of the tenancy addendum shall control.  This form is not sent to HUD.</w:t>
      </w:r>
    </w:p>
    <w:p w:rsidR="00932990" w:rsidRDefault="00932990" w:rsidP="00932990">
      <w:pPr>
        <w:pStyle w:val="BodyText"/>
        <w:spacing w:before="120"/>
        <w:ind w:left="720"/>
        <w:rPr>
          <w:sz w:val="22"/>
        </w:rPr>
      </w:pPr>
      <w:r>
        <w:rPr>
          <w:b/>
          <w:bCs/>
          <w:sz w:val="22"/>
        </w:rPr>
        <w:t>HAP Contract for Manufactured Home Space Rental, Form HUD-52642</w:t>
      </w:r>
      <w:r>
        <w:rPr>
          <w:sz w:val="22"/>
        </w:rPr>
        <w:t>-- This contract form is used for manufactured homeowners who lease the manufactured home space.  This form is not sent to HUD.</w:t>
      </w:r>
    </w:p>
    <w:p w:rsidR="00932990" w:rsidRDefault="00932990" w:rsidP="00932990">
      <w:pPr>
        <w:pStyle w:val="BodyText"/>
        <w:spacing w:before="120"/>
        <w:ind w:left="720"/>
        <w:rPr>
          <w:sz w:val="22"/>
        </w:rPr>
      </w:pPr>
      <w:r>
        <w:rPr>
          <w:b/>
          <w:bCs/>
          <w:sz w:val="22"/>
        </w:rPr>
        <w:t>Tenancy Addendum, Form HUD-52642-A</w:t>
      </w:r>
      <w:r>
        <w:rPr>
          <w:sz w:val="22"/>
        </w:rPr>
        <w:t xml:space="preserve">-- This form is to be attached to a copy of the lease provided to the tenant by the landlord, for manufactured home space rental.  If there is any conflict between the tenancy addendum and any other provisions of the lease, the language of the tenancy addendum shall control.  This form is not sent to HUD. </w:t>
      </w:r>
    </w:p>
    <w:p w:rsidR="00932990" w:rsidRDefault="00932990" w:rsidP="00932990">
      <w:pPr>
        <w:pStyle w:val="BodyText"/>
        <w:ind w:left="480"/>
        <w:rPr>
          <w:sz w:val="22"/>
        </w:rPr>
      </w:pPr>
    </w:p>
    <w:p w:rsidR="00932990" w:rsidRDefault="00932990" w:rsidP="00932990">
      <w:pPr>
        <w:pStyle w:val="BodyText"/>
        <w:pBdr>
          <w:top w:val="single" w:sz="4" w:space="1" w:color="auto"/>
        </w:pBdr>
        <w:ind w:left="480"/>
        <w:rPr>
          <w:b/>
          <w:bCs/>
          <w:sz w:val="22"/>
        </w:rPr>
      </w:pPr>
      <w:r>
        <w:rPr>
          <w:b/>
          <w:bCs/>
          <w:sz w:val="22"/>
        </w:rPr>
        <w:lastRenderedPageBreak/>
        <w:t>Information Collected by PHAs from Program Participants / Tenant-Based Owners</w:t>
      </w:r>
    </w:p>
    <w:p w:rsidR="00932990" w:rsidRDefault="00932990" w:rsidP="00932990">
      <w:pPr>
        <w:pStyle w:val="BodyText"/>
        <w:ind w:left="480"/>
        <w:rPr>
          <w:sz w:val="22"/>
        </w:rPr>
      </w:pPr>
    </w:p>
    <w:p w:rsidR="00932990" w:rsidRDefault="00932990" w:rsidP="00932990">
      <w:pPr>
        <w:tabs>
          <w:tab w:val="left" w:pos="-720"/>
        </w:tabs>
        <w:suppressAutoHyphens/>
        <w:ind w:left="480"/>
        <w:rPr>
          <w:sz w:val="22"/>
        </w:rPr>
      </w:pPr>
      <w:r>
        <w:rPr>
          <w:b/>
          <w:bCs/>
          <w:sz w:val="22"/>
        </w:rPr>
        <w:t>Request for Tenancy Approval, Form HUD-52517</w:t>
      </w:r>
      <w:r>
        <w:rPr>
          <w:sz w:val="22"/>
        </w:rPr>
        <w:t xml:space="preserve">, Regulatory References 982.158 and 982.302.  The Request for Tenancy Approval is completed and submitted by the family to the PHA when the family finds a unit that is suitable for its needs. The PHA reviews the request to determine if the owner is eligible to participate in the program, if the unit is eligible, and if the lease complies with the program and statutory requirements governing prohibited and required lease provisions.  This form is not sent to HUD.  </w:t>
      </w:r>
    </w:p>
    <w:p w:rsidR="00932990" w:rsidRDefault="00932990" w:rsidP="00932990">
      <w:pPr>
        <w:tabs>
          <w:tab w:val="left" w:pos="-720"/>
          <w:tab w:val="left" w:pos="-90"/>
        </w:tabs>
        <w:suppressAutoHyphens/>
        <w:ind w:left="480"/>
        <w:rPr>
          <w:sz w:val="22"/>
        </w:rPr>
      </w:pPr>
    </w:p>
    <w:p w:rsidR="00932990" w:rsidRDefault="00932990" w:rsidP="00932990">
      <w:pPr>
        <w:pStyle w:val="BodyText"/>
        <w:ind w:left="450"/>
        <w:rPr>
          <w:sz w:val="22"/>
        </w:rPr>
      </w:pPr>
      <w:proofErr w:type="gramStart"/>
      <w:r>
        <w:rPr>
          <w:b/>
          <w:bCs/>
          <w:sz w:val="22"/>
        </w:rPr>
        <w:t>Statement of Homeowner Obligations Housing Choice Homeownership Voucher Program, Form HUD-52649</w:t>
      </w:r>
      <w:r>
        <w:rPr>
          <w:sz w:val="22"/>
        </w:rPr>
        <w:t>, Regulatory Reference 982.625 and 982.633.</w:t>
      </w:r>
      <w:proofErr w:type="gramEnd"/>
      <w:r>
        <w:rPr>
          <w:sz w:val="22"/>
        </w:rPr>
        <w:t xml:space="preserve">  The PHA and family participating in the homeownership voucher program must execute a “statement of homeowner obligations” before HAP begin.  This statement describes the types of information to be provided by the family during the process for determining a family’s eligibility for participation in the program, and the program requirements a family must comply with as a condition of participation.  The statement indicates the homeowner’s acknowledgment of obligations to provide various types of information to the PHA for the purpose of determining general eligibility for participation in the program, income eligibility, or compliance with stated program requirements.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 from PHA to PHA</w:t>
      </w:r>
    </w:p>
    <w:p w:rsidR="00932990" w:rsidRDefault="00932990" w:rsidP="00932990">
      <w:pPr>
        <w:pStyle w:val="BodyText"/>
        <w:ind w:left="450"/>
        <w:rPr>
          <w:sz w:val="22"/>
        </w:rPr>
      </w:pPr>
    </w:p>
    <w:p w:rsidR="004A6EC3" w:rsidRDefault="00932990" w:rsidP="00932990">
      <w:pPr>
        <w:pStyle w:val="BodyText"/>
        <w:ind w:left="450"/>
        <w:rPr>
          <w:sz w:val="22"/>
        </w:rPr>
      </w:pPr>
      <w:proofErr w:type="gramStart"/>
      <w:r>
        <w:rPr>
          <w:b/>
          <w:bCs/>
          <w:sz w:val="22"/>
        </w:rPr>
        <w:t>Family Portability Information, Form HUD-52665</w:t>
      </w:r>
      <w:r>
        <w:rPr>
          <w:sz w:val="22"/>
        </w:rPr>
        <w:t>, Regulatory Reference 982.158 and 982.355.</w:t>
      </w:r>
      <w:proofErr w:type="gramEnd"/>
      <w:r>
        <w:rPr>
          <w:sz w:val="22"/>
        </w:rPr>
        <w:t xml:space="preserve">  This form standardizes the portability information submitted to the receiving PHA by the initial PHA.  In addition, this form is used for monthly portability billing by the receiving PHA.  After the payment amount is established, the form does not need to be resubmitted until the annual recertification or if the payment amount changes between annual </w:t>
      </w:r>
    </w:p>
    <w:p w:rsidR="00932990" w:rsidRDefault="00932990" w:rsidP="00932990">
      <w:pPr>
        <w:pStyle w:val="BodyText"/>
        <w:ind w:left="450"/>
        <w:rPr>
          <w:sz w:val="22"/>
        </w:rPr>
      </w:pPr>
      <w:proofErr w:type="gramStart"/>
      <w:r>
        <w:rPr>
          <w:sz w:val="22"/>
        </w:rPr>
        <w:t>re</w:t>
      </w:r>
      <w:r w:rsidR="004A6EC3">
        <w:rPr>
          <w:sz w:val="22"/>
        </w:rPr>
        <w:t>-</w:t>
      </w:r>
      <w:r>
        <w:rPr>
          <w:sz w:val="22"/>
        </w:rPr>
        <w:t>certifications</w:t>
      </w:r>
      <w:proofErr w:type="gramEnd"/>
      <w:r>
        <w:rPr>
          <w:sz w:val="22"/>
        </w:rPr>
        <w:t xml:space="preserve">.  This information is not provided to HUD.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 from PHA to Owner</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Preparation of Information about the Tenant for the Owner</w:t>
      </w:r>
      <w:r>
        <w:rPr>
          <w:sz w:val="22"/>
        </w:rPr>
        <w:t>, Regulatory Reference 982.307.</w:t>
      </w:r>
      <w:proofErr w:type="gramEnd"/>
      <w:r>
        <w:rPr>
          <w:sz w:val="22"/>
        </w:rPr>
        <w:t xml:space="preserve">  When the PHA is approving a new unit selected by the family, the PHA must advise the owner that the PHA has not screened the family and provide the name and address of previous landlords if such information is readily available.  This information is not provided to HUD.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 for Voucher Transfers</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Notification Letters.</w:t>
      </w:r>
      <w:proofErr w:type="gramEnd"/>
      <w:r>
        <w:rPr>
          <w:b/>
          <w:bCs/>
          <w:sz w:val="22"/>
        </w:rPr>
        <w:t xml:space="preserve">  </w:t>
      </w:r>
      <w:proofErr w:type="gramStart"/>
      <w:r>
        <w:rPr>
          <w:sz w:val="22"/>
        </w:rPr>
        <w:t>Regulatory Reference 982.151.</w:t>
      </w:r>
      <w:proofErr w:type="gramEnd"/>
      <w:r>
        <w:rPr>
          <w:sz w:val="22"/>
        </w:rPr>
        <w:t xml:space="preserve">  HUD uses the notification letters to initiate the transfer process.  Families and owners use their notification letters to be aware of changes in policies (such as occupancy and subsidy standards that may affect the family’s tenancy under a different PHA).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rPr>
      </w:pPr>
      <w:r>
        <w:rPr>
          <w:b/>
          <w:bCs/>
        </w:rPr>
        <w:t>Information Requirement for Homeownership Voucher Contract of Sale</w:t>
      </w:r>
    </w:p>
    <w:p w:rsidR="00932990" w:rsidRDefault="00932990" w:rsidP="00932990">
      <w:pPr>
        <w:rPr>
          <w:b/>
          <w:bCs/>
        </w:rPr>
      </w:pPr>
    </w:p>
    <w:p w:rsidR="00932990" w:rsidRDefault="00932990" w:rsidP="00932990">
      <w:pPr>
        <w:pStyle w:val="BodyText"/>
        <w:ind w:left="450"/>
        <w:rPr>
          <w:b/>
          <w:bCs/>
          <w:sz w:val="22"/>
        </w:rPr>
      </w:pPr>
      <w:r>
        <w:rPr>
          <w:b/>
          <w:bCs/>
          <w:sz w:val="22"/>
        </w:rPr>
        <w:t xml:space="preserve">Required Contract of </w:t>
      </w:r>
      <w:smartTag w:uri="urn:schemas-microsoft-com:office:smarttags" w:element="place">
        <w:smartTag w:uri="urn:schemas-microsoft-com:office:smarttags" w:element="City">
          <w:r>
            <w:rPr>
              <w:b/>
              <w:bCs/>
              <w:sz w:val="22"/>
            </w:rPr>
            <w:t>Sale</w:t>
          </w:r>
        </w:smartTag>
      </w:smartTag>
      <w:r>
        <w:rPr>
          <w:b/>
          <w:bCs/>
          <w:sz w:val="22"/>
        </w:rPr>
        <w:t xml:space="preserve"> Provisions, Housing Choice Homeownership Voucher Program,</w:t>
      </w:r>
      <w:r>
        <w:rPr>
          <w:sz w:val="22"/>
        </w:rPr>
        <w:t xml:space="preserve"> Regulatory Reference 982.631(c</w:t>
      </w:r>
      <w:proofErr w:type="gramStart"/>
      <w:r>
        <w:rPr>
          <w:sz w:val="22"/>
        </w:rPr>
        <w:t>)(</w:t>
      </w:r>
      <w:proofErr w:type="gramEnd"/>
      <w:r>
        <w:rPr>
          <w:sz w:val="22"/>
        </w:rPr>
        <w:t xml:space="preserve">2).  Before commencement of monthly homeownership assistance, a member or members of the family must enter into a contract of sale with the seller of the unit to be acquired by the family.  The family must give the PHA a copy of the contract of sale.  The contract of sale must specify the price and other terms of sale by the seller to the purchaser; provide that the purchaser will arrange for a pre-purchase inspection of the dwelling unit by an independent inspector selected by the purchaser; provide that the purchaser is not obligated to purchase the unit unless the inspection is satisfactory to the purchaser; provide that he purchaser is not obligated to pay for any necessary repairs; and contain a certification from the seller that the seller has not been debarred, suspended, or subject to a limited denial of participation under part 24 of this title.  </w:t>
      </w:r>
    </w:p>
    <w:p w:rsidR="00932990" w:rsidRDefault="00932990" w:rsidP="00932990">
      <w:pPr>
        <w:pStyle w:val="BodyText"/>
        <w:ind w:left="450"/>
        <w:rPr>
          <w:b/>
          <w:bCs/>
          <w:sz w:val="22"/>
        </w:rPr>
      </w:pP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Additional Renewal Funding (subject annually to Congressional Appropriations Acts)</w:t>
      </w:r>
    </w:p>
    <w:p w:rsidR="00932990" w:rsidRDefault="00932990" w:rsidP="00932990">
      <w:pPr>
        <w:pStyle w:val="BodyText"/>
        <w:ind w:left="450"/>
        <w:rPr>
          <w:sz w:val="22"/>
        </w:rPr>
      </w:pPr>
    </w:p>
    <w:p w:rsidR="00932990" w:rsidRDefault="00932990" w:rsidP="00932990">
      <w:pPr>
        <w:pStyle w:val="BodyText"/>
        <w:ind w:left="450"/>
        <w:rPr>
          <w:sz w:val="22"/>
        </w:rPr>
      </w:pPr>
      <w:proofErr w:type="gramStart"/>
      <w:r>
        <w:rPr>
          <w:b/>
          <w:bCs/>
          <w:sz w:val="22"/>
        </w:rPr>
        <w:t>Plans from Disaster PHAs</w:t>
      </w:r>
      <w:r>
        <w:rPr>
          <w:sz w:val="22"/>
        </w:rPr>
        <w:t>.</w:t>
      </w:r>
      <w:proofErr w:type="gramEnd"/>
      <w:r>
        <w:rPr>
          <w:sz w:val="22"/>
        </w:rPr>
        <w:t xml:space="preserve">  </w:t>
      </w:r>
      <w:proofErr w:type="gramStart"/>
      <w:r>
        <w:rPr>
          <w:sz w:val="22"/>
        </w:rPr>
        <w:t>Regulatory reference 982.102.</w:t>
      </w:r>
      <w:proofErr w:type="gramEnd"/>
      <w:r>
        <w:rPr>
          <w:sz w:val="22"/>
        </w:rPr>
        <w:t xml:space="preserve"> PHAs that were eligible for assistance under Section 901 in Public Law 109-148 or are located in the same counties as those eligible for Section 901 and operate voucher </w:t>
      </w:r>
      <w:r>
        <w:rPr>
          <w:sz w:val="22"/>
        </w:rPr>
        <w:lastRenderedPageBreak/>
        <w:t xml:space="preserve">programs, but do not operate public housing programs, and any other PHA that otherwise qualifies under this category must demonstrate they have experienced a loss of rental housing stock as a result of the 2005 hurricanes to receive additional renewal funding.  To receive funding, the PHA must submit a plan, to be approved by the Secretary, demonstrating that the PHA can effectively use the funding under this provision within 12 months of HUD approval of the plan.  </w:t>
      </w:r>
    </w:p>
    <w:p w:rsidR="00932990" w:rsidRDefault="00932990" w:rsidP="00932990">
      <w:pPr>
        <w:pStyle w:val="BodyText"/>
        <w:ind w:left="450"/>
        <w:rPr>
          <w:b/>
          <w:bCs/>
          <w:sz w:val="22"/>
        </w:rPr>
      </w:pPr>
    </w:p>
    <w:p w:rsidR="00932990" w:rsidRPr="0069093A" w:rsidRDefault="00932990" w:rsidP="00932990">
      <w:pPr>
        <w:pStyle w:val="BodyText"/>
        <w:ind w:left="450"/>
        <w:rPr>
          <w:bCs/>
          <w:sz w:val="22"/>
        </w:rPr>
      </w:pPr>
      <w:r>
        <w:rPr>
          <w:b/>
          <w:bCs/>
          <w:sz w:val="22"/>
        </w:rPr>
        <w:t xml:space="preserve">Plans from PHAs in Receivership or in Breach of an ACC by June 1. 2007.  </w:t>
      </w:r>
      <w:r>
        <w:rPr>
          <w:sz w:val="22"/>
        </w:rPr>
        <w:t>Regulatory reference 982.102</w:t>
      </w:r>
    </w:p>
    <w:p w:rsidR="00932990" w:rsidRDefault="00932990" w:rsidP="00932990">
      <w:pPr>
        <w:pStyle w:val="BodyText"/>
        <w:ind w:left="450"/>
        <w:rPr>
          <w:sz w:val="22"/>
        </w:rPr>
      </w:pPr>
      <w:r>
        <w:rPr>
          <w:sz w:val="22"/>
        </w:rPr>
        <w:t xml:space="preserve">These PHAs that would receive less funding under the method provided in Public Law 110-5 (re-benchmarking) than they would receive under the special provisions of the Supplemental 2007 (Public Law 110-28) must submit a plan, to be approved by the Secretary, demonstrating that the PHA can effectively use the funding under this methodology within 12 months of HUD approval of the plan.  </w:t>
      </w:r>
    </w:p>
    <w:p w:rsidR="00932990" w:rsidRDefault="00932990" w:rsidP="00932990">
      <w:pPr>
        <w:pStyle w:val="BodyText"/>
        <w:ind w:left="450"/>
        <w:rPr>
          <w:b/>
          <w:bCs/>
          <w:sz w:val="22"/>
        </w:rPr>
      </w:pPr>
    </w:p>
    <w:p w:rsidR="00932990" w:rsidRDefault="00932990" w:rsidP="00932990">
      <w:pPr>
        <w:pStyle w:val="BodyText"/>
        <w:ind w:left="450"/>
        <w:rPr>
          <w:b/>
          <w:bCs/>
          <w:sz w:val="22"/>
        </w:rPr>
      </w:pPr>
      <w:proofErr w:type="gramStart"/>
      <w:r>
        <w:rPr>
          <w:b/>
          <w:bCs/>
          <w:sz w:val="22"/>
        </w:rPr>
        <w:t xml:space="preserve">Application/Certification and Evidence of </w:t>
      </w:r>
      <w:r w:rsidR="004A6EC3">
        <w:rPr>
          <w:b/>
          <w:bCs/>
          <w:sz w:val="22"/>
        </w:rPr>
        <w:t>Unforeseen</w:t>
      </w:r>
      <w:r>
        <w:rPr>
          <w:b/>
          <w:bCs/>
          <w:sz w:val="22"/>
        </w:rPr>
        <w:t xml:space="preserve"> Circumstances for Set-Aside Funding.</w:t>
      </w:r>
      <w:proofErr w:type="gramEnd"/>
      <w:r>
        <w:rPr>
          <w:b/>
          <w:bCs/>
          <w:sz w:val="22"/>
        </w:rPr>
        <w:t xml:space="preserve">  </w:t>
      </w:r>
      <w:proofErr w:type="gramStart"/>
      <w:r>
        <w:rPr>
          <w:sz w:val="22"/>
        </w:rPr>
        <w:t>Regulatory reference 982.102.</w:t>
      </w:r>
      <w:proofErr w:type="gramEnd"/>
      <w:r>
        <w:rPr>
          <w:sz w:val="22"/>
        </w:rPr>
        <w:t xml:space="preserve">  </w:t>
      </w:r>
      <w:r>
        <w:rPr>
          <w:bCs/>
          <w:sz w:val="22"/>
        </w:rPr>
        <w:t xml:space="preserve">The revised Continuing Resolution 2007 provided $100 million to be set aside for renewal funding for PHAs that experienced an increase in costs due to unforeseen circumstances.  </w:t>
      </w:r>
    </w:p>
    <w:p w:rsidR="00932990" w:rsidRPr="00E34C1D" w:rsidRDefault="00932990" w:rsidP="00932990">
      <w:pPr>
        <w:pStyle w:val="BodyText"/>
        <w:ind w:left="450"/>
        <w:rPr>
          <w:bCs/>
          <w:sz w:val="22"/>
        </w:rPr>
      </w:pPr>
    </w:p>
    <w:p w:rsidR="00932990" w:rsidRDefault="00932990" w:rsidP="00932990">
      <w:pPr>
        <w:pStyle w:val="BodyText"/>
        <w:ind w:left="450"/>
        <w:rPr>
          <w:b/>
          <w:bCs/>
          <w:sz w:val="22"/>
        </w:rPr>
      </w:pPr>
      <w:proofErr w:type="gramStart"/>
      <w:r>
        <w:rPr>
          <w:b/>
          <w:bCs/>
          <w:sz w:val="22"/>
        </w:rPr>
        <w:t>Application/Certification and Evidence of Decrease in Funding due to Re-benchmarking for Set-Aside Funding.</w:t>
      </w:r>
      <w:proofErr w:type="gramEnd"/>
      <w:r>
        <w:rPr>
          <w:b/>
          <w:bCs/>
          <w:sz w:val="22"/>
        </w:rPr>
        <w:t xml:space="preserve">  </w:t>
      </w:r>
      <w:proofErr w:type="gramStart"/>
      <w:r>
        <w:rPr>
          <w:sz w:val="22"/>
        </w:rPr>
        <w:t>Regulatory reference 982.102.</w:t>
      </w:r>
      <w:proofErr w:type="gramEnd"/>
      <w:r>
        <w:rPr>
          <w:sz w:val="22"/>
        </w:rPr>
        <w:t xml:space="preserve">  </w:t>
      </w:r>
      <w:r>
        <w:rPr>
          <w:bCs/>
          <w:sz w:val="22"/>
        </w:rPr>
        <w:t xml:space="preserve">The revised Continuing Resolution 2007 provided that part of the $100 million will be set aside for renewal funding for PHAs that would experience a decrease in funding due to re-benchmarking.  </w:t>
      </w:r>
    </w:p>
    <w:p w:rsidR="00932990" w:rsidRDefault="00932990" w:rsidP="00932990">
      <w:pPr>
        <w:pStyle w:val="BodyText"/>
        <w:ind w:left="450"/>
        <w:rPr>
          <w:b/>
          <w:bCs/>
          <w:sz w:val="22"/>
        </w:rPr>
      </w:pPr>
    </w:p>
    <w:p w:rsidR="00932990" w:rsidRDefault="00932990" w:rsidP="00932990">
      <w:pPr>
        <w:pStyle w:val="BodyText"/>
        <w:pBdr>
          <w:top w:val="single" w:sz="4" w:space="1" w:color="auto"/>
        </w:pBdr>
        <w:ind w:left="450"/>
        <w:rPr>
          <w:b/>
          <w:bCs/>
          <w:sz w:val="22"/>
        </w:rPr>
      </w:pPr>
      <w:r>
        <w:rPr>
          <w:b/>
          <w:bCs/>
          <w:sz w:val="22"/>
        </w:rPr>
        <w:t>Information Requirements for Project-Based Voucher (PBV) Program</w:t>
      </w:r>
    </w:p>
    <w:p w:rsidR="00932990" w:rsidRDefault="00932990" w:rsidP="00932990">
      <w:pPr>
        <w:pStyle w:val="BodyText"/>
        <w:ind w:left="450"/>
        <w:rPr>
          <w:sz w:val="22"/>
        </w:rPr>
      </w:pPr>
    </w:p>
    <w:p w:rsidR="00932990" w:rsidRDefault="00932990" w:rsidP="00932990">
      <w:pPr>
        <w:pStyle w:val="BodyText"/>
        <w:ind w:left="450"/>
        <w:rPr>
          <w:sz w:val="22"/>
        </w:rPr>
      </w:pPr>
      <w:proofErr w:type="gramStart"/>
      <w:r>
        <w:rPr>
          <w:b/>
          <w:bCs/>
          <w:sz w:val="22"/>
        </w:rPr>
        <w:t>Public Notice of PHA Request for PBV Proposals.</w:t>
      </w:r>
      <w:proofErr w:type="gramEnd"/>
      <w:r>
        <w:rPr>
          <w:b/>
          <w:bCs/>
          <w:sz w:val="22"/>
        </w:rPr>
        <w:t xml:space="preserve">  </w:t>
      </w:r>
      <w:proofErr w:type="gramStart"/>
      <w:r>
        <w:rPr>
          <w:sz w:val="22"/>
        </w:rPr>
        <w:t>Regulatory reference 983.51(c).</w:t>
      </w:r>
      <w:proofErr w:type="gramEnd"/>
      <w:r>
        <w:rPr>
          <w:sz w:val="22"/>
        </w:rPr>
        <w:t xml:space="preserve"> If the PHA must select proposals competitively through public notice.  The public notice procedures may include publication of the notice in a local newspaper of general circulation and other means for broad circulation.  </w:t>
      </w:r>
    </w:p>
    <w:p w:rsidR="00932990"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PHA Notice of Owner Selection.</w:t>
      </w:r>
      <w:proofErr w:type="gramEnd"/>
      <w:r>
        <w:rPr>
          <w:b/>
          <w:bCs/>
          <w:sz w:val="22"/>
        </w:rPr>
        <w:t xml:space="preserve">  </w:t>
      </w:r>
      <w:proofErr w:type="gramStart"/>
      <w:r>
        <w:rPr>
          <w:sz w:val="22"/>
        </w:rPr>
        <w:t>Regulatory reference 983.51(d).</w:t>
      </w:r>
      <w:proofErr w:type="gramEnd"/>
      <w:r>
        <w:rPr>
          <w:sz w:val="22"/>
        </w:rPr>
        <w:t xml:space="preserve">  The PHA</w:t>
      </w:r>
      <w:r w:rsidR="004A6EC3">
        <w:rPr>
          <w:sz w:val="22"/>
        </w:rPr>
        <w:t xml:space="preserve"> </w:t>
      </w:r>
      <w:r>
        <w:rPr>
          <w:sz w:val="22"/>
        </w:rPr>
        <w:t xml:space="preserve">must give prompt written notice to the party that submitted a selected proposal and must also give prompt public notice of such selection.  </w:t>
      </w:r>
    </w:p>
    <w:p w:rsidR="00932990" w:rsidRPr="003204B9" w:rsidRDefault="00932990" w:rsidP="00932990">
      <w:pPr>
        <w:pStyle w:val="BodyText"/>
        <w:ind w:left="450"/>
        <w:rPr>
          <w:b/>
          <w:bCs/>
          <w:sz w:val="22"/>
        </w:rPr>
      </w:pPr>
    </w:p>
    <w:p w:rsidR="00932990" w:rsidRDefault="00932990" w:rsidP="00932990">
      <w:pPr>
        <w:pStyle w:val="BodyText"/>
        <w:ind w:left="450"/>
        <w:rPr>
          <w:sz w:val="22"/>
        </w:rPr>
      </w:pPr>
      <w:proofErr w:type="gramStart"/>
      <w:r>
        <w:rPr>
          <w:b/>
          <w:bCs/>
          <w:sz w:val="22"/>
        </w:rPr>
        <w:t>Agreement to Enter into a Housing Assistance Payments Contract.</w:t>
      </w:r>
      <w:proofErr w:type="gramEnd"/>
      <w:r>
        <w:rPr>
          <w:b/>
          <w:bCs/>
          <w:sz w:val="22"/>
        </w:rPr>
        <w:t xml:space="preserve">  Form HUD-52531A&amp;B.  </w:t>
      </w:r>
      <w:proofErr w:type="gramStart"/>
      <w:r>
        <w:rPr>
          <w:sz w:val="22"/>
        </w:rPr>
        <w:t>Regulatory reference 983.152.</w:t>
      </w:r>
      <w:proofErr w:type="gramEnd"/>
      <w:r>
        <w:rPr>
          <w:sz w:val="22"/>
        </w:rPr>
        <w:t xml:space="preserve">  For PBV units that will be newly constructed or substantially rehabilitated, the PHA must enter into an Agreement prior to development or rehabilitation activities begin.  </w:t>
      </w:r>
    </w:p>
    <w:p w:rsidR="00932990" w:rsidRPr="00E34C1D" w:rsidRDefault="00932990" w:rsidP="00932990">
      <w:pPr>
        <w:pStyle w:val="BodyText"/>
        <w:ind w:left="450"/>
        <w:rPr>
          <w:bCs/>
          <w:sz w:val="22"/>
        </w:rPr>
      </w:pPr>
    </w:p>
    <w:p w:rsidR="00932990" w:rsidRDefault="00932990" w:rsidP="00932990">
      <w:pPr>
        <w:pStyle w:val="BodyText"/>
        <w:ind w:left="450"/>
        <w:rPr>
          <w:bCs/>
          <w:sz w:val="22"/>
        </w:rPr>
      </w:pPr>
      <w:proofErr w:type="gramStart"/>
      <w:r>
        <w:rPr>
          <w:b/>
          <w:bCs/>
          <w:sz w:val="22"/>
        </w:rPr>
        <w:t>PBV HAP Contract for New Construction or Substantial Rehabilitation.</w:t>
      </w:r>
      <w:proofErr w:type="gramEnd"/>
      <w:r>
        <w:rPr>
          <w:b/>
          <w:bCs/>
          <w:sz w:val="22"/>
        </w:rPr>
        <w:t xml:space="preserve">  Form HUD-52530A.  </w:t>
      </w:r>
      <w:proofErr w:type="gramStart"/>
      <w:r>
        <w:rPr>
          <w:sz w:val="22"/>
        </w:rPr>
        <w:t>Regulatory reference 983.202.</w:t>
      </w:r>
      <w:proofErr w:type="gramEnd"/>
      <w:r>
        <w:rPr>
          <w:sz w:val="22"/>
        </w:rPr>
        <w:t xml:space="preserve">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
          <w:bCs/>
          <w:sz w:val="22"/>
        </w:rPr>
      </w:pPr>
      <w:proofErr w:type="gramStart"/>
      <w:r>
        <w:rPr>
          <w:b/>
          <w:bCs/>
          <w:sz w:val="22"/>
        </w:rPr>
        <w:t>PBV HAP Contract for Existing Units.</w:t>
      </w:r>
      <w:proofErr w:type="gramEnd"/>
      <w:r>
        <w:rPr>
          <w:b/>
          <w:bCs/>
          <w:sz w:val="22"/>
        </w:rPr>
        <w:t xml:space="preserve">  Form HUD-52530B.  </w:t>
      </w:r>
      <w:proofErr w:type="gramStart"/>
      <w:r>
        <w:rPr>
          <w:sz w:val="22"/>
        </w:rPr>
        <w:t>Regulatory reference 983.202.</w:t>
      </w:r>
      <w:proofErr w:type="gramEnd"/>
      <w:r>
        <w:rPr>
          <w:sz w:val="22"/>
        </w:rPr>
        <w:t xml:space="preserve">  </w:t>
      </w:r>
      <w:r>
        <w:rPr>
          <w:bCs/>
          <w:sz w:val="22"/>
        </w:rPr>
        <w:t xml:space="preserve">The PHA must enter into a HAP contract with the owner in order for housing assistance to be paid to the owner for occupied units.  </w:t>
      </w:r>
    </w:p>
    <w:p w:rsidR="00932990" w:rsidRDefault="00932990" w:rsidP="00932990">
      <w:pPr>
        <w:pStyle w:val="BodyText"/>
        <w:ind w:left="450"/>
        <w:rPr>
          <w:b/>
          <w:bCs/>
          <w:sz w:val="22"/>
        </w:rPr>
      </w:pPr>
    </w:p>
    <w:p w:rsidR="00932990" w:rsidRDefault="00932990" w:rsidP="00932990">
      <w:pPr>
        <w:pStyle w:val="BodyText"/>
        <w:ind w:left="450"/>
        <w:rPr>
          <w:bCs/>
          <w:sz w:val="22"/>
        </w:rPr>
      </w:pPr>
      <w:proofErr w:type="gramStart"/>
      <w:r>
        <w:rPr>
          <w:b/>
          <w:bCs/>
          <w:sz w:val="22"/>
        </w:rPr>
        <w:t>Tenancy Addendum.</w:t>
      </w:r>
      <w:proofErr w:type="gramEnd"/>
      <w:r>
        <w:rPr>
          <w:b/>
          <w:bCs/>
          <w:sz w:val="22"/>
        </w:rPr>
        <w:t xml:space="preserve">  Form HUD-52530C.  </w:t>
      </w:r>
      <w:r>
        <w:rPr>
          <w:sz w:val="22"/>
        </w:rPr>
        <w:t>Regulatory reference 983.256((b</w:t>
      </w:r>
      <w:proofErr w:type="gramStart"/>
      <w:r>
        <w:rPr>
          <w:sz w:val="22"/>
        </w:rPr>
        <w:t>)(</w:t>
      </w:r>
      <w:proofErr w:type="gramEnd"/>
      <w:r>
        <w:rPr>
          <w:sz w:val="22"/>
        </w:rPr>
        <w:t>3).  The lease under the PBV program must include a HUD-required tenancy addendum with all provisions required by HUD</w:t>
      </w:r>
      <w:r>
        <w:rPr>
          <w:bCs/>
          <w:sz w:val="22"/>
        </w:rPr>
        <w:t xml:space="preserve">.  </w:t>
      </w:r>
    </w:p>
    <w:p w:rsidR="00932990" w:rsidRDefault="00932990" w:rsidP="00932990">
      <w:pPr>
        <w:pStyle w:val="BodyText"/>
        <w:ind w:left="450"/>
        <w:rPr>
          <w:b/>
          <w:bCs/>
          <w:sz w:val="22"/>
        </w:rPr>
      </w:pPr>
    </w:p>
    <w:p w:rsidR="00932990" w:rsidRDefault="00932990" w:rsidP="00932990">
      <w:pPr>
        <w:pStyle w:val="BodyText"/>
        <w:ind w:left="450"/>
        <w:rPr>
          <w:b/>
          <w:bCs/>
          <w:sz w:val="22"/>
        </w:rPr>
      </w:pPr>
      <w:proofErr w:type="gramStart"/>
      <w:r>
        <w:rPr>
          <w:b/>
          <w:bCs/>
          <w:sz w:val="22"/>
        </w:rPr>
        <w:t>Statement of Family Responsibilities.</w:t>
      </w:r>
      <w:proofErr w:type="gramEnd"/>
      <w:r>
        <w:rPr>
          <w:b/>
          <w:bCs/>
          <w:sz w:val="22"/>
        </w:rPr>
        <w:t xml:space="preserve">  Form HUD-</w:t>
      </w:r>
      <w:proofErr w:type="gramStart"/>
      <w:r>
        <w:rPr>
          <w:b/>
          <w:bCs/>
          <w:sz w:val="22"/>
        </w:rPr>
        <w:t>52578B .</w:t>
      </w:r>
      <w:proofErr w:type="gramEnd"/>
      <w:r>
        <w:rPr>
          <w:b/>
          <w:bCs/>
          <w:sz w:val="22"/>
        </w:rPr>
        <w:t xml:space="preserve">  </w:t>
      </w:r>
      <w:proofErr w:type="gramStart"/>
      <w:r>
        <w:rPr>
          <w:sz w:val="22"/>
        </w:rPr>
        <w:t>Regulatory reference 983.1, 982.551.</w:t>
      </w:r>
      <w:proofErr w:type="gramEnd"/>
      <w:r>
        <w:rPr>
          <w:sz w:val="22"/>
        </w:rPr>
        <w:t xml:space="preserve">  Each family participating in the PBV program must sign this form which includes family obligation.  </w:t>
      </w:r>
    </w:p>
    <w:p w:rsidR="00932990" w:rsidRDefault="00932990" w:rsidP="006A24F9">
      <w:pPr>
        <w:pStyle w:val="BodyTextIndent2"/>
        <w:ind w:left="480"/>
        <w:rPr>
          <w:sz w:val="22"/>
        </w:rPr>
      </w:pPr>
    </w:p>
    <w:p w:rsidR="00CF67E7" w:rsidRDefault="00CF67E7" w:rsidP="00CF67E7">
      <w:pPr>
        <w:pStyle w:val="Heading1"/>
        <w:tabs>
          <w:tab w:val="left" w:pos="480"/>
        </w:tabs>
        <w:ind w:left="480" w:hanging="480"/>
        <w:jc w:val="left"/>
        <w:rPr>
          <w:u w:val="none"/>
        </w:rPr>
      </w:pPr>
      <w:r>
        <w:rPr>
          <w:u w:val="none"/>
        </w:rPr>
        <w:t>3.</w:t>
      </w:r>
      <w:r>
        <w:rPr>
          <w:u w:val="none"/>
        </w:rPr>
        <w:tab/>
        <w:t xml:space="preserve">Describe whether, and to what extent, the collection of information is automated?  </w:t>
      </w:r>
    </w:p>
    <w:p w:rsidR="008C09AC" w:rsidRPr="008C09AC" w:rsidRDefault="005919A7" w:rsidP="008C09AC">
      <w:pPr>
        <w:pStyle w:val="BodyTextIndent"/>
        <w:keepNext/>
        <w:ind w:left="480" w:hanging="480"/>
        <w:rPr>
          <w:sz w:val="22"/>
        </w:rPr>
      </w:pPr>
      <w:r>
        <w:rPr>
          <w:sz w:val="22"/>
        </w:rPr>
        <w:t xml:space="preserve">         </w:t>
      </w:r>
      <w:r w:rsidR="008C09AC" w:rsidRPr="008C09AC">
        <w:rPr>
          <w:sz w:val="22"/>
        </w:rPr>
        <w:t xml:space="preserve">Financial Form HUD-52681-B has been automated.  Submissions are entered </w:t>
      </w:r>
      <w:r w:rsidR="008C09AC">
        <w:rPr>
          <w:sz w:val="22"/>
        </w:rPr>
        <w:t>monthly</w:t>
      </w:r>
      <w:r w:rsidR="008C09AC" w:rsidRPr="008C09AC">
        <w:rPr>
          <w:sz w:val="22"/>
        </w:rPr>
        <w:t xml:space="preserve"> into the Voucher Management System (VMS).   </w:t>
      </w:r>
    </w:p>
    <w:p w:rsidR="00CF67E7" w:rsidRDefault="00257A76" w:rsidP="00626115">
      <w:pPr>
        <w:pStyle w:val="BodyText"/>
        <w:tabs>
          <w:tab w:val="left" w:pos="480"/>
        </w:tabs>
        <w:ind w:left="480" w:hanging="480"/>
        <w:rPr>
          <w:sz w:val="22"/>
        </w:rPr>
      </w:pPr>
      <w:r>
        <w:rPr>
          <w:sz w:val="22"/>
        </w:rPr>
        <w:t xml:space="preserve"> </w:t>
      </w:r>
    </w:p>
    <w:p w:rsidR="008C09AC" w:rsidRPr="008C09AC" w:rsidRDefault="00271C79" w:rsidP="008C09AC">
      <w:pPr>
        <w:pStyle w:val="BodyTextIndent"/>
        <w:keepNext/>
        <w:ind w:left="480" w:hanging="480"/>
        <w:rPr>
          <w:sz w:val="22"/>
        </w:rPr>
      </w:pPr>
      <w:r>
        <w:rPr>
          <w:b/>
          <w:bCs/>
          <w:sz w:val="22"/>
        </w:rPr>
        <w:t>4.</w:t>
      </w:r>
      <w:r>
        <w:rPr>
          <w:b/>
          <w:bCs/>
          <w:sz w:val="22"/>
        </w:rPr>
        <w:tab/>
        <w:t>Duplication of i</w:t>
      </w:r>
      <w:r w:rsidR="00CF67E7">
        <w:rPr>
          <w:b/>
          <w:bCs/>
          <w:sz w:val="22"/>
        </w:rPr>
        <w:t>nformation</w:t>
      </w:r>
      <w:r>
        <w:rPr>
          <w:b/>
          <w:bCs/>
          <w:sz w:val="22"/>
        </w:rPr>
        <w:t>.</w:t>
      </w:r>
      <w:r w:rsidR="00CF67E7">
        <w:rPr>
          <w:b/>
          <w:bCs/>
          <w:sz w:val="22"/>
        </w:rPr>
        <w:t xml:space="preserve"> </w:t>
      </w:r>
      <w:r>
        <w:rPr>
          <w:b/>
          <w:bCs/>
          <w:sz w:val="22"/>
        </w:rPr>
        <w:t xml:space="preserve"> </w:t>
      </w:r>
      <w:r w:rsidR="008C09AC" w:rsidRPr="008C09AC">
        <w:rPr>
          <w:sz w:val="22"/>
        </w:rPr>
        <w:t>There is no duplication of the subject information</w:t>
      </w:r>
      <w:proofErr w:type="gramStart"/>
      <w:r w:rsidR="008C09AC" w:rsidRPr="008C09AC">
        <w:rPr>
          <w:sz w:val="22"/>
        </w:rPr>
        <w:t>..</w:t>
      </w:r>
      <w:proofErr w:type="gramEnd"/>
      <w:r w:rsidR="008C09AC" w:rsidRPr="008C09AC">
        <w:rPr>
          <w:sz w:val="22"/>
        </w:rPr>
        <w:t xml:space="preserve">  </w:t>
      </w:r>
    </w:p>
    <w:p w:rsidR="00CF67E7" w:rsidRDefault="00CF67E7" w:rsidP="008C09AC">
      <w:pPr>
        <w:pStyle w:val="BodyTextIndent"/>
        <w:keepNext/>
        <w:ind w:left="480" w:hanging="480"/>
        <w:rPr>
          <w:sz w:val="22"/>
        </w:rPr>
      </w:pPr>
    </w:p>
    <w:p w:rsidR="00CF67E7" w:rsidRDefault="00CF67E7" w:rsidP="00CF67E7">
      <w:pPr>
        <w:pStyle w:val="BodyTextIndent"/>
        <w:keepNext/>
        <w:numPr>
          <w:ilvl w:val="0"/>
          <w:numId w:val="11"/>
        </w:numPr>
        <w:tabs>
          <w:tab w:val="clear" w:pos="360"/>
          <w:tab w:val="left" w:pos="-450"/>
          <w:tab w:val="num" w:pos="450"/>
        </w:tabs>
        <w:ind w:left="480" w:hanging="480"/>
        <w:rPr>
          <w:b/>
          <w:bCs/>
          <w:sz w:val="22"/>
        </w:rPr>
      </w:pPr>
      <w:r>
        <w:rPr>
          <w:b/>
          <w:bCs/>
          <w:sz w:val="22"/>
        </w:rPr>
        <w:t xml:space="preserve">Does the collection of information impact small businesses or other small entities? </w:t>
      </w:r>
    </w:p>
    <w:p w:rsidR="00CF67E7" w:rsidRDefault="008C09AC" w:rsidP="008C09AC">
      <w:pPr>
        <w:ind w:left="480"/>
        <w:rPr>
          <w:sz w:val="22"/>
        </w:rPr>
      </w:pPr>
      <w:r>
        <w:rPr>
          <w:sz w:val="22"/>
        </w:rPr>
        <w:t xml:space="preserve">No small entities are impacted.  </w:t>
      </w:r>
    </w:p>
    <w:p w:rsidR="008C09AC" w:rsidRDefault="008C09AC" w:rsidP="00CF67E7">
      <w:pPr>
        <w:ind w:left="480" w:hanging="480"/>
        <w:rPr>
          <w:sz w:val="22"/>
        </w:rPr>
      </w:pPr>
    </w:p>
    <w:p w:rsidR="00CF67E7" w:rsidRPr="007A1FE8" w:rsidRDefault="00CF67E7" w:rsidP="007A1FE8">
      <w:pPr>
        <w:pStyle w:val="BodyTextIndent"/>
        <w:keepNext/>
        <w:ind w:left="480" w:hanging="480"/>
        <w:rPr>
          <w:b/>
          <w:bCs/>
          <w:sz w:val="22"/>
        </w:rPr>
      </w:pPr>
      <w:r>
        <w:rPr>
          <w:b/>
          <w:bCs/>
          <w:sz w:val="22"/>
        </w:rPr>
        <w:lastRenderedPageBreak/>
        <w:t>6</w:t>
      </w:r>
      <w:r w:rsidR="0091041D">
        <w:rPr>
          <w:b/>
          <w:bCs/>
          <w:sz w:val="22"/>
        </w:rPr>
        <w:t>.</w:t>
      </w:r>
      <w:r w:rsidR="0091041D">
        <w:rPr>
          <w:b/>
          <w:bCs/>
          <w:sz w:val="22"/>
        </w:rPr>
        <w:tab/>
        <w:t>Describe the consequences to f</w:t>
      </w:r>
      <w:r>
        <w:rPr>
          <w:b/>
          <w:bCs/>
          <w:sz w:val="22"/>
        </w:rPr>
        <w:t xml:space="preserve">ederal program or policy activities if the collection is not conducted or is conducted less frequently. </w:t>
      </w:r>
      <w:r w:rsidR="007A1FE8">
        <w:rPr>
          <w:b/>
          <w:bCs/>
          <w:sz w:val="22"/>
        </w:rPr>
        <w:t xml:space="preserve"> </w:t>
      </w:r>
      <w:r w:rsidR="00E66CEF" w:rsidRPr="00E66CEF">
        <w:rPr>
          <w:bCs/>
          <w:sz w:val="22"/>
        </w:rPr>
        <w:t>The burden associated with Parts 982 and 983 is the minimum needed for program monitoring and implementation and incorporates program applications for funding, program financial reporting, and contractual and other documents necessary to program administration and implementation.  The information cannot be collected less frequently because it is either (1) information necessary to ensure housing is adequate and occupancy is by eligible families (2) information necessary to comply with contractual arrangements or (3) information necessary to ensure compliance with a statutory mandate.  In regard to voluntary transfers, notification letters to the field office, families and owners are only required once</w:t>
      </w:r>
    </w:p>
    <w:p w:rsidR="00CF67E7" w:rsidRDefault="00CF67E7" w:rsidP="00CF67E7">
      <w:pPr>
        <w:pStyle w:val="BodyTextIndent"/>
        <w:ind w:left="480" w:hanging="480"/>
      </w:pPr>
    </w:p>
    <w:p w:rsidR="003856F9" w:rsidRDefault="00CF67E7" w:rsidP="003856F9">
      <w:pPr>
        <w:tabs>
          <w:tab w:val="left" w:pos="-720"/>
          <w:tab w:val="left" w:pos="480"/>
        </w:tabs>
        <w:suppressAutoHyphens/>
        <w:ind w:left="480" w:hanging="480"/>
        <w:rPr>
          <w:bCs/>
          <w:sz w:val="22"/>
        </w:rPr>
      </w:pPr>
      <w:r>
        <w:rPr>
          <w:b/>
          <w:bCs/>
          <w:sz w:val="22"/>
        </w:rPr>
        <w:t>7.</w:t>
      </w:r>
      <w:r>
        <w:rPr>
          <w:b/>
          <w:bCs/>
          <w:sz w:val="22"/>
        </w:rPr>
        <w:tab/>
        <w:t>Explain any special circumstances</w:t>
      </w:r>
      <w:r w:rsidR="007A1FE8">
        <w:rPr>
          <w:b/>
          <w:bCs/>
          <w:sz w:val="22"/>
        </w:rPr>
        <w:t>.</w:t>
      </w:r>
      <w:r>
        <w:rPr>
          <w:b/>
          <w:bCs/>
          <w:sz w:val="22"/>
        </w:rPr>
        <w:t xml:space="preserve"> </w:t>
      </w:r>
      <w:r w:rsidR="007A1FE8">
        <w:rPr>
          <w:b/>
          <w:bCs/>
          <w:sz w:val="22"/>
        </w:rPr>
        <w:t xml:space="preserve"> </w:t>
      </w:r>
      <w:r w:rsidR="003856F9">
        <w:rPr>
          <w:bCs/>
          <w:sz w:val="22"/>
        </w:rPr>
        <w:t>PHAs will submit data in the VMS for each month, but will submit the data after the end of each month.  Validation will occur online as the PHA prepares its submission.  Items that fail specified edit checks will be immediately identified and the PHA will review and either correct or confirm the data.</w:t>
      </w:r>
    </w:p>
    <w:p w:rsidR="00CF67E7" w:rsidRDefault="00CF67E7" w:rsidP="003856F9">
      <w:pPr>
        <w:keepNext/>
        <w:ind w:left="480" w:hanging="480"/>
        <w:rPr>
          <w:sz w:val="22"/>
        </w:rPr>
      </w:pPr>
    </w:p>
    <w:p w:rsidR="00CF67E7" w:rsidRDefault="00271C79" w:rsidP="00CF67E7">
      <w:pPr>
        <w:ind w:left="480" w:hanging="480"/>
        <w:rPr>
          <w:b/>
          <w:bCs/>
          <w:sz w:val="22"/>
        </w:rPr>
      </w:pPr>
      <w:r>
        <w:rPr>
          <w:b/>
          <w:bCs/>
          <w:sz w:val="22"/>
        </w:rPr>
        <w:t>8.</w:t>
      </w:r>
      <w:r>
        <w:rPr>
          <w:b/>
          <w:bCs/>
          <w:sz w:val="22"/>
        </w:rPr>
        <w:tab/>
        <w:t xml:space="preserve">Identify </w:t>
      </w:r>
      <w:r w:rsidR="00CF67E7">
        <w:rPr>
          <w:b/>
          <w:bCs/>
          <w:sz w:val="22"/>
        </w:rPr>
        <w:t xml:space="preserve">date and page number of the Federal Register notice soliciting comments on the information. </w:t>
      </w:r>
    </w:p>
    <w:p w:rsidR="00CF67E7" w:rsidRDefault="00CF67E7" w:rsidP="00CF67E7">
      <w:pPr>
        <w:ind w:left="480"/>
        <w:rPr>
          <w:sz w:val="22"/>
        </w:rPr>
      </w:pPr>
      <w:r w:rsidRPr="006937E9">
        <w:rPr>
          <w:sz w:val="22"/>
        </w:rPr>
        <w:t>A notice of proposed information co</w:t>
      </w:r>
      <w:r w:rsidR="00626115">
        <w:rPr>
          <w:sz w:val="22"/>
        </w:rPr>
        <w:t>llection for the Public Housing Annual Contributions contract</w:t>
      </w:r>
      <w:r w:rsidRPr="006937E9">
        <w:rPr>
          <w:sz w:val="22"/>
        </w:rPr>
        <w:t xml:space="preserve"> was published in</w:t>
      </w:r>
      <w:r w:rsidR="007B6FD9">
        <w:rPr>
          <w:sz w:val="22"/>
        </w:rPr>
        <w:t xml:space="preserve"> the Fed</w:t>
      </w:r>
      <w:r w:rsidR="00626115">
        <w:rPr>
          <w:sz w:val="22"/>
        </w:rPr>
        <w:t>eral Reg</w:t>
      </w:r>
      <w:r w:rsidR="00A8409A">
        <w:rPr>
          <w:sz w:val="22"/>
        </w:rPr>
        <w:t xml:space="preserve">ister on March 26, 2010.  Volume is 75, Number 58, Page 14610. No </w:t>
      </w:r>
      <w:r w:rsidRPr="006937E9">
        <w:rPr>
          <w:sz w:val="22"/>
        </w:rPr>
        <w:t>public commen</w:t>
      </w:r>
      <w:r w:rsidR="007B6FD9">
        <w:rPr>
          <w:sz w:val="22"/>
        </w:rPr>
        <w:t>ts were received</w:t>
      </w:r>
      <w:r w:rsidRPr="006937E9">
        <w:rPr>
          <w:sz w:val="22"/>
        </w:rPr>
        <w:t>.</w:t>
      </w:r>
    </w:p>
    <w:p w:rsidR="004C528C" w:rsidRPr="006937E9" w:rsidRDefault="004C528C" w:rsidP="00CF67E7">
      <w:pPr>
        <w:ind w:left="480"/>
        <w:rPr>
          <w:sz w:val="22"/>
        </w:rPr>
      </w:pPr>
    </w:p>
    <w:p w:rsidR="00CF67E7" w:rsidRDefault="00CF67E7" w:rsidP="00CF67E7">
      <w:pPr>
        <w:pStyle w:val="BodyTextIndent"/>
        <w:keepNext/>
        <w:ind w:left="480" w:hanging="480"/>
        <w:rPr>
          <w:sz w:val="22"/>
        </w:rPr>
      </w:pPr>
      <w:r>
        <w:rPr>
          <w:b/>
          <w:bCs/>
          <w:sz w:val="22"/>
        </w:rPr>
        <w:t>9.</w:t>
      </w:r>
      <w:r>
        <w:rPr>
          <w:b/>
          <w:bCs/>
          <w:sz w:val="22"/>
        </w:rPr>
        <w:tab/>
        <w:t xml:space="preserve">Explain any payments or gifts to respondents, other than remuneration of contractors or grantees. </w:t>
      </w:r>
    </w:p>
    <w:p w:rsidR="00CF67E7" w:rsidRDefault="00CF67E7" w:rsidP="00CF67E7">
      <w:pPr>
        <w:pStyle w:val="BodyTextIndent"/>
        <w:ind w:left="480" w:firstLine="0"/>
        <w:rPr>
          <w:sz w:val="22"/>
        </w:rPr>
      </w:pPr>
      <w:r>
        <w:rPr>
          <w:sz w:val="22"/>
        </w:rPr>
        <w:t>No payments or gifts to respondents are provided.</w:t>
      </w:r>
    </w:p>
    <w:p w:rsidR="00CF67E7" w:rsidRDefault="00CF67E7" w:rsidP="00CF67E7">
      <w:pPr>
        <w:ind w:left="480" w:hanging="480"/>
        <w:rPr>
          <w:sz w:val="22"/>
        </w:rPr>
      </w:pPr>
    </w:p>
    <w:p w:rsidR="00CF67E7" w:rsidRPr="007A1FE8" w:rsidRDefault="00CF67E7" w:rsidP="007A1FE8">
      <w:pPr>
        <w:pStyle w:val="BodyTextIndent"/>
        <w:keepNext/>
        <w:ind w:left="480" w:hanging="480"/>
        <w:rPr>
          <w:b/>
          <w:bCs/>
          <w:sz w:val="22"/>
        </w:rPr>
      </w:pPr>
      <w:r>
        <w:rPr>
          <w:b/>
          <w:bCs/>
          <w:sz w:val="22"/>
        </w:rPr>
        <w:t>10.</w:t>
      </w:r>
      <w:r>
        <w:rPr>
          <w:b/>
          <w:bCs/>
          <w:sz w:val="22"/>
        </w:rPr>
        <w:tab/>
        <w:t xml:space="preserve">Describe any assurance of confidentiality provided to respondents. </w:t>
      </w:r>
      <w:r>
        <w:rPr>
          <w:sz w:val="22"/>
        </w:rPr>
        <w:t>The information provided is not of a confidential nature.</w:t>
      </w:r>
    </w:p>
    <w:p w:rsidR="00CF67E7" w:rsidRDefault="00CF67E7" w:rsidP="00CF67E7">
      <w:pPr>
        <w:pStyle w:val="BodyTextIndent"/>
        <w:ind w:left="480" w:hanging="480"/>
        <w:rPr>
          <w:sz w:val="22"/>
        </w:rPr>
      </w:pPr>
    </w:p>
    <w:p w:rsidR="00CF67E7" w:rsidRPr="007A1FE8" w:rsidRDefault="00271C79" w:rsidP="007A1FE8">
      <w:pPr>
        <w:pStyle w:val="BodyTextIndent"/>
        <w:keepNext/>
        <w:ind w:left="480" w:hanging="480"/>
        <w:rPr>
          <w:sz w:val="22"/>
        </w:rPr>
      </w:pPr>
      <w:r>
        <w:rPr>
          <w:b/>
          <w:bCs/>
          <w:sz w:val="22"/>
        </w:rPr>
        <w:t>11.</w:t>
      </w:r>
      <w:r>
        <w:rPr>
          <w:b/>
          <w:bCs/>
          <w:sz w:val="22"/>
        </w:rPr>
        <w:tab/>
        <w:t xml:space="preserve">Justify </w:t>
      </w:r>
      <w:r w:rsidR="00CF67E7">
        <w:rPr>
          <w:b/>
          <w:bCs/>
          <w:sz w:val="22"/>
        </w:rPr>
        <w:t>questions of a sensitive nature, su</w:t>
      </w:r>
      <w:r>
        <w:rPr>
          <w:b/>
          <w:bCs/>
          <w:sz w:val="22"/>
        </w:rPr>
        <w:t>ch as sexual, religious beliefs</w:t>
      </w:r>
      <w:r w:rsidR="00CF67E7">
        <w:rPr>
          <w:b/>
          <w:bCs/>
          <w:sz w:val="22"/>
        </w:rPr>
        <w:t xml:space="preserve"> and other matters that are commonly considered private. </w:t>
      </w:r>
      <w:r w:rsidR="007A1FE8">
        <w:rPr>
          <w:sz w:val="22"/>
        </w:rPr>
        <w:t xml:space="preserve"> </w:t>
      </w:r>
      <w:r w:rsidR="00CF67E7">
        <w:rPr>
          <w:sz w:val="22"/>
        </w:rPr>
        <w:t xml:space="preserve">The information collected does not contain questions of a sensitive nature.  </w:t>
      </w:r>
    </w:p>
    <w:p w:rsidR="00CF67E7" w:rsidRDefault="00CF67E7" w:rsidP="00CF67E7">
      <w:pPr>
        <w:pStyle w:val="BodyTextIndent"/>
        <w:ind w:left="480" w:hanging="480"/>
        <w:rPr>
          <w:b/>
          <w:bCs/>
          <w:sz w:val="22"/>
        </w:rPr>
      </w:pPr>
    </w:p>
    <w:p w:rsidR="00CF67E7" w:rsidRDefault="00CF67E7" w:rsidP="00CF67E7">
      <w:pPr>
        <w:pStyle w:val="BodyTextIndent"/>
        <w:ind w:left="480" w:hanging="480"/>
        <w:rPr>
          <w:b/>
          <w:bCs/>
          <w:sz w:val="22"/>
        </w:rPr>
      </w:pPr>
      <w:r w:rsidRPr="0049547A">
        <w:rPr>
          <w:b/>
          <w:bCs/>
          <w:sz w:val="22"/>
        </w:rPr>
        <w:t>12.</w:t>
      </w:r>
      <w:r w:rsidRPr="0049547A">
        <w:rPr>
          <w:b/>
          <w:bCs/>
          <w:sz w:val="22"/>
        </w:rPr>
        <w:tab/>
      </w:r>
      <w:r w:rsidRPr="002D4413">
        <w:rPr>
          <w:b/>
          <w:bCs/>
          <w:sz w:val="22"/>
        </w:rPr>
        <w:t xml:space="preserve">Annual Reporting Burden </w:t>
      </w:r>
    </w:p>
    <w:p w:rsidR="00F15894" w:rsidRPr="002D4413" w:rsidRDefault="00F15894" w:rsidP="00CF67E7">
      <w:pPr>
        <w:pStyle w:val="BodyTextIndent"/>
        <w:ind w:left="480" w:hanging="480"/>
        <w:rPr>
          <w:sz w:val="22"/>
        </w:rPr>
      </w:pPr>
    </w:p>
    <w:p w:rsidR="00020329" w:rsidRDefault="00020329" w:rsidP="001D473D">
      <w:pPr>
        <w:pStyle w:val="BodyTextIndent"/>
        <w:ind w:left="480" w:firstLine="0"/>
        <w:rPr>
          <w:sz w:val="22"/>
        </w:rPr>
      </w:pPr>
      <w:r w:rsidRPr="002D4413">
        <w:rPr>
          <w:sz w:val="22"/>
        </w:rPr>
        <w:t xml:space="preserve">The previous reported burden </w:t>
      </w:r>
      <w:r w:rsidR="000E464C" w:rsidRPr="002D4413">
        <w:rPr>
          <w:sz w:val="22"/>
        </w:rPr>
        <w:t xml:space="preserve">hours for </w:t>
      </w:r>
      <w:r w:rsidR="002E34DC">
        <w:rPr>
          <w:sz w:val="22"/>
        </w:rPr>
        <w:t xml:space="preserve">Financial Form </w:t>
      </w:r>
      <w:r w:rsidR="000A7878">
        <w:rPr>
          <w:sz w:val="22"/>
        </w:rPr>
        <w:t xml:space="preserve">HUD </w:t>
      </w:r>
      <w:r w:rsidR="002E34DC">
        <w:rPr>
          <w:sz w:val="22"/>
        </w:rPr>
        <w:t>52681-B (</w:t>
      </w:r>
      <w:r w:rsidR="000E464C" w:rsidRPr="002D4413">
        <w:rPr>
          <w:sz w:val="22"/>
        </w:rPr>
        <w:t>VMS</w:t>
      </w:r>
      <w:r w:rsidR="002E34DC">
        <w:rPr>
          <w:sz w:val="22"/>
        </w:rPr>
        <w:t>)</w:t>
      </w:r>
      <w:r w:rsidR="000E464C" w:rsidRPr="002D4413">
        <w:rPr>
          <w:sz w:val="22"/>
        </w:rPr>
        <w:t xml:space="preserve"> </w:t>
      </w:r>
      <w:r w:rsidRPr="002D4413">
        <w:rPr>
          <w:sz w:val="22"/>
        </w:rPr>
        <w:t>w</w:t>
      </w:r>
      <w:r w:rsidR="002D4413">
        <w:rPr>
          <w:sz w:val="22"/>
        </w:rPr>
        <w:t>ere</w:t>
      </w:r>
      <w:r w:rsidRPr="002D4413">
        <w:rPr>
          <w:sz w:val="22"/>
        </w:rPr>
        <w:t xml:space="preserve"> based on 1.5 hours per response; </w:t>
      </w:r>
      <w:proofErr w:type="gramStart"/>
      <w:r w:rsidRPr="002D4413">
        <w:rPr>
          <w:sz w:val="22"/>
        </w:rPr>
        <w:t>based</w:t>
      </w:r>
      <w:proofErr w:type="gramEnd"/>
      <w:r w:rsidRPr="002D4413">
        <w:rPr>
          <w:sz w:val="22"/>
        </w:rPr>
        <w:t xml:space="preserve"> on industry and staff </w:t>
      </w:r>
      <w:r w:rsidR="006D069C" w:rsidRPr="002D4413">
        <w:rPr>
          <w:sz w:val="22"/>
        </w:rPr>
        <w:t xml:space="preserve"> </w:t>
      </w:r>
      <w:r w:rsidRPr="002D4413">
        <w:rPr>
          <w:sz w:val="22"/>
        </w:rPr>
        <w:t>review, the burden hours is revised to 2 hours per response.</w:t>
      </w:r>
    </w:p>
    <w:p w:rsidR="001D473D" w:rsidRDefault="00D4555C" w:rsidP="001D473D">
      <w:pPr>
        <w:pStyle w:val="BodyTextIndent"/>
        <w:ind w:left="480" w:firstLine="0"/>
      </w:pPr>
      <w:r>
        <w:rPr>
          <w:sz w:val="22"/>
        </w:rPr>
        <w:t xml:space="preserve">  </w:t>
      </w:r>
    </w:p>
    <w:tbl>
      <w:tblPr>
        <w:tblW w:w="8785" w:type="dxa"/>
        <w:tblInd w:w="108" w:type="dxa"/>
        <w:tblLook w:val="04A0"/>
      </w:tblPr>
      <w:tblGrid>
        <w:gridCol w:w="8905"/>
      </w:tblGrid>
      <w:tr w:rsidR="006D069C" w:rsidRPr="006D069C" w:rsidTr="006D069C">
        <w:trPr>
          <w:trHeight w:val="702"/>
        </w:trPr>
        <w:tc>
          <w:tcPr>
            <w:tcW w:w="1757" w:type="dxa"/>
            <w:tcBorders>
              <w:top w:val="nil"/>
              <w:left w:val="nil"/>
              <w:bottom w:val="nil"/>
              <w:right w:val="nil"/>
            </w:tcBorders>
            <w:shd w:val="clear" w:color="auto" w:fill="auto"/>
            <w:hideMark/>
          </w:tcPr>
          <w:p w:rsidR="006D069C" w:rsidRPr="006D069C" w:rsidRDefault="006D069C" w:rsidP="006D069C">
            <w:pPr>
              <w:overflowPunct/>
              <w:autoSpaceDE/>
              <w:autoSpaceDN/>
              <w:adjustRightInd/>
              <w:textAlignment w:val="auto"/>
              <w:rPr>
                <w:rFonts w:ascii="Helvetica" w:hAnsi="Helvetica" w:cs="Helvetica"/>
                <w:sz w:val="18"/>
                <w:szCs w:val="18"/>
              </w:rPr>
            </w:pPr>
          </w:p>
          <w:tbl>
            <w:tblPr>
              <w:tblW w:w="8689" w:type="dxa"/>
              <w:tblLook w:val="04A0"/>
            </w:tblPr>
            <w:tblGrid>
              <w:gridCol w:w="1757"/>
              <w:gridCol w:w="1277"/>
              <w:gridCol w:w="1187"/>
              <w:gridCol w:w="1117"/>
              <w:gridCol w:w="1027"/>
              <w:gridCol w:w="1017"/>
              <w:gridCol w:w="1307"/>
            </w:tblGrid>
            <w:tr w:rsidR="006D069C" w:rsidRPr="006D069C" w:rsidTr="00E3565B">
              <w:trPr>
                <w:trHeight w:val="702"/>
              </w:trPr>
              <w:tc>
                <w:tcPr>
                  <w:tcW w:w="1757" w:type="dxa"/>
                  <w:tcBorders>
                    <w:top w:val="nil"/>
                    <w:left w:val="nil"/>
                    <w:bottom w:val="nil"/>
                    <w:right w:val="nil"/>
                  </w:tcBorders>
                  <w:shd w:val="clear" w:color="auto" w:fill="auto"/>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Description</w:t>
                  </w:r>
                </w:p>
              </w:tc>
              <w:tc>
                <w:tcPr>
                  <w:tcW w:w="127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Number of Respondents</w:t>
                  </w:r>
                </w:p>
              </w:tc>
              <w:tc>
                <w:tcPr>
                  <w:tcW w:w="118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Responses per Respondent</w:t>
                  </w:r>
                </w:p>
              </w:tc>
              <w:tc>
                <w:tcPr>
                  <w:tcW w:w="111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Total Annual Responses</w:t>
                  </w:r>
                </w:p>
              </w:tc>
              <w:tc>
                <w:tcPr>
                  <w:tcW w:w="102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Hours per Response</w:t>
                  </w:r>
                </w:p>
              </w:tc>
              <w:tc>
                <w:tcPr>
                  <w:tcW w:w="101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Total Hours</w:t>
                  </w:r>
                </w:p>
              </w:tc>
              <w:tc>
                <w:tcPr>
                  <w:tcW w:w="1307" w:type="dxa"/>
                  <w:tcBorders>
                    <w:top w:val="nil"/>
                    <w:left w:val="nil"/>
                    <w:bottom w:val="nil"/>
                    <w:right w:val="nil"/>
                  </w:tcBorders>
                  <w:shd w:val="clear" w:color="auto" w:fill="auto"/>
                  <w:hideMark/>
                </w:tcPr>
                <w:p w:rsidR="006D069C" w:rsidRPr="006D069C" w:rsidRDefault="006D069C" w:rsidP="006D069C">
                  <w:pPr>
                    <w:overflowPunct/>
                    <w:autoSpaceDE/>
                    <w:autoSpaceDN/>
                    <w:adjustRightInd/>
                    <w:jc w:val="center"/>
                    <w:textAlignment w:val="auto"/>
                    <w:rPr>
                      <w:rFonts w:ascii="Helvetica" w:hAnsi="Helvetica" w:cs="Helvetica"/>
                      <w:sz w:val="18"/>
                      <w:szCs w:val="18"/>
                    </w:rPr>
                  </w:pPr>
                  <w:r w:rsidRPr="006D069C">
                    <w:rPr>
                      <w:rFonts w:ascii="Helvetica" w:hAnsi="Helvetica" w:cs="Helvetica"/>
                      <w:sz w:val="18"/>
                      <w:szCs w:val="18"/>
                    </w:rPr>
                    <w:t>Regulatory Reference</w:t>
                  </w:r>
                </w:p>
              </w:tc>
            </w:tr>
            <w:tr w:rsidR="006D069C" w:rsidRPr="006D069C" w:rsidTr="00E3565B">
              <w:trPr>
                <w:trHeight w:val="60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Application  (HUD –52515)</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Application for Federal Assistance (SF-424)</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0.75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750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Applicant/Recipient Disclosure/Update Report (HUD-2880)</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1002"/>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Acknowledgement of Application Receipt (HUD-2993)</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120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Third Party Documentation Facsimile Transmittal (HUD-96011)</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1002"/>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lastRenderedPageBreak/>
                    <w:t>Certification of Consistency with the Consolidated Plan (HUD-2991)</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Disclosure of Lobbying Activities (SF-LLL)</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0.17</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85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982.103</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Tenant-Furnished Utilities (HUD-52667)</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2,250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982.517</w:t>
                  </w:r>
                </w:p>
              </w:tc>
            </w:tr>
            <w:tr w:rsidR="006D069C" w:rsidRPr="006D069C" w:rsidTr="00E3565B">
              <w:trPr>
                <w:trHeight w:val="48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Inspection Form (HUD-52580)</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200</w:t>
                  </w:r>
                </w:p>
              </w:tc>
              <w:tc>
                <w:tcPr>
                  <w:tcW w:w="1117" w:type="dxa"/>
                  <w:tcBorders>
                    <w:top w:val="nil"/>
                    <w:left w:val="nil"/>
                    <w:bottom w:val="nil"/>
                    <w:right w:val="nil"/>
                  </w:tcBorders>
                  <w:shd w:val="clear" w:color="auto" w:fill="auto"/>
                  <w:vAlign w:val="bottom"/>
                  <w:hideMark/>
                </w:tcPr>
                <w:p w:rsidR="006D069C" w:rsidRPr="006D069C" w:rsidRDefault="00E3565B" w:rsidP="006D069C">
                  <w:pPr>
                    <w:overflowPunct/>
                    <w:autoSpaceDE/>
                    <w:autoSpaceDN/>
                    <w:adjustRightInd/>
                    <w:jc w:val="right"/>
                    <w:textAlignment w:val="auto"/>
                    <w:rPr>
                      <w:rFonts w:ascii="Helvetica" w:hAnsi="Helvetica" w:cs="Helvetica"/>
                      <w:sz w:val="18"/>
                      <w:szCs w:val="18"/>
                    </w:rPr>
                  </w:pPr>
                  <w:r>
                    <w:rPr>
                      <w:rFonts w:ascii="Helvetica" w:hAnsi="Helvetica" w:cs="Helvetica"/>
                      <w:sz w:val="18"/>
                      <w:szCs w:val="18"/>
                    </w:rPr>
                    <w:t>490,000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E3565B" w:rsidP="006D069C">
                  <w:pPr>
                    <w:overflowPunct/>
                    <w:autoSpaceDE/>
                    <w:autoSpaceDN/>
                    <w:adjustRightInd/>
                    <w:jc w:val="right"/>
                    <w:textAlignment w:val="auto"/>
                    <w:rPr>
                      <w:rFonts w:ascii="Helvetica" w:hAnsi="Helvetica" w:cs="Helvetica"/>
                      <w:sz w:val="18"/>
                      <w:szCs w:val="18"/>
                    </w:rPr>
                  </w:pPr>
                  <w:r>
                    <w:rPr>
                      <w:rFonts w:ascii="Helvetica" w:hAnsi="Helvetica" w:cs="Helvetica"/>
                      <w:sz w:val="18"/>
                      <w:szCs w:val="18"/>
                    </w:rPr>
                    <w:t>245</w:t>
                  </w:r>
                  <w:r w:rsidR="006D069C" w:rsidRPr="006D069C">
                    <w:rPr>
                      <w:rFonts w:ascii="Helvetica" w:hAnsi="Helvetica" w:cs="Helvetica"/>
                      <w:sz w:val="18"/>
                      <w:szCs w:val="18"/>
                    </w:rPr>
                    <w:t>,000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982.401</w:t>
                  </w:r>
                </w:p>
              </w:tc>
            </w:tr>
            <w:tr w:rsidR="006D069C" w:rsidRPr="006D069C" w:rsidTr="00E3565B">
              <w:trPr>
                <w:trHeight w:val="48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Inspection Form (HUD-52580-A)</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600</w:t>
                  </w:r>
                </w:p>
              </w:tc>
              <w:tc>
                <w:tcPr>
                  <w:tcW w:w="1117" w:type="dxa"/>
                  <w:tcBorders>
                    <w:top w:val="nil"/>
                    <w:left w:val="nil"/>
                    <w:bottom w:val="nil"/>
                    <w:right w:val="nil"/>
                  </w:tcBorders>
                  <w:shd w:val="clear" w:color="auto" w:fill="auto"/>
                  <w:vAlign w:val="bottom"/>
                  <w:hideMark/>
                </w:tcPr>
                <w:p w:rsidR="006D069C" w:rsidRPr="006D069C" w:rsidRDefault="00E3565B" w:rsidP="006D069C">
                  <w:pPr>
                    <w:overflowPunct/>
                    <w:autoSpaceDE/>
                    <w:autoSpaceDN/>
                    <w:adjustRightInd/>
                    <w:jc w:val="right"/>
                    <w:textAlignment w:val="auto"/>
                    <w:rPr>
                      <w:rFonts w:ascii="Helvetica" w:hAnsi="Helvetica" w:cs="Helvetica"/>
                      <w:sz w:val="18"/>
                      <w:szCs w:val="18"/>
                    </w:rPr>
                  </w:pPr>
                  <w:r>
                    <w:rPr>
                      <w:rFonts w:ascii="Helvetica" w:hAnsi="Helvetica" w:cs="Helvetica"/>
                      <w:sz w:val="18"/>
                      <w:szCs w:val="18"/>
                    </w:rPr>
                    <w:t>1,470,000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E3565B" w:rsidP="006D069C">
                  <w:pPr>
                    <w:overflowPunct/>
                    <w:autoSpaceDE/>
                    <w:autoSpaceDN/>
                    <w:adjustRightInd/>
                    <w:jc w:val="right"/>
                    <w:textAlignment w:val="auto"/>
                    <w:rPr>
                      <w:rFonts w:ascii="Helvetica" w:hAnsi="Helvetica" w:cs="Helvetica"/>
                      <w:sz w:val="18"/>
                      <w:szCs w:val="18"/>
                    </w:rPr>
                  </w:pPr>
                  <w:r>
                    <w:rPr>
                      <w:rFonts w:ascii="Helvetica" w:hAnsi="Helvetica" w:cs="Helvetica"/>
                      <w:sz w:val="18"/>
                      <w:szCs w:val="18"/>
                    </w:rPr>
                    <w:t>735,000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982.401</w:t>
                  </w:r>
                </w:p>
              </w:tc>
            </w:tr>
            <w:tr w:rsidR="006D069C" w:rsidRPr="006D069C" w:rsidTr="00E3565B">
              <w:trPr>
                <w:trHeight w:val="600"/>
              </w:trPr>
              <w:tc>
                <w:tcPr>
                  <w:tcW w:w="1757" w:type="dxa"/>
                  <w:tcBorders>
                    <w:top w:val="nil"/>
                    <w:left w:val="nil"/>
                    <w:bottom w:val="nil"/>
                    <w:right w:val="nil"/>
                  </w:tcBorders>
                  <w:shd w:val="clear" w:color="auto" w:fill="auto"/>
                  <w:vAlign w:val="bottom"/>
                  <w:hideMark/>
                </w:tcPr>
                <w:p w:rsidR="006D069C" w:rsidRPr="00551F77" w:rsidRDefault="006D069C" w:rsidP="006D069C">
                  <w:pPr>
                    <w:overflowPunct/>
                    <w:autoSpaceDE/>
                    <w:autoSpaceDN/>
                    <w:adjustRightInd/>
                    <w:textAlignment w:val="auto"/>
                    <w:rPr>
                      <w:rFonts w:ascii="Helvetica" w:hAnsi="Helvetica" w:cs="Helvetica"/>
                      <w:sz w:val="18"/>
                      <w:szCs w:val="18"/>
                    </w:rPr>
                  </w:pPr>
                  <w:r w:rsidRPr="00551F77">
                    <w:rPr>
                      <w:rFonts w:ascii="Helvetica" w:hAnsi="Helvetica" w:cs="Helvetica"/>
                      <w:sz w:val="18"/>
                      <w:szCs w:val="18"/>
                    </w:rPr>
                    <w:t>Financial Forms  (HUD- 52681-B)</w:t>
                  </w:r>
                </w:p>
              </w:tc>
              <w:tc>
                <w:tcPr>
                  <w:tcW w:w="1277" w:type="dxa"/>
                  <w:tcBorders>
                    <w:top w:val="nil"/>
                    <w:left w:val="nil"/>
                    <w:bottom w:val="nil"/>
                    <w:right w:val="nil"/>
                  </w:tcBorders>
                  <w:shd w:val="clear" w:color="auto" w:fill="auto"/>
                  <w:vAlign w:val="bottom"/>
                  <w:hideMark/>
                </w:tcPr>
                <w:p w:rsidR="006D069C" w:rsidRPr="00551F77" w:rsidRDefault="006D069C"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551F77" w:rsidRDefault="006D069C"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12</w:t>
                  </w:r>
                </w:p>
              </w:tc>
              <w:tc>
                <w:tcPr>
                  <w:tcW w:w="1117" w:type="dxa"/>
                  <w:tcBorders>
                    <w:top w:val="nil"/>
                    <w:left w:val="nil"/>
                    <w:bottom w:val="nil"/>
                    <w:right w:val="nil"/>
                  </w:tcBorders>
                  <w:shd w:val="clear" w:color="auto" w:fill="auto"/>
                  <w:vAlign w:val="bottom"/>
                  <w:hideMark/>
                </w:tcPr>
                <w:p w:rsidR="006D069C" w:rsidRPr="00551F77" w:rsidRDefault="006D069C"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29,400</w:t>
                  </w:r>
                </w:p>
              </w:tc>
              <w:tc>
                <w:tcPr>
                  <w:tcW w:w="1027" w:type="dxa"/>
                  <w:tcBorders>
                    <w:top w:val="nil"/>
                    <w:left w:val="nil"/>
                    <w:bottom w:val="nil"/>
                    <w:right w:val="nil"/>
                  </w:tcBorders>
                  <w:shd w:val="clear" w:color="auto" w:fill="auto"/>
                  <w:vAlign w:val="bottom"/>
                  <w:hideMark/>
                </w:tcPr>
                <w:p w:rsidR="006D069C" w:rsidRPr="00551F77" w:rsidRDefault="00551F77"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2</w:t>
                  </w:r>
                </w:p>
              </w:tc>
              <w:tc>
                <w:tcPr>
                  <w:tcW w:w="1017" w:type="dxa"/>
                  <w:tcBorders>
                    <w:top w:val="nil"/>
                    <w:left w:val="nil"/>
                    <w:bottom w:val="nil"/>
                    <w:right w:val="nil"/>
                  </w:tcBorders>
                  <w:shd w:val="clear" w:color="auto" w:fill="auto"/>
                  <w:vAlign w:val="bottom"/>
                  <w:hideMark/>
                </w:tcPr>
                <w:p w:rsidR="006D069C" w:rsidRPr="00551F77" w:rsidRDefault="00551F77"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58,800</w:t>
                  </w:r>
                </w:p>
              </w:tc>
              <w:tc>
                <w:tcPr>
                  <w:tcW w:w="1307" w:type="dxa"/>
                  <w:tcBorders>
                    <w:top w:val="nil"/>
                    <w:left w:val="nil"/>
                    <w:bottom w:val="nil"/>
                    <w:right w:val="nil"/>
                  </w:tcBorders>
                  <w:shd w:val="clear" w:color="auto" w:fill="auto"/>
                  <w:vAlign w:val="bottom"/>
                  <w:hideMark/>
                </w:tcPr>
                <w:p w:rsidR="006D069C" w:rsidRPr="00551F77" w:rsidRDefault="006D069C" w:rsidP="006D069C">
                  <w:pPr>
                    <w:overflowPunct/>
                    <w:autoSpaceDE/>
                    <w:autoSpaceDN/>
                    <w:adjustRightInd/>
                    <w:jc w:val="right"/>
                    <w:textAlignment w:val="auto"/>
                    <w:rPr>
                      <w:rFonts w:ascii="Helvetica" w:hAnsi="Helvetica" w:cs="Helvetica"/>
                      <w:sz w:val="18"/>
                      <w:szCs w:val="18"/>
                    </w:rPr>
                  </w:pPr>
                  <w:r w:rsidRPr="00551F77">
                    <w:rPr>
                      <w:rFonts w:ascii="Helvetica" w:hAnsi="Helvetica" w:cs="Helvetica"/>
                      <w:sz w:val="18"/>
                      <w:szCs w:val="18"/>
                    </w:rPr>
                    <w:t>982.157, 982.158</w:t>
                  </w:r>
                </w:p>
              </w:tc>
            </w:tr>
            <w:tr w:rsidR="006D069C" w:rsidRPr="006D069C" w:rsidTr="00E3565B">
              <w:trPr>
                <w:trHeight w:val="702"/>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Financial Forms  (HUD- 52672)</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190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190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285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982.157, 982.158</w:t>
                  </w:r>
                </w:p>
              </w:tc>
            </w:tr>
            <w:tr w:rsidR="006D069C" w:rsidRPr="006D069C" w:rsidTr="00E3565B">
              <w:trPr>
                <w:trHeight w:val="702"/>
              </w:trPr>
              <w:tc>
                <w:tcPr>
                  <w:tcW w:w="1757"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541"/>
                  </w:tblGrid>
                  <w:tr w:rsidR="006D069C" w:rsidRPr="006D069C" w:rsidTr="005A4570">
                    <w:trPr>
                      <w:trHeight w:val="702"/>
                      <w:tblCellSpacing w:w="0" w:type="dxa"/>
                    </w:trPr>
                    <w:tc>
                      <w:tcPr>
                        <w:tcW w:w="1541"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Pr>
                            <w:rFonts w:ascii="Arial" w:hAnsi="Arial" w:cs="Arial"/>
                            <w:noProof/>
                          </w:rPr>
                          <w:drawing>
                            <wp:anchor distT="0" distB="0" distL="114300" distR="114300" simplePos="0" relativeHeight="251658240" behindDoc="0" locked="0" layoutInCell="1" allowOverlap="1">
                              <wp:simplePos x="0" y="0"/>
                              <wp:positionH relativeFrom="column">
                                <wp:posOffset>66675</wp:posOffset>
                              </wp:positionH>
                              <wp:positionV relativeFrom="paragraph">
                                <wp:posOffset>190500</wp:posOffset>
                              </wp:positionV>
                              <wp:extent cx="76200" cy="123825"/>
                              <wp:effectExtent l="0" t="0" r="0" b="0"/>
                              <wp:wrapNone/>
                              <wp:docPr id="3" name="TextBox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79375" y="6484938"/>
                                        <a:ext cx="45719" cy="45719"/>
                                        <a:chOff x="79375" y="6484938"/>
                                        <a:chExt cx="45719" cy="45719"/>
                                      </a:xfrm>
                                    </a:grpSpPr>
                                    <a:sp>
                                      <a:nvSpPr>
                                        <a:cNvPr id="2" name="TextBox 1"/>
                                        <a:cNvSpPr txBox="1"/>
                                      </a:nvSpPr>
                                      <a:spPr>
                                        <a:xfrm>
                                          <a:off x="79375" y="6484938"/>
                                          <a:ext cx="45719" cy="45719"/>
                                        </a:xfrm>
                                        <a:prstGeom prst="rect">
                                          <a:avLst/>
                                        </a:prstGeom>
                                        <a:solidFill>
                                          <a:schemeClr val="lt1"/>
                                        </a:solidFill>
                                        <a:ln w="9525" cmpd="sng">
                                          <a:solidFill>
                                            <a:schemeClr val="lt1">
                                              <a:shade val="50000"/>
                                            </a:schemeClr>
                                          </a:solidFill>
                                        </a:ln>
                                      </a:spPr>
                                      <a:txSp>
                                        <a:txBody>
                                          <a:bodyPr wrap="square" rtlCol="0" anchor="t"/>
                                          <a:lstStyle>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a:endParaRPr lang="en-US" sz="1100"/>
                                          </a:p>
                                        </a:txBody>
                                        <a:useSpRect/>
                                      </a:txSp>
                                      <a:style>
                                        <a:lnRef idx="0">
                                          <a:scrgbClr r="0" g="0" b="0"/>
                                        </a:lnRef>
                                        <a:fillRef idx="0">
                                          <a:scrgbClr r="0" g="0" b="0"/>
                                        </a:fillRef>
                                        <a:effectRef idx="0">
                                          <a:scrgbClr r="0" g="0" b="0"/>
                                        </a:effectRef>
                                        <a:fontRef idx="minor">
                                          <a:schemeClr val="dk1"/>
                                        </a:fontRef>
                                      </a:style>
                                    </a:sp>
                                  </lc:lockedCanvas>
                                </a:graphicData>
                              </a:graphic>
                            </wp:anchor>
                          </w:drawing>
                        </w:r>
                        <w:r w:rsidRPr="006D069C">
                          <w:rPr>
                            <w:rFonts w:ascii="Helvetica" w:hAnsi="Helvetica" w:cs="Helvetica"/>
                            <w:sz w:val="18"/>
                            <w:szCs w:val="18"/>
                          </w:rPr>
                          <w:t>Financial Form (HUD-52681</w:t>
                        </w:r>
                      </w:p>
                    </w:tc>
                  </w:tr>
                </w:tbl>
                <w:p w:rsidR="006D069C" w:rsidRPr="006D069C" w:rsidRDefault="006D069C" w:rsidP="006D069C">
                  <w:pPr>
                    <w:overflowPunct/>
                    <w:autoSpaceDE/>
                    <w:autoSpaceDN/>
                    <w:adjustRightInd/>
                    <w:textAlignment w:val="auto"/>
                    <w:rPr>
                      <w:rFonts w:ascii="Arial" w:hAnsi="Arial" w:cs="Arial"/>
                    </w:rPr>
                  </w:pP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190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190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285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982.157, 982.158</w:t>
                  </w:r>
                </w:p>
              </w:tc>
            </w:tr>
            <w:tr w:rsidR="006D069C" w:rsidRPr="006D069C" w:rsidTr="00E3565B">
              <w:trPr>
                <w:trHeight w:val="78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Request for Tenancy Approval (HUD-52517)</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0.08</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19,600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982.302</w:t>
                  </w:r>
                </w:p>
              </w:tc>
            </w:tr>
            <w:tr w:rsidR="006D069C" w:rsidRPr="006D069C" w:rsidTr="00E3565B">
              <w:trPr>
                <w:trHeight w:val="60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Voucher (HUD-52646)</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12,250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982.305</w:t>
                  </w:r>
                </w:p>
              </w:tc>
            </w:tr>
            <w:tr w:rsidR="006D069C" w:rsidRPr="006D069C" w:rsidTr="00E3565B">
              <w:trPr>
                <w:trHeight w:val="60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PHA Information to Owner</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12,250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982.307</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Portability Information (HUD-52665)</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49,000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982.355</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HAP Contracts (HUD-52641, 52641-A, 52642, 52642-A)</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122,500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982.451</w:t>
                  </w:r>
                </w:p>
              </w:tc>
            </w:tr>
            <w:tr w:rsidR="006D069C" w:rsidRPr="006D069C" w:rsidTr="00E3565B">
              <w:trPr>
                <w:trHeight w:val="103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Statement of Homeowner Obligation (HUD-52649)</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625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982.625</w:t>
                  </w:r>
                </w:p>
              </w:tc>
            </w:tr>
            <w:tr w:rsidR="006D069C" w:rsidRPr="006D069C" w:rsidTr="00E3565B">
              <w:trPr>
                <w:trHeight w:val="90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Program and Accounting Recordkeeping</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2,450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1,225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982.158</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Field Office Notification of Voucher Transfers</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982.151</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Receiving PHA Notice to Owners of HCV Transfer</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143</w:t>
                  </w:r>
                </w:p>
              </w:tc>
              <w:tc>
                <w:tcPr>
                  <w:tcW w:w="1117" w:type="dxa"/>
                  <w:tcBorders>
                    <w:top w:val="nil"/>
                    <w:left w:val="nil"/>
                    <w:bottom w:val="nil"/>
                    <w:right w:val="nil"/>
                  </w:tcBorders>
                  <w:shd w:val="clear" w:color="auto" w:fill="auto"/>
                  <w:vAlign w:val="bottom"/>
                  <w:hideMark/>
                </w:tcPr>
                <w:p w:rsidR="006D069C" w:rsidRPr="006D069C" w:rsidRDefault="006D069C" w:rsidP="007C5FB1">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r w:rsidR="007C5FB1">
                    <w:rPr>
                      <w:rFonts w:ascii="Helvetica" w:hAnsi="Helvetica" w:cs="Helvetica"/>
                      <w:sz w:val="18"/>
                      <w:szCs w:val="18"/>
                    </w:rPr>
                    <w:t>430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286</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982.151</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Receiving PHA Notice to Families of HCV Transfer</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143</w:t>
                  </w:r>
                </w:p>
              </w:tc>
              <w:tc>
                <w:tcPr>
                  <w:tcW w:w="1117" w:type="dxa"/>
                  <w:tcBorders>
                    <w:top w:val="nil"/>
                    <w:left w:val="nil"/>
                    <w:bottom w:val="nil"/>
                    <w:right w:val="nil"/>
                  </w:tcBorders>
                  <w:shd w:val="clear" w:color="auto" w:fill="auto"/>
                  <w:vAlign w:val="bottom"/>
                  <w:hideMark/>
                </w:tcPr>
                <w:p w:rsidR="006D069C" w:rsidRPr="006D069C" w:rsidRDefault="006D069C" w:rsidP="007C5FB1">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r w:rsidR="007C5FB1">
                    <w:rPr>
                      <w:rFonts w:ascii="Helvetica" w:hAnsi="Helvetica" w:cs="Helvetica"/>
                      <w:sz w:val="18"/>
                      <w:szCs w:val="18"/>
                    </w:rPr>
                    <w:t>430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286</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982.151</w:t>
                  </w:r>
                </w:p>
              </w:tc>
            </w:tr>
            <w:tr w:rsidR="006D069C" w:rsidRPr="006D069C" w:rsidTr="00E3565B">
              <w:trPr>
                <w:trHeight w:val="799"/>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Homeownership:  Required Contract of Sale Provisions</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625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982.631(c)(2)</w:t>
                  </w:r>
                </w:p>
              </w:tc>
            </w:tr>
            <w:tr w:rsidR="006D069C" w:rsidRPr="006D069C" w:rsidTr="00E3565B">
              <w:trPr>
                <w:trHeight w:val="96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lastRenderedPageBreak/>
                    <w:t>Renewal funding plans from disaster and receivership PHAs</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38</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38</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38</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982.102</w:t>
                  </w:r>
                </w:p>
              </w:tc>
            </w:tr>
            <w:tr w:rsidR="006D069C" w:rsidRPr="006D069C" w:rsidTr="00E3565B">
              <w:trPr>
                <w:trHeight w:val="96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Renewal funding of set-aside for unforeseen circumstances</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200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982.102</w:t>
                  </w:r>
                </w:p>
              </w:tc>
            </w:tr>
            <w:tr w:rsidR="006D069C" w:rsidRPr="006D069C" w:rsidTr="00E3565B">
              <w:trPr>
                <w:trHeight w:val="72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Renewal funding of set-aside for re-benchmarking</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600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600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982.102</w:t>
                  </w:r>
                </w:p>
              </w:tc>
            </w:tr>
            <w:tr w:rsidR="006D069C" w:rsidRPr="006D069C" w:rsidTr="00E3565B">
              <w:trPr>
                <w:trHeight w:val="48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PHA PBV Public Notice</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3</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150</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983.51(c)</w:t>
                  </w:r>
                </w:p>
              </w:tc>
            </w:tr>
            <w:tr w:rsidR="006D069C" w:rsidRPr="006D069C" w:rsidTr="00E3565B">
              <w:trPr>
                <w:trHeight w:val="48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PHA PBV Notice of Owner Selection</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983.51(c)</w:t>
                  </w:r>
                </w:p>
              </w:tc>
            </w:tr>
            <w:tr w:rsidR="006D069C" w:rsidRPr="006D069C" w:rsidTr="00E3565B">
              <w:trPr>
                <w:trHeight w:val="96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PBV Agreement to enter into a HAP Contract (HUD-52531A and B)</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0.8</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40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307" w:type="dxa"/>
                  <w:tcBorders>
                    <w:top w:val="nil"/>
                    <w:left w:val="nil"/>
                    <w:bottom w:val="nil"/>
                    <w:right w:val="nil"/>
                  </w:tcBorders>
                  <w:shd w:val="clear" w:color="auto" w:fill="auto"/>
                  <w:noWrap/>
                  <w:vAlign w:val="bottom"/>
                  <w:hideMark/>
                </w:tcPr>
                <w:p w:rsidR="006D069C" w:rsidRPr="006D069C" w:rsidRDefault="006D069C" w:rsidP="006D069C">
                  <w:pPr>
                    <w:overflowPunct/>
                    <w:autoSpaceDE/>
                    <w:autoSpaceDN/>
                    <w:adjustRightInd/>
                    <w:jc w:val="right"/>
                    <w:textAlignment w:val="auto"/>
                    <w:rPr>
                      <w:rFonts w:ascii="Arial" w:hAnsi="Arial" w:cs="Arial"/>
                      <w:sz w:val="18"/>
                      <w:szCs w:val="18"/>
                    </w:rPr>
                  </w:pPr>
                  <w:r w:rsidRPr="006D069C">
                    <w:rPr>
                      <w:rFonts w:ascii="Arial" w:hAnsi="Arial" w:cs="Arial"/>
                      <w:sz w:val="18"/>
                      <w:szCs w:val="18"/>
                    </w:rPr>
                    <w:t>983.152</w:t>
                  </w:r>
                </w:p>
              </w:tc>
            </w:tr>
            <w:tr w:rsidR="006D069C" w:rsidRPr="006D069C" w:rsidTr="00E3565B">
              <w:trPr>
                <w:trHeight w:val="72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PBV NC/SR HAP Contract (HUD-52530A)</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0.8</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40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307" w:type="dxa"/>
                  <w:tcBorders>
                    <w:top w:val="nil"/>
                    <w:left w:val="nil"/>
                    <w:bottom w:val="nil"/>
                    <w:right w:val="nil"/>
                  </w:tcBorders>
                  <w:shd w:val="clear" w:color="auto" w:fill="auto"/>
                  <w:noWrap/>
                  <w:vAlign w:val="bottom"/>
                  <w:hideMark/>
                </w:tcPr>
                <w:p w:rsidR="006D069C" w:rsidRPr="006D069C" w:rsidRDefault="006D069C" w:rsidP="006D069C">
                  <w:pPr>
                    <w:overflowPunct/>
                    <w:autoSpaceDE/>
                    <w:autoSpaceDN/>
                    <w:adjustRightInd/>
                    <w:jc w:val="right"/>
                    <w:textAlignment w:val="auto"/>
                    <w:rPr>
                      <w:rFonts w:ascii="Arial" w:hAnsi="Arial" w:cs="Arial"/>
                      <w:sz w:val="18"/>
                      <w:szCs w:val="18"/>
                    </w:rPr>
                  </w:pPr>
                  <w:r w:rsidRPr="006D069C">
                    <w:rPr>
                      <w:rFonts w:ascii="Arial" w:hAnsi="Arial" w:cs="Arial"/>
                      <w:sz w:val="18"/>
                      <w:szCs w:val="18"/>
                    </w:rPr>
                    <w:t>983.202</w:t>
                  </w:r>
                </w:p>
              </w:tc>
            </w:tr>
            <w:tr w:rsidR="006D069C" w:rsidRPr="006D069C" w:rsidTr="00E3565B">
              <w:trPr>
                <w:trHeight w:val="72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PBV Existing HAP Contract (HUD-52530B)</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2.5</w:t>
                  </w:r>
                </w:p>
              </w:tc>
              <w:tc>
                <w:tcPr>
                  <w:tcW w:w="1307" w:type="dxa"/>
                  <w:tcBorders>
                    <w:top w:val="nil"/>
                    <w:left w:val="nil"/>
                    <w:bottom w:val="nil"/>
                    <w:right w:val="nil"/>
                  </w:tcBorders>
                  <w:shd w:val="clear" w:color="auto" w:fill="auto"/>
                  <w:noWrap/>
                  <w:vAlign w:val="bottom"/>
                  <w:hideMark/>
                </w:tcPr>
                <w:p w:rsidR="006D069C" w:rsidRPr="006D069C" w:rsidRDefault="006D069C" w:rsidP="006D069C">
                  <w:pPr>
                    <w:overflowPunct/>
                    <w:autoSpaceDE/>
                    <w:autoSpaceDN/>
                    <w:adjustRightInd/>
                    <w:jc w:val="right"/>
                    <w:textAlignment w:val="auto"/>
                    <w:rPr>
                      <w:rFonts w:ascii="Arial" w:hAnsi="Arial" w:cs="Arial"/>
                      <w:sz w:val="18"/>
                      <w:szCs w:val="18"/>
                    </w:rPr>
                  </w:pPr>
                  <w:r w:rsidRPr="006D069C">
                    <w:rPr>
                      <w:rFonts w:ascii="Arial" w:hAnsi="Arial" w:cs="Arial"/>
                      <w:sz w:val="18"/>
                      <w:szCs w:val="18"/>
                    </w:rPr>
                    <w:t>983.202</w:t>
                  </w:r>
                </w:p>
              </w:tc>
            </w:tr>
            <w:tr w:rsidR="006D069C" w:rsidRPr="006D069C" w:rsidTr="00E3565B">
              <w:trPr>
                <w:trHeight w:val="72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PBV Tenancy Addendum (HUD-52530C)</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125</w:t>
                  </w:r>
                </w:p>
              </w:tc>
              <w:tc>
                <w:tcPr>
                  <w:tcW w:w="1307" w:type="dxa"/>
                  <w:tcBorders>
                    <w:top w:val="nil"/>
                    <w:left w:val="nil"/>
                    <w:bottom w:val="nil"/>
                    <w:right w:val="nil"/>
                  </w:tcBorders>
                  <w:shd w:val="clear" w:color="auto" w:fill="auto"/>
                  <w:noWrap/>
                  <w:vAlign w:val="bottom"/>
                  <w:hideMark/>
                </w:tcPr>
                <w:p w:rsidR="006D069C" w:rsidRPr="006D069C" w:rsidRDefault="006D069C" w:rsidP="006D069C">
                  <w:pPr>
                    <w:overflowPunct/>
                    <w:autoSpaceDE/>
                    <w:autoSpaceDN/>
                    <w:adjustRightInd/>
                    <w:textAlignment w:val="auto"/>
                    <w:rPr>
                      <w:rFonts w:ascii="Arial" w:hAnsi="Arial" w:cs="Arial"/>
                      <w:sz w:val="18"/>
                      <w:szCs w:val="18"/>
                    </w:rPr>
                  </w:pPr>
                  <w:r w:rsidRPr="006D069C">
                    <w:rPr>
                      <w:rFonts w:ascii="Arial" w:hAnsi="Arial" w:cs="Arial"/>
                      <w:sz w:val="18"/>
                      <w:szCs w:val="18"/>
                    </w:rPr>
                    <w:t>983.256(b)(3)</w:t>
                  </w:r>
                </w:p>
              </w:tc>
            </w:tr>
            <w:tr w:rsidR="006D069C" w:rsidRPr="006D069C" w:rsidTr="00E3565B">
              <w:trPr>
                <w:trHeight w:val="960"/>
              </w:trPr>
              <w:tc>
                <w:tcPr>
                  <w:tcW w:w="175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textAlignment w:val="auto"/>
                    <w:rPr>
                      <w:rFonts w:ascii="Helvetica" w:hAnsi="Helvetica" w:cs="Helvetica"/>
                      <w:sz w:val="18"/>
                      <w:szCs w:val="18"/>
                    </w:rPr>
                  </w:pPr>
                  <w:r w:rsidRPr="006D069C">
                    <w:rPr>
                      <w:rFonts w:ascii="Helvetica" w:hAnsi="Helvetica" w:cs="Helvetica"/>
                      <w:sz w:val="18"/>
                      <w:szCs w:val="18"/>
                    </w:rPr>
                    <w:t>PBV Statement of Family Responsibilities (HUD-52578B)</w:t>
                  </w:r>
                </w:p>
              </w:tc>
              <w:tc>
                <w:tcPr>
                  <w:tcW w:w="127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w:t>
                  </w:r>
                </w:p>
              </w:tc>
              <w:tc>
                <w:tcPr>
                  <w:tcW w:w="118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10</w:t>
                  </w:r>
                </w:p>
              </w:tc>
              <w:tc>
                <w:tcPr>
                  <w:tcW w:w="11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500</w:t>
                  </w:r>
                </w:p>
              </w:tc>
              <w:tc>
                <w:tcPr>
                  <w:tcW w:w="102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0.25</w:t>
                  </w:r>
                </w:p>
              </w:tc>
              <w:tc>
                <w:tcPr>
                  <w:tcW w:w="101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125</w:t>
                  </w:r>
                </w:p>
              </w:tc>
              <w:tc>
                <w:tcPr>
                  <w:tcW w:w="1307" w:type="dxa"/>
                  <w:tcBorders>
                    <w:top w:val="nil"/>
                    <w:left w:val="nil"/>
                    <w:bottom w:val="nil"/>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sz w:val="18"/>
                      <w:szCs w:val="18"/>
                    </w:rPr>
                  </w:pPr>
                  <w:r w:rsidRPr="006D069C">
                    <w:rPr>
                      <w:rFonts w:ascii="Helvetica" w:hAnsi="Helvetica" w:cs="Helvetica"/>
                      <w:sz w:val="18"/>
                      <w:szCs w:val="18"/>
                    </w:rPr>
                    <w:t>983.1, 982.551</w:t>
                  </w:r>
                </w:p>
              </w:tc>
            </w:tr>
            <w:tr w:rsidR="006D069C" w:rsidRPr="006D069C" w:rsidTr="00E3565B">
              <w:trPr>
                <w:trHeight w:val="255"/>
              </w:trPr>
              <w:tc>
                <w:tcPr>
                  <w:tcW w:w="1757" w:type="dxa"/>
                  <w:tcBorders>
                    <w:top w:val="nil"/>
                    <w:left w:val="nil"/>
                    <w:bottom w:val="single" w:sz="4" w:space="0" w:color="auto"/>
                    <w:right w:val="nil"/>
                  </w:tcBorders>
                  <w:shd w:val="clear" w:color="auto" w:fill="auto"/>
                  <w:vAlign w:val="bottom"/>
                  <w:hideMark/>
                </w:tcPr>
                <w:p w:rsidR="00F86953" w:rsidRDefault="00F86953" w:rsidP="006D069C">
                  <w:pPr>
                    <w:overflowPunct/>
                    <w:autoSpaceDE/>
                    <w:autoSpaceDN/>
                    <w:adjustRightInd/>
                    <w:textAlignment w:val="auto"/>
                    <w:rPr>
                      <w:rFonts w:ascii="Helvetica" w:hAnsi="Helvetica" w:cs="Helvetica"/>
                      <w:b/>
                      <w:bCs/>
                      <w:sz w:val="18"/>
                      <w:szCs w:val="18"/>
                    </w:rPr>
                  </w:pPr>
                </w:p>
                <w:p w:rsidR="006D069C" w:rsidRPr="006D069C" w:rsidRDefault="006D069C" w:rsidP="006D069C">
                  <w:pPr>
                    <w:overflowPunct/>
                    <w:autoSpaceDE/>
                    <w:autoSpaceDN/>
                    <w:adjustRightInd/>
                    <w:textAlignment w:val="auto"/>
                    <w:rPr>
                      <w:rFonts w:ascii="Helvetica" w:hAnsi="Helvetica" w:cs="Helvetica"/>
                      <w:b/>
                      <w:bCs/>
                      <w:sz w:val="18"/>
                      <w:szCs w:val="18"/>
                    </w:rPr>
                  </w:pPr>
                  <w:r w:rsidRPr="006D069C">
                    <w:rPr>
                      <w:rFonts w:ascii="Helvetica" w:hAnsi="Helvetica" w:cs="Helvetica"/>
                      <w:b/>
                      <w:bCs/>
                      <w:sz w:val="18"/>
                      <w:szCs w:val="18"/>
                    </w:rPr>
                    <w:t>Totals</w:t>
                  </w:r>
                </w:p>
              </w:tc>
              <w:tc>
                <w:tcPr>
                  <w:tcW w:w="1277" w:type="dxa"/>
                  <w:tcBorders>
                    <w:top w:val="nil"/>
                    <w:left w:val="nil"/>
                    <w:bottom w:val="single" w:sz="4" w:space="0" w:color="auto"/>
                    <w:right w:val="nil"/>
                  </w:tcBorders>
                  <w:shd w:val="clear" w:color="auto" w:fill="auto"/>
                  <w:vAlign w:val="bottom"/>
                  <w:hideMark/>
                </w:tcPr>
                <w:p w:rsidR="006D069C" w:rsidRPr="006D069C" w:rsidRDefault="00F86953" w:rsidP="00F86953">
                  <w:pPr>
                    <w:overflowPunct/>
                    <w:autoSpaceDE/>
                    <w:autoSpaceDN/>
                    <w:adjustRightInd/>
                    <w:ind w:left="241"/>
                    <w:jc w:val="right"/>
                    <w:textAlignment w:val="auto"/>
                    <w:rPr>
                      <w:rFonts w:ascii="Helvetica" w:hAnsi="Helvetica" w:cs="Helvetica"/>
                      <w:b/>
                      <w:bCs/>
                      <w:sz w:val="18"/>
                      <w:szCs w:val="18"/>
                    </w:rPr>
                  </w:pPr>
                  <w:r>
                    <w:rPr>
                      <w:rFonts w:ascii="Helvetica" w:hAnsi="Helvetica" w:cs="Helvetica"/>
                      <w:b/>
                      <w:bCs/>
                      <w:sz w:val="18"/>
                      <w:szCs w:val="18"/>
                    </w:rPr>
                    <w:t xml:space="preserve">  </w:t>
                  </w:r>
                  <w:r w:rsidR="006D069C" w:rsidRPr="006D069C">
                    <w:rPr>
                      <w:rFonts w:ascii="Helvetica" w:hAnsi="Helvetica" w:cs="Helvetica"/>
                      <w:b/>
                      <w:bCs/>
                      <w:sz w:val="18"/>
                      <w:szCs w:val="18"/>
                    </w:rPr>
                    <w:t>492,450*</w:t>
                  </w:r>
                </w:p>
              </w:tc>
              <w:tc>
                <w:tcPr>
                  <w:tcW w:w="1187" w:type="dxa"/>
                  <w:tcBorders>
                    <w:top w:val="nil"/>
                    <w:left w:val="nil"/>
                    <w:bottom w:val="single" w:sz="4" w:space="0" w:color="auto"/>
                    <w:right w:val="nil"/>
                  </w:tcBorders>
                  <w:shd w:val="clear" w:color="auto" w:fill="auto"/>
                  <w:vAlign w:val="bottom"/>
                  <w:hideMark/>
                </w:tcPr>
                <w:p w:rsidR="006D069C" w:rsidRPr="006D069C" w:rsidRDefault="006D069C" w:rsidP="006D069C">
                  <w:pPr>
                    <w:overflowPunct/>
                    <w:autoSpaceDE/>
                    <w:autoSpaceDN/>
                    <w:adjustRightInd/>
                    <w:jc w:val="right"/>
                    <w:textAlignment w:val="auto"/>
                  </w:pPr>
                  <w:r w:rsidRPr="006D069C">
                    <w:t> </w:t>
                  </w:r>
                </w:p>
              </w:tc>
              <w:tc>
                <w:tcPr>
                  <w:tcW w:w="1117" w:type="dxa"/>
                  <w:tcBorders>
                    <w:top w:val="nil"/>
                    <w:left w:val="nil"/>
                    <w:bottom w:val="single" w:sz="4" w:space="0" w:color="auto"/>
                    <w:right w:val="nil"/>
                  </w:tcBorders>
                  <w:shd w:val="clear" w:color="auto" w:fill="auto"/>
                  <w:vAlign w:val="bottom"/>
                  <w:hideMark/>
                </w:tcPr>
                <w:p w:rsidR="006D069C" w:rsidRPr="006D069C" w:rsidRDefault="006D069C" w:rsidP="006D069C">
                  <w:pPr>
                    <w:overflowPunct/>
                    <w:autoSpaceDE/>
                    <w:autoSpaceDN/>
                    <w:adjustRightInd/>
                    <w:jc w:val="right"/>
                    <w:textAlignment w:val="auto"/>
                    <w:rPr>
                      <w:rFonts w:ascii="Helvetica" w:hAnsi="Helvetica" w:cs="Helvetica"/>
                      <w:b/>
                      <w:bCs/>
                      <w:sz w:val="18"/>
                      <w:szCs w:val="18"/>
                    </w:rPr>
                  </w:pPr>
                  <w:r w:rsidRPr="006D069C">
                    <w:rPr>
                      <w:rFonts w:ascii="Helvetica" w:hAnsi="Helvetica" w:cs="Helvetica"/>
                      <w:b/>
                      <w:bCs/>
                      <w:sz w:val="18"/>
                      <w:szCs w:val="18"/>
                    </w:rPr>
                    <w:t>3,037,954</w:t>
                  </w:r>
                </w:p>
              </w:tc>
              <w:tc>
                <w:tcPr>
                  <w:tcW w:w="1027" w:type="dxa"/>
                  <w:tcBorders>
                    <w:top w:val="nil"/>
                    <w:left w:val="nil"/>
                    <w:bottom w:val="single" w:sz="4" w:space="0" w:color="auto"/>
                    <w:right w:val="nil"/>
                  </w:tcBorders>
                  <w:shd w:val="clear" w:color="auto" w:fill="auto"/>
                  <w:vAlign w:val="bottom"/>
                  <w:hideMark/>
                </w:tcPr>
                <w:p w:rsidR="006D069C" w:rsidRPr="006D069C" w:rsidRDefault="006D069C" w:rsidP="006D069C">
                  <w:pPr>
                    <w:overflowPunct/>
                    <w:autoSpaceDE/>
                    <w:autoSpaceDN/>
                    <w:adjustRightInd/>
                    <w:jc w:val="right"/>
                    <w:textAlignment w:val="auto"/>
                  </w:pPr>
                  <w:r w:rsidRPr="006D069C">
                    <w:t> </w:t>
                  </w:r>
                </w:p>
              </w:tc>
              <w:tc>
                <w:tcPr>
                  <w:tcW w:w="1017" w:type="dxa"/>
                  <w:tcBorders>
                    <w:top w:val="nil"/>
                    <w:left w:val="nil"/>
                    <w:bottom w:val="single" w:sz="4" w:space="0" w:color="auto"/>
                    <w:right w:val="nil"/>
                  </w:tcBorders>
                  <w:shd w:val="clear" w:color="auto" w:fill="auto"/>
                  <w:vAlign w:val="bottom"/>
                  <w:hideMark/>
                </w:tcPr>
                <w:p w:rsidR="006D069C" w:rsidRPr="006D069C" w:rsidRDefault="006D069C" w:rsidP="00550B97">
                  <w:pPr>
                    <w:overflowPunct/>
                    <w:autoSpaceDE/>
                    <w:autoSpaceDN/>
                    <w:adjustRightInd/>
                    <w:jc w:val="right"/>
                    <w:textAlignment w:val="auto"/>
                    <w:rPr>
                      <w:rFonts w:ascii="Helvetica" w:hAnsi="Helvetica" w:cs="Helvetica"/>
                      <w:b/>
                      <w:bCs/>
                      <w:sz w:val="18"/>
                      <w:szCs w:val="18"/>
                    </w:rPr>
                  </w:pPr>
                  <w:r w:rsidRPr="006D069C">
                    <w:rPr>
                      <w:rFonts w:ascii="Helvetica" w:hAnsi="Helvetica" w:cs="Helvetica"/>
                      <w:b/>
                      <w:bCs/>
                      <w:sz w:val="18"/>
                      <w:szCs w:val="18"/>
                    </w:rPr>
                    <w:t>1,</w:t>
                  </w:r>
                  <w:r w:rsidR="00550B97">
                    <w:rPr>
                      <w:rFonts w:ascii="Helvetica" w:hAnsi="Helvetica" w:cs="Helvetica"/>
                      <w:b/>
                      <w:bCs/>
                      <w:sz w:val="18"/>
                      <w:szCs w:val="18"/>
                    </w:rPr>
                    <w:t>238,44</w:t>
                  </w:r>
                  <w:r w:rsidRPr="006D069C">
                    <w:rPr>
                      <w:rFonts w:ascii="Helvetica" w:hAnsi="Helvetica" w:cs="Helvetica"/>
                      <w:b/>
                      <w:bCs/>
                      <w:sz w:val="18"/>
                      <w:szCs w:val="18"/>
                    </w:rPr>
                    <w:t>8</w:t>
                  </w:r>
                </w:p>
              </w:tc>
              <w:tc>
                <w:tcPr>
                  <w:tcW w:w="1307" w:type="dxa"/>
                  <w:tcBorders>
                    <w:top w:val="nil"/>
                    <w:left w:val="nil"/>
                    <w:bottom w:val="nil"/>
                    <w:right w:val="nil"/>
                  </w:tcBorders>
                  <w:shd w:val="clear" w:color="auto" w:fill="auto"/>
                  <w:noWrap/>
                  <w:vAlign w:val="bottom"/>
                  <w:hideMark/>
                </w:tcPr>
                <w:p w:rsidR="006D069C" w:rsidRPr="006D069C" w:rsidRDefault="006D069C" w:rsidP="006D069C">
                  <w:pPr>
                    <w:overflowPunct/>
                    <w:autoSpaceDE/>
                    <w:autoSpaceDN/>
                    <w:adjustRightInd/>
                    <w:textAlignment w:val="auto"/>
                    <w:rPr>
                      <w:rFonts w:ascii="Arial" w:hAnsi="Arial" w:cs="Arial"/>
                    </w:rPr>
                  </w:pPr>
                </w:p>
              </w:tc>
            </w:tr>
          </w:tbl>
          <w:p w:rsidR="006D069C" w:rsidRPr="006D069C" w:rsidRDefault="006D069C" w:rsidP="006D069C">
            <w:pPr>
              <w:overflowPunct/>
              <w:autoSpaceDE/>
              <w:autoSpaceDN/>
              <w:adjustRightInd/>
              <w:textAlignment w:val="auto"/>
              <w:rPr>
                <w:rFonts w:ascii="Helvetica" w:hAnsi="Helvetica" w:cs="Helvetica"/>
                <w:sz w:val="18"/>
                <w:szCs w:val="18"/>
              </w:rPr>
            </w:pPr>
          </w:p>
        </w:tc>
      </w:tr>
      <w:tr w:rsidR="006D069C" w:rsidRPr="006D069C" w:rsidTr="006D069C">
        <w:trPr>
          <w:trHeight w:val="600"/>
        </w:trPr>
        <w:tc>
          <w:tcPr>
            <w:tcW w:w="1757" w:type="dxa"/>
            <w:tcBorders>
              <w:top w:val="nil"/>
              <w:left w:val="nil"/>
              <w:bottom w:val="nil"/>
              <w:right w:val="nil"/>
            </w:tcBorders>
            <w:shd w:val="clear" w:color="auto" w:fill="auto"/>
            <w:vAlign w:val="bottom"/>
            <w:hideMark/>
          </w:tcPr>
          <w:p w:rsidR="006D069C" w:rsidRPr="007C677A"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4"/>
                <w:szCs w:val="24"/>
              </w:rPr>
            </w:pPr>
            <w:r w:rsidRPr="007C677A">
              <w:rPr>
                <w:b/>
                <w:bCs/>
                <w:sz w:val="24"/>
                <w:szCs w:val="24"/>
              </w:rPr>
              <w:lastRenderedPageBreak/>
              <w:t xml:space="preserve">Estimated annual cost.  </w:t>
            </w:r>
            <w:r w:rsidRPr="007C677A">
              <w:rPr>
                <w:bCs/>
                <w:sz w:val="24"/>
                <w:szCs w:val="24"/>
              </w:rPr>
              <w:t>1,</w:t>
            </w:r>
            <w:r w:rsidR="00550B97" w:rsidRPr="007C677A">
              <w:rPr>
                <w:bCs/>
                <w:sz w:val="24"/>
                <w:szCs w:val="24"/>
              </w:rPr>
              <w:t>238,448</w:t>
            </w:r>
            <w:r w:rsidRPr="007C677A">
              <w:rPr>
                <w:sz w:val="24"/>
                <w:szCs w:val="24"/>
              </w:rPr>
              <w:t xml:space="preserve"> hours times ave</w:t>
            </w:r>
            <w:r w:rsidR="00550B97" w:rsidRPr="007C677A">
              <w:rPr>
                <w:sz w:val="24"/>
                <w:szCs w:val="24"/>
              </w:rPr>
              <w:t>rage hourly costs of $</w:t>
            </w:r>
            <w:r w:rsidR="00201BE9" w:rsidRPr="007C677A">
              <w:rPr>
                <w:sz w:val="24"/>
                <w:szCs w:val="24"/>
              </w:rPr>
              <w:t>2</w:t>
            </w:r>
            <w:r w:rsidR="006E7768">
              <w:rPr>
                <w:sz w:val="24"/>
                <w:szCs w:val="24"/>
              </w:rPr>
              <w:t>0</w:t>
            </w:r>
            <w:r w:rsidR="00201BE9" w:rsidRPr="007C677A">
              <w:rPr>
                <w:sz w:val="24"/>
                <w:szCs w:val="24"/>
              </w:rPr>
              <w:t xml:space="preserve"> = $2</w:t>
            </w:r>
            <w:r w:rsidR="006E7768">
              <w:rPr>
                <w:sz w:val="24"/>
                <w:szCs w:val="24"/>
              </w:rPr>
              <w:t>4</w:t>
            </w:r>
            <w:r w:rsidR="007C677A" w:rsidRPr="007C677A">
              <w:rPr>
                <w:sz w:val="24"/>
                <w:szCs w:val="24"/>
              </w:rPr>
              <w:t>,</w:t>
            </w:r>
            <w:r w:rsidR="006E7768">
              <w:rPr>
                <w:sz w:val="24"/>
                <w:szCs w:val="24"/>
              </w:rPr>
              <w:t>768,960</w:t>
            </w:r>
            <w:r w:rsidRPr="007C677A">
              <w:rPr>
                <w:sz w:val="24"/>
                <w:szCs w:val="24"/>
              </w:rPr>
              <w:t xml:space="preserve">.  </w:t>
            </w:r>
          </w:p>
          <w:p w:rsidR="006D069C" w:rsidRPr="006D069C"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2"/>
              </w:rPr>
            </w:pPr>
            <w:r w:rsidRPr="006D069C">
              <w:rPr>
                <w:sz w:val="22"/>
              </w:rPr>
              <w:t>*2,450 PHAs + 245,000 families + 245,000 owners</w:t>
            </w:r>
          </w:p>
          <w:p w:rsidR="006D069C" w:rsidRPr="006D069C" w:rsidRDefault="006D069C" w:rsidP="006D069C">
            <w:pPr>
              <w:keepLines/>
              <w:tabs>
                <w:tab w:val="left" w:pos="-720"/>
                <w:tab w:val="left" w:pos="2520"/>
                <w:tab w:val="right" w:pos="3360"/>
                <w:tab w:val="right" w:pos="4560"/>
                <w:tab w:val="right" w:pos="5760"/>
                <w:tab w:val="right" w:pos="6960"/>
                <w:tab w:val="right" w:pos="8040"/>
                <w:tab w:val="right" w:pos="9240"/>
              </w:tabs>
              <w:suppressAutoHyphens/>
              <w:spacing w:before="120"/>
              <w:ind w:left="360"/>
              <w:rPr>
                <w:sz w:val="22"/>
              </w:rPr>
            </w:pPr>
          </w:p>
          <w:p w:rsidR="006D069C" w:rsidRPr="006D069C" w:rsidRDefault="006D069C" w:rsidP="006D069C">
            <w:pPr>
              <w:tabs>
                <w:tab w:val="left" w:pos="-720"/>
                <w:tab w:val="left" w:pos="0"/>
                <w:tab w:val="num" w:pos="480"/>
                <w:tab w:val="left" w:pos="720"/>
              </w:tabs>
              <w:suppressAutoHyphens/>
              <w:spacing w:after="120"/>
              <w:ind w:left="480" w:hanging="480"/>
              <w:rPr>
                <w:bCs/>
                <w:sz w:val="22"/>
              </w:rPr>
            </w:pPr>
            <w:r w:rsidRPr="006D069C">
              <w:rPr>
                <w:b/>
                <w:bCs/>
                <w:sz w:val="22"/>
              </w:rPr>
              <w:t xml:space="preserve">     ** </w:t>
            </w:r>
            <w:r w:rsidRPr="006D069C">
              <w:rPr>
                <w:bCs/>
                <w:sz w:val="22"/>
              </w:rPr>
              <w:t xml:space="preserve">Note 1: that since the divesting PHA is only required to notify the field office of the transfer, there </w:t>
            </w:r>
            <w:proofErr w:type="gramStart"/>
            <w:r w:rsidRPr="006D069C">
              <w:rPr>
                <w:bCs/>
                <w:sz w:val="22"/>
              </w:rPr>
              <w:t>are</w:t>
            </w:r>
            <w:proofErr w:type="gramEnd"/>
            <w:r w:rsidRPr="006D069C">
              <w:rPr>
                <w:bCs/>
                <w:sz w:val="22"/>
              </w:rPr>
              <w:t xml:space="preserve"> no burden hours recorded for that action.  It would also skew the cost per respondent if added to the burden hours recorded for the receiving PHA.  It is estimated that the preparation of the notification letter to the field office should take no more than one hour to prepare.  It is further estimated that notification letters to owners and families should take no more than 15 minutes each as PHAs can use the mail merge feature when preparing these letters.</w:t>
            </w:r>
          </w:p>
          <w:p w:rsidR="006D069C" w:rsidRPr="006D069C" w:rsidRDefault="006D069C" w:rsidP="006D069C">
            <w:pPr>
              <w:overflowPunct/>
              <w:ind w:left="522" w:hanging="522"/>
              <w:textAlignment w:val="auto"/>
              <w:rPr>
                <w:bCs/>
                <w:sz w:val="22"/>
              </w:rPr>
            </w:pPr>
            <w:r w:rsidRPr="006D069C">
              <w:rPr>
                <w:b/>
                <w:bCs/>
                <w:sz w:val="22"/>
              </w:rPr>
              <w:t xml:space="preserve">     **</w:t>
            </w:r>
            <w:r w:rsidRPr="003E66C8">
              <w:rPr>
                <w:bCs/>
                <w:sz w:val="22"/>
              </w:rPr>
              <w:t xml:space="preserve">Note 2: PHAs are required to locally maintain and update their financial statements (income statement and balance sheet) and voucher counts on a regular basis.  The requested information for the four additional fields should be readily available and require only that the PHA simply transfer the information from their available statements to VMS; </w:t>
            </w:r>
            <w:proofErr w:type="gramStart"/>
            <w:r w:rsidR="003E66C8" w:rsidRPr="003E66C8">
              <w:rPr>
                <w:bCs/>
                <w:sz w:val="22"/>
              </w:rPr>
              <w:t xml:space="preserve">An increase of .5 </w:t>
            </w:r>
            <w:r w:rsidRPr="003E66C8">
              <w:rPr>
                <w:bCs/>
                <w:sz w:val="22"/>
              </w:rPr>
              <w:t>additional burden hours are</w:t>
            </w:r>
            <w:proofErr w:type="gramEnd"/>
            <w:r w:rsidRPr="003E66C8">
              <w:rPr>
                <w:bCs/>
                <w:sz w:val="22"/>
              </w:rPr>
              <w:t xml:space="preserve"> recorded for this action.  The accompanying Notice explains in detail the location and calculations of each field on the financial states along with how to calculate the number of vouchers available vice vouchers issued.</w:t>
            </w:r>
            <w:r w:rsidRPr="006D069C">
              <w:rPr>
                <w:bCs/>
                <w:sz w:val="22"/>
              </w:rPr>
              <w:t xml:space="preserve">  </w:t>
            </w:r>
          </w:p>
          <w:p w:rsidR="00536A89" w:rsidRDefault="00536A89" w:rsidP="00536A89">
            <w:pPr>
              <w:tabs>
                <w:tab w:val="left" w:pos="480"/>
              </w:tabs>
              <w:ind w:left="480" w:hanging="480"/>
              <w:rPr>
                <w:b/>
                <w:bCs/>
                <w:sz w:val="22"/>
              </w:rPr>
            </w:pPr>
          </w:p>
          <w:p w:rsidR="00536A89" w:rsidRPr="00FF1878" w:rsidRDefault="00536A89" w:rsidP="00536A89">
            <w:pPr>
              <w:tabs>
                <w:tab w:val="left" w:pos="480"/>
              </w:tabs>
              <w:ind w:left="480" w:hanging="480"/>
              <w:rPr>
                <w:b/>
                <w:bCs/>
                <w:sz w:val="22"/>
              </w:rPr>
            </w:pPr>
            <w:r>
              <w:rPr>
                <w:b/>
                <w:bCs/>
                <w:sz w:val="22"/>
              </w:rPr>
              <w:t>13.</w:t>
            </w:r>
            <w:r>
              <w:rPr>
                <w:b/>
                <w:bCs/>
                <w:sz w:val="22"/>
              </w:rPr>
              <w:tab/>
            </w:r>
            <w:r w:rsidRPr="00176BCD">
              <w:rPr>
                <w:b/>
                <w:bCs/>
                <w:sz w:val="22"/>
              </w:rPr>
              <w:t xml:space="preserve">Additional cost to respondents.  </w:t>
            </w:r>
            <w:r w:rsidRPr="00176BCD">
              <w:rPr>
                <w:bCs/>
                <w:sz w:val="22"/>
              </w:rPr>
              <w:t>N</w:t>
            </w:r>
            <w:r w:rsidRPr="00176BCD">
              <w:rPr>
                <w:sz w:val="22"/>
              </w:rPr>
              <w:t>o additional costs to respondents other than as reported in Item 12.</w:t>
            </w:r>
          </w:p>
          <w:p w:rsidR="006D069C" w:rsidRPr="006D069C" w:rsidRDefault="006D069C" w:rsidP="006D069C">
            <w:pPr>
              <w:tabs>
                <w:tab w:val="left" w:pos="-720"/>
                <w:tab w:val="left" w:pos="0"/>
                <w:tab w:val="num" w:pos="480"/>
                <w:tab w:val="left" w:pos="720"/>
              </w:tabs>
              <w:suppressAutoHyphens/>
              <w:spacing w:after="120"/>
              <w:ind w:left="480" w:hanging="480"/>
              <w:rPr>
                <w:bCs/>
                <w:sz w:val="22"/>
              </w:rPr>
            </w:pPr>
          </w:p>
          <w:p w:rsidR="006B7CB0" w:rsidRDefault="006D069C" w:rsidP="006D069C">
            <w:pPr>
              <w:tabs>
                <w:tab w:val="left" w:pos="-720"/>
                <w:tab w:val="left" w:pos="480"/>
              </w:tabs>
              <w:suppressAutoHyphens/>
              <w:ind w:left="480" w:hanging="480"/>
              <w:rPr>
                <w:b/>
                <w:sz w:val="22"/>
              </w:rPr>
            </w:pPr>
            <w:r w:rsidRPr="006B7CB0">
              <w:rPr>
                <w:b/>
                <w:sz w:val="22"/>
              </w:rPr>
              <w:lastRenderedPageBreak/>
              <w:t>14.</w:t>
            </w:r>
            <w:r w:rsidRPr="006B7CB0">
              <w:rPr>
                <w:b/>
                <w:sz w:val="22"/>
              </w:rPr>
              <w:tab/>
            </w:r>
            <w:r w:rsidR="006B7CB0" w:rsidRPr="006B7CB0">
              <w:rPr>
                <w:b/>
                <w:sz w:val="22"/>
              </w:rPr>
              <w:t>Annualized cost to the Federal Government</w:t>
            </w:r>
          </w:p>
          <w:p w:rsidR="00F15894" w:rsidRDefault="00F15894" w:rsidP="006D069C">
            <w:pPr>
              <w:tabs>
                <w:tab w:val="left" w:pos="-720"/>
                <w:tab w:val="left" w:pos="480"/>
              </w:tabs>
              <w:suppressAutoHyphens/>
              <w:ind w:left="480" w:hanging="480"/>
              <w:rPr>
                <w:b/>
                <w:sz w:val="22"/>
              </w:rPr>
            </w:pPr>
          </w:p>
          <w:p w:rsidR="006B7CB0" w:rsidRPr="006B7CB0" w:rsidRDefault="006B7CB0" w:rsidP="00B911EF">
            <w:pPr>
              <w:tabs>
                <w:tab w:val="left" w:pos="-720"/>
                <w:tab w:val="left" w:pos="342"/>
              </w:tabs>
              <w:suppressAutoHyphens/>
              <w:ind w:left="432"/>
              <w:rPr>
                <w:sz w:val="22"/>
              </w:rPr>
            </w:pPr>
            <w:r w:rsidRPr="006B7CB0">
              <w:rPr>
                <w:sz w:val="22"/>
              </w:rPr>
              <w:t>Estimated</w:t>
            </w:r>
            <w:r>
              <w:rPr>
                <w:sz w:val="22"/>
              </w:rPr>
              <w:t xml:space="preserve"> annualized cost is $</w:t>
            </w:r>
            <w:r w:rsidR="00446F92">
              <w:rPr>
                <w:sz w:val="22"/>
              </w:rPr>
              <w:t>30</w:t>
            </w:r>
            <w:r>
              <w:rPr>
                <w:sz w:val="22"/>
              </w:rPr>
              <w:t xml:space="preserve"> per hour, based on the 20</w:t>
            </w:r>
            <w:r w:rsidR="000D1CE3">
              <w:rPr>
                <w:sz w:val="22"/>
              </w:rPr>
              <w:t>10</w:t>
            </w:r>
            <w:r>
              <w:rPr>
                <w:sz w:val="22"/>
              </w:rPr>
              <w:t xml:space="preserve"> General Pay Scale for a GS-11 Step 1, which represents the HUD field staff performing reviews of PHA requests.  $</w:t>
            </w:r>
            <w:r w:rsidR="00446F92">
              <w:rPr>
                <w:sz w:val="22"/>
              </w:rPr>
              <w:t>30</w:t>
            </w:r>
            <w:r>
              <w:rPr>
                <w:sz w:val="22"/>
              </w:rPr>
              <w:t xml:space="preserve"> per hour for an estimated 1,000 hours per year equals $</w:t>
            </w:r>
            <w:r w:rsidR="00446F92">
              <w:rPr>
                <w:sz w:val="22"/>
              </w:rPr>
              <w:t>30,0</w:t>
            </w:r>
            <w:r>
              <w:rPr>
                <w:sz w:val="22"/>
              </w:rPr>
              <w:t>00.  There is no significant increase in the cost to the government.</w:t>
            </w:r>
          </w:p>
          <w:p w:rsidR="006B7CB0" w:rsidRDefault="006B7CB0" w:rsidP="006D069C">
            <w:pPr>
              <w:tabs>
                <w:tab w:val="left" w:pos="-720"/>
                <w:tab w:val="left" w:pos="480"/>
              </w:tabs>
              <w:suppressAutoHyphens/>
              <w:ind w:left="480" w:hanging="480"/>
              <w:rPr>
                <w:sz w:val="22"/>
              </w:rPr>
            </w:pPr>
          </w:p>
          <w:p w:rsidR="006D069C" w:rsidRPr="006D069C" w:rsidRDefault="006B7CB0" w:rsidP="006D069C">
            <w:pPr>
              <w:tabs>
                <w:tab w:val="left" w:pos="-720"/>
                <w:tab w:val="left" w:pos="480"/>
              </w:tabs>
              <w:suppressAutoHyphens/>
              <w:ind w:left="480" w:hanging="480"/>
              <w:rPr>
                <w:sz w:val="22"/>
              </w:rPr>
            </w:pPr>
            <w:r>
              <w:rPr>
                <w:sz w:val="22"/>
              </w:rPr>
              <w:t xml:space="preserve">            </w:t>
            </w:r>
            <w:r w:rsidR="006D069C" w:rsidRPr="006D069C">
              <w:rPr>
                <w:b/>
                <w:sz w:val="22"/>
              </w:rPr>
              <w:t>Federal Government Costs</w:t>
            </w:r>
          </w:p>
          <w:p w:rsidR="006D069C" w:rsidRPr="006D069C" w:rsidRDefault="006D069C" w:rsidP="006D069C">
            <w:pPr>
              <w:pBdr>
                <w:top w:val="single" w:sz="4" w:space="1" w:color="auto"/>
              </w:pBdr>
              <w:tabs>
                <w:tab w:val="left" w:pos="-720"/>
                <w:tab w:val="center" w:pos="3480"/>
                <w:tab w:val="center" w:pos="5160"/>
                <w:tab w:val="center" w:pos="6720"/>
              </w:tabs>
              <w:suppressAutoHyphens/>
              <w:spacing w:before="120" w:line="200" w:lineRule="exact"/>
              <w:ind w:left="480" w:right="3600"/>
              <w:rPr>
                <w:rFonts w:ascii="Helvetica" w:hAnsi="Helvetica"/>
                <w:sz w:val="18"/>
              </w:rPr>
            </w:pPr>
            <w:r w:rsidRPr="006D069C">
              <w:rPr>
                <w:rFonts w:ascii="Helvetica" w:hAnsi="Helvetica"/>
                <w:sz w:val="18"/>
              </w:rPr>
              <w:t>Requirement</w:t>
            </w:r>
            <w:r w:rsidRPr="006D069C">
              <w:rPr>
                <w:rFonts w:ascii="Helvetica" w:hAnsi="Helvetica"/>
                <w:sz w:val="18"/>
              </w:rPr>
              <w:tab/>
              <w:t>Annual</w:t>
            </w:r>
            <w:r w:rsidRPr="006D069C">
              <w:rPr>
                <w:rFonts w:ascii="Helvetica" w:hAnsi="Helvetica"/>
                <w:sz w:val="18"/>
              </w:rPr>
              <w:tab/>
              <w:t>Cost</w:t>
            </w:r>
            <w:r w:rsidRPr="006D069C">
              <w:rPr>
                <w:rFonts w:ascii="Helvetica" w:hAnsi="Helvetica"/>
                <w:sz w:val="18"/>
              </w:rPr>
              <w:tab/>
              <w:t>Total</w:t>
            </w:r>
          </w:p>
          <w:p w:rsidR="006D069C" w:rsidRPr="006D069C" w:rsidRDefault="006D069C" w:rsidP="006D069C">
            <w:pPr>
              <w:tabs>
                <w:tab w:val="left" w:pos="-720"/>
                <w:tab w:val="center" w:pos="3480"/>
                <w:tab w:val="center" w:pos="5160"/>
                <w:tab w:val="center" w:pos="6720"/>
                <w:tab w:val="right" w:pos="9120"/>
              </w:tabs>
              <w:suppressAutoHyphens/>
              <w:spacing w:after="120" w:line="200" w:lineRule="exact"/>
              <w:ind w:left="480"/>
              <w:rPr>
                <w:rFonts w:ascii="Helvetica" w:hAnsi="Helvetica"/>
                <w:sz w:val="18"/>
              </w:rPr>
            </w:pPr>
            <w:r w:rsidRPr="006D069C">
              <w:rPr>
                <w:rFonts w:ascii="Helvetica" w:hAnsi="Helvetica"/>
                <w:sz w:val="18"/>
              </w:rPr>
              <w:tab/>
              <w:t>Burden Hours</w:t>
            </w:r>
            <w:r w:rsidRPr="006D069C">
              <w:rPr>
                <w:rFonts w:ascii="Helvetica" w:hAnsi="Helvetica"/>
                <w:sz w:val="18"/>
              </w:rPr>
              <w:tab/>
              <w:t>per hour</w:t>
            </w:r>
            <w:r w:rsidRPr="006D069C">
              <w:rPr>
                <w:rFonts w:ascii="Helvetica" w:hAnsi="Helvetica"/>
                <w:sz w:val="18"/>
              </w:rPr>
              <w:tab/>
              <w:t xml:space="preserve"> Cost</w:t>
            </w:r>
          </w:p>
          <w:p w:rsidR="006D069C" w:rsidRPr="006D069C" w:rsidRDefault="006D069C" w:rsidP="006D069C">
            <w:pPr>
              <w:widowControl w:val="0"/>
              <w:tabs>
                <w:tab w:val="left" w:pos="-720"/>
                <w:tab w:val="right" w:pos="3720"/>
                <w:tab w:val="right" w:pos="5400"/>
                <w:tab w:val="right" w:pos="7080"/>
                <w:tab w:val="right" w:pos="9240"/>
              </w:tabs>
              <w:suppressAutoHyphens/>
              <w:ind w:left="480"/>
              <w:rPr>
                <w:rFonts w:ascii="Helvetica" w:hAnsi="Helvetica"/>
                <w:sz w:val="18"/>
              </w:rPr>
            </w:pPr>
            <w:r w:rsidRPr="006D069C">
              <w:rPr>
                <w:rFonts w:ascii="Helvetica" w:hAnsi="Helvetica"/>
                <w:sz w:val="18"/>
              </w:rPr>
              <w:t>Funding Application</w:t>
            </w:r>
            <w:r w:rsidRPr="006D069C">
              <w:rPr>
                <w:rFonts w:ascii="Helvetica" w:hAnsi="Helvetica"/>
                <w:sz w:val="18"/>
              </w:rPr>
              <w:tab/>
              <w:t>1,500</w:t>
            </w:r>
            <w:r w:rsidRPr="006D069C">
              <w:rPr>
                <w:rFonts w:ascii="Helvetica" w:hAnsi="Helvetica"/>
                <w:sz w:val="18"/>
              </w:rPr>
              <w:tab/>
              <w:t xml:space="preserve"> $3</w:t>
            </w:r>
            <w:r w:rsidR="00B911EF">
              <w:rPr>
                <w:rFonts w:ascii="Helvetica" w:hAnsi="Helvetica"/>
                <w:sz w:val="18"/>
              </w:rPr>
              <w:t>0</w:t>
            </w:r>
            <w:r w:rsidRPr="006D069C">
              <w:rPr>
                <w:rFonts w:ascii="Helvetica" w:hAnsi="Helvetica"/>
                <w:sz w:val="18"/>
              </w:rPr>
              <w:t>.00</w:t>
            </w:r>
            <w:r w:rsidRPr="006D069C">
              <w:rPr>
                <w:rFonts w:ascii="Helvetica" w:hAnsi="Helvetica"/>
                <w:sz w:val="18"/>
              </w:rPr>
              <w:tab/>
              <w:t>$45</w:t>
            </w:r>
            <w:r w:rsidR="00B911EF">
              <w:rPr>
                <w:rFonts w:ascii="Helvetica" w:hAnsi="Helvetica"/>
                <w:sz w:val="18"/>
              </w:rPr>
              <w:t>,0</w:t>
            </w:r>
            <w:r w:rsidRPr="006D069C">
              <w:rPr>
                <w:rFonts w:ascii="Helvetica" w:hAnsi="Helvetica"/>
                <w:sz w:val="18"/>
              </w:rPr>
              <w:t>00</w:t>
            </w:r>
          </w:p>
          <w:p w:rsidR="006D069C" w:rsidRPr="006D069C" w:rsidRDefault="006D069C" w:rsidP="006D069C">
            <w:pPr>
              <w:keepNext/>
              <w:tabs>
                <w:tab w:val="left" w:pos="-720"/>
                <w:tab w:val="right" w:pos="3720"/>
                <w:tab w:val="right" w:pos="5400"/>
                <w:tab w:val="right" w:pos="7080"/>
                <w:tab w:val="right" w:pos="9240"/>
              </w:tabs>
              <w:suppressAutoHyphens/>
              <w:ind w:left="480"/>
              <w:outlineLvl w:val="5"/>
              <w:rPr>
                <w:rFonts w:ascii="Helvetica" w:hAnsi="Helvetica"/>
                <w:sz w:val="18"/>
              </w:rPr>
            </w:pPr>
            <w:r w:rsidRPr="006D069C">
              <w:rPr>
                <w:rFonts w:ascii="Helvetica" w:hAnsi="Helvetica"/>
                <w:sz w:val="18"/>
              </w:rPr>
              <w:t>Tenant-Furnished Utilities</w:t>
            </w:r>
            <w:r w:rsidRPr="006D069C">
              <w:rPr>
                <w:rFonts w:ascii="Helvetica" w:hAnsi="Helvetica"/>
                <w:sz w:val="18"/>
              </w:rPr>
              <w:tab/>
              <w:t>1,500</w:t>
            </w:r>
            <w:r w:rsidRPr="006D069C">
              <w:rPr>
                <w:rFonts w:ascii="Helvetica" w:hAnsi="Helvetica"/>
                <w:sz w:val="18"/>
              </w:rPr>
              <w:tab/>
              <w:t>$3</w:t>
            </w:r>
            <w:r w:rsidR="00B911EF">
              <w:rPr>
                <w:rFonts w:ascii="Helvetica" w:hAnsi="Helvetica"/>
                <w:sz w:val="18"/>
              </w:rPr>
              <w:t>0</w:t>
            </w:r>
            <w:r w:rsidRPr="006D069C">
              <w:rPr>
                <w:rFonts w:ascii="Helvetica" w:hAnsi="Helvetica"/>
                <w:sz w:val="18"/>
              </w:rPr>
              <w:t>.00</w:t>
            </w:r>
            <w:r w:rsidRPr="006D069C">
              <w:rPr>
                <w:rFonts w:ascii="Helvetica" w:hAnsi="Helvetica"/>
                <w:sz w:val="18"/>
              </w:rPr>
              <w:tab/>
              <w:t>$ 4</w:t>
            </w:r>
            <w:r w:rsidR="00B911EF">
              <w:rPr>
                <w:rFonts w:ascii="Helvetica" w:hAnsi="Helvetica"/>
                <w:sz w:val="18"/>
              </w:rPr>
              <w:t>5,0</w:t>
            </w:r>
            <w:r w:rsidRPr="006D069C">
              <w:rPr>
                <w:rFonts w:ascii="Helvetica" w:hAnsi="Helvetica"/>
                <w:sz w:val="18"/>
              </w:rPr>
              <w:t>00</w:t>
            </w:r>
          </w:p>
          <w:p w:rsidR="006D069C" w:rsidRPr="006D069C" w:rsidRDefault="006D069C" w:rsidP="006D069C">
            <w:pPr>
              <w:tabs>
                <w:tab w:val="left" w:pos="-720"/>
                <w:tab w:val="right" w:pos="3720"/>
                <w:tab w:val="right" w:pos="5400"/>
                <w:tab w:val="right" w:pos="7080"/>
                <w:tab w:val="right" w:pos="9240"/>
              </w:tabs>
              <w:suppressAutoHyphens/>
              <w:ind w:left="480"/>
              <w:rPr>
                <w:rFonts w:ascii="Helvetica" w:hAnsi="Helvetica"/>
                <w:sz w:val="18"/>
              </w:rPr>
            </w:pPr>
            <w:r w:rsidRPr="006D069C">
              <w:rPr>
                <w:rFonts w:ascii="Helvetica" w:hAnsi="Helvetica"/>
                <w:sz w:val="18"/>
              </w:rPr>
              <w:t xml:space="preserve">Financial Forms    </w:t>
            </w:r>
            <w:r w:rsidRPr="006D069C">
              <w:rPr>
                <w:rFonts w:ascii="Helvetica" w:hAnsi="Helvetica"/>
                <w:sz w:val="18"/>
              </w:rPr>
              <w:tab/>
              <w:t>12,250</w:t>
            </w:r>
            <w:r w:rsidRPr="006D069C">
              <w:rPr>
                <w:rFonts w:ascii="Helvetica" w:hAnsi="Helvetica"/>
                <w:sz w:val="18"/>
              </w:rPr>
              <w:tab/>
              <w:t>$3</w:t>
            </w:r>
            <w:r w:rsidR="00B911EF">
              <w:rPr>
                <w:rFonts w:ascii="Helvetica" w:hAnsi="Helvetica"/>
                <w:sz w:val="18"/>
              </w:rPr>
              <w:t>0</w:t>
            </w:r>
            <w:r w:rsidRPr="006D069C">
              <w:rPr>
                <w:rFonts w:ascii="Helvetica" w:hAnsi="Helvetica"/>
                <w:sz w:val="18"/>
              </w:rPr>
              <w:t>.00</w:t>
            </w:r>
            <w:r w:rsidRPr="006D069C">
              <w:rPr>
                <w:rFonts w:ascii="Helvetica" w:hAnsi="Helvetica"/>
                <w:sz w:val="18"/>
              </w:rPr>
              <w:tab/>
              <w:t>$</w:t>
            </w:r>
            <w:r w:rsidR="00B911EF">
              <w:rPr>
                <w:rFonts w:ascii="Helvetica" w:hAnsi="Helvetica"/>
                <w:sz w:val="18"/>
              </w:rPr>
              <w:t>367,500</w:t>
            </w:r>
          </w:p>
          <w:p w:rsidR="006D069C" w:rsidRPr="006D069C" w:rsidRDefault="006D069C" w:rsidP="006D069C">
            <w:pPr>
              <w:keepNext/>
              <w:tabs>
                <w:tab w:val="left" w:pos="-720"/>
                <w:tab w:val="right" w:pos="3720"/>
                <w:tab w:val="right" w:pos="5400"/>
                <w:tab w:val="right" w:pos="7080"/>
                <w:tab w:val="right" w:pos="9240"/>
              </w:tabs>
              <w:suppressAutoHyphens/>
              <w:spacing w:before="120"/>
              <w:ind w:left="480"/>
              <w:outlineLvl w:val="3"/>
              <w:rPr>
                <w:rFonts w:ascii="Helvetica" w:hAnsi="Helvetica"/>
                <w:b/>
                <w:bCs/>
                <w:sz w:val="18"/>
              </w:rPr>
            </w:pPr>
            <w:r w:rsidRPr="006D069C">
              <w:rPr>
                <w:rFonts w:ascii="Helvetica" w:hAnsi="Helvetica"/>
                <w:b/>
                <w:bCs/>
                <w:sz w:val="18"/>
              </w:rPr>
              <w:t>Totals</w:t>
            </w:r>
            <w:r w:rsidRPr="006D069C">
              <w:rPr>
                <w:rFonts w:ascii="Helvetica" w:hAnsi="Helvetica"/>
                <w:b/>
                <w:bCs/>
                <w:sz w:val="18"/>
              </w:rPr>
              <w:tab/>
              <w:t>1</w:t>
            </w:r>
            <w:r w:rsidR="006657B4">
              <w:rPr>
                <w:rFonts w:ascii="Helvetica" w:hAnsi="Helvetica"/>
                <w:b/>
                <w:bCs/>
                <w:sz w:val="18"/>
              </w:rPr>
              <w:t>5</w:t>
            </w:r>
            <w:r w:rsidRPr="006D069C">
              <w:rPr>
                <w:rFonts w:ascii="Helvetica" w:hAnsi="Helvetica"/>
                <w:b/>
                <w:bCs/>
                <w:sz w:val="18"/>
              </w:rPr>
              <w:t>,250</w:t>
            </w:r>
            <w:r w:rsidRPr="006D069C">
              <w:rPr>
                <w:rFonts w:ascii="Helvetica" w:hAnsi="Helvetica"/>
                <w:b/>
                <w:bCs/>
                <w:sz w:val="18"/>
              </w:rPr>
              <w:tab/>
            </w:r>
            <w:r w:rsidRPr="006D069C">
              <w:rPr>
                <w:rFonts w:ascii="Helvetica" w:hAnsi="Helvetica"/>
                <w:b/>
                <w:bCs/>
                <w:sz w:val="18"/>
              </w:rPr>
              <w:tab/>
              <w:t>$</w:t>
            </w:r>
            <w:r w:rsidR="00B911EF">
              <w:rPr>
                <w:rFonts w:ascii="Helvetica" w:hAnsi="Helvetica"/>
                <w:b/>
                <w:bCs/>
                <w:sz w:val="18"/>
              </w:rPr>
              <w:t>457,500</w:t>
            </w:r>
          </w:p>
          <w:p w:rsidR="006D069C" w:rsidRPr="006D069C" w:rsidRDefault="006D069C" w:rsidP="006D069C"/>
          <w:p w:rsidR="006B7CB0" w:rsidRDefault="006B7CB0" w:rsidP="006D069C">
            <w:pPr>
              <w:ind w:left="480"/>
              <w:rPr>
                <w:sz w:val="22"/>
              </w:rPr>
            </w:pPr>
          </w:p>
          <w:p w:rsidR="006D069C" w:rsidRDefault="006D069C" w:rsidP="006D069C">
            <w:pPr>
              <w:ind w:left="480"/>
              <w:rPr>
                <w:sz w:val="22"/>
              </w:rPr>
            </w:pPr>
            <w:r w:rsidRPr="006D069C">
              <w:rPr>
                <w:sz w:val="22"/>
              </w:rPr>
              <w:t>There is no additional cost to the government for the transfer of voucher programs or contracts of sale under the homeownership option.</w:t>
            </w:r>
          </w:p>
          <w:p w:rsidR="006D069C" w:rsidRPr="006D069C" w:rsidRDefault="006D069C" w:rsidP="006D069C">
            <w:pPr>
              <w:keepNext/>
              <w:keepLines/>
              <w:tabs>
                <w:tab w:val="left" w:pos="-720"/>
                <w:tab w:val="right" w:pos="3360"/>
                <w:tab w:val="right" w:pos="4560"/>
                <w:tab w:val="right" w:pos="5760"/>
                <w:tab w:val="right" w:pos="6960"/>
                <w:tab w:val="right" w:pos="8040"/>
                <w:tab w:val="right" w:pos="9240"/>
              </w:tabs>
              <w:suppressAutoHyphens/>
              <w:ind w:left="480"/>
              <w:rPr>
                <w:sz w:val="22"/>
              </w:rPr>
            </w:pPr>
          </w:p>
          <w:p w:rsidR="006D069C" w:rsidRPr="006D069C" w:rsidRDefault="006D069C" w:rsidP="006D069C">
            <w:pPr>
              <w:overflowPunct/>
              <w:ind w:left="522" w:hanging="522"/>
              <w:textAlignment w:val="auto"/>
              <w:rPr>
                <w:sz w:val="22"/>
                <w:szCs w:val="22"/>
              </w:rPr>
            </w:pPr>
            <w:r w:rsidRPr="000E464C">
              <w:rPr>
                <w:sz w:val="22"/>
              </w:rPr>
              <w:t>15.</w:t>
            </w:r>
            <w:r w:rsidRPr="000E464C">
              <w:rPr>
                <w:sz w:val="22"/>
              </w:rPr>
              <w:tab/>
            </w:r>
            <w:r w:rsidRPr="000E464C">
              <w:rPr>
                <w:b/>
                <w:bCs/>
                <w:sz w:val="22"/>
              </w:rPr>
              <w:t xml:space="preserve">Reason for program changes.  </w:t>
            </w:r>
            <w:r w:rsidRPr="000E464C">
              <w:rPr>
                <w:sz w:val="22"/>
                <w:szCs w:val="22"/>
              </w:rPr>
              <w:t xml:space="preserve">This revision reflects the addition of four </w:t>
            </w:r>
            <w:r w:rsidR="00932990">
              <w:rPr>
                <w:sz w:val="22"/>
                <w:szCs w:val="22"/>
              </w:rPr>
              <w:t xml:space="preserve">new </w:t>
            </w:r>
            <w:r w:rsidRPr="000E464C">
              <w:rPr>
                <w:sz w:val="22"/>
                <w:szCs w:val="22"/>
              </w:rPr>
              <w:t>reporting fields in the VMS.  The four additional fields in VMS will allow the Department a more complete picture of the PHAs’ resources and program activities, promote financial accountability, and identify and correct any financial shortfalls that may threaten program participation.</w:t>
            </w:r>
            <w:r w:rsidRPr="006D069C">
              <w:rPr>
                <w:sz w:val="22"/>
                <w:szCs w:val="22"/>
              </w:rPr>
              <w:t xml:space="preserve">  </w:t>
            </w:r>
          </w:p>
          <w:p w:rsidR="006D069C" w:rsidRPr="006D069C" w:rsidRDefault="006D069C" w:rsidP="006D069C">
            <w:pPr>
              <w:overflowPunct/>
              <w:ind w:left="522"/>
              <w:textAlignment w:val="auto"/>
              <w:rPr>
                <w:sz w:val="22"/>
                <w:szCs w:val="22"/>
              </w:rPr>
            </w:pPr>
          </w:p>
          <w:p w:rsidR="006D069C" w:rsidRPr="006D069C" w:rsidRDefault="006D069C" w:rsidP="006D069C">
            <w:pPr>
              <w:widowControl w:val="0"/>
              <w:tabs>
                <w:tab w:val="left" w:pos="-720"/>
                <w:tab w:val="left" w:pos="480"/>
              </w:tabs>
              <w:suppressAutoHyphens/>
              <w:ind w:left="480" w:hanging="480"/>
              <w:rPr>
                <w:sz w:val="22"/>
              </w:rPr>
            </w:pPr>
            <w:r w:rsidRPr="006D069C">
              <w:rPr>
                <w:sz w:val="22"/>
              </w:rPr>
              <w:t>16.</w:t>
            </w:r>
            <w:r w:rsidRPr="006D069C">
              <w:rPr>
                <w:sz w:val="22"/>
              </w:rPr>
              <w:tab/>
            </w:r>
            <w:r w:rsidRPr="006D069C">
              <w:rPr>
                <w:b/>
                <w:bCs/>
                <w:sz w:val="22"/>
              </w:rPr>
              <w:t xml:space="preserve">Plans for publication of information collected.  </w:t>
            </w:r>
            <w:r w:rsidRPr="006D069C">
              <w:rPr>
                <w:sz w:val="22"/>
              </w:rPr>
              <w:t>Not applicable; information will not be published for statistical use.</w:t>
            </w:r>
          </w:p>
          <w:p w:rsidR="006D069C" w:rsidRPr="006D069C" w:rsidRDefault="006D069C" w:rsidP="006D069C">
            <w:pPr>
              <w:tabs>
                <w:tab w:val="left" w:pos="-720"/>
                <w:tab w:val="left" w:pos="480"/>
              </w:tabs>
              <w:suppressAutoHyphens/>
              <w:ind w:left="480" w:hanging="480"/>
              <w:rPr>
                <w:sz w:val="22"/>
              </w:rPr>
            </w:pPr>
          </w:p>
          <w:p w:rsidR="006D069C" w:rsidRPr="006D069C" w:rsidRDefault="006D069C" w:rsidP="006D069C">
            <w:pPr>
              <w:numPr>
                <w:ilvl w:val="0"/>
                <w:numId w:val="22"/>
              </w:numPr>
              <w:tabs>
                <w:tab w:val="left" w:pos="-720"/>
                <w:tab w:val="left" w:pos="480"/>
              </w:tabs>
              <w:suppressAutoHyphens/>
              <w:ind w:left="480" w:hanging="480"/>
              <w:rPr>
                <w:sz w:val="22"/>
              </w:rPr>
            </w:pPr>
            <w:r w:rsidRPr="006D069C">
              <w:rPr>
                <w:b/>
                <w:bCs/>
                <w:sz w:val="22"/>
              </w:rPr>
              <w:t xml:space="preserve">Approval to not display expiration date for OMB approval.  </w:t>
            </w:r>
            <w:r w:rsidR="00536A89">
              <w:rPr>
                <w:sz w:val="22"/>
              </w:rPr>
              <w:t xml:space="preserve">HUD is not seeking approval to avoid displaying the OMB expiration date. </w:t>
            </w:r>
          </w:p>
          <w:p w:rsidR="006D069C" w:rsidRPr="006D069C" w:rsidRDefault="006D069C" w:rsidP="006D069C">
            <w:pPr>
              <w:widowControl w:val="0"/>
              <w:tabs>
                <w:tab w:val="left" w:pos="-720"/>
                <w:tab w:val="left" w:pos="480"/>
              </w:tabs>
              <w:suppressAutoHyphens/>
              <w:ind w:left="480" w:hanging="480"/>
              <w:rPr>
                <w:sz w:val="22"/>
              </w:rPr>
            </w:pPr>
          </w:p>
          <w:p w:rsidR="006D069C" w:rsidRPr="006D069C" w:rsidRDefault="006D069C" w:rsidP="006D069C">
            <w:pPr>
              <w:tabs>
                <w:tab w:val="left" w:pos="-720"/>
                <w:tab w:val="left" w:pos="480"/>
              </w:tabs>
              <w:suppressAutoHyphens/>
              <w:ind w:left="480" w:hanging="480"/>
              <w:rPr>
                <w:sz w:val="24"/>
                <w:szCs w:val="24"/>
              </w:rPr>
            </w:pPr>
            <w:r w:rsidRPr="006D069C">
              <w:rPr>
                <w:sz w:val="22"/>
              </w:rPr>
              <w:t xml:space="preserve">18. </w:t>
            </w:r>
            <w:r w:rsidRPr="006D069C">
              <w:rPr>
                <w:sz w:val="22"/>
              </w:rPr>
              <w:tab/>
            </w:r>
            <w:r w:rsidRPr="006D069C">
              <w:rPr>
                <w:b/>
                <w:bCs/>
                <w:sz w:val="24"/>
                <w:szCs w:val="24"/>
              </w:rPr>
              <w:t xml:space="preserve">Exceptions to certification.  </w:t>
            </w:r>
            <w:r w:rsidRPr="006D069C">
              <w:rPr>
                <w:sz w:val="24"/>
                <w:szCs w:val="24"/>
              </w:rPr>
              <w:t>There are no exceptions to the certification statement identified in item 19.</w:t>
            </w:r>
          </w:p>
          <w:p w:rsidR="006D069C" w:rsidRPr="006D069C" w:rsidRDefault="006D069C" w:rsidP="006D069C">
            <w:pPr>
              <w:tabs>
                <w:tab w:val="left" w:pos="-720"/>
                <w:tab w:val="left" w:pos="480"/>
              </w:tabs>
              <w:suppressAutoHyphens/>
              <w:ind w:left="480" w:hanging="480"/>
              <w:rPr>
                <w:sz w:val="24"/>
                <w:szCs w:val="24"/>
              </w:rPr>
            </w:pPr>
          </w:p>
          <w:p w:rsidR="006D069C" w:rsidRPr="006D069C" w:rsidRDefault="006D069C" w:rsidP="006D069C">
            <w:pPr>
              <w:tabs>
                <w:tab w:val="left" w:pos="-720"/>
                <w:tab w:val="left" w:pos="480"/>
              </w:tabs>
              <w:suppressAutoHyphens/>
              <w:ind w:left="480" w:hanging="480"/>
              <w:rPr>
                <w:b/>
                <w:bCs/>
                <w:sz w:val="24"/>
                <w:szCs w:val="24"/>
              </w:rPr>
            </w:pPr>
            <w:r w:rsidRPr="006D069C">
              <w:rPr>
                <w:b/>
                <w:bCs/>
                <w:sz w:val="24"/>
                <w:szCs w:val="24"/>
              </w:rPr>
              <w:t>B.  Collection of Information Employing Statistical Methods:</w:t>
            </w:r>
          </w:p>
          <w:p w:rsidR="006D069C" w:rsidRPr="006D069C" w:rsidRDefault="006D069C" w:rsidP="006D069C">
            <w:pPr>
              <w:tabs>
                <w:tab w:val="left" w:pos="-720"/>
                <w:tab w:val="left" w:pos="480"/>
              </w:tabs>
              <w:suppressAutoHyphens/>
              <w:ind w:left="480" w:hanging="480"/>
              <w:rPr>
                <w:b/>
                <w:bCs/>
                <w:sz w:val="24"/>
                <w:szCs w:val="24"/>
              </w:rPr>
            </w:pPr>
          </w:p>
          <w:p w:rsidR="006D069C" w:rsidRPr="006D069C" w:rsidRDefault="006D069C" w:rsidP="006D069C">
            <w:pPr>
              <w:tabs>
                <w:tab w:val="left" w:pos="-720"/>
                <w:tab w:val="left" w:pos="480"/>
              </w:tabs>
              <w:suppressAutoHyphens/>
              <w:ind w:left="480" w:hanging="480"/>
              <w:rPr>
                <w:sz w:val="24"/>
                <w:szCs w:val="24"/>
              </w:rPr>
            </w:pPr>
            <w:r w:rsidRPr="006D069C">
              <w:rPr>
                <w:sz w:val="24"/>
                <w:szCs w:val="24"/>
              </w:rPr>
              <w:tab/>
              <w:t>Section B is not applicable since statistical methods are not used.</w:t>
            </w:r>
          </w:p>
          <w:p w:rsidR="006D069C" w:rsidRPr="006D069C" w:rsidRDefault="006D069C" w:rsidP="00536A89">
            <w:pPr>
              <w:overflowPunct/>
              <w:autoSpaceDE/>
              <w:autoSpaceDN/>
              <w:adjustRightInd/>
              <w:textAlignment w:val="auto"/>
              <w:rPr>
                <w:rFonts w:ascii="Helvetica" w:hAnsi="Helvetica" w:cs="Helvetica"/>
                <w:sz w:val="18"/>
                <w:szCs w:val="18"/>
              </w:rPr>
            </w:pPr>
            <w:r w:rsidRPr="006D069C">
              <w:rPr>
                <w:b/>
                <w:bCs/>
                <w:sz w:val="24"/>
                <w:szCs w:val="24"/>
              </w:rPr>
              <w:br w:type="page"/>
            </w:r>
          </w:p>
        </w:tc>
      </w:tr>
    </w:tbl>
    <w:p w:rsidR="00CF67E7" w:rsidRDefault="00CF67E7" w:rsidP="00536A89">
      <w:pPr>
        <w:tabs>
          <w:tab w:val="left" w:pos="480"/>
        </w:tabs>
        <w:rPr>
          <w:sz w:val="22"/>
        </w:rPr>
      </w:pPr>
    </w:p>
    <w:p w:rsidR="00CF67E7" w:rsidRPr="00E90DF3" w:rsidRDefault="00CF67E7" w:rsidP="00E90D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sectPr w:rsidR="00CF67E7" w:rsidRPr="00E90DF3" w:rsidSect="00B8157F">
      <w:headerReference w:type="default" r:id="rId9"/>
      <w:footerReference w:type="default" r:id="rId10"/>
      <w:footerReference w:type="first" r:id="rId11"/>
      <w:pgSz w:w="12240" w:h="15840"/>
      <w:pgMar w:top="480" w:right="720" w:bottom="480" w:left="600" w:header="480" w:footer="480" w:gutter="0"/>
      <w:cols w:space="480" w:equalWidth="0">
        <w:col w:w="10800"/>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7F56" w:rsidRDefault="00C97F56">
      <w:r>
        <w:separator/>
      </w:r>
    </w:p>
  </w:endnote>
  <w:endnote w:type="continuationSeparator" w:id="0">
    <w:p w:rsidR="00C97F56" w:rsidRDefault="00C97F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CE3" w:rsidRDefault="000D1CE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CE3" w:rsidRDefault="000D1CE3">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0D1CE3">
      <w:tc>
        <w:tcPr>
          <w:tcW w:w="8388" w:type="dxa"/>
          <w:tcBorders>
            <w:top w:val="single" w:sz="6" w:space="0" w:color="auto"/>
            <w:left w:val="nil"/>
            <w:right w:val="single" w:sz="6" w:space="0" w:color="auto"/>
          </w:tcBorders>
        </w:tcPr>
        <w:p w:rsidR="000D1CE3" w:rsidRDefault="000D1CE3">
          <w:pPr>
            <w:pStyle w:val="Footer"/>
            <w:rPr>
              <w:rFonts w:ascii="Helvetica" w:hAnsi="Helvetica"/>
              <w:sz w:val="16"/>
            </w:rPr>
          </w:pPr>
          <w:r>
            <w:rPr>
              <w:rFonts w:ascii="Helvetica" w:hAnsi="Helvetica"/>
              <w:sz w:val="16"/>
            </w:rPr>
            <w:t>Signature of Senior Officer or Designee:</w:t>
          </w:r>
        </w:p>
        <w:p w:rsidR="000D1CE3" w:rsidRDefault="000D1CE3">
          <w:pPr>
            <w:pStyle w:val="Footer"/>
            <w:rPr>
              <w:rFonts w:ascii="Helvetica" w:hAnsi="Helvetica"/>
              <w:sz w:val="16"/>
            </w:rPr>
          </w:pPr>
        </w:p>
        <w:p w:rsidR="000D1CE3" w:rsidRDefault="000D1CE3">
          <w:pPr>
            <w:pStyle w:val="Footer"/>
            <w:rPr>
              <w:rFonts w:ascii="Helvetica" w:hAnsi="Helvetica"/>
              <w:sz w:val="16"/>
            </w:rPr>
          </w:pPr>
        </w:p>
        <w:p w:rsidR="000D1CE3" w:rsidRDefault="000D1CE3">
          <w:pPr>
            <w:pStyle w:val="Footer"/>
            <w:rPr>
              <w:rFonts w:ascii="Helvetica" w:hAnsi="Helvetica"/>
              <w:sz w:val="16"/>
            </w:rPr>
          </w:pPr>
          <w:r>
            <w:rPr>
              <w:rFonts w:ascii="Helvetica" w:hAnsi="Helvetica"/>
              <w:sz w:val="16"/>
            </w:rPr>
            <w:t>X</w:t>
          </w:r>
        </w:p>
        <w:p w:rsidR="000D1CE3" w:rsidRDefault="000D1CE3">
          <w:pPr>
            <w:pStyle w:val="Footer"/>
            <w:rPr>
              <w:rFonts w:ascii="Helvetica" w:hAnsi="Helvetica"/>
              <w:sz w:val="16"/>
            </w:rPr>
          </w:pPr>
          <w:r>
            <w:rPr>
              <w:rFonts w:ascii="Helvetica" w:hAnsi="Helvetica"/>
              <w:sz w:val="16"/>
            </w:rPr>
            <w:t>Leroy McKinney,  Departmental Paperwork Reduction Act Officer,</w:t>
          </w:r>
        </w:p>
        <w:p w:rsidR="000D1CE3" w:rsidRDefault="000D1CE3">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0D1CE3" w:rsidRDefault="000D1CE3">
          <w:pPr>
            <w:pStyle w:val="Footer"/>
            <w:rPr>
              <w:rFonts w:ascii="Helvetica" w:hAnsi="Helvetica"/>
              <w:sz w:val="16"/>
            </w:rPr>
          </w:pPr>
          <w:r>
            <w:rPr>
              <w:rFonts w:ascii="Helvetica" w:hAnsi="Helvetica"/>
              <w:sz w:val="16"/>
            </w:rPr>
            <w:t xml:space="preserve">Date: </w:t>
          </w:r>
        </w:p>
      </w:tc>
    </w:tr>
  </w:tbl>
  <w:p w:rsidR="000D1CE3" w:rsidRDefault="000D1CE3">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7F56" w:rsidRDefault="00C97F56">
      <w:r>
        <w:separator/>
      </w:r>
    </w:p>
  </w:footnote>
  <w:footnote w:type="continuationSeparator" w:id="0">
    <w:p w:rsidR="00C97F56" w:rsidRDefault="00C97F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CE3" w:rsidRDefault="000D1CE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877C71"/>
    <w:multiLevelType w:val="hybridMultilevel"/>
    <w:tmpl w:val="AFD28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16585D82"/>
    <w:multiLevelType w:val="hybridMultilevel"/>
    <w:tmpl w:val="0C962A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BB483E"/>
    <w:multiLevelType w:val="hybridMultilevel"/>
    <w:tmpl w:val="EBF010A8"/>
    <w:lvl w:ilvl="0" w:tplc="53B0074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43537EF"/>
    <w:multiLevelType w:val="hybridMultilevel"/>
    <w:tmpl w:val="1632DD6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491681D"/>
    <w:multiLevelType w:val="hybridMultilevel"/>
    <w:tmpl w:val="7320FFD2"/>
    <w:lvl w:ilvl="0" w:tplc="0409000F">
      <w:start w:val="1"/>
      <w:numFmt w:val="decimal"/>
      <w:lvlText w:val="%1."/>
      <w:lvlJc w:val="left"/>
      <w:pPr>
        <w:tabs>
          <w:tab w:val="num" w:pos="360"/>
        </w:tabs>
        <w:ind w:left="360" w:hanging="360"/>
      </w:pPr>
    </w:lvl>
    <w:lvl w:ilvl="1" w:tplc="1CE03CAC">
      <w:start w:val="1"/>
      <w:numFmt w:val="lowerLetter"/>
      <w:lvlText w:val="%2."/>
      <w:lvlJc w:val="left"/>
      <w:pPr>
        <w:tabs>
          <w:tab w:val="num" w:pos="1080"/>
        </w:tabs>
        <w:ind w:left="1080" w:hanging="360"/>
      </w:pPr>
      <w:rPr>
        <w:rFonts w:ascii="Times New Roman" w:hAnsi="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AC83FD8"/>
    <w:multiLevelType w:val="hybridMultilevel"/>
    <w:tmpl w:val="833291DE"/>
    <w:lvl w:ilvl="0" w:tplc="C6509F52">
      <w:start w:val="2"/>
      <w:numFmt w:val="decimal"/>
      <w:lvlText w:val="%1."/>
      <w:lvlJc w:val="left"/>
      <w:pPr>
        <w:tabs>
          <w:tab w:val="num" w:pos="360"/>
        </w:tabs>
        <w:ind w:left="360" w:hanging="360"/>
      </w:pPr>
      <w:rPr>
        <w:rFonts w:hint="default"/>
      </w:rPr>
    </w:lvl>
    <w:lvl w:ilvl="1" w:tplc="B1EA0E5E">
      <w:start w:val="1"/>
      <w:numFmt w:val="lowerLetter"/>
      <w:lvlText w:val="%2."/>
      <w:lvlJc w:val="left"/>
      <w:pPr>
        <w:tabs>
          <w:tab w:val="num" w:pos="792"/>
        </w:tabs>
        <w:ind w:left="79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23D5D92"/>
    <w:multiLevelType w:val="hybridMultilevel"/>
    <w:tmpl w:val="F10E6AD0"/>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458C5BD9"/>
    <w:multiLevelType w:val="multilevel"/>
    <w:tmpl w:val="FC3E589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2">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79B1C44"/>
    <w:multiLevelType w:val="hybridMultilevel"/>
    <w:tmpl w:val="15C458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2E35F0D"/>
    <w:multiLevelType w:val="hybridMultilevel"/>
    <w:tmpl w:val="6C1E3B8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5">
    <w:nsid w:val="62ED5D6D"/>
    <w:multiLevelType w:val="hybridMultilevel"/>
    <w:tmpl w:val="B232B4E6"/>
    <w:lvl w:ilvl="0" w:tplc="8DBCE17A">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DBF0C1E"/>
    <w:multiLevelType w:val="singleLevel"/>
    <w:tmpl w:val="2A1C0242"/>
    <w:lvl w:ilvl="0">
      <w:start w:val="17"/>
      <w:numFmt w:val="decimal"/>
      <w:lvlText w:val="%1."/>
      <w:legacy w:legacy="1" w:legacySpace="120" w:legacyIndent="432"/>
      <w:lvlJc w:val="left"/>
      <w:pPr>
        <w:ind w:left="432" w:hanging="432"/>
      </w:pPr>
    </w:lvl>
  </w:abstractNum>
  <w:abstractNum w:abstractNumId="17">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8">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9">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0">
    <w:nsid w:val="7CF87DEE"/>
    <w:multiLevelType w:val="hybridMultilevel"/>
    <w:tmpl w:val="F04C5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19"/>
  </w:num>
  <w:num w:numId="3">
    <w:abstractNumId w:val="1"/>
  </w:num>
  <w:num w:numId="4">
    <w:abstractNumId w:val="18"/>
  </w:num>
  <w:num w:numId="5">
    <w:abstractNumId w:val="17"/>
  </w:num>
  <w:num w:numId="6">
    <w:abstractNumId w:val="1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1"/>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2"/>
  </w:num>
  <w:num w:numId="10">
    <w:abstractNumId w:val="8"/>
  </w:num>
  <w:num w:numId="11">
    <w:abstractNumId w:val="15"/>
  </w:num>
  <w:num w:numId="12">
    <w:abstractNumId w:val="14"/>
  </w:num>
  <w:num w:numId="13">
    <w:abstractNumId w:val="20"/>
  </w:num>
  <w:num w:numId="14">
    <w:abstractNumId w:val="5"/>
  </w:num>
  <w:num w:numId="15">
    <w:abstractNumId w:val="10"/>
  </w:num>
  <w:num w:numId="16">
    <w:abstractNumId w:val="7"/>
  </w:num>
  <w:num w:numId="17">
    <w:abstractNumId w:val="6"/>
  </w:num>
  <w:num w:numId="18">
    <w:abstractNumId w:val="9"/>
  </w:num>
  <w:num w:numId="19">
    <w:abstractNumId w:val="2"/>
  </w:num>
  <w:num w:numId="20">
    <w:abstractNumId w:val="13"/>
  </w:num>
  <w:num w:numId="21">
    <w:abstractNumId w:val="4"/>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E90DF3"/>
    <w:rsid w:val="00002F0F"/>
    <w:rsid w:val="00015185"/>
    <w:rsid w:val="00020329"/>
    <w:rsid w:val="00020EEE"/>
    <w:rsid w:val="00023CBC"/>
    <w:rsid w:val="00054306"/>
    <w:rsid w:val="000666DD"/>
    <w:rsid w:val="000912B9"/>
    <w:rsid w:val="000A7878"/>
    <w:rsid w:val="000C2DEC"/>
    <w:rsid w:val="000D1CE3"/>
    <w:rsid w:val="000D2DCD"/>
    <w:rsid w:val="000E3188"/>
    <w:rsid w:val="000E464C"/>
    <w:rsid w:val="000F5A45"/>
    <w:rsid w:val="000F68C5"/>
    <w:rsid w:val="000F7D4D"/>
    <w:rsid w:val="00163D13"/>
    <w:rsid w:val="00173604"/>
    <w:rsid w:val="00176BCD"/>
    <w:rsid w:val="001829C8"/>
    <w:rsid w:val="001A6A79"/>
    <w:rsid w:val="001C157A"/>
    <w:rsid w:val="001D473D"/>
    <w:rsid w:val="001E5347"/>
    <w:rsid w:val="00201BE9"/>
    <w:rsid w:val="0021333A"/>
    <w:rsid w:val="002437C4"/>
    <w:rsid w:val="0024784A"/>
    <w:rsid w:val="00257850"/>
    <w:rsid w:val="00257A76"/>
    <w:rsid w:val="00260758"/>
    <w:rsid w:val="00271C79"/>
    <w:rsid w:val="002757FC"/>
    <w:rsid w:val="00276986"/>
    <w:rsid w:val="002C0998"/>
    <w:rsid w:val="002D4413"/>
    <w:rsid w:val="002E34DC"/>
    <w:rsid w:val="003234AB"/>
    <w:rsid w:val="0034642E"/>
    <w:rsid w:val="00350BB6"/>
    <w:rsid w:val="0035518E"/>
    <w:rsid w:val="00384AA3"/>
    <w:rsid w:val="003856F9"/>
    <w:rsid w:val="0039374E"/>
    <w:rsid w:val="003E66C8"/>
    <w:rsid w:val="003F3430"/>
    <w:rsid w:val="003F7C7B"/>
    <w:rsid w:val="00415422"/>
    <w:rsid w:val="00423B1D"/>
    <w:rsid w:val="00446F92"/>
    <w:rsid w:val="00460F9B"/>
    <w:rsid w:val="004637F1"/>
    <w:rsid w:val="00467954"/>
    <w:rsid w:val="00467C55"/>
    <w:rsid w:val="00470293"/>
    <w:rsid w:val="0049547A"/>
    <w:rsid w:val="004A6EC3"/>
    <w:rsid w:val="004C528C"/>
    <w:rsid w:val="004D7116"/>
    <w:rsid w:val="004E0615"/>
    <w:rsid w:val="004E244E"/>
    <w:rsid w:val="004E7352"/>
    <w:rsid w:val="00511347"/>
    <w:rsid w:val="00524CAB"/>
    <w:rsid w:val="00525159"/>
    <w:rsid w:val="00531253"/>
    <w:rsid w:val="00536A89"/>
    <w:rsid w:val="00550619"/>
    <w:rsid w:val="00550B97"/>
    <w:rsid w:val="00551F77"/>
    <w:rsid w:val="00563DD1"/>
    <w:rsid w:val="005674A1"/>
    <w:rsid w:val="005919A7"/>
    <w:rsid w:val="005932CB"/>
    <w:rsid w:val="005A3FA9"/>
    <w:rsid w:val="005A4570"/>
    <w:rsid w:val="005B3379"/>
    <w:rsid w:val="005F05BC"/>
    <w:rsid w:val="00602D58"/>
    <w:rsid w:val="00626115"/>
    <w:rsid w:val="00631906"/>
    <w:rsid w:val="006572AC"/>
    <w:rsid w:val="00665224"/>
    <w:rsid w:val="006657B4"/>
    <w:rsid w:val="006A24F9"/>
    <w:rsid w:val="006B496A"/>
    <w:rsid w:val="006B7CB0"/>
    <w:rsid w:val="006D069C"/>
    <w:rsid w:val="006D1A35"/>
    <w:rsid w:val="006D3621"/>
    <w:rsid w:val="006E48AA"/>
    <w:rsid w:val="006E7768"/>
    <w:rsid w:val="006F0CC1"/>
    <w:rsid w:val="00723779"/>
    <w:rsid w:val="00724CCA"/>
    <w:rsid w:val="007502A5"/>
    <w:rsid w:val="00762897"/>
    <w:rsid w:val="00762BA9"/>
    <w:rsid w:val="00774DAB"/>
    <w:rsid w:val="007A1FE8"/>
    <w:rsid w:val="007A7EBA"/>
    <w:rsid w:val="007B6FD9"/>
    <w:rsid w:val="007B7347"/>
    <w:rsid w:val="007C5FB1"/>
    <w:rsid w:val="007C677A"/>
    <w:rsid w:val="007E089C"/>
    <w:rsid w:val="007E3CB7"/>
    <w:rsid w:val="007E4A7A"/>
    <w:rsid w:val="007F1DEC"/>
    <w:rsid w:val="00803014"/>
    <w:rsid w:val="008245B4"/>
    <w:rsid w:val="0083391F"/>
    <w:rsid w:val="00836475"/>
    <w:rsid w:val="00877461"/>
    <w:rsid w:val="008A4BF7"/>
    <w:rsid w:val="008C09AC"/>
    <w:rsid w:val="008E202D"/>
    <w:rsid w:val="0091041D"/>
    <w:rsid w:val="00913D18"/>
    <w:rsid w:val="00920BB8"/>
    <w:rsid w:val="00927F9C"/>
    <w:rsid w:val="00932990"/>
    <w:rsid w:val="009467D7"/>
    <w:rsid w:val="0096146A"/>
    <w:rsid w:val="009B6429"/>
    <w:rsid w:val="009F4D6F"/>
    <w:rsid w:val="00A01DF0"/>
    <w:rsid w:val="00A06A8C"/>
    <w:rsid w:val="00A179C8"/>
    <w:rsid w:val="00A37668"/>
    <w:rsid w:val="00A44DCE"/>
    <w:rsid w:val="00A56931"/>
    <w:rsid w:val="00A82200"/>
    <w:rsid w:val="00A8409A"/>
    <w:rsid w:val="00A84524"/>
    <w:rsid w:val="00A92BB4"/>
    <w:rsid w:val="00AD50F1"/>
    <w:rsid w:val="00AE4E77"/>
    <w:rsid w:val="00B30CD8"/>
    <w:rsid w:val="00B556DA"/>
    <w:rsid w:val="00B62BFB"/>
    <w:rsid w:val="00B6711A"/>
    <w:rsid w:val="00B8157F"/>
    <w:rsid w:val="00B911EF"/>
    <w:rsid w:val="00BA4A23"/>
    <w:rsid w:val="00BC238F"/>
    <w:rsid w:val="00BD2DD7"/>
    <w:rsid w:val="00BD60BD"/>
    <w:rsid w:val="00C17003"/>
    <w:rsid w:val="00C50317"/>
    <w:rsid w:val="00C64FBF"/>
    <w:rsid w:val="00C910F0"/>
    <w:rsid w:val="00C97F56"/>
    <w:rsid w:val="00CB11C1"/>
    <w:rsid w:val="00CB7EB6"/>
    <w:rsid w:val="00CE2719"/>
    <w:rsid w:val="00CF67E7"/>
    <w:rsid w:val="00D21E6C"/>
    <w:rsid w:val="00D37D17"/>
    <w:rsid w:val="00D4555C"/>
    <w:rsid w:val="00D57140"/>
    <w:rsid w:val="00D97137"/>
    <w:rsid w:val="00DA095F"/>
    <w:rsid w:val="00DA2EFF"/>
    <w:rsid w:val="00DE54B5"/>
    <w:rsid w:val="00DF4EAA"/>
    <w:rsid w:val="00E04E6E"/>
    <w:rsid w:val="00E16210"/>
    <w:rsid w:val="00E3565B"/>
    <w:rsid w:val="00E369FA"/>
    <w:rsid w:val="00E66CEF"/>
    <w:rsid w:val="00E90DF3"/>
    <w:rsid w:val="00E92E93"/>
    <w:rsid w:val="00EB4D71"/>
    <w:rsid w:val="00EC385F"/>
    <w:rsid w:val="00ED0C0D"/>
    <w:rsid w:val="00ED24A1"/>
    <w:rsid w:val="00ED41AE"/>
    <w:rsid w:val="00F15894"/>
    <w:rsid w:val="00F21636"/>
    <w:rsid w:val="00F27B4F"/>
    <w:rsid w:val="00F50671"/>
    <w:rsid w:val="00F66B44"/>
    <w:rsid w:val="00F75D5F"/>
    <w:rsid w:val="00F86953"/>
    <w:rsid w:val="00FB46E2"/>
    <w:rsid w:val="00FB5DF5"/>
    <w:rsid w:val="00FE1EAD"/>
    <w:rsid w:val="00FE2AF0"/>
    <w:rsid w:val="00FE4659"/>
    <w:rsid w:val="00FE4A86"/>
    <w:rsid w:val="00FF18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57F"/>
    <w:pPr>
      <w:overflowPunct w:val="0"/>
      <w:autoSpaceDE w:val="0"/>
      <w:autoSpaceDN w:val="0"/>
      <w:adjustRightInd w:val="0"/>
      <w:textAlignment w:val="baseline"/>
    </w:pPr>
  </w:style>
  <w:style w:type="paragraph" w:styleId="Heading1">
    <w:name w:val="heading 1"/>
    <w:basedOn w:val="Normal"/>
    <w:next w:val="Normal"/>
    <w:link w:val="Heading1Char"/>
    <w:qFormat/>
    <w:rsid w:val="00CF67E7"/>
    <w:pPr>
      <w:keepNext/>
      <w:jc w:val="center"/>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57F"/>
    <w:pPr>
      <w:tabs>
        <w:tab w:val="center" w:pos="4320"/>
        <w:tab w:val="right" w:pos="8640"/>
      </w:tabs>
    </w:pPr>
  </w:style>
  <w:style w:type="paragraph" w:styleId="Footer">
    <w:name w:val="footer"/>
    <w:basedOn w:val="Normal"/>
    <w:rsid w:val="00B8157F"/>
    <w:pPr>
      <w:tabs>
        <w:tab w:val="center" w:pos="4320"/>
        <w:tab w:val="right" w:pos="8640"/>
      </w:tabs>
    </w:pPr>
  </w:style>
  <w:style w:type="character" w:customStyle="1" w:styleId="Heading1Char">
    <w:name w:val="Heading 1 Char"/>
    <w:basedOn w:val="DefaultParagraphFont"/>
    <w:link w:val="Heading1"/>
    <w:rsid w:val="00CF67E7"/>
    <w:rPr>
      <w:b/>
      <w:bCs/>
      <w:sz w:val="24"/>
      <w:u w:val="single"/>
    </w:rPr>
  </w:style>
  <w:style w:type="paragraph" w:customStyle="1" w:styleId="OmniPage2">
    <w:name w:val="OmniPage #2"/>
    <w:basedOn w:val="Normal"/>
    <w:rsid w:val="00CF67E7"/>
    <w:pPr>
      <w:tabs>
        <w:tab w:val="right" w:pos="2236"/>
      </w:tabs>
      <w:spacing w:line="268" w:lineRule="exact"/>
      <w:ind w:left="50" w:right="50"/>
    </w:pPr>
    <w:rPr>
      <w:noProof/>
    </w:rPr>
  </w:style>
  <w:style w:type="paragraph" w:styleId="BodyText">
    <w:name w:val="Body Text"/>
    <w:basedOn w:val="Normal"/>
    <w:link w:val="BodyTextChar"/>
    <w:rsid w:val="00CF67E7"/>
    <w:rPr>
      <w:sz w:val="24"/>
    </w:rPr>
  </w:style>
  <w:style w:type="character" w:customStyle="1" w:styleId="BodyTextChar">
    <w:name w:val="Body Text Char"/>
    <w:basedOn w:val="DefaultParagraphFont"/>
    <w:link w:val="BodyText"/>
    <w:rsid w:val="00CF67E7"/>
    <w:rPr>
      <w:sz w:val="24"/>
    </w:rPr>
  </w:style>
  <w:style w:type="paragraph" w:styleId="BodyTextIndent">
    <w:name w:val="Body Text Indent"/>
    <w:basedOn w:val="Normal"/>
    <w:link w:val="BodyTextIndentChar"/>
    <w:rsid w:val="00CF67E7"/>
    <w:pPr>
      <w:ind w:left="720" w:hanging="720"/>
    </w:pPr>
    <w:rPr>
      <w:sz w:val="24"/>
    </w:rPr>
  </w:style>
  <w:style w:type="character" w:customStyle="1" w:styleId="BodyTextIndentChar">
    <w:name w:val="Body Text Indent Char"/>
    <w:basedOn w:val="DefaultParagraphFont"/>
    <w:link w:val="BodyTextIndent"/>
    <w:rsid w:val="00CF67E7"/>
    <w:rPr>
      <w:sz w:val="24"/>
    </w:rPr>
  </w:style>
  <w:style w:type="paragraph" w:styleId="BodyTextIndent2">
    <w:name w:val="Body Text Indent 2"/>
    <w:basedOn w:val="Normal"/>
    <w:link w:val="BodyTextIndent2Char"/>
    <w:rsid w:val="00CF67E7"/>
    <w:pPr>
      <w:ind w:left="360"/>
    </w:pPr>
    <w:rPr>
      <w:sz w:val="24"/>
    </w:rPr>
  </w:style>
  <w:style w:type="character" w:customStyle="1" w:styleId="BodyTextIndent2Char">
    <w:name w:val="Body Text Indent 2 Char"/>
    <w:basedOn w:val="DefaultParagraphFont"/>
    <w:link w:val="BodyTextIndent2"/>
    <w:rsid w:val="00CF67E7"/>
    <w:rPr>
      <w:sz w:val="24"/>
    </w:rPr>
  </w:style>
  <w:style w:type="paragraph" w:styleId="BodyTextIndent3">
    <w:name w:val="Body Text Indent 3"/>
    <w:basedOn w:val="Normal"/>
    <w:link w:val="BodyTextIndent3Char"/>
    <w:rsid w:val="00CF67E7"/>
    <w:pPr>
      <w:ind w:firstLine="360"/>
    </w:pPr>
    <w:rPr>
      <w:sz w:val="24"/>
    </w:rPr>
  </w:style>
  <w:style w:type="character" w:customStyle="1" w:styleId="BodyTextIndent3Char">
    <w:name w:val="Body Text Indent 3 Char"/>
    <w:basedOn w:val="DefaultParagraphFont"/>
    <w:link w:val="BodyTextIndent3"/>
    <w:rsid w:val="00CF67E7"/>
    <w:rPr>
      <w:sz w:val="24"/>
    </w:rPr>
  </w:style>
  <w:style w:type="paragraph" w:styleId="BodyText2">
    <w:name w:val="Body Text 2"/>
    <w:basedOn w:val="Normal"/>
    <w:link w:val="BodyText2Char"/>
    <w:rsid w:val="00CF67E7"/>
    <w:rPr>
      <w:rFonts w:ascii="Helvetica" w:hAnsi="Helvetica"/>
      <w:sz w:val="16"/>
    </w:rPr>
  </w:style>
  <w:style w:type="character" w:customStyle="1" w:styleId="BodyText2Char">
    <w:name w:val="Body Text 2 Char"/>
    <w:basedOn w:val="DefaultParagraphFont"/>
    <w:link w:val="BodyText2"/>
    <w:rsid w:val="00CF67E7"/>
    <w:rPr>
      <w:rFonts w:ascii="Helvetica" w:hAnsi="Helvetica"/>
      <w:sz w:val="16"/>
    </w:rPr>
  </w:style>
  <w:style w:type="paragraph" w:customStyle="1" w:styleId="Enclosure">
    <w:name w:val="Enclosure"/>
    <w:basedOn w:val="Normal"/>
    <w:rsid w:val="00CF67E7"/>
    <w:pPr>
      <w:overflowPunct/>
      <w:autoSpaceDE/>
      <w:autoSpaceDN/>
      <w:adjustRightInd/>
      <w:textAlignment w:val="auto"/>
    </w:pPr>
    <w:rPr>
      <w:rFonts w:ascii="Courier New" w:hAnsi="Courier New" w:cs="Courier New"/>
      <w:sz w:val="24"/>
      <w:szCs w:val="24"/>
    </w:rPr>
  </w:style>
  <w:style w:type="paragraph" w:styleId="List5">
    <w:name w:val="List 5"/>
    <w:basedOn w:val="Normal"/>
    <w:rsid w:val="00563DD1"/>
    <w:pPr>
      <w:overflowPunct/>
      <w:autoSpaceDE/>
      <w:autoSpaceDN/>
      <w:adjustRightInd/>
      <w:ind w:left="1800" w:hanging="360"/>
      <w:textAlignment w:val="auto"/>
    </w:pPr>
    <w:rPr>
      <w:sz w:val="24"/>
      <w:szCs w:val="24"/>
    </w:rPr>
  </w:style>
  <w:style w:type="paragraph" w:styleId="ListParagraph">
    <w:name w:val="List Paragraph"/>
    <w:basedOn w:val="Normal"/>
    <w:uiPriority w:val="34"/>
    <w:qFormat/>
    <w:rsid w:val="006A24F9"/>
    <w:pPr>
      <w:ind w:left="720"/>
      <w:contextualSpacing/>
    </w:pPr>
  </w:style>
  <w:style w:type="paragraph" w:styleId="EndnoteText">
    <w:name w:val="endnote text"/>
    <w:basedOn w:val="Normal"/>
    <w:link w:val="EndnoteTextChar"/>
    <w:rsid w:val="00932990"/>
    <w:pPr>
      <w:widowControl w:val="0"/>
    </w:pPr>
    <w:rPr>
      <w:rFonts w:ascii="Courier New" w:hAnsi="Courier New"/>
      <w:sz w:val="24"/>
    </w:rPr>
  </w:style>
  <w:style w:type="character" w:customStyle="1" w:styleId="EndnoteTextChar">
    <w:name w:val="Endnote Text Char"/>
    <w:basedOn w:val="DefaultParagraphFont"/>
    <w:link w:val="EndnoteText"/>
    <w:rsid w:val="00932990"/>
    <w:rPr>
      <w:rFonts w:ascii="Courier New" w:hAnsi="Courier New"/>
      <w:sz w:val="24"/>
    </w:rPr>
  </w:style>
</w:styles>
</file>

<file path=word/webSettings.xml><?xml version="1.0" encoding="utf-8"?>
<w:webSettings xmlns:r="http://schemas.openxmlformats.org/officeDocument/2006/relationships" xmlns:w="http://schemas.openxmlformats.org/wordprocessingml/2006/main">
  <w:divs>
    <w:div w:id="343628155">
      <w:bodyDiv w:val="1"/>
      <w:marLeft w:val="0"/>
      <w:marRight w:val="0"/>
      <w:marTop w:val="0"/>
      <w:marBottom w:val="0"/>
      <w:divBdr>
        <w:top w:val="none" w:sz="0" w:space="0" w:color="auto"/>
        <w:left w:val="none" w:sz="0" w:space="0" w:color="auto"/>
        <w:bottom w:val="none" w:sz="0" w:space="0" w:color="auto"/>
        <w:right w:val="none" w:sz="0" w:space="0" w:color="auto"/>
      </w:divBdr>
    </w:div>
    <w:div w:id="206386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04AB5-358D-4F5C-B149-BA417BC7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4859</Words>
  <Characters>27702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32497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H45351</cp:lastModifiedBy>
  <cp:revision>7</cp:revision>
  <cp:lastPrinted>2010-03-19T18:51:00Z</cp:lastPrinted>
  <dcterms:created xsi:type="dcterms:W3CDTF">2010-03-22T13:09:00Z</dcterms:created>
  <dcterms:modified xsi:type="dcterms:W3CDTF">2010-03-31T20:48:00Z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1497406617</vt:i4>
  </property>
  <property fmtid="{D5CDD505-2E9C-101B-9397-08002B2CF9AE}" pid="3" name="_NewReviewCycle">
    <vt:lpwstr/>
  </property>
  <property fmtid="{D5CDD505-2E9C-101B-9397-08002B2CF9AE}" pid="4" name="_EmailSubject">
    <vt:lpwstr>Emergency FR Notice for the Housing Choice Voucher Program  (VMS)</vt:lpwstr>
  </property>
  <property fmtid="{D5CDD505-2E9C-101B-9397-08002B2CF9AE}" pid="5" name="_AuthorEmail">
    <vt:lpwstr>Dacia.A.Rogers@hud.gov</vt:lpwstr>
  </property>
  <property fmtid="{D5CDD505-2E9C-101B-9397-08002B2CF9AE}" pid="6" name="_AuthorEmailDisplayName">
    <vt:lpwstr>Rogers, Dacia A</vt:lpwstr>
  </property>
  <property fmtid="{D5CDD505-2E9C-101B-9397-08002B2CF9AE}" pid="7" name="_PreviousAdHocReviewCycleID">
    <vt:i4>-182097144</vt:i4>
  </property>
  <property fmtid="{D5CDD505-2E9C-101B-9397-08002B2CF9AE}" pid="8" name="_ReviewingToolsShownOnce">
    <vt:lpwstr/>
  </property>
</Properties>
</file>