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32" w:rsidRDefault="00FC6B32" w:rsidP="00B13161">
      <w:pPr>
        <w:tabs>
          <w:tab w:val="left" w:pos="547"/>
          <w:tab w:val="left" w:pos="1080"/>
          <w:tab w:val="left" w:pos="1627"/>
          <w:tab w:val="left" w:pos="2160"/>
          <w:tab w:val="left" w:pos="2880"/>
        </w:tabs>
        <w:jc w:val="center"/>
        <w:rPr>
          <w:b/>
          <w:color w:val="000000"/>
          <w:sz w:val="28"/>
          <w:szCs w:val="28"/>
        </w:rPr>
      </w:pPr>
      <w:r>
        <w:rPr>
          <w:b/>
          <w:color w:val="000000"/>
          <w:sz w:val="28"/>
          <w:szCs w:val="28"/>
        </w:rPr>
        <w:t>SURVEY OF HEALTHCARE EXPERIENCES</w:t>
      </w:r>
    </w:p>
    <w:p w:rsidR="00B13161" w:rsidRDefault="00B13161" w:rsidP="00B13161">
      <w:pPr>
        <w:tabs>
          <w:tab w:val="left" w:pos="547"/>
          <w:tab w:val="left" w:pos="1080"/>
          <w:tab w:val="left" w:pos="1627"/>
          <w:tab w:val="left" w:pos="2160"/>
          <w:tab w:val="left" w:pos="2880"/>
        </w:tabs>
        <w:jc w:val="center"/>
        <w:rPr>
          <w:b/>
          <w:bCs/>
        </w:rPr>
      </w:pPr>
      <w:r w:rsidRPr="00FC6B32">
        <w:rPr>
          <w:b/>
          <w:caps/>
          <w:color w:val="000000"/>
          <w:sz w:val="28"/>
          <w:szCs w:val="28"/>
        </w:rPr>
        <w:t>Dental Patient Satisfaction Survey</w:t>
      </w:r>
      <w:r w:rsidRPr="00FC6B32">
        <w:rPr>
          <w:b/>
          <w:bCs/>
          <w:caps/>
        </w:rPr>
        <w:br/>
      </w:r>
      <w:r>
        <w:rPr>
          <w:b/>
          <w:bCs/>
        </w:rPr>
        <w:t>OMB</w:t>
      </w:r>
      <w:r w:rsidRPr="007C23F0">
        <w:rPr>
          <w:b/>
          <w:bCs/>
        </w:rPr>
        <w:t xml:space="preserve"> FORM 2900-XXXX</w:t>
      </w:r>
      <w:r>
        <w:rPr>
          <w:b/>
          <w:bCs/>
        </w:rPr>
        <w:br/>
        <w:t>VA Form 10-</w:t>
      </w:r>
      <w:r w:rsidR="000F4DB6">
        <w:rPr>
          <w:b/>
          <w:bCs/>
        </w:rPr>
        <w:t>0503</w:t>
      </w:r>
    </w:p>
    <w:p w:rsidR="00B910FD" w:rsidRDefault="00B910FD">
      <w:pPr>
        <w:tabs>
          <w:tab w:val="left" w:pos="547"/>
          <w:tab w:val="left" w:pos="1080"/>
          <w:tab w:val="left" w:pos="1627"/>
          <w:tab w:val="left" w:pos="2160"/>
          <w:tab w:val="left" w:pos="2880"/>
        </w:tabs>
      </w:pPr>
    </w:p>
    <w:p w:rsidR="00B84639" w:rsidRPr="00B84639" w:rsidRDefault="00B84639" w:rsidP="00B84639"/>
    <w:p w:rsidR="00536A11" w:rsidRPr="00B84639"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pPr>
      <w:r w:rsidRPr="00B84639">
        <w:t>B.</w:t>
      </w:r>
      <w:r w:rsidRPr="00B84639">
        <w:tab/>
        <w:t>COLLECTIONS OF INFORMATION EMPLOYING STATISTICAL METHODS</w:t>
      </w:r>
    </w:p>
    <w:p w:rsidR="00536A11" w:rsidRDefault="00536A11">
      <w:pPr>
        <w:tabs>
          <w:tab w:val="left" w:pos="547"/>
          <w:tab w:val="left" w:pos="1080"/>
          <w:tab w:val="left" w:pos="1627"/>
          <w:tab w:val="left" w:pos="2160"/>
          <w:tab w:val="left" w:pos="2880"/>
        </w:tabs>
      </w:pPr>
    </w:p>
    <w:p w:rsidR="007D6EB1" w:rsidRPr="00B84639" w:rsidRDefault="007D6EB1" w:rsidP="007D6EB1">
      <w:pPr>
        <w:numPr>
          <w:ilvl w:val="0"/>
          <w:numId w:val="7"/>
        </w:numPr>
        <w:tabs>
          <w:tab w:val="clear" w:pos="360"/>
          <w:tab w:val="left" w:pos="547"/>
          <w:tab w:val="left" w:pos="1080"/>
          <w:tab w:val="left" w:pos="1627"/>
          <w:tab w:val="left" w:pos="2160"/>
          <w:tab w:val="left" w:pos="2880"/>
        </w:tabs>
        <w:ind w:left="0" w:firstLine="0"/>
        <w:rPr>
          <w:b/>
        </w:rPr>
      </w:pPr>
      <w:r w:rsidRPr="00B84639">
        <w:rPr>
          <w:b/>
        </w:rPr>
        <w:t>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strata.  Indicate expected response rates.  If this has been conducted previously include actual response rates achieved.</w:t>
      </w:r>
    </w:p>
    <w:p w:rsidR="007D6EB1" w:rsidRPr="007D6EB1" w:rsidRDefault="007D6EB1" w:rsidP="007D6EB1">
      <w:pPr>
        <w:tabs>
          <w:tab w:val="left" w:pos="547"/>
          <w:tab w:val="left" w:pos="1080"/>
          <w:tab w:val="left" w:pos="1627"/>
          <w:tab w:val="left" w:pos="2160"/>
          <w:tab w:val="left" w:pos="2880"/>
        </w:tabs>
        <w:ind w:left="360"/>
        <w:rPr>
          <w:b/>
        </w:rPr>
      </w:pP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26B98">
        <w:rPr>
          <w:color w:val="FF0000"/>
        </w:rPr>
        <w:tab/>
      </w:r>
      <w:r w:rsidRPr="00226B98">
        <w:rPr>
          <w:color w:val="FF0000"/>
        </w:rPr>
        <w:tab/>
      </w:r>
      <w:r w:rsidRPr="00F52473">
        <w:rPr>
          <w:color w:val="000000"/>
        </w:rPr>
        <w:t>Veteran patient population receiving medical care:</w:t>
      </w:r>
      <w:r w:rsidRPr="00F52473">
        <w:rPr>
          <w:color w:val="000000"/>
        </w:rPr>
        <w:tab/>
      </w:r>
      <w:r w:rsidRPr="00F52473">
        <w:rPr>
          <w:color w:val="000000"/>
        </w:rPr>
        <w:tab/>
        <w:t>5,387,000 patients/year*</w:t>
      </w: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F52473">
        <w:rPr>
          <w:color w:val="000000"/>
        </w:rPr>
        <w:tab/>
      </w:r>
      <w:r w:rsidRPr="00F52473">
        <w:rPr>
          <w:color w:val="000000"/>
        </w:rPr>
        <w:tab/>
        <w:t>Potential respondent universe receiving dental care:</w:t>
      </w:r>
      <w:r w:rsidRPr="00F52473">
        <w:rPr>
          <w:color w:val="000000"/>
        </w:rPr>
        <w:tab/>
      </w:r>
      <w:r w:rsidRPr="00F52473">
        <w:rPr>
          <w:color w:val="000000"/>
        </w:rPr>
        <w:tab/>
        <w:t>329,000 patients/year**</w:t>
      </w: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F52473">
        <w:rPr>
          <w:color w:val="000000"/>
        </w:rPr>
        <w:tab/>
      </w:r>
      <w:r w:rsidRPr="00F52473">
        <w:rPr>
          <w:color w:val="000000"/>
        </w:rPr>
        <w:tab/>
        <w:t xml:space="preserve">Expected response rate (based upon experience </w:t>
      </w: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F52473">
        <w:rPr>
          <w:color w:val="000000"/>
        </w:rPr>
        <w:tab/>
      </w:r>
      <w:r w:rsidRPr="00F52473">
        <w:rPr>
          <w:color w:val="000000"/>
        </w:rPr>
        <w:tab/>
        <w:t>of VA Office of Quality and Performance):</w:t>
      </w:r>
      <w:r w:rsidRPr="00F52473">
        <w:rPr>
          <w:color w:val="000000"/>
        </w:rPr>
        <w:tab/>
      </w:r>
      <w:r w:rsidRPr="00F52473">
        <w:rPr>
          <w:color w:val="000000"/>
        </w:rPr>
        <w:tab/>
      </w:r>
      <w:r w:rsidRPr="00F52473">
        <w:rPr>
          <w:color w:val="000000"/>
        </w:rPr>
        <w:tab/>
        <w:t xml:space="preserve">50% </w:t>
      </w:r>
    </w:p>
    <w:p w:rsidR="007D6EB1" w:rsidRPr="00F52473" w:rsidRDefault="007D6EB1" w:rsidP="007D6EB1">
      <w:pPr>
        <w:tabs>
          <w:tab w:val="left" w:pos="540"/>
          <w:tab w:val="left" w:pos="1080"/>
          <w:tab w:val="left" w:pos="1620"/>
          <w:tab w:val="left" w:pos="2160"/>
          <w:tab w:val="left" w:pos="2880"/>
          <w:tab w:val="left" w:pos="3600"/>
          <w:tab w:val="left" w:pos="4320"/>
          <w:tab w:val="left" w:pos="5040"/>
          <w:tab w:val="left" w:pos="5760"/>
          <w:tab w:val="left" w:pos="7200"/>
          <w:tab w:val="left" w:pos="7920"/>
          <w:tab w:val="left" w:pos="8640"/>
          <w:tab w:val="left" w:pos="9360"/>
        </w:tabs>
        <w:ind w:left="3600" w:hanging="2088"/>
        <w:rPr>
          <w:color w:val="000000"/>
        </w:rPr>
      </w:pPr>
    </w:p>
    <w:p w:rsidR="007D6EB1" w:rsidRPr="00F52473" w:rsidRDefault="007D6EB1" w:rsidP="007D6EB1">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rPr>
          <w:color w:val="000000"/>
        </w:rPr>
      </w:pPr>
      <w:r w:rsidRPr="00F52473">
        <w:rPr>
          <w:color w:val="000000"/>
        </w:rPr>
        <w:t>Sampling methodology:  a random selection of Social Security numbers of all veterans receiving dental care at VA facilities will receive surveys.  This information is derived from the Dental Encounter System which is a subset of the Patient Care Encounter System (PCE).</w:t>
      </w:r>
    </w:p>
    <w:p w:rsidR="007D6EB1" w:rsidRPr="00F52473" w:rsidRDefault="007D6EB1" w:rsidP="007D6EB1">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rPr>
          <w:color w:val="000000"/>
        </w:rPr>
      </w:pPr>
    </w:p>
    <w:p w:rsidR="007D6EB1" w:rsidRPr="00F52473" w:rsidRDefault="007D6EB1" w:rsidP="007D6EB1">
      <w:pPr>
        <w:pStyle w:val="Header"/>
        <w:tabs>
          <w:tab w:val="clear" w:pos="4320"/>
          <w:tab w:val="clear" w:pos="8640"/>
          <w:tab w:val="left" w:pos="547"/>
          <w:tab w:val="left" w:pos="1080"/>
          <w:tab w:val="left" w:pos="1627"/>
          <w:tab w:val="left" w:pos="2160"/>
          <w:tab w:val="left" w:pos="2880"/>
        </w:tabs>
        <w:rPr>
          <w:color w:val="000000"/>
          <w:sz w:val="24"/>
        </w:rPr>
      </w:pPr>
      <w:r w:rsidRPr="00F52473">
        <w:rPr>
          <w:color w:val="000000"/>
          <w:sz w:val="24"/>
        </w:rPr>
        <w:lastRenderedPageBreak/>
        <w:tab/>
      </w:r>
      <w:r w:rsidRPr="00F52473">
        <w:rPr>
          <w:color w:val="000000"/>
          <w:sz w:val="24"/>
        </w:rPr>
        <w:tab/>
        <w:t>* from the Unique Patients Cube, VSSC</w:t>
      </w:r>
    </w:p>
    <w:p w:rsidR="007D6EB1" w:rsidRPr="00F52473" w:rsidRDefault="007D6EB1" w:rsidP="007D6EB1">
      <w:pPr>
        <w:pStyle w:val="Header"/>
        <w:tabs>
          <w:tab w:val="clear" w:pos="4320"/>
          <w:tab w:val="clear" w:pos="8640"/>
          <w:tab w:val="left" w:pos="547"/>
          <w:tab w:val="left" w:pos="1080"/>
          <w:tab w:val="left" w:pos="1627"/>
          <w:tab w:val="left" w:pos="2160"/>
          <w:tab w:val="left" w:pos="2880"/>
        </w:tabs>
        <w:rPr>
          <w:color w:val="000000"/>
          <w:sz w:val="24"/>
        </w:rPr>
      </w:pPr>
      <w:r w:rsidRPr="00F52473">
        <w:rPr>
          <w:color w:val="000000"/>
          <w:sz w:val="24"/>
        </w:rPr>
        <w:tab/>
      </w:r>
      <w:r w:rsidRPr="00F52473">
        <w:rPr>
          <w:color w:val="000000"/>
          <w:sz w:val="24"/>
        </w:rPr>
        <w:tab/>
        <w:t>** from the Dental Encounter System</w:t>
      </w:r>
    </w:p>
    <w:p w:rsidR="000C2F44" w:rsidRPr="00B84639" w:rsidRDefault="000C2F44" w:rsidP="000C2F44">
      <w:pPr>
        <w:pStyle w:val="Header"/>
        <w:tabs>
          <w:tab w:val="clear" w:pos="4320"/>
          <w:tab w:val="clear" w:pos="8640"/>
          <w:tab w:val="left" w:pos="547"/>
          <w:tab w:val="left" w:pos="1080"/>
          <w:tab w:val="left" w:pos="1627"/>
          <w:tab w:val="left" w:pos="2160"/>
          <w:tab w:val="left" w:pos="2880"/>
        </w:tabs>
        <w:rPr>
          <w:sz w:val="24"/>
        </w:rPr>
      </w:pPr>
    </w:p>
    <w:p w:rsidR="00536A11" w:rsidRPr="00B84639" w:rsidRDefault="00536A11">
      <w:pPr>
        <w:numPr>
          <w:ilvl w:val="0"/>
          <w:numId w:val="1"/>
        </w:numPr>
        <w:tabs>
          <w:tab w:val="clear" w:pos="360"/>
          <w:tab w:val="left" w:pos="547"/>
          <w:tab w:val="left" w:pos="1080"/>
          <w:tab w:val="left" w:pos="1627"/>
          <w:tab w:val="left" w:pos="2160"/>
          <w:tab w:val="left" w:pos="2880"/>
        </w:tabs>
        <w:rPr>
          <w:b/>
        </w:rPr>
      </w:pPr>
      <w:r w:rsidRPr="00B84639">
        <w:rPr>
          <w:b/>
        </w:rPr>
        <w:t>Describe the procedures for the collection of information, including:</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Statistical methodology for stratification and sample selection</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Estimation procedure</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Degree of accuracy needed</w:t>
      </w:r>
    </w:p>
    <w:p w:rsidR="00536A11" w:rsidRDefault="00536A11">
      <w:pPr>
        <w:numPr>
          <w:ilvl w:val="0"/>
          <w:numId w:val="2"/>
        </w:numPr>
        <w:tabs>
          <w:tab w:val="clear" w:pos="360"/>
          <w:tab w:val="left" w:pos="547"/>
          <w:tab w:val="left" w:pos="1080"/>
          <w:tab w:val="left" w:pos="1627"/>
          <w:tab w:val="left" w:pos="2160"/>
          <w:tab w:val="left" w:pos="2880"/>
        </w:tabs>
        <w:rPr>
          <w:b/>
        </w:rPr>
      </w:pPr>
      <w:r>
        <w:rPr>
          <w:b/>
        </w:rPr>
        <w:t>Unusual problems requiring specialized sampling procedures</w:t>
      </w:r>
    </w:p>
    <w:p w:rsidR="00536A11" w:rsidRDefault="00536A11">
      <w:pPr>
        <w:numPr>
          <w:ilvl w:val="0"/>
          <w:numId w:val="2"/>
        </w:numPr>
        <w:tabs>
          <w:tab w:val="clear" w:pos="360"/>
          <w:tab w:val="left" w:pos="547"/>
          <w:tab w:val="left" w:pos="1080"/>
          <w:tab w:val="left" w:pos="1627"/>
          <w:tab w:val="left" w:pos="2160"/>
          <w:tab w:val="left" w:pos="2880"/>
        </w:tabs>
        <w:rPr>
          <w:b/>
        </w:rPr>
      </w:pPr>
      <w:r>
        <w:rPr>
          <w:b/>
        </w:rPr>
        <w:t>Any use of less frequent than annual data collection to reduce burden</w:t>
      </w:r>
    </w:p>
    <w:p w:rsidR="000C2F44" w:rsidRDefault="000C2F44" w:rsidP="00B84639">
      <w:pPr>
        <w:tabs>
          <w:tab w:val="left" w:pos="547"/>
          <w:tab w:val="left" w:pos="1080"/>
          <w:tab w:val="left" w:pos="1627"/>
          <w:tab w:val="left" w:pos="2160"/>
          <w:tab w:val="left" w:pos="2880"/>
        </w:tabs>
        <w:rPr>
          <w:b/>
        </w:rPr>
      </w:pP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The total number of responses at each facility is estimated to be 180.  This is required to be 90% certain that the estimates for each facility will be no more than 5 points from the true value of Overall Rating (the main metric of interest).  180=</w:t>
      </w:r>
      <w:r w:rsidRPr="009A4981">
        <w:rPr>
          <w:i/>
          <w:color w:val="000000"/>
        </w:rPr>
        <w:t>fpc</w:t>
      </w:r>
      <w:r>
        <w:rPr>
          <w:color w:val="000000"/>
        </w:rPr>
        <w:t>(1.64</w:t>
      </w:r>
      <w:r w:rsidRPr="00452F53">
        <w:rPr>
          <w:color w:val="000000"/>
          <w:vertAlign w:val="superscript"/>
        </w:rPr>
        <w:t>2</w:t>
      </w:r>
      <w:r>
        <w:rPr>
          <w:color w:val="000000"/>
        </w:rPr>
        <w:t>)(.6)(1-.6) / (.05</w:t>
      </w:r>
      <w:r w:rsidRPr="009A4981">
        <w:rPr>
          <w:color w:val="000000"/>
          <w:vertAlign w:val="superscript"/>
        </w:rPr>
        <w:t>2</w:t>
      </w:r>
      <w:r>
        <w:rPr>
          <w:color w:val="000000"/>
        </w:rPr>
        <w:t xml:space="preserve">) where </w:t>
      </w:r>
      <w:r>
        <w:rPr>
          <w:i/>
          <w:color w:val="000000"/>
        </w:rPr>
        <w:t>fpc</w:t>
      </w:r>
      <w:r>
        <w:rPr>
          <w:color w:val="000000"/>
        </w:rPr>
        <w:t xml:space="preserve"> is the Finite Population Factor given an average of 350 patients available in each facility. </w:t>
      </w:r>
      <w:r w:rsidR="00B84639">
        <w:rPr>
          <w:color w:val="000000"/>
        </w:rPr>
        <w:tab/>
      </w: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C2F44"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sidR="000C2F44">
        <w:rPr>
          <w:color w:val="000000"/>
        </w:rPr>
        <w:t>Letters are sent to selected veterans soliciting their response to a variety of questions concerning their care at VA facilities.  Veterans</w:t>
      </w:r>
      <w:r w:rsidR="0008492C">
        <w:rPr>
          <w:color w:val="000000"/>
        </w:rPr>
        <w:t xml:space="preserve"> are asked to return the survey</w:t>
      </w:r>
      <w:r w:rsidR="000C2F44">
        <w:rPr>
          <w:color w:val="000000"/>
        </w:rPr>
        <w:t xml:space="preserve"> to the Office of </w:t>
      </w:r>
      <w:r w:rsidR="009D33EF">
        <w:rPr>
          <w:color w:val="000000"/>
        </w:rPr>
        <w:t>Dentistry</w:t>
      </w:r>
      <w:r w:rsidR="000C2F44">
        <w:rPr>
          <w:color w:val="000000"/>
        </w:rPr>
        <w:t xml:space="preserve"> contracted data collection vendor.  The sample size has been determined to be of a sufficient size to give statistically reliable data for each VISN and VA facility.  The monthly data collection provides for sufficiently timely identification of problem areas and undertaking of steps toward remediation.  This allows VA to provide quality medical services to veterans.</w:t>
      </w: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973B87" w:rsidRDefault="00973B87"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lastRenderedPageBreak/>
        <w:tab/>
        <w:t xml:space="preserve">VHA’s Office of Quality and Performance (OQP) conducted a study of the </w:t>
      </w:r>
      <w:r w:rsidRPr="000C2F44">
        <w:t>Dillman Total Design Methodology (TDM) is used</w:t>
      </w:r>
      <w:r>
        <w:t xml:space="preserve"> (</w:t>
      </w:r>
      <w:r w:rsidRPr="00A950BC">
        <w:rPr>
          <w:i/>
          <w:iCs/>
        </w:rPr>
        <w:t>Reference:Dillman, D. A.  Mail and telephone surveys: The total design method. New York: Wiley, 1978</w:t>
      </w:r>
      <w:r>
        <w:t xml:space="preserve">), considered to be the most effective mailed survey data collection protocol in the industry, and validated Dillman’s methods in the VHA population.  Indeed, OQP has shown that the elimination of the second survey mailing not only was more cost effective and shorted the data collection period (thus allowing faster data turn-around), but did so in a way that did substantively increase either non-response or bias.  </w:t>
      </w:r>
    </w:p>
    <w:p w:rsidR="000C2F44" w:rsidRDefault="000C2F44" w:rsidP="000C2F4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r w:rsidR="0008492C">
        <w:rPr>
          <w:color w:val="000000"/>
        </w:rPr>
        <w:t>The survey questionnaire is</w:t>
      </w:r>
      <w:r>
        <w:rPr>
          <w:color w:val="000000"/>
        </w:rPr>
        <w:t xml:space="preserve"> translated into Puerto Rican Spanish for those veterans seeking services at or through the VA Medical Center San Juan, </w:t>
      </w:r>
      <w:smartTag w:uri="urn:schemas-microsoft-com:office:smarttags" w:element="place">
        <w:r>
          <w:rPr>
            <w:color w:val="000000"/>
          </w:rPr>
          <w:t>Puerto Rico</w:t>
        </w:r>
      </w:smartTag>
      <w:r>
        <w:rPr>
          <w:color w:val="000000"/>
        </w:rPr>
        <w:t xml:space="preserve"> and its affiliated facilities.  </w:t>
      </w:r>
      <w:r w:rsidR="0008492C">
        <w:rPr>
          <w:color w:val="000000"/>
        </w:rPr>
        <w:t xml:space="preserve">The </w:t>
      </w:r>
      <w:r w:rsidR="0008492C">
        <w:t>q</w:t>
      </w:r>
      <w:r w:rsidRPr="00B84639">
        <w:t>uestionnaire</w:t>
      </w:r>
      <w:r w:rsidR="0008492C">
        <w:t xml:space="preserve"> is </w:t>
      </w:r>
      <w:r w:rsidRPr="00B84639">
        <w:t>provided in both English and Spanish, allowing the veteran to choose the version that they are most comfortable responding with.</w:t>
      </w:r>
    </w:p>
    <w:p w:rsidR="00536A11" w:rsidRPr="00B84639" w:rsidRDefault="00536A11">
      <w:pPr>
        <w:tabs>
          <w:tab w:val="left" w:pos="547"/>
          <w:tab w:val="left" w:pos="1080"/>
          <w:tab w:val="left" w:pos="1627"/>
          <w:tab w:val="left" w:pos="2160"/>
          <w:tab w:val="left" w:pos="2880"/>
        </w:tabs>
        <w:rPr>
          <w:b/>
        </w:rPr>
      </w:pPr>
    </w:p>
    <w:p w:rsidR="00536A11" w:rsidRPr="00B84639"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4683C" w:rsidRPr="00B84639" w:rsidRDefault="0064683C">
      <w:pPr>
        <w:pStyle w:val="Header"/>
        <w:tabs>
          <w:tab w:val="clear" w:pos="4320"/>
          <w:tab w:val="clear" w:pos="8640"/>
          <w:tab w:val="left" w:pos="547"/>
          <w:tab w:val="left" w:pos="1080"/>
          <w:tab w:val="left" w:pos="1627"/>
          <w:tab w:val="left" w:pos="2160"/>
          <w:tab w:val="left" w:pos="2880"/>
        </w:tabs>
        <w:rPr>
          <w:b/>
          <w:sz w:val="24"/>
        </w:rPr>
      </w:pPr>
    </w:p>
    <w:p w:rsidR="000C2F44" w:rsidRPr="000C2F44"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r w:rsidR="0008492C">
        <w:rPr>
          <w:color w:val="000000"/>
        </w:rPr>
        <w:t>Survey q</w:t>
      </w:r>
      <w:r w:rsidR="00147B0F">
        <w:rPr>
          <w:color w:val="000000"/>
        </w:rPr>
        <w:t>uestionnaire</w:t>
      </w:r>
      <w:r>
        <w:rPr>
          <w:color w:val="000000"/>
        </w:rPr>
        <w:t xml:space="preserve"> </w:t>
      </w:r>
      <w:r w:rsidR="00147B0F">
        <w:rPr>
          <w:color w:val="000000"/>
        </w:rPr>
        <w:t>is</w:t>
      </w:r>
      <w:r>
        <w:rPr>
          <w:color w:val="000000"/>
        </w:rPr>
        <w:t xml:space="preserve"> mailed to veterans via first class mail; a postage-paid return envelope is included.  A modified </w:t>
      </w:r>
      <w:r w:rsidRPr="000C2F44">
        <w:t xml:space="preserve">Dillman Total Design Methodology (TDM) is used.  The TDM process incorporates several strategies designed to minimize the burdens of survey participation and establish trust.  Procedurally the TDM involves </w:t>
      </w:r>
      <w:r w:rsidR="00DE71CA" w:rsidRPr="00973B87">
        <w:t>three</w:t>
      </w:r>
      <w:r w:rsidRPr="000C2F44">
        <w:t xml:space="preserve"> carefully spaced mailings:</w:t>
      </w:r>
    </w:p>
    <w:p w:rsidR="000C2F44" w:rsidRPr="00B84639" w:rsidRDefault="000C2F44" w:rsidP="000C2F4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C2F44" w:rsidRPr="00B84639" w:rsidRDefault="000C2F44" w:rsidP="000C2F4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84639">
        <w:tab/>
      </w:r>
      <w:r w:rsidRPr="00B84639">
        <w:rPr>
          <w:sz w:val="24"/>
          <w:szCs w:val="24"/>
        </w:rPr>
        <w:tab/>
        <w:t>Week 0</w:t>
      </w:r>
      <w:r w:rsidRPr="00B84639">
        <w:rPr>
          <w:sz w:val="24"/>
          <w:szCs w:val="24"/>
        </w:rPr>
        <w:tab/>
      </w:r>
      <w:r w:rsidRPr="00B84639">
        <w:rPr>
          <w:sz w:val="24"/>
          <w:szCs w:val="24"/>
        </w:rPr>
        <w:tab/>
        <w:t>Pre-survey notification letter</w:t>
      </w: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r>
      <w:r w:rsidRPr="00B84639">
        <w:tab/>
        <w:t>Week 1</w:t>
      </w:r>
      <w:r w:rsidRPr="00B84639">
        <w:tab/>
      </w:r>
      <w:r w:rsidRPr="00B84639">
        <w:tab/>
        <w:t>Initial questionnaire</w:t>
      </w:r>
    </w:p>
    <w:p w:rsidR="000C2F44" w:rsidRPr="00B84639" w:rsidRDefault="000C2F44" w:rsidP="000C2F4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84639">
        <w:rPr>
          <w:sz w:val="24"/>
          <w:szCs w:val="24"/>
        </w:rPr>
        <w:tab/>
      </w:r>
      <w:r w:rsidRPr="00B84639">
        <w:rPr>
          <w:sz w:val="24"/>
          <w:szCs w:val="24"/>
        </w:rPr>
        <w:tab/>
        <w:t>Week 2</w:t>
      </w:r>
      <w:r w:rsidRPr="00B84639">
        <w:rPr>
          <w:sz w:val="24"/>
          <w:szCs w:val="24"/>
        </w:rPr>
        <w:tab/>
      </w:r>
      <w:r w:rsidRPr="00B84639">
        <w:rPr>
          <w:sz w:val="24"/>
          <w:szCs w:val="24"/>
        </w:rPr>
        <w:tab/>
        <w:t>Thank you/reminder postcard</w:t>
      </w:r>
    </w:p>
    <w:p w:rsidR="000C2F44" w:rsidRPr="00B84639" w:rsidRDefault="000C2F44" w:rsidP="000C2F4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84639">
        <w:rPr>
          <w:sz w:val="24"/>
          <w:szCs w:val="24"/>
        </w:rPr>
        <w:tab/>
      </w:r>
      <w:r w:rsidRPr="00B84639">
        <w:rPr>
          <w:sz w:val="24"/>
          <w:szCs w:val="24"/>
        </w:rPr>
        <w:tab/>
      </w:r>
    </w:p>
    <w:p w:rsidR="002B7609" w:rsidRPr="002B7609" w:rsidRDefault="000C2F44" w:rsidP="002B76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t xml:space="preserve">VA Office of Quality and </w:t>
      </w:r>
      <w:r w:rsidR="000E4150">
        <w:t>P</w:t>
      </w:r>
      <w:r w:rsidRPr="00B84639">
        <w:t>erformance has found the first mailing adequate to achieve very good (60 percent range) response rates among similar veterans receiving ambulatory care services. Sociodemographic information for the survey sample is obtained from central files in the VA Austin Automation Center.  Individual identifiers are subsequently stripped from the database to maintain respondent confidentiality.</w:t>
      </w:r>
      <w:r w:rsidR="009D33EF">
        <w:t xml:space="preserve"> </w:t>
      </w:r>
    </w:p>
    <w:p w:rsidR="002B7609" w:rsidRDefault="002B7609">
      <w:pPr>
        <w:pStyle w:val="Header"/>
        <w:tabs>
          <w:tab w:val="clear" w:pos="4320"/>
          <w:tab w:val="clear" w:pos="8640"/>
          <w:tab w:val="left" w:pos="547"/>
          <w:tab w:val="left" w:pos="1080"/>
          <w:tab w:val="left" w:pos="1627"/>
          <w:tab w:val="left" w:pos="2160"/>
          <w:tab w:val="left" w:pos="2880"/>
        </w:tabs>
        <w:rPr>
          <w:b/>
          <w:sz w:val="24"/>
          <w:szCs w:val="24"/>
        </w:rPr>
      </w:pPr>
    </w:p>
    <w:p w:rsidR="00536A11"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4.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9D33EF" w:rsidRDefault="009D33EF">
      <w:pPr>
        <w:pStyle w:val="Header"/>
        <w:tabs>
          <w:tab w:val="clear" w:pos="4320"/>
          <w:tab w:val="clear" w:pos="8640"/>
          <w:tab w:val="left" w:pos="547"/>
          <w:tab w:val="left" w:pos="1080"/>
          <w:tab w:val="left" w:pos="1627"/>
          <w:tab w:val="left" w:pos="2160"/>
          <w:tab w:val="left" w:pos="2880"/>
        </w:tabs>
        <w:rPr>
          <w:b/>
          <w:sz w:val="24"/>
        </w:rPr>
      </w:pPr>
    </w:p>
    <w:p w:rsidR="00536A11" w:rsidRDefault="002B7609">
      <w:pPr>
        <w:pStyle w:val="Header"/>
        <w:tabs>
          <w:tab w:val="clear" w:pos="4320"/>
          <w:tab w:val="clear" w:pos="8640"/>
          <w:tab w:val="left" w:pos="547"/>
          <w:tab w:val="left" w:pos="1080"/>
          <w:tab w:val="left" w:pos="1627"/>
          <w:tab w:val="left" w:pos="2160"/>
          <w:tab w:val="left" w:pos="2880"/>
        </w:tabs>
        <w:rPr>
          <w:sz w:val="24"/>
          <w:szCs w:val="24"/>
        </w:rPr>
      </w:pPr>
      <w:r>
        <w:rPr>
          <w:sz w:val="24"/>
        </w:rPr>
        <w:t>With the exception of question #19, this</w:t>
      </w:r>
      <w:r w:rsidR="009D33EF">
        <w:rPr>
          <w:sz w:val="24"/>
        </w:rPr>
        <w:t xml:space="preserve"> survey is </w:t>
      </w:r>
      <w:r w:rsidR="00581132">
        <w:rPr>
          <w:sz w:val="24"/>
        </w:rPr>
        <w:t xml:space="preserve">entirely </w:t>
      </w:r>
      <w:r w:rsidR="009D33EF">
        <w:rPr>
          <w:sz w:val="24"/>
        </w:rPr>
        <w:t>comprised of questions taken from two separate</w:t>
      </w:r>
      <w:r>
        <w:rPr>
          <w:sz w:val="24"/>
        </w:rPr>
        <w:t xml:space="preserve"> well-</w:t>
      </w:r>
      <w:r w:rsidR="00460D8C">
        <w:rPr>
          <w:sz w:val="24"/>
        </w:rPr>
        <w:t>researched</w:t>
      </w:r>
      <w:r w:rsidR="009D33EF">
        <w:rPr>
          <w:sz w:val="24"/>
        </w:rPr>
        <w:t xml:space="preserve"> surveys</w:t>
      </w:r>
      <w:r w:rsidR="00601D92">
        <w:rPr>
          <w:sz w:val="24"/>
        </w:rPr>
        <w:t>; slight alterations were made to reflect care in the dental setting, e.g., “dentist” in place of “doctor”, or “dental hygienist” in place of “nurse”</w:t>
      </w:r>
      <w:r w:rsidR="009D33EF">
        <w:rPr>
          <w:sz w:val="24"/>
        </w:rPr>
        <w:t xml:space="preserve">.  </w:t>
      </w:r>
      <w:r w:rsidR="00460D8C">
        <w:rPr>
          <w:sz w:val="24"/>
        </w:rPr>
        <w:t xml:space="preserve">Approximately </w:t>
      </w:r>
      <w:r>
        <w:rPr>
          <w:sz w:val="24"/>
        </w:rPr>
        <w:t>34</w:t>
      </w:r>
      <w:r w:rsidR="00460D8C">
        <w:rPr>
          <w:sz w:val="24"/>
        </w:rPr>
        <w:t xml:space="preserve">% or </w:t>
      </w:r>
      <w:r>
        <w:rPr>
          <w:sz w:val="24"/>
        </w:rPr>
        <w:t>12</w:t>
      </w:r>
      <w:r w:rsidR="00460D8C">
        <w:rPr>
          <w:sz w:val="24"/>
        </w:rPr>
        <w:t xml:space="preserve"> out of </w:t>
      </w:r>
      <w:r w:rsidR="00581132">
        <w:rPr>
          <w:sz w:val="24"/>
        </w:rPr>
        <w:t xml:space="preserve">a </w:t>
      </w:r>
      <w:r w:rsidR="00460D8C">
        <w:rPr>
          <w:sz w:val="24"/>
        </w:rPr>
        <w:t xml:space="preserve">total 35 questions </w:t>
      </w:r>
      <w:r w:rsidR="008D6CC9">
        <w:rPr>
          <w:sz w:val="24"/>
        </w:rPr>
        <w:t>were</w:t>
      </w:r>
      <w:r w:rsidR="00460D8C">
        <w:rPr>
          <w:sz w:val="24"/>
        </w:rPr>
        <w:t xml:space="preserve"> taken from the </w:t>
      </w:r>
      <w:r w:rsidR="00460D8C" w:rsidRPr="00713A43">
        <w:rPr>
          <w:sz w:val="24"/>
          <w:szCs w:val="24"/>
        </w:rPr>
        <w:t xml:space="preserve">VA Nation-wide Customer Satisfaction Survey: Survey of Health Experience of </w:t>
      </w:r>
      <w:r w:rsidR="00581132">
        <w:rPr>
          <w:sz w:val="24"/>
          <w:szCs w:val="24"/>
        </w:rPr>
        <w:t>Patients (SHEP).  The SHEP survey</w:t>
      </w:r>
      <w:r w:rsidR="00460D8C" w:rsidRPr="00713A43">
        <w:rPr>
          <w:sz w:val="24"/>
          <w:szCs w:val="24"/>
        </w:rPr>
        <w:t xml:space="preserve"> has OMB approval under clearance number 2900-0712.</w:t>
      </w:r>
      <w:r w:rsidR="00460D8C">
        <w:rPr>
          <w:sz w:val="24"/>
          <w:szCs w:val="24"/>
        </w:rPr>
        <w:t xml:space="preserve">  </w:t>
      </w:r>
      <w:r>
        <w:rPr>
          <w:sz w:val="24"/>
          <w:szCs w:val="24"/>
        </w:rPr>
        <w:t>Approximately 40% or 14 out of 35</w:t>
      </w:r>
      <w:r w:rsidR="00460D8C">
        <w:rPr>
          <w:sz w:val="24"/>
          <w:szCs w:val="24"/>
        </w:rPr>
        <w:t xml:space="preserve"> questions were taken from the DCAHPS survey developed by AHRQ to assess patient satisfaction with dental care provided by TRICARE.</w:t>
      </w:r>
      <w:r>
        <w:rPr>
          <w:sz w:val="24"/>
          <w:szCs w:val="24"/>
        </w:rPr>
        <w:t xml:space="preserve">  Eight of the questions, or 23%, were common to both </w:t>
      </w:r>
      <w:r w:rsidR="00392E42">
        <w:rPr>
          <w:sz w:val="24"/>
          <w:szCs w:val="24"/>
        </w:rPr>
        <w:t>SHEP and DCAHPS surveys; not surprising as both surveys were developed as part of the AHRQ family of consumer assessment of healthcare surveys.  The final question #19 was developed by the Office</w:t>
      </w:r>
      <w:r w:rsidR="00581132">
        <w:rPr>
          <w:sz w:val="24"/>
          <w:szCs w:val="24"/>
        </w:rPr>
        <w:t xml:space="preserve"> of Dentistry Quality Committee</w:t>
      </w:r>
      <w:r w:rsidR="00F41059">
        <w:rPr>
          <w:sz w:val="24"/>
          <w:szCs w:val="24"/>
        </w:rPr>
        <w:t xml:space="preserve"> who is</w:t>
      </w:r>
      <w:r w:rsidR="00392E42">
        <w:rPr>
          <w:sz w:val="24"/>
          <w:szCs w:val="24"/>
        </w:rPr>
        <w:t xml:space="preserve"> responsible for developing the VA Dental Patient Satisfaction Survey.  Please see Table 1 for a synopsis </w:t>
      </w:r>
      <w:r w:rsidR="00581132">
        <w:rPr>
          <w:sz w:val="24"/>
          <w:szCs w:val="24"/>
        </w:rPr>
        <w:t>of the</w:t>
      </w:r>
      <w:r w:rsidR="00392E42">
        <w:rPr>
          <w:sz w:val="24"/>
          <w:szCs w:val="24"/>
        </w:rPr>
        <w:t xml:space="preserve"> </w:t>
      </w:r>
      <w:r w:rsidR="00581132">
        <w:rPr>
          <w:sz w:val="24"/>
          <w:szCs w:val="24"/>
        </w:rPr>
        <w:t>survey question sources</w:t>
      </w:r>
      <w:r w:rsidR="00392E42">
        <w:rPr>
          <w:sz w:val="24"/>
          <w:szCs w:val="24"/>
        </w:rPr>
        <w:t>.</w:t>
      </w:r>
    </w:p>
    <w:p w:rsidR="002B7609" w:rsidRDefault="002B7609">
      <w:pPr>
        <w:pStyle w:val="Header"/>
        <w:tabs>
          <w:tab w:val="clear" w:pos="4320"/>
          <w:tab w:val="clear" w:pos="8640"/>
          <w:tab w:val="left" w:pos="547"/>
          <w:tab w:val="left" w:pos="1080"/>
          <w:tab w:val="left" w:pos="1627"/>
          <w:tab w:val="left" w:pos="2160"/>
          <w:tab w:val="left" w:pos="2880"/>
        </w:tabs>
        <w:rPr>
          <w:sz w:val="24"/>
          <w:szCs w:val="24"/>
        </w:rPr>
      </w:pPr>
    </w:p>
    <w:p w:rsidR="002B7609" w:rsidRDefault="002B7609" w:rsidP="002B76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5220"/>
      </w:tblGrid>
      <w:tr w:rsidR="002B7609" w:rsidTr="003862A3">
        <w:tc>
          <w:tcPr>
            <w:tcW w:w="5220" w:type="dxa"/>
          </w:tcPr>
          <w:p w:rsidR="002B7609" w:rsidRPr="003862A3"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862A3">
              <w:rPr>
                <w:b/>
              </w:rPr>
              <w:t>Source of Survey Questions</w:t>
            </w:r>
            <w:r w:rsidR="00F41059" w:rsidRPr="003862A3">
              <w:rPr>
                <w:b/>
              </w:rPr>
              <w:t xml:space="preserve"> – Total 35 Questions</w:t>
            </w:r>
          </w:p>
        </w:tc>
        <w:tc>
          <w:tcPr>
            <w:tcW w:w="5220" w:type="dxa"/>
          </w:tcPr>
          <w:p w:rsidR="002B7609" w:rsidRPr="003862A3"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862A3">
              <w:rPr>
                <w:b/>
              </w:rPr>
              <w:t>Question #’s</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VA SHEP</w:t>
            </w:r>
            <w:r w:rsidR="00F41059">
              <w:t xml:space="preserve"> (34%)</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3, 20, 21, 22, 23, 24, 25, 26, 27, 31, 32, 33</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DCAHPS</w:t>
            </w:r>
            <w:r w:rsidR="00F41059">
              <w:t xml:space="preserve"> (40%)</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1, 2, 5, 11, 12, 13, 15, 16, 17, 28, 29, 30, 34, 35</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VA SHEP </w:t>
            </w:r>
            <w:r w:rsidRPr="003862A3">
              <w:rPr>
                <w:i/>
                <w:u w:val="single"/>
              </w:rPr>
              <w:t>plus</w:t>
            </w:r>
            <w:r>
              <w:t xml:space="preserve"> DCAHPS</w:t>
            </w:r>
            <w:r w:rsidR="00F41059">
              <w:t xml:space="preserve"> (23%)</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4, 6, 7, 8, 9, 10, 14, 18</w:t>
            </w:r>
          </w:p>
        </w:tc>
      </w:tr>
      <w:tr w:rsidR="002B7609" w:rsidTr="003862A3">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New Question</w:t>
            </w:r>
            <w:r w:rsidR="00F41059">
              <w:t xml:space="preserve"> (3%)</w:t>
            </w:r>
          </w:p>
        </w:tc>
        <w:tc>
          <w:tcPr>
            <w:tcW w:w="5220" w:type="dxa"/>
          </w:tcPr>
          <w:p w:rsidR="002B7609" w:rsidRDefault="002B7609" w:rsidP="003862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19</w:t>
            </w:r>
          </w:p>
        </w:tc>
      </w:tr>
    </w:tbl>
    <w:p w:rsidR="002B7609" w:rsidRDefault="002B7609" w:rsidP="002B7609">
      <w:pPr>
        <w:pStyle w:val="Header"/>
        <w:tabs>
          <w:tab w:val="clear" w:pos="4320"/>
          <w:tab w:val="clear" w:pos="8640"/>
          <w:tab w:val="left" w:pos="547"/>
          <w:tab w:val="left" w:pos="1080"/>
          <w:tab w:val="left" w:pos="1627"/>
          <w:tab w:val="left" w:pos="2160"/>
          <w:tab w:val="left" w:pos="2880"/>
        </w:tabs>
        <w:jc w:val="center"/>
        <w:rPr>
          <w:b/>
          <w:sz w:val="24"/>
          <w:szCs w:val="24"/>
        </w:rPr>
      </w:pPr>
      <w:r w:rsidRPr="002B7609">
        <w:rPr>
          <w:b/>
          <w:sz w:val="24"/>
          <w:szCs w:val="24"/>
        </w:rPr>
        <w:t>Table 1.  Source of questions for VA De</w:t>
      </w:r>
      <w:r>
        <w:rPr>
          <w:b/>
          <w:sz w:val="24"/>
          <w:szCs w:val="24"/>
        </w:rPr>
        <w:t>ntal Patient Satisfaction Survey</w:t>
      </w:r>
    </w:p>
    <w:p w:rsidR="00460D8C" w:rsidRPr="00B84639" w:rsidRDefault="00460D8C">
      <w:pPr>
        <w:pStyle w:val="Header"/>
        <w:tabs>
          <w:tab w:val="clear" w:pos="4320"/>
          <w:tab w:val="clear" w:pos="8640"/>
          <w:tab w:val="left" w:pos="547"/>
          <w:tab w:val="left" w:pos="1080"/>
          <w:tab w:val="left" w:pos="1627"/>
          <w:tab w:val="left" w:pos="2160"/>
          <w:tab w:val="left" w:pos="2880"/>
        </w:tabs>
        <w:rPr>
          <w:b/>
          <w:sz w:val="24"/>
        </w:rPr>
      </w:pPr>
    </w:p>
    <w:p w:rsidR="00536A11" w:rsidRPr="00B84639" w:rsidRDefault="00147B0F">
      <w:pPr>
        <w:pStyle w:val="Header"/>
        <w:tabs>
          <w:tab w:val="clear" w:pos="4320"/>
          <w:tab w:val="clear" w:pos="8640"/>
          <w:tab w:val="left" w:pos="547"/>
          <w:tab w:val="left" w:pos="1080"/>
          <w:tab w:val="left" w:pos="1627"/>
          <w:tab w:val="left" w:pos="2160"/>
          <w:tab w:val="left" w:pos="2880"/>
        </w:tabs>
        <w:rPr>
          <w:b/>
          <w:sz w:val="24"/>
        </w:rPr>
      </w:pPr>
      <w:r>
        <w:rPr>
          <w:b/>
          <w:sz w:val="24"/>
        </w:rPr>
        <w:br w:type="page"/>
      </w:r>
      <w:r w:rsidR="00536A11" w:rsidRPr="00B84639">
        <w:rPr>
          <w:b/>
          <w:sz w:val="24"/>
        </w:rPr>
        <w:t>5.  Provide the name and telephone number of individuals consulted on statistical aspects of the design and the name of the agency unit, contractor(s), grantee(s), or other person(s) who will actually collect and/or analyze the information for the agency.</w:t>
      </w:r>
    </w:p>
    <w:p w:rsidR="00536A11" w:rsidRDefault="00536A11">
      <w:pPr>
        <w:tabs>
          <w:tab w:val="left" w:pos="547"/>
          <w:tab w:val="left" w:pos="1080"/>
          <w:tab w:val="left" w:pos="1627"/>
          <w:tab w:val="left" w:pos="2160"/>
          <w:tab w:val="left" w:pos="2880"/>
        </w:tabs>
      </w:pPr>
    </w:p>
    <w:p w:rsidR="00460D8C" w:rsidRDefault="00460D8C">
      <w:pPr>
        <w:tabs>
          <w:tab w:val="left" w:pos="547"/>
          <w:tab w:val="left" w:pos="1080"/>
          <w:tab w:val="left" w:pos="1627"/>
          <w:tab w:val="left" w:pos="2160"/>
          <w:tab w:val="left" w:pos="2880"/>
        </w:tabs>
      </w:pPr>
      <w:r>
        <w:t>Timothy Ward, MA, DDS</w:t>
      </w:r>
    </w:p>
    <w:p w:rsidR="00460D8C" w:rsidRDefault="00460D8C">
      <w:pPr>
        <w:tabs>
          <w:tab w:val="left" w:pos="547"/>
          <w:tab w:val="left" w:pos="1080"/>
          <w:tab w:val="left" w:pos="1627"/>
          <w:tab w:val="left" w:pos="2160"/>
          <w:tab w:val="left" w:pos="2880"/>
        </w:tabs>
      </w:pPr>
      <w:r>
        <w:t>Office of Dentistry</w:t>
      </w:r>
    </w:p>
    <w:p w:rsidR="00460D8C" w:rsidRDefault="00460D8C">
      <w:pPr>
        <w:tabs>
          <w:tab w:val="left" w:pos="547"/>
          <w:tab w:val="left" w:pos="1080"/>
          <w:tab w:val="left" w:pos="1627"/>
          <w:tab w:val="left" w:pos="2160"/>
          <w:tab w:val="left" w:pos="2880"/>
        </w:tabs>
      </w:pPr>
      <w:r>
        <w:t>VA Central Office</w:t>
      </w:r>
    </w:p>
    <w:p w:rsidR="00460D8C" w:rsidRDefault="00460D8C">
      <w:pPr>
        <w:tabs>
          <w:tab w:val="left" w:pos="547"/>
          <w:tab w:val="left" w:pos="1080"/>
          <w:tab w:val="left" w:pos="1627"/>
          <w:tab w:val="left" w:pos="2160"/>
          <w:tab w:val="left" w:pos="2880"/>
        </w:tabs>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rsidR="00460D8C" w:rsidRDefault="00460D8C">
      <w:pPr>
        <w:tabs>
          <w:tab w:val="left" w:pos="547"/>
          <w:tab w:val="left" w:pos="1080"/>
          <w:tab w:val="left" w:pos="1627"/>
          <w:tab w:val="left" w:pos="2160"/>
          <w:tab w:val="left" w:pos="2880"/>
        </w:tabs>
      </w:pPr>
      <w:r>
        <w:t>202-461-6954</w:t>
      </w:r>
    </w:p>
    <w:sectPr w:rsidR="00460D8C">
      <w:footerReference w:type="default" r:id="rId7"/>
      <w:headerReference w:type="first" r:id="rId8"/>
      <w:footerReference w:type="first" r:id="rId9"/>
      <w:pgSz w:w="12240" w:h="15840" w:code="1"/>
      <w:pgMar w:top="1008" w:right="1008" w:bottom="1008" w:left="1008"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82" w:rsidRDefault="00C01582">
      <w:r>
        <w:separator/>
      </w:r>
    </w:p>
  </w:endnote>
  <w:endnote w:type="continuationSeparator" w:id="0">
    <w:p w:rsidR="00C01582" w:rsidRDefault="00C01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B98" w:rsidRDefault="00226B98">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EC6455">
      <w:rPr>
        <w:rStyle w:val="PageNumber"/>
        <w:b/>
        <w:bCs/>
        <w:noProof/>
        <w:sz w:val="24"/>
      </w:rPr>
      <w:t>2</w:t>
    </w:r>
    <w:r>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B98" w:rsidRDefault="00226B98">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EC6455">
      <w:rPr>
        <w:rStyle w:val="PageNumber"/>
        <w:b/>
        <w:bCs/>
        <w:noProof/>
        <w:sz w:val="24"/>
      </w:rPr>
      <w:t>1</w:t>
    </w:r>
    <w:r>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82" w:rsidRDefault="00C01582">
      <w:r>
        <w:separator/>
      </w:r>
    </w:p>
  </w:footnote>
  <w:footnote w:type="continuationSeparator" w:id="0">
    <w:p w:rsidR="00C01582" w:rsidRDefault="00C01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B98" w:rsidRPr="0032130C" w:rsidRDefault="00226B98" w:rsidP="00660A6B">
    <w:pPr>
      <w:pStyle w:val="Header"/>
      <w:tabs>
        <w:tab w:val="left" w:pos="8100"/>
      </w:tabs>
      <w:rPr>
        <w:color w:val="C0C0C0"/>
      </w:rPr>
    </w:pPr>
    <w:r>
      <w:rPr>
        <w:b/>
        <w:bCs/>
        <w:color w:val="FF0000"/>
        <w:sz w:val="48"/>
        <w:szCs w:val="48"/>
      </w:rPr>
      <w:tab/>
    </w:r>
    <w:r>
      <w:rPr>
        <w:b/>
        <w:bCs/>
        <w:color w:val="FF0000"/>
        <w:sz w:val="48"/>
        <w:szCs w:val="4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FC"/>
    <w:multiLevelType w:val="hybridMultilevel"/>
    <w:tmpl w:val="3BD82394"/>
    <w:lvl w:ilvl="0" w:tplc="CB80696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2">
    <w:nsid w:val="120D24FB"/>
    <w:multiLevelType w:val="hybridMultilevel"/>
    <w:tmpl w:val="F750625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35722BD"/>
    <w:multiLevelType w:val="hybridMultilevel"/>
    <w:tmpl w:val="86224D18"/>
    <w:lvl w:ilvl="0" w:tplc="2F82DBC4">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B0B6EE9"/>
    <w:multiLevelType w:val="hybridMultilevel"/>
    <w:tmpl w:val="9EFEE5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5D5EF6"/>
    <w:rsid w:val="00000C5B"/>
    <w:rsid w:val="0002119C"/>
    <w:rsid w:val="00040F7E"/>
    <w:rsid w:val="0008492C"/>
    <w:rsid w:val="0009405D"/>
    <w:rsid w:val="00094C6E"/>
    <w:rsid w:val="000C1576"/>
    <w:rsid w:val="000C2F44"/>
    <w:rsid w:val="000E4150"/>
    <w:rsid w:val="000F4DB6"/>
    <w:rsid w:val="000F5555"/>
    <w:rsid w:val="00133C89"/>
    <w:rsid w:val="00147B0F"/>
    <w:rsid w:val="00154EB7"/>
    <w:rsid w:val="001A05E0"/>
    <w:rsid w:val="001A64C7"/>
    <w:rsid w:val="001D1D56"/>
    <w:rsid w:val="001E0EF2"/>
    <w:rsid w:val="001E33FD"/>
    <w:rsid w:val="00226B98"/>
    <w:rsid w:val="002454A0"/>
    <w:rsid w:val="00246572"/>
    <w:rsid w:val="00246646"/>
    <w:rsid w:val="0025306C"/>
    <w:rsid w:val="002671D4"/>
    <w:rsid w:val="00277E8B"/>
    <w:rsid w:val="002A7CB3"/>
    <w:rsid w:val="002B7609"/>
    <w:rsid w:val="002C0A42"/>
    <w:rsid w:val="002D63BC"/>
    <w:rsid w:val="002D73FB"/>
    <w:rsid w:val="002F2121"/>
    <w:rsid w:val="00301F6D"/>
    <w:rsid w:val="00305CE7"/>
    <w:rsid w:val="0032130C"/>
    <w:rsid w:val="0032240F"/>
    <w:rsid w:val="00353971"/>
    <w:rsid w:val="00360823"/>
    <w:rsid w:val="003862A3"/>
    <w:rsid w:val="00392E42"/>
    <w:rsid w:val="00397E9C"/>
    <w:rsid w:val="003A3459"/>
    <w:rsid w:val="003A6E39"/>
    <w:rsid w:val="00407746"/>
    <w:rsid w:val="00435D66"/>
    <w:rsid w:val="00444309"/>
    <w:rsid w:val="0045114D"/>
    <w:rsid w:val="00460D8C"/>
    <w:rsid w:val="00467431"/>
    <w:rsid w:val="0048017B"/>
    <w:rsid w:val="00482F63"/>
    <w:rsid w:val="00483680"/>
    <w:rsid w:val="00490CB8"/>
    <w:rsid w:val="00496577"/>
    <w:rsid w:val="004E3495"/>
    <w:rsid w:val="00503DE2"/>
    <w:rsid w:val="00505561"/>
    <w:rsid w:val="005115E5"/>
    <w:rsid w:val="00513E92"/>
    <w:rsid w:val="00527715"/>
    <w:rsid w:val="00536A11"/>
    <w:rsid w:val="005546F1"/>
    <w:rsid w:val="0056011D"/>
    <w:rsid w:val="0056316E"/>
    <w:rsid w:val="005661C6"/>
    <w:rsid w:val="00581132"/>
    <w:rsid w:val="005D5EF6"/>
    <w:rsid w:val="00601D92"/>
    <w:rsid w:val="00605E40"/>
    <w:rsid w:val="0063001E"/>
    <w:rsid w:val="0064683C"/>
    <w:rsid w:val="00660A6B"/>
    <w:rsid w:val="006A2E9C"/>
    <w:rsid w:val="006A5DBA"/>
    <w:rsid w:val="006C3CB5"/>
    <w:rsid w:val="006E43AA"/>
    <w:rsid w:val="006E680E"/>
    <w:rsid w:val="00713A43"/>
    <w:rsid w:val="007142A1"/>
    <w:rsid w:val="00725C7D"/>
    <w:rsid w:val="00736FAD"/>
    <w:rsid w:val="0077215D"/>
    <w:rsid w:val="007B4128"/>
    <w:rsid w:val="007C23F0"/>
    <w:rsid w:val="007C39AF"/>
    <w:rsid w:val="007D6EB1"/>
    <w:rsid w:val="007E5426"/>
    <w:rsid w:val="007F1C5F"/>
    <w:rsid w:val="00836F97"/>
    <w:rsid w:val="00837379"/>
    <w:rsid w:val="008618F0"/>
    <w:rsid w:val="008C15FA"/>
    <w:rsid w:val="008D6CC9"/>
    <w:rsid w:val="008E4A13"/>
    <w:rsid w:val="008E5550"/>
    <w:rsid w:val="008F3BE5"/>
    <w:rsid w:val="00902324"/>
    <w:rsid w:val="0097111E"/>
    <w:rsid w:val="00972EBD"/>
    <w:rsid w:val="00973B87"/>
    <w:rsid w:val="00987315"/>
    <w:rsid w:val="00990F35"/>
    <w:rsid w:val="009D33EF"/>
    <w:rsid w:val="009F7C36"/>
    <w:rsid w:val="00A1545E"/>
    <w:rsid w:val="00A249B2"/>
    <w:rsid w:val="00A3577D"/>
    <w:rsid w:val="00A62AAD"/>
    <w:rsid w:val="00A63C7F"/>
    <w:rsid w:val="00A76020"/>
    <w:rsid w:val="00A83550"/>
    <w:rsid w:val="00A9516A"/>
    <w:rsid w:val="00AB26F6"/>
    <w:rsid w:val="00AB273F"/>
    <w:rsid w:val="00AC6772"/>
    <w:rsid w:val="00B13161"/>
    <w:rsid w:val="00B47D0D"/>
    <w:rsid w:val="00B8312E"/>
    <w:rsid w:val="00B84639"/>
    <w:rsid w:val="00B9026F"/>
    <w:rsid w:val="00B910FD"/>
    <w:rsid w:val="00BA705D"/>
    <w:rsid w:val="00C01582"/>
    <w:rsid w:val="00C07129"/>
    <w:rsid w:val="00C07B24"/>
    <w:rsid w:val="00C10B99"/>
    <w:rsid w:val="00C26706"/>
    <w:rsid w:val="00C36879"/>
    <w:rsid w:val="00C53083"/>
    <w:rsid w:val="00CA0461"/>
    <w:rsid w:val="00CD3D2F"/>
    <w:rsid w:val="00CD6329"/>
    <w:rsid w:val="00CE26AB"/>
    <w:rsid w:val="00D03A4A"/>
    <w:rsid w:val="00D167FC"/>
    <w:rsid w:val="00D40265"/>
    <w:rsid w:val="00D411D1"/>
    <w:rsid w:val="00D65324"/>
    <w:rsid w:val="00D770C6"/>
    <w:rsid w:val="00DB5935"/>
    <w:rsid w:val="00DD7BA4"/>
    <w:rsid w:val="00DE71CA"/>
    <w:rsid w:val="00DE7CCE"/>
    <w:rsid w:val="00E10A39"/>
    <w:rsid w:val="00E6326A"/>
    <w:rsid w:val="00E7210F"/>
    <w:rsid w:val="00E87832"/>
    <w:rsid w:val="00EC6455"/>
    <w:rsid w:val="00ED091D"/>
    <w:rsid w:val="00EE12CD"/>
    <w:rsid w:val="00EE18EC"/>
    <w:rsid w:val="00F02429"/>
    <w:rsid w:val="00F3070C"/>
    <w:rsid w:val="00F36EDC"/>
    <w:rsid w:val="00F41059"/>
    <w:rsid w:val="00F52473"/>
    <w:rsid w:val="00F6088C"/>
    <w:rsid w:val="00F763E0"/>
    <w:rsid w:val="00FB46F9"/>
    <w:rsid w:val="00FB60B0"/>
    <w:rsid w:val="00FB6120"/>
    <w:rsid w:val="00FC6B32"/>
    <w:rsid w:val="00FE3980"/>
    <w:rsid w:val="00FE5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C2F44"/>
    <w:rPr>
      <w:sz w:val="16"/>
      <w:szCs w:val="16"/>
    </w:rPr>
  </w:style>
  <w:style w:type="paragraph" w:styleId="CommentText">
    <w:name w:val="annotation text"/>
    <w:basedOn w:val="Normal"/>
    <w:semiHidden/>
    <w:rsid w:val="000C2F44"/>
    <w:rPr>
      <w:sz w:val="20"/>
      <w:szCs w:val="20"/>
    </w:rPr>
  </w:style>
  <w:style w:type="paragraph" w:styleId="BalloonText">
    <w:name w:val="Balloon Text"/>
    <w:basedOn w:val="Normal"/>
    <w:semiHidden/>
    <w:rsid w:val="000C2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vacomclamd</cp:lastModifiedBy>
  <cp:revision>2</cp:revision>
  <cp:lastPrinted>2010-12-07T20:16:00Z</cp:lastPrinted>
  <dcterms:created xsi:type="dcterms:W3CDTF">2011-02-08T21:51:00Z</dcterms:created>
  <dcterms:modified xsi:type="dcterms:W3CDTF">2011-02-08T21:51:00Z</dcterms:modified>
</cp:coreProperties>
</file>