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b/>
          <w:bCs/>
          <w:sz w:val="28"/>
          <w:szCs w:val="28"/>
        </w:rPr>
      </w:pPr>
      <w:r w:rsidRPr="00456179">
        <w:rPr>
          <w:b/>
          <w:bCs/>
          <w:sz w:val="28"/>
          <w:szCs w:val="28"/>
        </w:rPr>
        <w:t>SUPPORTING STATEMENT</w:t>
      </w:r>
    </w:p>
    <w:p w:rsidR="002B3186" w:rsidRDefault="002B3186" w:rsidP="009B633D">
      <w:pPr>
        <w:jc w:val="center"/>
        <w:rPr>
          <w:b/>
          <w:bCs/>
          <w:sz w:val="28"/>
          <w:szCs w:val="28"/>
        </w:rPr>
      </w:pPr>
    </w:p>
    <w:p w:rsidR="002B3186" w:rsidRDefault="002B3186" w:rsidP="009B633D">
      <w:pPr>
        <w:jc w:val="center"/>
        <w:rPr>
          <w:sz w:val="28"/>
          <w:szCs w:val="28"/>
        </w:rPr>
      </w:pPr>
      <w:r>
        <w:rPr>
          <w:b/>
          <w:bCs/>
          <w:sz w:val="28"/>
          <w:szCs w:val="28"/>
        </w:rPr>
        <w:t>Part A</w:t>
      </w: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9B633D">
      <w:pPr>
        <w:jc w:val="center"/>
        <w:rPr>
          <w:sz w:val="28"/>
          <w:szCs w:val="28"/>
        </w:rPr>
      </w:pPr>
    </w:p>
    <w:p w:rsidR="002B3186" w:rsidRDefault="002B3186" w:rsidP="004009E4">
      <w:pPr>
        <w:jc w:val="center"/>
        <w:rPr>
          <w:b/>
          <w:bCs/>
          <w:sz w:val="28"/>
          <w:szCs w:val="28"/>
        </w:rPr>
      </w:pPr>
      <w:r>
        <w:rPr>
          <w:b/>
          <w:bCs/>
          <w:sz w:val="28"/>
          <w:szCs w:val="28"/>
        </w:rPr>
        <w:t>Collection of Information for</w:t>
      </w:r>
    </w:p>
    <w:p w:rsidR="002B3186" w:rsidRPr="009274EF" w:rsidRDefault="002B3186" w:rsidP="004009E4">
      <w:pPr>
        <w:jc w:val="center"/>
        <w:rPr>
          <w:b/>
          <w:bCs/>
          <w:sz w:val="28"/>
          <w:szCs w:val="28"/>
        </w:rPr>
      </w:pPr>
      <w:r w:rsidRPr="009274EF">
        <w:rPr>
          <w:b/>
          <w:bCs/>
          <w:sz w:val="28"/>
          <w:szCs w:val="28"/>
        </w:rPr>
        <w:t>Agency for Healthcare Research and Quality</w:t>
      </w:r>
      <w:r>
        <w:rPr>
          <w:b/>
          <w:bCs/>
          <w:sz w:val="28"/>
          <w:szCs w:val="28"/>
        </w:rPr>
        <w:t>’s</w:t>
      </w:r>
      <w:r w:rsidRPr="009274EF">
        <w:rPr>
          <w:b/>
          <w:bCs/>
          <w:sz w:val="28"/>
          <w:szCs w:val="28"/>
        </w:rPr>
        <w:t xml:space="preserve"> (AHRQ)</w:t>
      </w:r>
    </w:p>
    <w:p w:rsidR="002B3186" w:rsidRPr="009274EF" w:rsidRDefault="002B3186" w:rsidP="004009E4">
      <w:pPr>
        <w:jc w:val="center"/>
        <w:rPr>
          <w:b/>
          <w:bCs/>
          <w:sz w:val="28"/>
          <w:szCs w:val="28"/>
        </w:rPr>
      </w:pPr>
      <w:r>
        <w:rPr>
          <w:b/>
          <w:bCs/>
          <w:sz w:val="28"/>
          <w:szCs w:val="28"/>
        </w:rPr>
        <w:t xml:space="preserve">Consumer Assessment of Healthcare Providers and Systems (CAHPS) Health Plan </w:t>
      </w:r>
      <w:r w:rsidRPr="009274EF">
        <w:rPr>
          <w:b/>
          <w:bCs/>
          <w:sz w:val="28"/>
          <w:szCs w:val="28"/>
        </w:rPr>
        <w:t>Survey Comparative Database</w:t>
      </w:r>
    </w:p>
    <w:p w:rsidR="002B3186" w:rsidRPr="00082047"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Pr="00C4006D" w:rsidRDefault="002B3186" w:rsidP="004009E4">
      <w:pPr>
        <w:jc w:val="center"/>
        <w:rPr>
          <w:i/>
          <w:iCs/>
          <w:sz w:val="28"/>
          <w:szCs w:val="28"/>
        </w:rPr>
      </w:pPr>
      <w:r>
        <w:rPr>
          <w:b/>
          <w:bCs/>
          <w:sz w:val="28"/>
          <w:szCs w:val="28"/>
        </w:rPr>
        <w:t>Version 11-16-09</w:t>
      </w:r>
    </w:p>
    <w:p w:rsidR="002B3186" w:rsidRDefault="002B3186" w:rsidP="004009E4">
      <w:pPr>
        <w:jc w:val="center"/>
        <w:rPr>
          <w:i/>
          <w:iCs/>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p>
    <w:p w:rsidR="002B3186" w:rsidRDefault="002B3186" w:rsidP="004009E4">
      <w:pPr>
        <w:jc w:val="center"/>
        <w:rPr>
          <w:sz w:val="28"/>
          <w:szCs w:val="28"/>
        </w:rPr>
      </w:pPr>
      <w:r w:rsidRPr="00677A0B">
        <w:rPr>
          <w:sz w:val="28"/>
          <w:szCs w:val="28"/>
        </w:rPr>
        <w:t>Agency of Healthcare Research and Quality (AHRQ)</w:t>
      </w:r>
    </w:p>
    <w:p w:rsidR="002B3186" w:rsidRPr="00C4006D" w:rsidRDefault="002B3186" w:rsidP="009B633D">
      <w:pPr>
        <w:jc w:val="center"/>
        <w:rPr>
          <w:i/>
          <w:iCs/>
          <w:sz w:val="28"/>
          <w:szCs w:val="28"/>
        </w:rPr>
      </w:pPr>
    </w:p>
    <w:p w:rsidR="002B3186" w:rsidRPr="00082047" w:rsidRDefault="002B3186" w:rsidP="009B633D">
      <w:pPr>
        <w:jc w:val="center"/>
        <w:rPr>
          <w:i/>
          <w:iCs/>
          <w:sz w:val="28"/>
          <w:szCs w:val="28"/>
        </w:rPr>
      </w:pPr>
    </w:p>
    <w:p w:rsidR="002B3186" w:rsidRDefault="002B3186" w:rsidP="009B633D">
      <w:pPr>
        <w:jc w:val="center"/>
        <w:rPr>
          <w:sz w:val="28"/>
          <w:szCs w:val="28"/>
        </w:rPr>
        <w:sectPr w:rsidR="002B3186" w:rsidSect="00382DD3">
          <w:headerReference w:type="even" r:id="rId7"/>
          <w:headerReference w:type="default" r:id="rId8"/>
          <w:footerReference w:type="even" r:id="rId9"/>
          <w:footerReference w:type="default" r:id="rId10"/>
          <w:headerReference w:type="first" r:id="rId11"/>
          <w:endnotePr>
            <w:numFmt w:val="decimal"/>
          </w:endnotePr>
          <w:type w:val="continuous"/>
          <w:pgSz w:w="12240" w:h="15840"/>
          <w:pgMar w:top="1440" w:right="1800" w:bottom="1260" w:left="1800" w:header="720" w:footer="720" w:gutter="0"/>
          <w:pgNumType w:fmt="numberInDash" w:start="1"/>
          <w:cols w:space="720"/>
          <w:titlePg/>
          <w:docGrid w:linePitch="360"/>
        </w:sectPr>
      </w:pPr>
    </w:p>
    <w:p w:rsidR="002B3186" w:rsidRDefault="002B3186" w:rsidP="001D7384">
      <w:pPr>
        <w:jc w:val="center"/>
        <w:rPr>
          <w:b/>
          <w:bCs/>
        </w:rPr>
      </w:pPr>
      <w:r w:rsidRPr="001D0454">
        <w:rPr>
          <w:b/>
          <w:bCs/>
        </w:rPr>
        <w:t>Table of contents</w:t>
      </w:r>
    </w:p>
    <w:p w:rsidR="002B3186" w:rsidRDefault="002B3186" w:rsidP="009B633D">
      <w:pPr>
        <w:jc w:val="center"/>
        <w:rPr>
          <w:b/>
          <w:bCs/>
        </w:rPr>
      </w:pPr>
    </w:p>
    <w:p w:rsidR="002B3186" w:rsidRDefault="002B3186" w:rsidP="005C03BB">
      <w:pPr>
        <w:tabs>
          <w:tab w:val="left" w:pos="8280"/>
        </w:tabs>
      </w:pPr>
      <w:r w:rsidRPr="008C580E">
        <w:t>A. Justification</w:t>
      </w:r>
      <w:r>
        <w:tab/>
        <w:t>1</w:t>
      </w:r>
    </w:p>
    <w:p w:rsidR="002B3186" w:rsidRDefault="002B3186" w:rsidP="005C03BB">
      <w:pPr>
        <w:tabs>
          <w:tab w:val="left" w:pos="360"/>
          <w:tab w:val="left" w:pos="8280"/>
        </w:tabs>
      </w:pPr>
      <w:r>
        <w:tab/>
        <w:t>1. Circumstances That Make the Collection of Information Necessary</w:t>
      </w:r>
      <w:r>
        <w:tab/>
        <w:t>1</w:t>
      </w:r>
    </w:p>
    <w:p w:rsidR="002B3186" w:rsidRDefault="002B3186" w:rsidP="005C03BB">
      <w:pPr>
        <w:tabs>
          <w:tab w:val="left" w:pos="360"/>
          <w:tab w:val="left" w:pos="8280"/>
        </w:tabs>
      </w:pPr>
      <w:r>
        <w:tab/>
        <w:t>2. Purpose and Use of I</w:t>
      </w:r>
      <w:r w:rsidRPr="007B3A8E">
        <w:t>nformation</w:t>
      </w:r>
      <w:r>
        <w:tab/>
        <w:t>2</w:t>
      </w:r>
    </w:p>
    <w:p w:rsidR="002B3186" w:rsidRDefault="002B3186" w:rsidP="005C03BB">
      <w:pPr>
        <w:tabs>
          <w:tab w:val="left" w:pos="360"/>
          <w:tab w:val="left" w:pos="8280"/>
        </w:tabs>
      </w:pPr>
      <w:r>
        <w:tab/>
        <w:t xml:space="preserve">3. </w:t>
      </w:r>
      <w:r w:rsidRPr="007B3A8E">
        <w:t>Use of Improved Information Technology</w:t>
      </w:r>
      <w:r>
        <w:tab/>
        <w:t>3</w:t>
      </w:r>
    </w:p>
    <w:p w:rsidR="002B3186" w:rsidRDefault="002B3186" w:rsidP="005C03BB">
      <w:pPr>
        <w:tabs>
          <w:tab w:val="left" w:pos="360"/>
          <w:tab w:val="left" w:pos="8280"/>
        </w:tabs>
      </w:pPr>
      <w:r>
        <w:tab/>
        <w:t xml:space="preserve">4. </w:t>
      </w:r>
      <w:r w:rsidRPr="007B3A8E">
        <w:t>Efforts to Identify Duplication</w:t>
      </w:r>
      <w:r>
        <w:tab/>
        <w:t>3</w:t>
      </w:r>
    </w:p>
    <w:p w:rsidR="002B3186" w:rsidRDefault="002B3186" w:rsidP="005C03BB">
      <w:pPr>
        <w:tabs>
          <w:tab w:val="left" w:pos="360"/>
          <w:tab w:val="left" w:pos="8280"/>
        </w:tabs>
      </w:pPr>
      <w:r>
        <w:tab/>
        <w:t xml:space="preserve">5. </w:t>
      </w:r>
      <w:r w:rsidRPr="00556066">
        <w:t>Involvement of Small Entities</w:t>
      </w:r>
      <w:r>
        <w:tab/>
        <w:t>4</w:t>
      </w:r>
    </w:p>
    <w:p w:rsidR="002B3186" w:rsidRDefault="002B3186" w:rsidP="005C03BB">
      <w:pPr>
        <w:tabs>
          <w:tab w:val="left" w:pos="360"/>
          <w:tab w:val="left" w:pos="8280"/>
        </w:tabs>
      </w:pPr>
      <w:r>
        <w:tab/>
        <w:t xml:space="preserve">6. </w:t>
      </w:r>
      <w:r w:rsidRPr="00556066">
        <w:t>Consequences if Information Collected Less Frequently</w:t>
      </w:r>
      <w:r>
        <w:tab/>
        <w:t>4</w:t>
      </w:r>
    </w:p>
    <w:p w:rsidR="002B3186" w:rsidRDefault="002B3186" w:rsidP="005C03BB">
      <w:pPr>
        <w:tabs>
          <w:tab w:val="left" w:pos="360"/>
          <w:tab w:val="left" w:pos="8280"/>
        </w:tabs>
      </w:pPr>
      <w:r>
        <w:tab/>
        <w:t xml:space="preserve">7. </w:t>
      </w:r>
      <w:r w:rsidRPr="00556066">
        <w:t>Special Circumstances</w:t>
      </w:r>
      <w:r>
        <w:tab/>
        <w:t>4</w:t>
      </w:r>
    </w:p>
    <w:p w:rsidR="002B3186" w:rsidRDefault="002B3186" w:rsidP="005C03BB">
      <w:pPr>
        <w:tabs>
          <w:tab w:val="left" w:pos="360"/>
          <w:tab w:val="left" w:pos="8280"/>
        </w:tabs>
      </w:pPr>
      <w:r>
        <w:tab/>
        <w:t>8. Federal Register Notice and O</w:t>
      </w:r>
      <w:r w:rsidRPr="00556066">
        <w:t xml:space="preserve">utside </w:t>
      </w:r>
      <w:r>
        <w:t>Consultants</w:t>
      </w:r>
      <w:r>
        <w:tab/>
        <w:t>4</w:t>
      </w:r>
    </w:p>
    <w:p w:rsidR="002B3186" w:rsidRDefault="002B3186" w:rsidP="005C03BB">
      <w:pPr>
        <w:tabs>
          <w:tab w:val="left" w:pos="360"/>
          <w:tab w:val="left" w:pos="8280"/>
        </w:tabs>
      </w:pPr>
      <w:r>
        <w:tab/>
        <w:t xml:space="preserve">9. </w:t>
      </w:r>
      <w:r w:rsidRPr="00556066">
        <w:t>Payments/Gifts to Respondents</w:t>
      </w:r>
      <w:r>
        <w:tab/>
        <w:t>4</w:t>
      </w:r>
    </w:p>
    <w:p w:rsidR="002B3186" w:rsidRDefault="002B3186" w:rsidP="005C03BB">
      <w:pPr>
        <w:tabs>
          <w:tab w:val="left" w:pos="360"/>
          <w:tab w:val="left" w:pos="8280"/>
        </w:tabs>
      </w:pPr>
      <w:r>
        <w:tab/>
        <w:t xml:space="preserve">10. </w:t>
      </w:r>
      <w:r w:rsidRPr="00556066">
        <w:t>Assurance of Confidentiality</w:t>
      </w:r>
      <w:r>
        <w:tab/>
        <w:t>4</w:t>
      </w:r>
    </w:p>
    <w:p w:rsidR="002B3186" w:rsidRDefault="002B3186" w:rsidP="005C03BB">
      <w:pPr>
        <w:tabs>
          <w:tab w:val="left" w:pos="360"/>
          <w:tab w:val="left" w:pos="8280"/>
        </w:tabs>
      </w:pPr>
      <w:r>
        <w:tab/>
        <w:t xml:space="preserve">11. </w:t>
      </w:r>
      <w:r w:rsidRPr="00556066">
        <w:t>Questions of a Sensitive Nature</w:t>
      </w:r>
      <w:r>
        <w:tab/>
        <w:t>5</w:t>
      </w:r>
    </w:p>
    <w:p w:rsidR="002B3186" w:rsidRDefault="002B3186" w:rsidP="005C03BB">
      <w:pPr>
        <w:tabs>
          <w:tab w:val="left" w:pos="360"/>
          <w:tab w:val="left" w:pos="8280"/>
        </w:tabs>
      </w:pPr>
      <w:r>
        <w:tab/>
        <w:t xml:space="preserve">12. </w:t>
      </w:r>
      <w:r w:rsidRPr="00556066">
        <w:t>Estimates of Annualized Burden Hours and Costs</w:t>
      </w:r>
      <w:r>
        <w:tab/>
        <w:t>5</w:t>
      </w:r>
    </w:p>
    <w:p w:rsidR="002B3186" w:rsidRDefault="002B3186" w:rsidP="005C03BB">
      <w:pPr>
        <w:tabs>
          <w:tab w:val="left" w:pos="360"/>
          <w:tab w:val="left" w:pos="8280"/>
        </w:tabs>
      </w:pPr>
      <w:r>
        <w:tab/>
        <w:t xml:space="preserve">13. </w:t>
      </w:r>
      <w:r w:rsidRPr="00556066">
        <w:t>Estimates of Annualized Respondent Capital and Maintenance Costs</w:t>
      </w:r>
      <w:r>
        <w:tab/>
        <w:t>7</w:t>
      </w:r>
    </w:p>
    <w:p w:rsidR="002B3186" w:rsidRDefault="002B3186" w:rsidP="005C03BB">
      <w:pPr>
        <w:tabs>
          <w:tab w:val="left" w:pos="360"/>
          <w:tab w:val="left" w:pos="8280"/>
        </w:tabs>
      </w:pPr>
      <w:r>
        <w:tab/>
        <w:t xml:space="preserve">14. </w:t>
      </w:r>
      <w:r w:rsidRPr="00556066">
        <w:t>Estimates of Annualized Cost to the Government</w:t>
      </w:r>
      <w:r>
        <w:tab/>
        <w:t>7</w:t>
      </w:r>
    </w:p>
    <w:p w:rsidR="002B3186" w:rsidRDefault="002B3186" w:rsidP="005C03BB">
      <w:pPr>
        <w:tabs>
          <w:tab w:val="left" w:pos="360"/>
          <w:tab w:val="left" w:pos="8280"/>
        </w:tabs>
      </w:pPr>
      <w:r>
        <w:tab/>
        <w:t xml:space="preserve">15. </w:t>
      </w:r>
      <w:r w:rsidRPr="00556066">
        <w:t>Changes in Hour Burden</w:t>
      </w:r>
      <w:r>
        <w:tab/>
        <w:t>7</w:t>
      </w:r>
    </w:p>
    <w:p w:rsidR="002B3186" w:rsidRDefault="002B3186" w:rsidP="005C03BB">
      <w:pPr>
        <w:tabs>
          <w:tab w:val="left" w:pos="360"/>
          <w:tab w:val="left" w:pos="8280"/>
        </w:tabs>
      </w:pPr>
      <w:r>
        <w:tab/>
        <w:t xml:space="preserve">16. </w:t>
      </w:r>
      <w:r w:rsidRPr="006014DB">
        <w:t>Time Schedule, Publication and Analysis Plans</w:t>
      </w:r>
      <w:r>
        <w:tab/>
        <w:t>8</w:t>
      </w:r>
    </w:p>
    <w:p w:rsidR="002B3186" w:rsidRDefault="002B3186" w:rsidP="005C03BB">
      <w:pPr>
        <w:tabs>
          <w:tab w:val="left" w:pos="360"/>
          <w:tab w:val="left" w:pos="8280"/>
        </w:tabs>
      </w:pPr>
      <w:r>
        <w:tab/>
        <w:t xml:space="preserve">17. </w:t>
      </w:r>
      <w:r w:rsidRPr="006014DB">
        <w:t>Exemption for Display of Expiration Date</w:t>
      </w:r>
      <w:r>
        <w:tab/>
        <w:t>8</w:t>
      </w:r>
    </w:p>
    <w:p w:rsidR="002B3186" w:rsidRPr="00556066" w:rsidRDefault="002B3186" w:rsidP="005C03BB">
      <w:pPr>
        <w:tabs>
          <w:tab w:val="left" w:pos="360"/>
          <w:tab w:val="left" w:pos="8280"/>
        </w:tabs>
      </w:pPr>
      <w:r>
        <w:tab/>
        <w:t>List of Attachments</w:t>
      </w:r>
      <w:r>
        <w:tab/>
        <w:t>8</w:t>
      </w:r>
    </w:p>
    <w:p w:rsidR="002B3186" w:rsidRPr="00556066" w:rsidRDefault="002B3186" w:rsidP="007B3A8E">
      <w:pPr>
        <w:tabs>
          <w:tab w:val="left" w:pos="360"/>
          <w:tab w:val="left" w:leader="dot" w:pos="8280"/>
        </w:tabs>
      </w:pPr>
      <w:r>
        <w:tab/>
      </w:r>
    </w:p>
    <w:p w:rsidR="002B3186" w:rsidRDefault="002B3186" w:rsidP="009B633D">
      <w:pPr>
        <w:jc w:val="center"/>
        <w:rPr>
          <w:b/>
          <w:bCs/>
        </w:rPr>
      </w:pPr>
    </w:p>
    <w:p w:rsidR="002B3186" w:rsidRDefault="002B3186">
      <w:pPr>
        <w:pStyle w:val="TOC2"/>
        <w:tabs>
          <w:tab w:val="right" w:leader="dot" w:pos="8630"/>
        </w:tabs>
        <w:rPr>
          <w:noProof/>
        </w:rPr>
      </w:pPr>
      <w:r>
        <w:rPr>
          <w:b/>
          <w:bCs/>
        </w:rPr>
        <w:fldChar w:fldCharType="begin"/>
      </w:r>
      <w:r>
        <w:rPr>
          <w:b/>
          <w:bCs/>
        </w:rPr>
        <w:instrText xml:space="preserve"> TOC \o "1-3" \h \z \u </w:instrText>
      </w:r>
      <w:r>
        <w:rPr>
          <w:b/>
          <w:bCs/>
        </w:rPr>
        <w:fldChar w:fldCharType="separate"/>
      </w:r>
    </w:p>
    <w:p w:rsidR="002B3186" w:rsidRDefault="002B3186" w:rsidP="009B633D">
      <w:pPr>
        <w:jc w:val="center"/>
        <w:rPr>
          <w:b/>
          <w:bCs/>
        </w:rPr>
        <w:sectPr w:rsidR="002B3186" w:rsidSect="00382DD3">
          <w:headerReference w:type="even" r:id="rId12"/>
          <w:headerReference w:type="default" r:id="rId13"/>
          <w:headerReference w:type="first" r:id="rId14"/>
          <w:footerReference w:type="first" r:id="rId15"/>
          <w:endnotePr>
            <w:numFmt w:val="decimal"/>
          </w:endnotePr>
          <w:pgSz w:w="12240" w:h="15840"/>
          <w:pgMar w:top="1440" w:right="1800" w:bottom="1260" w:left="1800" w:header="720" w:footer="720" w:gutter="0"/>
          <w:pgNumType w:fmt="lowerRoman" w:start="1"/>
          <w:cols w:space="720"/>
          <w:titlePg/>
          <w:docGrid w:linePitch="360"/>
        </w:sectPr>
      </w:pPr>
      <w:r>
        <w:rPr>
          <w:b/>
          <w:bCs/>
        </w:rPr>
        <w:fldChar w:fldCharType="end"/>
      </w:r>
    </w:p>
    <w:p w:rsidR="002B3186" w:rsidRPr="006014DB" w:rsidRDefault="002B3186" w:rsidP="009B633D">
      <w:pPr>
        <w:pStyle w:val="Heading1"/>
        <w:rPr>
          <w:sz w:val="24"/>
          <w:szCs w:val="24"/>
        </w:rPr>
      </w:pPr>
      <w:bookmarkStart w:id="0" w:name="_Toc151782175"/>
      <w:bookmarkStart w:id="1" w:name="_Toc158526215"/>
      <w:r w:rsidRPr="006014DB">
        <w:rPr>
          <w:sz w:val="24"/>
          <w:szCs w:val="24"/>
        </w:rPr>
        <w:t>A. Justification</w:t>
      </w:r>
      <w:bookmarkEnd w:id="0"/>
      <w:bookmarkEnd w:id="1"/>
    </w:p>
    <w:p w:rsidR="002B3186" w:rsidRPr="006014DB" w:rsidRDefault="002B3186" w:rsidP="009B633D"/>
    <w:p w:rsidR="002B3186" w:rsidRDefault="002B3186" w:rsidP="00C22AC4">
      <w:pPr>
        <w:pStyle w:val="Heading2"/>
        <w:rPr>
          <w:sz w:val="24"/>
          <w:szCs w:val="24"/>
        </w:rPr>
      </w:pPr>
      <w:bookmarkStart w:id="2" w:name="_Toc151782176"/>
      <w:bookmarkStart w:id="3" w:name="_Toc158526216"/>
      <w:r w:rsidRPr="006014DB">
        <w:rPr>
          <w:sz w:val="24"/>
          <w:szCs w:val="24"/>
        </w:rPr>
        <w:t xml:space="preserve">1. </w:t>
      </w:r>
      <w:bookmarkEnd w:id="2"/>
      <w:bookmarkEnd w:id="3"/>
      <w:r w:rsidRPr="006014DB">
        <w:rPr>
          <w:sz w:val="24"/>
          <w:szCs w:val="24"/>
        </w:rPr>
        <w:t xml:space="preserve">Circumstances that </w:t>
      </w:r>
      <w:r>
        <w:rPr>
          <w:sz w:val="24"/>
          <w:szCs w:val="24"/>
        </w:rPr>
        <w:t>M</w:t>
      </w:r>
      <w:r w:rsidRPr="006014DB">
        <w:rPr>
          <w:sz w:val="24"/>
          <w:szCs w:val="24"/>
        </w:rPr>
        <w:t xml:space="preserve">ake the </w:t>
      </w:r>
      <w:r>
        <w:rPr>
          <w:sz w:val="24"/>
          <w:szCs w:val="24"/>
        </w:rPr>
        <w:t>C</w:t>
      </w:r>
      <w:r w:rsidRPr="006014DB">
        <w:rPr>
          <w:sz w:val="24"/>
          <w:szCs w:val="24"/>
        </w:rPr>
        <w:t xml:space="preserve">ollection of </w:t>
      </w:r>
      <w:r>
        <w:rPr>
          <w:sz w:val="24"/>
          <w:szCs w:val="24"/>
        </w:rPr>
        <w:t>I</w:t>
      </w:r>
      <w:r w:rsidRPr="006014DB">
        <w:rPr>
          <w:sz w:val="24"/>
          <w:szCs w:val="24"/>
        </w:rPr>
        <w:t xml:space="preserve">nformation </w:t>
      </w:r>
      <w:r>
        <w:rPr>
          <w:sz w:val="24"/>
          <w:szCs w:val="24"/>
        </w:rPr>
        <w:t>N</w:t>
      </w:r>
      <w:r w:rsidRPr="006014DB">
        <w:rPr>
          <w:sz w:val="24"/>
          <w:szCs w:val="24"/>
        </w:rPr>
        <w:t>ecessary</w:t>
      </w:r>
    </w:p>
    <w:p w:rsidR="002B3186" w:rsidRDefault="002B3186" w:rsidP="00C95998"/>
    <w:p w:rsidR="002B3186" w:rsidRDefault="002B3186" w:rsidP="000A140E">
      <w:r w:rsidRPr="003224B1">
        <w:rPr>
          <w:b/>
          <w:bCs/>
        </w:rPr>
        <w:t xml:space="preserve">AHRQ’s mission. </w:t>
      </w:r>
      <w:r>
        <w:t>The mission of the Agency for Healthcare Research and Quality (AHRQ</w:t>
      </w:r>
      <w:r w:rsidRPr="000509AF">
        <w:t xml:space="preserve">) set out in its authorizing legislation, </w:t>
      </w:r>
      <w:r w:rsidRPr="00D10532">
        <w:t>The Healthcare Research and Quality Act of 1999 (see Attachment A-1),</w:t>
      </w:r>
      <w:r>
        <w:t xml:space="preserve">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2B3186" w:rsidRDefault="002B3186" w:rsidP="00C95998"/>
    <w:p w:rsidR="002B3186" w:rsidRDefault="002B3186" w:rsidP="001D7384">
      <w:pPr>
        <w:tabs>
          <w:tab w:val="left" w:pos="360"/>
        </w:tabs>
        <w:ind w:left="720" w:hanging="360"/>
      </w:pPr>
      <w:r>
        <w:t>1.</w:t>
      </w:r>
      <w:r>
        <w:tab/>
        <w:t>research that develops and presents scientific evidence regarding all aspects of health care; and</w:t>
      </w:r>
    </w:p>
    <w:p w:rsidR="002B3186" w:rsidRDefault="002B3186" w:rsidP="001D7384">
      <w:pPr>
        <w:tabs>
          <w:tab w:val="left" w:pos="360"/>
        </w:tabs>
        <w:ind w:left="720" w:hanging="360"/>
      </w:pPr>
      <w:r>
        <w:t>2.</w:t>
      </w:r>
      <w:r>
        <w:tab/>
        <w:t>the synthesis and dissemination of available scientific evidence for use by patients, consumers, practitioners, providers, purchasers, policy makers, and educators; and</w:t>
      </w:r>
    </w:p>
    <w:p w:rsidR="002B3186" w:rsidRDefault="002B3186" w:rsidP="00606400">
      <w:pPr>
        <w:tabs>
          <w:tab w:val="left" w:pos="360"/>
        </w:tabs>
        <w:ind w:left="360"/>
      </w:pPr>
      <w:r>
        <w:t>3.</w:t>
      </w:r>
      <w:r>
        <w:tab/>
        <w:t>initiatives to advance private and public efforts to improve health care quality.</w:t>
      </w:r>
    </w:p>
    <w:p w:rsidR="002B3186" w:rsidRDefault="002B3186" w:rsidP="00C95998">
      <w:pPr>
        <w:tabs>
          <w:tab w:val="left" w:pos="360"/>
        </w:tabs>
      </w:pPr>
    </w:p>
    <w:p w:rsidR="002B3186" w:rsidRDefault="002B3186" w:rsidP="00B645ED">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2B3186" w:rsidRDefault="002B3186" w:rsidP="00C95998">
      <w:pPr>
        <w:tabs>
          <w:tab w:val="left" w:pos="360"/>
        </w:tabs>
      </w:pPr>
    </w:p>
    <w:p w:rsidR="002B3186" w:rsidRDefault="002B3186" w:rsidP="0074285C">
      <w:pPr>
        <w:tabs>
          <w:tab w:val="left" w:pos="360"/>
        </w:tabs>
      </w:pPr>
      <w:r>
        <w:rPr>
          <w:b/>
          <w:bCs/>
        </w:rPr>
        <w:t>Request for information</w:t>
      </w:r>
      <w:r w:rsidRPr="003224B1">
        <w:rPr>
          <w:b/>
          <w:bCs/>
        </w:rPr>
        <w:t xml:space="preserve"> collection approval</w:t>
      </w:r>
      <w:r>
        <w:rPr>
          <w:b/>
          <w:bCs/>
        </w:rPr>
        <w:t xml:space="preserve">. </w:t>
      </w:r>
      <w:r w:rsidRPr="00CB177A">
        <w:t>The Agency for Healthcare Research and Quality (AHRQ) requests that the Office of Management and Budget (OMB) approve, under the Paperwork Reduction Act of 1995, AHRQ’s</w:t>
      </w:r>
      <w:r>
        <w:t xml:space="preserve"> collection of information for the AHRQ </w:t>
      </w:r>
      <w:r w:rsidRPr="00AA3256">
        <w:t xml:space="preserve">Consumer Assessment of Healthcare Providers and Systems (CAHPS) </w:t>
      </w:r>
      <w:r>
        <w:t xml:space="preserve">Database for Health Plans. The CAHPS Health Plan Database consists of data from the AHRQ CAHPS Health Plan Survey. Health plans in the </w:t>
      </w:r>
      <w:smartTag w:uri="urn:schemas-microsoft-com:office:smarttags" w:element="place">
        <w:smartTag w:uri="urn:schemas-microsoft-com:office:smarttags" w:element="country-region">
          <w:r>
            <w:t>U.S.</w:t>
          </w:r>
        </w:smartTag>
      </w:smartTag>
      <w:r>
        <w:t xml:space="preserve"> are asked to voluntarily submit data from the survey to AHRQ, through its contractor, Westat. The CAHPS Database was developed by AHRQ in 1998 in response to requests from health plans, purchasers, the Centers for Medicare and Medicaid Services (</w:t>
      </w:r>
      <w:smartTag w:uri="urn:schemas-microsoft-com:office:smarttags" w:element="stockticker">
        <w:r>
          <w:t>CMS</w:t>
        </w:r>
      </w:smartTag>
      <w:r>
        <w:t>) to provide comparative data to support public reporting of health plan ratings, health plan accreditation and quality improvement.</w:t>
      </w:r>
    </w:p>
    <w:p w:rsidR="002B3186" w:rsidRDefault="002B3186" w:rsidP="0074285C">
      <w:pPr>
        <w:tabs>
          <w:tab w:val="left" w:pos="360"/>
        </w:tabs>
      </w:pPr>
    </w:p>
    <w:p w:rsidR="002B3186" w:rsidRDefault="002B3186">
      <w:pPr>
        <w:tabs>
          <w:tab w:val="left" w:pos="360"/>
        </w:tabs>
      </w:pPr>
      <w:r w:rsidRPr="005534F6">
        <w:rPr>
          <w:b/>
          <w:bCs/>
        </w:rPr>
        <w:t xml:space="preserve">Background on the CAHPS Health Plan Survey. </w:t>
      </w:r>
      <w:r w:rsidRPr="005534F6">
        <w:t xml:space="preserve">The CAHPS Health Plan Survey is a tool for collecting standardized information on enrollees’ experiences with health plans and their services. The development of the CAHPS Health Plan Survey began in 1995, when AHRQ awarded the first set of CAHPS grants to Harvard, </w:t>
      </w:r>
      <w:smartTag w:uri="urn:schemas-microsoft-com:office:smarttags" w:element="stockticker">
        <w:r w:rsidRPr="005534F6">
          <w:t>RTI</w:t>
        </w:r>
      </w:smartTag>
      <w:r w:rsidRPr="005534F6">
        <w:t xml:space="preserve">, and </w:t>
      </w:r>
      <w:smartTag w:uri="urn:schemas-microsoft-com:office:smarttags" w:element="stockticker">
        <w:r w:rsidRPr="005534F6">
          <w:t>RAND.</w:t>
        </w:r>
      </w:smartTag>
      <w:r w:rsidRPr="005534F6">
        <w:t xml:space="preserve"> In 1997 the CAHPS 1.0 survey was released by the CAHPS Consortium. The CAHPS Consortium refers to the research organizations involved in the development, dissemination, and support of CAHPS products. The current Consortium includes AHRQ, the Centers for Medicare &amp; Medicaid Services (CMS), RAND, Yale School of Public Health, and Westat.</w:t>
      </w:r>
      <w:r>
        <w:t xml:space="preserve"> </w:t>
      </w:r>
    </w:p>
    <w:p w:rsidR="002B3186" w:rsidRDefault="002B3186">
      <w:pPr>
        <w:tabs>
          <w:tab w:val="left" w:pos="360"/>
        </w:tabs>
      </w:pPr>
    </w:p>
    <w:p w:rsidR="002B3186" w:rsidRDefault="002B3186">
      <w:pPr>
        <w:tabs>
          <w:tab w:val="left" w:pos="360"/>
        </w:tabs>
      </w:pPr>
      <w:r>
        <w:t xml:space="preserve">Since that time, the Consortium has clarified and updated the survey instrument to reflect field test results; feedback from industry experts; reports from health plan participants, data collection vendors, and other users; and evidence from cognitive testing and focus groups. In November 2006, the CAHPS Consortium released the latest version of the instrument: the CAHPS Health Plan Survey 4.0. The development of this update to the Health Plan Survey has been part of the "Ambulatory CAHPS (A-CAHPS) Initiative," which arose as a result of extensive research conducted with users. AHRQ released the CAHPS Health Plan Survey 4.0, along with guidance on how to customize and administer it. The National Quality Forum endorsed the 4.0 version of the Health Plan Survey in July 2007. </w:t>
      </w:r>
    </w:p>
    <w:p w:rsidR="002B3186" w:rsidRDefault="002B3186" w:rsidP="00C95998">
      <w:pPr>
        <w:tabs>
          <w:tab w:val="left" w:pos="360"/>
        </w:tabs>
      </w:pPr>
    </w:p>
    <w:p w:rsidR="002B3186" w:rsidRDefault="002B3186" w:rsidP="004009E4">
      <w:pPr>
        <w:tabs>
          <w:tab w:val="left" w:pos="360"/>
        </w:tabs>
      </w:pPr>
      <w:r>
        <w:rPr>
          <w:b/>
          <w:bCs/>
        </w:rPr>
        <w:t>Rationale for the information collection</w:t>
      </w:r>
      <w:r w:rsidRPr="00FD42D7">
        <w:rPr>
          <w:b/>
          <w:bCs/>
        </w:rPr>
        <w:t xml:space="preserve">. </w:t>
      </w:r>
      <w:r w:rsidRPr="00FD42D7">
        <w:t xml:space="preserve">The CAHPS Health Plan Database uses data from AHRQ’s standardized CAHPS </w:t>
      </w:r>
      <w:r>
        <w:t xml:space="preserve">Health plan </w:t>
      </w:r>
      <w:r w:rsidRPr="00FD42D7">
        <w:t>survey to provide comparative results to health care purchasers, consumers, regulators and policy makers across the country. The Database also provides data for AHRQ’s annual National Healthcare Quality and National Healthcare Disparities Reports.</w:t>
      </w:r>
      <w:r>
        <w:t xml:space="preserve"> </w:t>
      </w:r>
      <w:r w:rsidRPr="0074285C">
        <w:t>Voluntary participants include public and private employers, State Medicaid agencies, State Children's Health Insurance Programs (SCHIP), the Centers for Medicare &amp; Medicaid Services (</w:t>
      </w:r>
      <w:smartTag w:uri="urn:schemas-microsoft-com:office:smarttags" w:element="stockticker">
        <w:r w:rsidRPr="0074285C">
          <w:t>CMS</w:t>
        </w:r>
      </w:smartTag>
      <w:r w:rsidRPr="0074285C">
        <w:t xml:space="preserve">), </w:t>
      </w:r>
      <w:r>
        <w:t xml:space="preserve">and </w:t>
      </w:r>
      <w:r w:rsidRPr="0074285C">
        <w:t>individual health plans.</w:t>
      </w:r>
    </w:p>
    <w:p w:rsidR="002B3186" w:rsidRDefault="002B3186" w:rsidP="004009E4">
      <w:pPr>
        <w:tabs>
          <w:tab w:val="left" w:pos="360"/>
        </w:tabs>
      </w:pPr>
    </w:p>
    <w:p w:rsidR="002B3186" w:rsidRDefault="002B3186" w:rsidP="004009E4">
      <w:pPr>
        <w:tabs>
          <w:tab w:val="left" w:pos="360"/>
        </w:tabs>
      </w:pPr>
      <w:r>
        <w:rPr>
          <w:bCs/>
        </w:rPr>
        <w:t>The collection of information for the CAHPS Database for Health Plans is being conducted pursuant to AHRQ’s statutory authority to conduct and support research on health care and systems for the delivery of such care, including activities with respect to the quality, effectiveness, efficiency, appropriateness and value of health care services.  See 42 U.S.C. 299a(a)(1).</w:t>
      </w:r>
    </w:p>
    <w:p w:rsidR="002B3186" w:rsidRPr="00C22AC4" w:rsidRDefault="002B3186" w:rsidP="00C22AC4">
      <w:pPr>
        <w:pStyle w:val="Heading2"/>
        <w:rPr>
          <w:sz w:val="24"/>
          <w:szCs w:val="24"/>
        </w:rPr>
      </w:pPr>
      <w:bookmarkStart w:id="4" w:name="_Toc151782177"/>
      <w:bookmarkStart w:id="5" w:name="_Toc158526217"/>
      <w:r w:rsidRPr="00C22AC4">
        <w:rPr>
          <w:sz w:val="24"/>
          <w:szCs w:val="24"/>
        </w:rPr>
        <w:t>2. Purpose and Use of Information</w:t>
      </w:r>
      <w:bookmarkEnd w:id="4"/>
      <w:bookmarkEnd w:id="5"/>
    </w:p>
    <w:p w:rsidR="002B3186" w:rsidRDefault="002B3186" w:rsidP="00733B1F">
      <w:r>
        <w:t xml:space="preserve">Survey data from the CAHPS Health Plan Database is used to produce four types of products: 1) an annual chartbook available to the public on the CAHPS User Network web site; 2) individual participant comparative reports that are confidential and customized for each participating organization (e.g., health plan, Medicaid agency) that submits their data; 3) a research database available to researchers wanting to conduct additional analyses; and 4) data tables provided to AHRQ for inclusion in the National Healthcare Quality and National Healthcare Disparities Reports. </w:t>
      </w:r>
    </w:p>
    <w:p w:rsidR="002B3186" w:rsidRDefault="002B3186" w:rsidP="00C95998"/>
    <w:p w:rsidR="002B3186" w:rsidRDefault="002B3186" w:rsidP="0074285C">
      <w:r>
        <w:t>Information for the CAHPS Health Plan Database has been collected by AHRQ through its contractor Westat, on an annual basis since 1998. Health plans are asked to voluntarily submit their data to the comparative database in June of each year. The data are cleaned with standardized programs, then aggregated and used to produce comparative results for commercial (adult and child), Medicaid (adult and child), and Medicare (adult) populations for the two most recent years. In addition, individual participant reports are produced that display the participating organizations’ own results compared to appropriate comparisons derived from the National, regional and product-type distributions on a password-protected section of the online reporting system.</w:t>
      </w:r>
    </w:p>
    <w:p w:rsidR="002B3186" w:rsidRDefault="002B3186" w:rsidP="00C95998"/>
    <w:p w:rsidR="002B3186" w:rsidRDefault="002B3186" w:rsidP="0074285C">
      <w:r w:rsidRPr="005534F6">
        <w:t xml:space="preserve">The CAHPS Health Plan Database receives </w:t>
      </w:r>
      <w:r>
        <w:t xml:space="preserve">the </w:t>
      </w:r>
      <w:r w:rsidRPr="005534F6">
        <w:t>data from three sources: 1) commercial health plan data is purchased by the CAHPS Health Plan Database directly from the National Committee for Quality Assurance (NCQA). The</w:t>
      </w:r>
      <w:r>
        <w:t xml:space="preserve"> </w:t>
      </w:r>
      <w:r w:rsidRPr="005534F6">
        <w:t>data is collected by NCQA from those who participate in their accreditation program, 2) Medicare data is provided by the Centers for Medicare and Medicaid Services (</w:t>
      </w:r>
      <w:smartTag w:uri="urn:schemas-microsoft-com:office:smarttags" w:element="stockticker">
        <w:r w:rsidRPr="005534F6">
          <w:t>CMS</w:t>
        </w:r>
      </w:smartTag>
      <w:r w:rsidRPr="005534F6">
        <w:t xml:space="preserve">) through an agency </w:t>
      </w:r>
      <w:r>
        <w:t>D</w:t>
      </w:r>
      <w:r w:rsidRPr="005534F6">
        <w:t xml:space="preserve">ata </w:t>
      </w:r>
      <w:r>
        <w:t>Use</w:t>
      </w:r>
      <w:r w:rsidRPr="005534F6">
        <w:t xml:space="preserve"> </w:t>
      </w:r>
      <w:r>
        <w:t>A</w:t>
      </w:r>
      <w:r w:rsidRPr="005534F6">
        <w:t xml:space="preserve">greement.  The Medicare data is collected by CMS and their contractor </w:t>
      </w:r>
      <w:r w:rsidRPr="000B1B3A">
        <w:t>from beneficiaries who were enrolled in a managed care health plan,</w:t>
      </w:r>
      <w:r w:rsidRPr="005534F6">
        <w:t xml:space="preserve"> and 3) Medicaid data is collected by the CAHPS</w:t>
      </w:r>
      <w:r>
        <w:t xml:space="preserve"> Health Plan</w:t>
      </w:r>
      <w:r w:rsidRPr="005534F6">
        <w:t xml:space="preserve"> Database.  Medicaid agencies and their vendors directly submit their Medicaid health plan survey data to the CAPHS </w:t>
      </w:r>
      <w:r>
        <w:t xml:space="preserve">Health Plan </w:t>
      </w:r>
      <w:r w:rsidRPr="005534F6">
        <w:t>Database through an online data submission system. Data submitted by Medicaid plans, are compiled along with the data received from CMS and NCQA to comprise the CAHPS Health Plan Survey comparative database.</w:t>
      </w:r>
      <w:r w:rsidRPr="000D4103">
        <w:rPr>
          <w:rFonts w:ascii="Verdana" w:hAnsi="Verdana"/>
          <w:color w:val="333333"/>
          <w:sz w:val="19"/>
          <w:szCs w:val="19"/>
        </w:rPr>
        <w:t xml:space="preserve"> </w:t>
      </w:r>
    </w:p>
    <w:p w:rsidR="002B3186" w:rsidRDefault="002B3186" w:rsidP="00C95998"/>
    <w:p w:rsidR="002B3186" w:rsidRDefault="002B3186" w:rsidP="0074285C">
      <w:r>
        <w:t xml:space="preserve">AHRQ has produced CAHPS Health Plan Chartbook reports since 2000. The recent annual Health Plan Chartbook includes data from two years, 2007 and 2008. For 2007, 767 health plans are included covering 339,045 respondents and for 2008, 970 health plans are included covering 490,497 respondents. The online Health Plan Chartbook can be viewed on the CAHPS web site at: </w:t>
      </w:r>
      <w:hyperlink r:id="rId16" w:history="1">
        <w:r w:rsidRPr="00D25C6D">
          <w:rPr>
            <w:rStyle w:val="Hyperlink"/>
          </w:rPr>
          <w:t>https://www.cahps.ahrq.gov/content/ncbd/HP/NCBD_HP_HPProductsAndServicesArchive.asp?p=105&amp;s=52</w:t>
        </w:r>
      </w:hyperlink>
      <w:r w:rsidRPr="008D7DC0">
        <w:t>.</w:t>
      </w:r>
    </w:p>
    <w:p w:rsidR="002B3186" w:rsidRDefault="002B3186" w:rsidP="00C95998"/>
    <w:p w:rsidR="002B3186" w:rsidRDefault="002B3186" w:rsidP="0074285C">
      <w:r>
        <w:t xml:space="preserve">Submitted data is also used to give individual participants their own customized feedback report presenting their own plan results compared to the latest comparative data results. Trend data is also available to those plans that provide data across consecutive years. </w:t>
      </w:r>
    </w:p>
    <w:p w:rsidR="002B3186" w:rsidRDefault="002B3186" w:rsidP="0074285C">
      <w:r>
        <w:t>Chartbook results and individual participant reports are used for a variety of purposes:</w:t>
      </w:r>
    </w:p>
    <w:p w:rsidR="002B3186" w:rsidRDefault="002B3186" w:rsidP="00C95998"/>
    <w:p w:rsidR="002B3186" w:rsidRDefault="002B3186" w:rsidP="00F778D0">
      <w:pPr>
        <w:numPr>
          <w:ilvl w:val="0"/>
          <w:numId w:val="45"/>
        </w:numPr>
      </w:pPr>
      <w:r>
        <w:t>Identify areas for quality improvement and contracting goals</w:t>
      </w:r>
    </w:p>
    <w:p w:rsidR="002B3186" w:rsidRDefault="002B3186" w:rsidP="00F778D0">
      <w:pPr>
        <w:numPr>
          <w:ilvl w:val="0"/>
          <w:numId w:val="45"/>
        </w:numPr>
      </w:pPr>
      <w:r>
        <w:t>Brief senior leadership</w:t>
      </w:r>
    </w:p>
    <w:p w:rsidR="002B3186" w:rsidRDefault="002B3186" w:rsidP="00F778D0">
      <w:pPr>
        <w:numPr>
          <w:ilvl w:val="0"/>
          <w:numId w:val="45"/>
        </w:numPr>
      </w:pPr>
      <w:r>
        <w:t>Support public reporting</w:t>
      </w:r>
    </w:p>
    <w:p w:rsidR="002B3186" w:rsidRDefault="002B3186" w:rsidP="00F778D0">
      <w:pPr>
        <w:numPr>
          <w:ilvl w:val="0"/>
          <w:numId w:val="45"/>
        </w:numPr>
      </w:pPr>
      <w:r>
        <w:t>Compare care across payers (commercial, Medicaid, Medicare)</w:t>
      </w:r>
    </w:p>
    <w:p w:rsidR="002B3186" w:rsidRDefault="002B3186" w:rsidP="00F778D0">
      <w:pPr>
        <w:numPr>
          <w:ilvl w:val="0"/>
          <w:numId w:val="45"/>
        </w:numPr>
      </w:pPr>
      <w:r>
        <w:t>Combine with other quality measures to examine outcomes</w:t>
      </w:r>
    </w:p>
    <w:p w:rsidR="002B3186" w:rsidRDefault="002B3186" w:rsidP="00C95998"/>
    <w:p w:rsidR="002B3186" w:rsidRDefault="002B3186" w:rsidP="00C95998"/>
    <w:p w:rsidR="002B3186" w:rsidRDefault="002B3186" w:rsidP="00872C66">
      <w:r>
        <w:t>The research database has provided data to 36 researchers thus far. Results of this research have been used to examine:</w:t>
      </w:r>
    </w:p>
    <w:p w:rsidR="002B3186" w:rsidRDefault="002B3186" w:rsidP="00872C66">
      <w:pPr>
        <w:numPr>
          <w:ilvl w:val="0"/>
          <w:numId w:val="46"/>
        </w:numPr>
        <w:spacing w:before="100" w:beforeAutospacing="1" w:after="100" w:afterAutospacing="1"/>
      </w:pPr>
      <w:r>
        <w:t>Disparities in CAHPS scores by racial and ethnic characteristics of respondents</w:t>
      </w:r>
    </w:p>
    <w:p w:rsidR="002B3186" w:rsidRDefault="002B3186" w:rsidP="00872C66">
      <w:pPr>
        <w:numPr>
          <w:ilvl w:val="0"/>
          <w:numId w:val="46"/>
        </w:numPr>
        <w:spacing w:before="100" w:beforeAutospacing="1" w:after="100" w:afterAutospacing="1"/>
      </w:pPr>
      <w:r>
        <w:t>Comparison of adult and child CAHPS survey results</w:t>
      </w:r>
    </w:p>
    <w:p w:rsidR="002B3186" w:rsidRDefault="002B3186" w:rsidP="00872C66">
      <w:pPr>
        <w:numPr>
          <w:ilvl w:val="0"/>
          <w:numId w:val="46"/>
        </w:numPr>
        <w:spacing w:before="100" w:beforeAutospacing="1" w:after="100" w:afterAutospacing="1"/>
      </w:pPr>
      <w:r>
        <w:t>Analysis of case-mix factors affecting CAHPS scores</w:t>
      </w:r>
    </w:p>
    <w:p w:rsidR="002B3186" w:rsidRDefault="002B3186" w:rsidP="00872C66">
      <w:pPr>
        <w:numPr>
          <w:ilvl w:val="0"/>
          <w:numId w:val="46"/>
        </w:numPr>
        <w:spacing w:before="100" w:beforeAutospacing="1" w:after="100" w:afterAutospacing="1"/>
      </w:pPr>
      <w:r>
        <w:t>Differences in CAHPS scores at the state level</w:t>
      </w:r>
    </w:p>
    <w:p w:rsidR="002B3186" w:rsidRDefault="002B3186" w:rsidP="00872C66">
      <w:pPr>
        <w:numPr>
          <w:ilvl w:val="0"/>
          <w:numId w:val="46"/>
        </w:numPr>
        <w:spacing w:before="100" w:beforeAutospacing="1" w:after="100" w:afterAutospacing="1"/>
      </w:pPr>
      <w:r>
        <w:t xml:space="preserve">Comparison of CAHPS scores between civilian and military beneficiaries </w:t>
      </w:r>
    </w:p>
    <w:p w:rsidR="002B3186" w:rsidRDefault="002B3186" w:rsidP="00C22AC4">
      <w:pPr>
        <w:pStyle w:val="Heading2"/>
        <w:rPr>
          <w:sz w:val="24"/>
          <w:szCs w:val="24"/>
        </w:rPr>
      </w:pPr>
      <w:bookmarkStart w:id="6" w:name="_Toc151782178"/>
      <w:bookmarkStart w:id="7" w:name="_Toc158526218"/>
      <w:r w:rsidRPr="00983636">
        <w:rPr>
          <w:sz w:val="24"/>
          <w:szCs w:val="24"/>
        </w:rPr>
        <w:t>3. Use of Improved Information Technology</w:t>
      </w:r>
      <w:bookmarkEnd w:id="6"/>
      <w:bookmarkEnd w:id="7"/>
    </w:p>
    <w:p w:rsidR="002B3186" w:rsidRDefault="002B3186" w:rsidP="00C95998"/>
    <w:p w:rsidR="002B3186" w:rsidRDefault="002B3186" w:rsidP="00872C66">
      <w:r>
        <w:t>All information collection for the CAHPS Health Plan Database is done electronically, except the Data Use Agreement (DUA) that health plans sign in hard copy and fax or mail back. Registration is handled online and data submission information and data upload is handled through a secure web site. Delivery of confidential health plan survey results is also done electronically by having submitters enter a username and password to access their reports from a secure web site.</w:t>
      </w:r>
    </w:p>
    <w:p w:rsidR="002B3186" w:rsidRDefault="002B3186" w:rsidP="00C22AC4">
      <w:pPr>
        <w:pStyle w:val="Heading2"/>
        <w:rPr>
          <w:sz w:val="24"/>
          <w:szCs w:val="24"/>
        </w:rPr>
      </w:pPr>
      <w:bookmarkStart w:id="8" w:name="_Toc151782179"/>
      <w:bookmarkStart w:id="9" w:name="_Toc158526219"/>
      <w:r w:rsidRPr="00983636">
        <w:rPr>
          <w:sz w:val="24"/>
          <w:szCs w:val="24"/>
        </w:rPr>
        <w:t>4. Efforts to Identify Duplication</w:t>
      </w:r>
      <w:bookmarkEnd w:id="8"/>
      <w:bookmarkEnd w:id="9"/>
    </w:p>
    <w:p w:rsidR="002B3186" w:rsidRDefault="002B3186" w:rsidP="00C95998"/>
    <w:p w:rsidR="002B3186" w:rsidRPr="00872C66" w:rsidRDefault="002B3186" w:rsidP="007E4359">
      <w:pPr>
        <w:spacing w:after="240"/>
      </w:pPr>
      <w:r>
        <w:t>While there are many survey vendors that collect the CAHPS Health Plan Survey and may maintain databases of their own clients’ data, AHRQ is the only entity that serves as a comprehensive repository of CAHPS Health Plan survey data. AHRQ collaborates with CMS and NCQA to combine their CAHPS Health Plan survey data with the CAHPS Health Plan Database in an effort to reduce the burden of submission on health plans.</w:t>
      </w:r>
    </w:p>
    <w:p w:rsidR="002B3186" w:rsidRDefault="002B3186" w:rsidP="00C22AC4">
      <w:pPr>
        <w:pStyle w:val="Heading2"/>
        <w:rPr>
          <w:sz w:val="24"/>
          <w:szCs w:val="24"/>
        </w:rPr>
      </w:pPr>
      <w:bookmarkStart w:id="10" w:name="_Toc151782180"/>
      <w:bookmarkStart w:id="11" w:name="_Toc158526220"/>
      <w:r w:rsidRPr="00983636">
        <w:rPr>
          <w:sz w:val="24"/>
          <w:szCs w:val="24"/>
        </w:rPr>
        <w:t>5. Involvement of Small Entities</w:t>
      </w:r>
      <w:bookmarkEnd w:id="10"/>
      <w:bookmarkEnd w:id="11"/>
    </w:p>
    <w:p w:rsidR="002B3186" w:rsidRDefault="002B3186" w:rsidP="00C95998"/>
    <w:p w:rsidR="002B3186" w:rsidRDefault="002B3186" w:rsidP="00C95998">
      <w:r>
        <w:t>The collection of information associated with data submission is very basic and does not unduly burden small business or health plans. The information being requested has been held to the absolute minimum required for the intended uses and is likely already being compiled by survey vendors for their health plan clients.</w:t>
      </w:r>
    </w:p>
    <w:p w:rsidR="002B3186" w:rsidRPr="00983636" w:rsidRDefault="002B3186" w:rsidP="00C22AC4">
      <w:pPr>
        <w:pStyle w:val="Heading2"/>
        <w:rPr>
          <w:sz w:val="24"/>
          <w:szCs w:val="24"/>
        </w:rPr>
      </w:pPr>
      <w:bookmarkStart w:id="12" w:name="_Toc151782181"/>
      <w:bookmarkStart w:id="13" w:name="_Toc158526221"/>
      <w:r w:rsidRPr="00983636">
        <w:rPr>
          <w:sz w:val="24"/>
          <w:szCs w:val="24"/>
        </w:rPr>
        <w:t>6. Consequences if Information Collected Less Frequently</w:t>
      </w:r>
      <w:bookmarkEnd w:id="12"/>
      <w:bookmarkEnd w:id="13"/>
    </w:p>
    <w:p w:rsidR="002B3186" w:rsidRDefault="002B3186" w:rsidP="00C95998">
      <w:bookmarkStart w:id="14" w:name="_Toc151782182"/>
      <w:bookmarkStart w:id="15" w:name="_Toc158526222"/>
    </w:p>
    <w:p w:rsidR="002B3186" w:rsidRPr="005F3798" w:rsidRDefault="002B3186" w:rsidP="00C95998">
      <w:r>
        <w:t>Regulations issued by CMS and NCQA require health plans to follow a regular annual data collection and reporting cycle. As a result, the CAHPS Health Plan Database follows the same cycle for data submission. Because data are used to monitor patient experience and to evaluate specific quality initiatives, timely data is imperative to monitoring and quality improvement.</w:t>
      </w:r>
    </w:p>
    <w:p w:rsidR="002B3186" w:rsidRDefault="002B3186" w:rsidP="00C22AC4">
      <w:pPr>
        <w:pStyle w:val="Heading2"/>
        <w:rPr>
          <w:sz w:val="24"/>
          <w:szCs w:val="24"/>
        </w:rPr>
      </w:pPr>
      <w:r w:rsidRPr="00412C6F">
        <w:rPr>
          <w:sz w:val="24"/>
          <w:szCs w:val="24"/>
        </w:rPr>
        <w:t>7. Special Circumstances</w:t>
      </w:r>
      <w:bookmarkEnd w:id="14"/>
      <w:bookmarkEnd w:id="15"/>
    </w:p>
    <w:p w:rsidR="002B3186" w:rsidRDefault="002B3186" w:rsidP="00C95998"/>
    <w:p w:rsidR="002B3186" w:rsidRDefault="002B3186" w:rsidP="00C95998">
      <w:r w:rsidRPr="004F03D2">
        <w:t>This request is consistent with the general information collection guid</w:t>
      </w:r>
      <w:r>
        <w:t>elines of 5 CFR 1320.5(d) (2). No special circumstances apply.</w:t>
      </w:r>
    </w:p>
    <w:p w:rsidR="002B3186" w:rsidRDefault="002B3186" w:rsidP="00C22AC4">
      <w:pPr>
        <w:pStyle w:val="Heading2"/>
        <w:rPr>
          <w:sz w:val="24"/>
          <w:szCs w:val="24"/>
        </w:rPr>
      </w:pPr>
      <w:bookmarkStart w:id="16" w:name="_Toc151782183"/>
      <w:bookmarkStart w:id="17" w:name="_Toc158526223"/>
      <w:r w:rsidRPr="00412C6F">
        <w:rPr>
          <w:sz w:val="24"/>
          <w:szCs w:val="24"/>
        </w:rPr>
        <w:t>8.</w:t>
      </w:r>
      <w:r w:rsidRPr="004E3A1B">
        <w:rPr>
          <w:sz w:val="24"/>
          <w:szCs w:val="24"/>
        </w:rPr>
        <w:t xml:space="preserve"> </w:t>
      </w:r>
      <w:bookmarkEnd w:id="16"/>
      <w:bookmarkEnd w:id="17"/>
      <w:r w:rsidRPr="004E3A1B">
        <w:rPr>
          <w:sz w:val="24"/>
          <w:szCs w:val="24"/>
        </w:rPr>
        <w:t>Federal Register Notice and Outside Consultations</w:t>
      </w:r>
    </w:p>
    <w:p w:rsidR="002B3186" w:rsidRDefault="002B3186" w:rsidP="00C95998"/>
    <w:p w:rsidR="002B3186" w:rsidRDefault="002B3186" w:rsidP="00C22AC4">
      <w:pPr>
        <w:keepNext/>
        <w:spacing w:before="240" w:after="60"/>
        <w:outlineLvl w:val="1"/>
        <w:rPr>
          <w:rFonts w:ascii="Arial" w:hAnsi="Arial" w:cs="Arial"/>
          <w:b/>
          <w:bCs/>
          <w:i/>
          <w:iCs/>
        </w:rPr>
      </w:pPr>
      <w:r w:rsidRPr="004E3A1B">
        <w:rPr>
          <w:rFonts w:ascii="Arial" w:hAnsi="Arial" w:cs="Arial"/>
          <w:b/>
          <w:bCs/>
          <w:i/>
          <w:iCs/>
        </w:rPr>
        <w:t>8.a.</w:t>
      </w:r>
      <w:r>
        <w:t xml:space="preserve"> </w:t>
      </w:r>
      <w:r w:rsidRPr="004E3A1B">
        <w:rPr>
          <w:rFonts w:ascii="Arial" w:hAnsi="Arial" w:cs="Arial"/>
          <w:b/>
          <w:bCs/>
          <w:i/>
          <w:iCs/>
        </w:rPr>
        <w:t>Federal Register Notice</w:t>
      </w:r>
    </w:p>
    <w:p w:rsidR="002B3186" w:rsidRPr="007C1ECB" w:rsidRDefault="002B3186" w:rsidP="00C95998"/>
    <w:p w:rsidR="002B3186" w:rsidRPr="00A352C2" w:rsidRDefault="002B3186" w:rsidP="00C95998">
      <w:pPr>
        <w:rPr>
          <w:highlight w:val="yellow"/>
        </w:rPr>
      </w:pPr>
      <w:r w:rsidRPr="000509AF">
        <w:t xml:space="preserve">As required by 5 CFR 1320.8(d), notice was published in the Federal Register on </w:t>
      </w:r>
      <w:r>
        <w:t>January 25</w:t>
      </w:r>
      <w:r w:rsidRPr="00C536F6">
        <w:rPr>
          <w:vertAlign w:val="superscript"/>
        </w:rPr>
        <w:t>th</w:t>
      </w:r>
      <w:r>
        <w:t>, 2010 for 60 days (see A</w:t>
      </w:r>
      <w:r w:rsidRPr="00C536F6">
        <w:t xml:space="preserve">ttachment A-2). </w:t>
      </w:r>
      <w:r>
        <w:t xml:space="preserve"> </w:t>
      </w:r>
      <w:r w:rsidRPr="00C536F6">
        <w:t>N</w:t>
      </w:r>
      <w:r>
        <w:t>o comments were received.</w:t>
      </w:r>
    </w:p>
    <w:p w:rsidR="002B3186" w:rsidRDefault="002B3186" w:rsidP="00C22AC4">
      <w:pPr>
        <w:pStyle w:val="Heading2"/>
        <w:rPr>
          <w:sz w:val="24"/>
          <w:szCs w:val="24"/>
        </w:rPr>
      </w:pPr>
      <w:r w:rsidRPr="00A352C2">
        <w:rPr>
          <w:sz w:val="24"/>
          <w:szCs w:val="24"/>
        </w:rPr>
        <w:t>8.b.</w:t>
      </w:r>
      <w:r>
        <w:rPr>
          <w:sz w:val="24"/>
          <w:szCs w:val="24"/>
        </w:rPr>
        <w:t xml:space="preserve"> </w:t>
      </w:r>
      <w:r w:rsidRPr="00A352C2">
        <w:rPr>
          <w:sz w:val="24"/>
          <w:szCs w:val="24"/>
        </w:rPr>
        <w:t>Outside Consultations</w:t>
      </w:r>
    </w:p>
    <w:p w:rsidR="002B3186" w:rsidRDefault="002B3186" w:rsidP="00C95998"/>
    <w:p w:rsidR="002B3186" w:rsidRDefault="002B3186" w:rsidP="00C95998">
      <w:r>
        <w:t xml:space="preserve">The CAHPS Database maintains an Advisory Committee </w:t>
      </w:r>
      <w:r w:rsidRPr="003A5231">
        <w:t xml:space="preserve">of </w:t>
      </w:r>
      <w:r>
        <w:t>16</w:t>
      </w:r>
      <w:r w:rsidRPr="003A5231">
        <w:t xml:space="preserve"> members</w:t>
      </w:r>
      <w:r>
        <w:t xml:space="preserve"> that meets regularly to provide guidance on the databases. The current composition of the Advisory Group is included in </w:t>
      </w:r>
      <w:r w:rsidRPr="000509AF">
        <w:t>Attachment A-</w:t>
      </w:r>
      <w:r>
        <w:t>3</w:t>
      </w:r>
      <w:r w:rsidRPr="000509AF">
        <w:t>.</w:t>
      </w:r>
    </w:p>
    <w:p w:rsidR="002B3186" w:rsidRPr="00C22AC4" w:rsidRDefault="002B3186" w:rsidP="00C22AC4">
      <w:pPr>
        <w:pStyle w:val="Heading2"/>
        <w:rPr>
          <w:sz w:val="24"/>
          <w:szCs w:val="24"/>
        </w:rPr>
      </w:pPr>
      <w:bookmarkStart w:id="18" w:name="_Toc457285506"/>
      <w:bookmarkStart w:id="19" w:name="_Toc58725294"/>
      <w:bookmarkStart w:id="20" w:name="_Toc151782184"/>
      <w:bookmarkStart w:id="21" w:name="_Toc158526224"/>
      <w:r w:rsidRPr="00C22AC4">
        <w:rPr>
          <w:sz w:val="24"/>
          <w:szCs w:val="24"/>
        </w:rPr>
        <w:t>9. Payments/Gifts to Respondents</w:t>
      </w:r>
      <w:bookmarkEnd w:id="18"/>
      <w:bookmarkEnd w:id="19"/>
      <w:bookmarkEnd w:id="20"/>
      <w:bookmarkEnd w:id="21"/>
    </w:p>
    <w:p w:rsidR="002B3186" w:rsidRDefault="002B3186" w:rsidP="00C95998"/>
    <w:p w:rsidR="002B3186" w:rsidRPr="005F3798" w:rsidRDefault="002B3186" w:rsidP="00C95998">
      <w:r>
        <w:t>No payment or remuneration is provided to health plans for submitting data to the CAHPS Health Plan Database.</w:t>
      </w:r>
    </w:p>
    <w:p w:rsidR="002B3186" w:rsidRPr="00412C6F" w:rsidRDefault="002B3186" w:rsidP="00C22AC4">
      <w:pPr>
        <w:pStyle w:val="Heading2"/>
        <w:rPr>
          <w:sz w:val="24"/>
          <w:szCs w:val="24"/>
        </w:rPr>
      </w:pPr>
      <w:bookmarkStart w:id="22" w:name="_Toc151782185"/>
      <w:bookmarkStart w:id="23" w:name="_Toc158526225"/>
      <w:r w:rsidRPr="00412C6F">
        <w:rPr>
          <w:sz w:val="24"/>
          <w:szCs w:val="24"/>
        </w:rPr>
        <w:t>10. Assurance of Confidentiality</w:t>
      </w:r>
      <w:bookmarkEnd w:id="22"/>
      <w:bookmarkEnd w:id="23"/>
    </w:p>
    <w:p w:rsidR="002B3186" w:rsidRDefault="002B3186" w:rsidP="00C95998"/>
    <w:p w:rsidR="002B3186" w:rsidRDefault="002B3186" w:rsidP="00C95998">
      <w:r w:rsidRPr="008C525E">
        <w:t>Individuals and organizations will be assured of the confidentiality of their replies under Section 9</w:t>
      </w:r>
      <w:r>
        <w:t>3</w:t>
      </w:r>
      <w:r w:rsidRPr="008C525E">
        <w:t xml:space="preserve">4(c) of the </w:t>
      </w:r>
      <w:r>
        <w:t xml:space="preserve">Public Health Service Act, 42 USC 299c-3(c). They will be told the purposes for which the information is collected and that, in accordance with this statute, any identifiable information about them will not be used or disclosed for any other purpose. </w:t>
      </w:r>
    </w:p>
    <w:p w:rsidR="002B3186" w:rsidRDefault="002B3186" w:rsidP="00C95998"/>
    <w:p w:rsidR="002B3186" w:rsidRDefault="002B3186" w:rsidP="005F3798">
      <w:pPr>
        <w:autoSpaceDE w:val="0"/>
        <w:autoSpaceDN w:val="0"/>
        <w:adjustRightInd w:val="0"/>
      </w:pPr>
      <w:r w:rsidRPr="003925C9">
        <w:rPr>
          <w:b/>
          <w:bCs/>
        </w:rPr>
        <w:t xml:space="preserve">Confidentiality of the Point-of-Contact for a </w:t>
      </w:r>
      <w:r>
        <w:rPr>
          <w:b/>
          <w:bCs/>
        </w:rPr>
        <w:t>Health Plan</w:t>
      </w:r>
      <w:r w:rsidRPr="003925C9">
        <w:rPr>
          <w:b/>
          <w:bCs/>
        </w:rPr>
        <w:t>.</w:t>
      </w:r>
      <w:r>
        <w:t xml:space="preserve"> The health plans’ point-of-contact (POC), who submits data on behalf of their plan, is asked to provide his/her name, phone number and email address during the data submission process to ensure that the plan’s individual survey feedback report is delivered back to that person for use by the health plan. In addition, the POC’s contact information is important when any clarifications or corrections of the submitted data set are required and follow up is needed. However, the name of the POC and name of the plan is kept confidential and not publicly reported. </w:t>
      </w:r>
      <w:r w:rsidRPr="001B4BF3">
        <w:t>Only aggregated, de-identified results are displayed in any reports.</w:t>
      </w:r>
    </w:p>
    <w:p w:rsidR="002B3186" w:rsidRDefault="002B3186" w:rsidP="00C95998"/>
    <w:p w:rsidR="002B3186" w:rsidRPr="000A3CAB" w:rsidRDefault="002B3186" w:rsidP="005F3798">
      <w:pPr>
        <w:autoSpaceDE w:val="0"/>
        <w:autoSpaceDN w:val="0"/>
        <w:adjustRightInd w:val="0"/>
        <w:rPr>
          <w:b/>
          <w:bCs/>
        </w:rPr>
      </w:pPr>
      <w:r w:rsidRPr="003925C9">
        <w:rPr>
          <w:b/>
          <w:bCs/>
        </w:rPr>
        <w:t xml:space="preserve">Confidentiality of the Survey Data Submitted by a </w:t>
      </w:r>
      <w:r>
        <w:rPr>
          <w:b/>
          <w:bCs/>
        </w:rPr>
        <w:t>Health Plan</w:t>
      </w:r>
      <w:r w:rsidRPr="003925C9">
        <w:rPr>
          <w:b/>
          <w:bCs/>
        </w:rPr>
        <w:t>.</w:t>
      </w:r>
      <w:r>
        <w:rPr>
          <w:b/>
          <w:bCs/>
        </w:rPr>
        <w:t xml:space="preserve"> </w:t>
      </w:r>
      <w:r>
        <w:t>Health plans are assured of the confidentiality of their CAHPS Health Plan survey data through a DUA that they must sign that has been approved by AHRQ (</w:t>
      </w:r>
      <w:r w:rsidRPr="000509AF">
        <w:t>see Attachment A-</w:t>
      </w:r>
      <w:r>
        <w:t>4</w:t>
      </w:r>
      <w:r w:rsidRPr="000509AF">
        <w:t>).</w:t>
      </w:r>
      <w:r>
        <w:t xml:space="preserve"> The DUA states that their data will be handled in a secure manner using necessary administrative, technical and physical safeguards to limit access to it and maintain its confidentiality. In addition, the DUA states the data will be used for the purposes of the database, that only aggregated results will be reported, and that the health plan will not be identified by name.</w:t>
      </w:r>
    </w:p>
    <w:p w:rsidR="002B3186" w:rsidRDefault="002B3186" w:rsidP="00C22AC4">
      <w:pPr>
        <w:pStyle w:val="Heading2"/>
        <w:rPr>
          <w:sz w:val="24"/>
          <w:szCs w:val="24"/>
        </w:rPr>
      </w:pPr>
      <w:bookmarkStart w:id="24" w:name="_Toc151782186"/>
      <w:bookmarkStart w:id="25" w:name="_Toc158526226"/>
      <w:r w:rsidRPr="00412C6F">
        <w:rPr>
          <w:sz w:val="24"/>
          <w:szCs w:val="24"/>
        </w:rPr>
        <w:t>11. Questions of a Sensitive Nature</w:t>
      </w:r>
      <w:bookmarkEnd w:id="24"/>
      <w:bookmarkEnd w:id="25"/>
    </w:p>
    <w:p w:rsidR="002B3186" w:rsidRDefault="002B3186" w:rsidP="00C95998"/>
    <w:p w:rsidR="002B3186" w:rsidRDefault="002B3186" w:rsidP="00C95998">
      <w:r>
        <w:t>There are no questions of a sensitive nature.</w:t>
      </w:r>
    </w:p>
    <w:p w:rsidR="002B3186" w:rsidRPr="00412C6F" w:rsidRDefault="002B3186" w:rsidP="00C22AC4">
      <w:pPr>
        <w:pStyle w:val="Heading2"/>
        <w:rPr>
          <w:sz w:val="24"/>
          <w:szCs w:val="24"/>
        </w:rPr>
      </w:pPr>
      <w:bookmarkStart w:id="26" w:name="_Toc151782187"/>
      <w:bookmarkStart w:id="27" w:name="_Toc158526227"/>
      <w:r w:rsidRPr="003C3847">
        <w:rPr>
          <w:sz w:val="24"/>
          <w:szCs w:val="24"/>
        </w:rPr>
        <w:t>12. Estimates of Annualized Burden Hours and Costs</w:t>
      </w:r>
      <w:bookmarkEnd w:id="26"/>
      <w:bookmarkEnd w:id="27"/>
    </w:p>
    <w:p w:rsidR="002B3186" w:rsidRPr="00C65AF8" w:rsidRDefault="002B3186" w:rsidP="008855AB">
      <w:r>
        <w:t xml:space="preserve">Each year </w:t>
      </w:r>
      <w:r w:rsidRPr="008855AB">
        <w:t>State Medicaid agencies, and individual health plans</w:t>
      </w:r>
      <w:r>
        <w:t xml:space="preserve"> decide whether to participate in the database and prepare their materials and dataset for submission to the CAHPS Health Plan Database</w:t>
      </w:r>
      <w:r w:rsidRPr="00C65AF8">
        <w:t xml:space="preserve">. Participating organizations are typically </w:t>
      </w:r>
      <w:r>
        <w:t>State</w:t>
      </w:r>
      <w:r w:rsidRPr="00C65AF8">
        <w:t xml:space="preserve"> Medicaid agencies with multiple health plans.</w:t>
      </w:r>
      <w:r>
        <w:t xml:space="preserve"> </w:t>
      </w:r>
      <w:r w:rsidRPr="00C65AF8">
        <w:t xml:space="preserve">However, individual health plans are also encouraged to submit their data to the </w:t>
      </w:r>
      <w:r>
        <w:t xml:space="preserve">CAHPS </w:t>
      </w:r>
      <w:r w:rsidRPr="00C65AF8">
        <w:t>Database.</w:t>
      </w:r>
      <w:r>
        <w:t xml:space="preserve"> </w:t>
      </w:r>
      <w:r w:rsidRPr="00C65AF8">
        <w:t>The number of data submissions per registrant varies from participant to participant and year to year because some participants submit data for multiple health plans</w:t>
      </w:r>
      <w:r>
        <w:t>,</w:t>
      </w:r>
      <w:r w:rsidRPr="00C65AF8">
        <w:t xml:space="preserve"> while others may only submit survey data for one plan</w:t>
      </w:r>
      <w:r>
        <w:t xml:space="preserve">. </w:t>
      </w:r>
    </w:p>
    <w:p w:rsidR="002B3186" w:rsidRDefault="002B3186" w:rsidP="00205BEA"/>
    <w:p w:rsidR="002B3186" w:rsidRPr="00C65AF8" w:rsidRDefault="002B3186" w:rsidP="00205BEA">
      <w:r w:rsidRPr="00C65AF8">
        <w:t>Each organization that decides to participate in the database must</w:t>
      </w:r>
      <w:r>
        <w:t xml:space="preserve"> have their POC</w:t>
      </w:r>
      <w:r w:rsidRPr="00C65AF8">
        <w:t xml:space="preserve"> complete a registration form providing their contact information for access to the on-line </w:t>
      </w:r>
      <w:r>
        <w:t xml:space="preserve">data submission </w:t>
      </w:r>
      <w:r w:rsidRPr="00C65AF8">
        <w:t xml:space="preserve">system, sign and submit a </w:t>
      </w:r>
      <w:r>
        <w:t>DUA,</w:t>
      </w:r>
      <w:r w:rsidRPr="00C65AF8">
        <w:t xml:space="preserve"> and </w:t>
      </w:r>
      <w:r>
        <w:t>provide</w:t>
      </w:r>
      <w:r w:rsidRPr="00C65AF8">
        <w:t xml:space="preserve"> health plan characteristics </w:t>
      </w:r>
      <w:r>
        <w:t xml:space="preserve">such as </w:t>
      </w:r>
      <w:r w:rsidRPr="00C65AF8">
        <w:t xml:space="preserve">health plan name, product type, type of population surveyed, health plan state, </w:t>
      </w:r>
      <w:r>
        <w:t xml:space="preserve">and </w:t>
      </w:r>
      <w:r w:rsidRPr="00C65AF8">
        <w:t>plan name to appear in the reporting of their results</w:t>
      </w:r>
      <w:r>
        <w:t>.</w:t>
      </w:r>
      <w:r w:rsidRPr="00C65AF8">
        <w:t xml:space="preserve"> </w:t>
      </w:r>
    </w:p>
    <w:p w:rsidR="002B3186" w:rsidRDefault="002B3186" w:rsidP="008855AB"/>
    <w:p w:rsidR="002B3186" w:rsidRDefault="002B3186" w:rsidP="007C4283">
      <w:r w:rsidRPr="00C65AF8">
        <w:t>Each vendor that submits files on behalf of a Medicaid agency or individual health plan must also complete the registration form in order to obtain access to the on-line submission system.</w:t>
      </w:r>
      <w:r>
        <w:t xml:space="preserve"> </w:t>
      </w:r>
      <w:r w:rsidRPr="00C65AF8">
        <w:t>The vendor</w:t>
      </w:r>
      <w:r>
        <w:t>,</w:t>
      </w:r>
      <w:r w:rsidRPr="00C65AF8">
        <w:t xml:space="preserve"> </w:t>
      </w:r>
      <w:r>
        <w:t xml:space="preserve">on behalf of their client, may </w:t>
      </w:r>
      <w:r w:rsidRPr="00C65AF8">
        <w:t xml:space="preserve">also complete additional information about survey administration (CAHPS survey version used, mode of survey administration, total enrollment count, description of how the sample was selected), submit a copy of </w:t>
      </w:r>
      <w:r>
        <w:t xml:space="preserve">the </w:t>
      </w:r>
      <w:r w:rsidRPr="00C65AF8">
        <w:t>questionnaire used</w:t>
      </w:r>
      <w:r>
        <w:t>,</w:t>
      </w:r>
      <w:r w:rsidRPr="00C65AF8">
        <w:t xml:space="preserve"> and submit one data file per health plan.</w:t>
      </w:r>
      <w:r>
        <w:t xml:space="preserve"> Commercial health plan data is received directly from NCQA. Medicare health plan data is received from CMS. </w:t>
      </w:r>
    </w:p>
    <w:p w:rsidR="002B3186" w:rsidRDefault="002B3186" w:rsidP="007C4283"/>
    <w:p w:rsidR="002B3186" w:rsidRDefault="002B3186" w:rsidP="007C4283">
      <w:r w:rsidRPr="00122AA3">
        <w:t xml:space="preserve">The burden hours and costs below pertain only to the collection of Medicaid data from State Medicaid agencies and individual Medicaid health plans because those are the only entities that submit data through the data submission process (other data are obtained directly from NCQA and CMS as noted earlier in </w:t>
      </w:r>
      <w:r>
        <w:t>Section</w:t>
      </w:r>
      <w:r w:rsidRPr="00122AA3">
        <w:t xml:space="preserve"> 2).</w:t>
      </w:r>
      <w:r>
        <w:t xml:space="preserve"> In 2009, a total of 60 participants, representing 45 </w:t>
      </w:r>
      <w:r w:rsidRPr="00FD42D7">
        <w:t xml:space="preserve">individual organizations and 15 vendors, </w:t>
      </w:r>
      <w:r w:rsidRPr="00122AA3">
        <w:t>submitted data for 244 health plans (an average of about 4 health plans per participant).</w:t>
      </w:r>
      <w:r>
        <w:t xml:space="preserve"> </w:t>
      </w:r>
    </w:p>
    <w:p w:rsidR="002B3186" w:rsidRDefault="002B3186" w:rsidP="007C4283"/>
    <w:p w:rsidR="002B3186" w:rsidRDefault="002B3186" w:rsidP="007C4283">
      <w:r w:rsidRPr="00826103">
        <w:t xml:space="preserve">Exhibits </w:t>
      </w:r>
      <w:r>
        <w:t>A-</w:t>
      </w:r>
      <w:r w:rsidRPr="00826103">
        <w:t xml:space="preserve">1 and </w:t>
      </w:r>
      <w:r>
        <w:t>A-</w:t>
      </w:r>
      <w:r w:rsidRPr="00826103">
        <w:t xml:space="preserve">2 are based on the estimated number of individual </w:t>
      </w:r>
      <w:r>
        <w:t>participants (</w:t>
      </w:r>
      <w:r w:rsidRPr="00826103">
        <w:t xml:space="preserve">participating organizations </w:t>
      </w:r>
      <w:r w:rsidRPr="003A5231">
        <w:t xml:space="preserve">and/or </w:t>
      </w:r>
      <w:r w:rsidRPr="00826103">
        <w:t>vendors</w:t>
      </w:r>
      <w:r>
        <w:t>)</w:t>
      </w:r>
      <w:r w:rsidRPr="00826103">
        <w:t xml:space="preserve"> who will complete the database submission steps and forms in the coming years, </w:t>
      </w:r>
      <w:r>
        <w:t>and</w:t>
      </w:r>
      <w:r w:rsidRPr="00826103">
        <w:t xml:space="preserve"> is </w:t>
      </w:r>
      <w:r w:rsidRPr="00EC3332">
        <w:rPr>
          <w:u w:val="single"/>
        </w:rPr>
        <w:t xml:space="preserve">not </w:t>
      </w:r>
      <w:r w:rsidRPr="00826103">
        <w:t xml:space="preserve">based on </w:t>
      </w:r>
      <w:r>
        <w:t xml:space="preserve">the </w:t>
      </w:r>
      <w:r w:rsidRPr="00826103">
        <w:t xml:space="preserve">total number of </w:t>
      </w:r>
      <w:r>
        <w:t xml:space="preserve">health </w:t>
      </w:r>
      <w:r w:rsidRPr="00826103">
        <w:t>plans</w:t>
      </w:r>
      <w:r>
        <w:t xml:space="preserve"> that are submitted</w:t>
      </w:r>
      <w:r w:rsidRPr="00826103">
        <w:t>.</w:t>
      </w:r>
      <w:r>
        <w:t xml:space="preserve"> </w:t>
      </w:r>
      <w:r w:rsidRPr="00826103">
        <w:t xml:space="preserve">The number of respondents and burden hours are based on an estimated </w:t>
      </w:r>
      <w:r>
        <w:t xml:space="preserve">slight </w:t>
      </w:r>
      <w:r w:rsidRPr="00826103">
        <w:t xml:space="preserve">increase in the number of </w:t>
      </w:r>
      <w:r>
        <w:t xml:space="preserve">participants to 70 </w:t>
      </w:r>
      <w:r w:rsidRPr="00826103">
        <w:t>in 2010 and 2011</w:t>
      </w:r>
      <w:r w:rsidRPr="003C3847">
        <w:t>.</w:t>
      </w:r>
    </w:p>
    <w:p w:rsidR="002B3186" w:rsidRDefault="002B3186" w:rsidP="007C4283"/>
    <w:p w:rsidR="002B3186" w:rsidRPr="00826103" w:rsidRDefault="002B3186" w:rsidP="008855AB">
      <w:r>
        <w:t>In Exhibit A-1, t</w:t>
      </w:r>
      <w:r w:rsidRPr="00826103">
        <w:t xml:space="preserve">he 70 </w:t>
      </w:r>
      <w:r>
        <w:t>participants</w:t>
      </w:r>
      <w:r w:rsidRPr="00826103">
        <w:t xml:space="preserve"> that will complete the registration form and submit information to the </w:t>
      </w:r>
      <w:r>
        <w:t>CAHPS Health Plan Database</w:t>
      </w:r>
      <w:r w:rsidRPr="00826103">
        <w:t xml:space="preserve"> are a combination of </w:t>
      </w:r>
      <w:r>
        <w:t>an estimated 50 State</w:t>
      </w:r>
      <w:r w:rsidRPr="00826103">
        <w:t xml:space="preserve"> Medicaid agencies</w:t>
      </w:r>
      <w:r>
        <w:t xml:space="preserve"> and</w:t>
      </w:r>
      <w:r w:rsidRPr="00826103">
        <w:t xml:space="preserve"> individual health plans</w:t>
      </w:r>
      <w:r>
        <w:t>,</w:t>
      </w:r>
      <w:r w:rsidRPr="00826103">
        <w:t xml:space="preserve"> and </w:t>
      </w:r>
      <w:r w:rsidRPr="003A5231">
        <w:t>20</w:t>
      </w:r>
      <w:r>
        <w:t xml:space="preserve"> estimated </w:t>
      </w:r>
      <w:r w:rsidRPr="00826103">
        <w:t>vendors.</w:t>
      </w:r>
      <w:r>
        <w:t xml:space="preserve"> The </w:t>
      </w:r>
      <w:r w:rsidRPr="003A5231">
        <w:t>50</w:t>
      </w:r>
      <w:r w:rsidRPr="00826103">
        <w:t xml:space="preserve"> </w:t>
      </w:r>
      <w:r>
        <w:t>State</w:t>
      </w:r>
      <w:r w:rsidRPr="00826103">
        <w:t xml:space="preserve"> Medicaid agenc</w:t>
      </w:r>
      <w:r>
        <w:t>ies</w:t>
      </w:r>
      <w:r w:rsidRPr="00826103">
        <w:t xml:space="preserve"> or individual health plans will sign and submit a </w:t>
      </w:r>
      <w:r>
        <w:t>DUA</w:t>
      </w:r>
      <w:r w:rsidRPr="00826103">
        <w:t>.</w:t>
      </w:r>
      <w:r>
        <w:t xml:space="preserve"> </w:t>
      </w:r>
      <w:r w:rsidRPr="00826103">
        <w:t xml:space="preserve">Vendors do not sign or submit </w:t>
      </w:r>
      <w:r>
        <w:t>DUA</w:t>
      </w:r>
      <w:r w:rsidRPr="00826103">
        <w:t>s.</w:t>
      </w:r>
      <w:r>
        <w:t xml:space="preserve"> Health plan information and data files are submitted for each health plan. Exhibit A-1 shows an estimated total of </w:t>
      </w:r>
      <w:r w:rsidRPr="003A5231">
        <w:t>280</w:t>
      </w:r>
      <w:r>
        <w:t xml:space="preserve"> health plans (70 estimated participants with 4 health plans per participant). T</w:t>
      </w:r>
      <w:r w:rsidRPr="00826103">
        <w:t xml:space="preserve">he total burden hours </w:t>
      </w:r>
      <w:r>
        <w:t>for completing the registration, DUA and data submission process are e</w:t>
      </w:r>
      <w:r w:rsidRPr="00826103">
        <w:t>stimated to be 72</w:t>
      </w:r>
      <w:r>
        <w:t>2 hours</w:t>
      </w:r>
      <w:r w:rsidRPr="00826103">
        <w:t>.</w:t>
      </w:r>
      <w:r>
        <w:t xml:space="preserve"> </w:t>
      </w:r>
      <w:r w:rsidRPr="00826103">
        <w:t xml:space="preserve"> </w:t>
      </w:r>
    </w:p>
    <w:p w:rsidR="002B3186" w:rsidRDefault="002B3186" w:rsidP="008855AB"/>
    <w:p w:rsidR="002B3186" w:rsidRDefault="002B3186" w:rsidP="005F3348">
      <w:r>
        <w:rPr>
          <w:b/>
          <w:bCs/>
          <w:color w:val="000000"/>
        </w:rPr>
        <w:t>Exhibit A-1.  Estimated annualized burden hours</w:t>
      </w:r>
    </w:p>
    <w:tbl>
      <w:tblPr>
        <w:tblW w:w="0" w:type="auto"/>
        <w:tblInd w:w="108" w:type="dxa"/>
        <w:tblCellMar>
          <w:left w:w="0" w:type="dxa"/>
          <w:right w:w="0" w:type="dxa"/>
        </w:tblCellMar>
        <w:tblLook w:val="0000"/>
      </w:tblPr>
      <w:tblGrid>
        <w:gridCol w:w="3708"/>
        <w:gridCol w:w="1440"/>
        <w:gridCol w:w="1080"/>
        <w:gridCol w:w="1080"/>
        <w:gridCol w:w="900"/>
      </w:tblGrid>
      <w:tr w:rsidR="002B3186" w:rsidRPr="00A01B44">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sidRPr="00A01B44">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5F3348">
            <w:pPr>
              <w:jc w:val="center"/>
              <w:rPr>
                <w:sz w:val="20"/>
                <w:szCs w:val="20"/>
              </w:rPr>
            </w:pPr>
            <w:r>
              <w:rPr>
                <w:color w:val="000000"/>
                <w:sz w:val="20"/>
                <w:szCs w:val="20"/>
              </w:rPr>
              <w:t>Nu</w:t>
            </w:r>
            <w:r w:rsidRPr="00A01B44">
              <w:rPr>
                <w:color w:val="000000"/>
                <w:sz w:val="20"/>
                <w:szCs w:val="20"/>
              </w:rPr>
              <w:t xml:space="preserve">mber </w:t>
            </w:r>
            <w:r>
              <w:rPr>
                <w:color w:val="000000"/>
                <w:sz w:val="20"/>
                <w:szCs w:val="20"/>
              </w:rPr>
              <w:t>of respondents/</w:t>
            </w:r>
            <w:r>
              <w:rPr>
                <w:color w:val="000000"/>
                <w:sz w:val="20"/>
                <w:szCs w:val="20"/>
              </w:rPr>
              <w:br/>
              <w:t>POCs</w:t>
            </w:r>
          </w:p>
        </w:tc>
        <w:tc>
          <w:tcPr>
            <w:tcW w:w="1080" w:type="dxa"/>
            <w:tcBorders>
              <w:top w:val="single" w:sz="8" w:space="0" w:color="auto"/>
              <w:left w:val="nil"/>
              <w:bottom w:val="single" w:sz="8" w:space="0" w:color="auto"/>
              <w:right w:val="single" w:sz="4" w:space="0" w:color="auto"/>
            </w:tcBorders>
          </w:tcPr>
          <w:p w:rsidR="002B3186" w:rsidRDefault="002B3186" w:rsidP="001C44DD">
            <w:pPr>
              <w:jc w:val="center"/>
              <w:rPr>
                <w:color w:val="000000"/>
                <w:sz w:val="20"/>
                <w:szCs w:val="20"/>
              </w:rPr>
            </w:pPr>
            <w:r>
              <w:rPr>
                <w:color w:val="000000"/>
                <w:sz w:val="20"/>
                <w:szCs w:val="20"/>
              </w:rPr>
              <w:t>Number of responses per POC</w:t>
            </w:r>
          </w:p>
        </w:tc>
        <w:tc>
          <w:tcPr>
            <w:tcW w:w="1080" w:type="dxa"/>
            <w:tcBorders>
              <w:top w:val="single" w:sz="8" w:space="0" w:color="auto"/>
              <w:left w:val="single" w:sz="4" w:space="0" w:color="auto"/>
              <w:bottom w:val="single" w:sz="8" w:space="0" w:color="auto"/>
              <w:right w:val="single" w:sz="8" w:space="0" w:color="auto"/>
            </w:tcBorders>
            <w:vAlign w:val="center"/>
          </w:tcPr>
          <w:p w:rsidR="002B3186" w:rsidRPr="00A01B44" w:rsidRDefault="002B3186" w:rsidP="005F3348">
            <w:pPr>
              <w:jc w:val="center"/>
              <w:rPr>
                <w:sz w:val="20"/>
                <w:szCs w:val="20"/>
              </w:rPr>
            </w:pPr>
            <w:r>
              <w:rPr>
                <w:color w:val="000000"/>
                <w:sz w:val="20"/>
                <w:szCs w:val="20"/>
              </w:rPr>
              <w:t>Hours per response</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5F3348">
            <w:pPr>
              <w:jc w:val="center"/>
              <w:rPr>
                <w:sz w:val="20"/>
                <w:szCs w:val="20"/>
              </w:rPr>
            </w:pPr>
            <w:r w:rsidRPr="00A01B44">
              <w:rPr>
                <w:color w:val="000000"/>
                <w:sz w:val="20"/>
                <w:szCs w:val="20"/>
              </w:rPr>
              <w:t xml:space="preserve">Total </w:t>
            </w:r>
            <w:r>
              <w:rPr>
                <w:color w:val="000000"/>
                <w:sz w:val="20"/>
                <w:szCs w:val="20"/>
              </w:rPr>
              <w:t>b</w:t>
            </w:r>
            <w:r w:rsidRPr="00A01B44">
              <w:rPr>
                <w:color w:val="000000"/>
                <w:sz w:val="20"/>
                <w:szCs w:val="20"/>
              </w:rPr>
              <w:t>urden hours</w:t>
            </w:r>
          </w:p>
        </w:tc>
      </w:tr>
      <w:tr w:rsidR="002B3186" w:rsidRPr="00A01B4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rPr>
                <w:sz w:val="20"/>
                <w:szCs w:val="20"/>
              </w:rPr>
            </w:pPr>
            <w:bookmarkStart w:id="28" w:name="_Hlk236194743"/>
            <w:r>
              <w:rPr>
                <w:sz w:val="20"/>
                <w:szCs w:val="20"/>
              </w:rPr>
              <w:t>Registration Form and Data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Pr>
                <w:sz w:val="20"/>
                <w:szCs w:val="20"/>
              </w:rPr>
              <w:t>70</w:t>
            </w:r>
          </w:p>
        </w:tc>
        <w:tc>
          <w:tcPr>
            <w:tcW w:w="1080" w:type="dxa"/>
            <w:tcBorders>
              <w:top w:val="single" w:sz="8" w:space="0" w:color="auto"/>
              <w:left w:val="nil"/>
              <w:bottom w:val="single" w:sz="8" w:space="0" w:color="auto"/>
              <w:right w:val="single" w:sz="4" w:space="0" w:color="auto"/>
            </w:tcBorders>
          </w:tcPr>
          <w:p w:rsidR="002B3186" w:rsidRDefault="002B3186" w:rsidP="008D7DC0">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B3186" w:rsidRPr="00A01B44" w:rsidRDefault="002B3186" w:rsidP="008D7DC0">
            <w:pPr>
              <w:jc w:val="center"/>
              <w:rPr>
                <w:sz w:val="20"/>
                <w:szCs w:val="20"/>
              </w:rPr>
            </w:pPr>
            <w:r>
              <w:rPr>
                <w:sz w:val="20"/>
                <w:szCs w:val="20"/>
              </w:rPr>
              <w:t>7.6</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Pr>
                <w:sz w:val="20"/>
                <w:szCs w:val="20"/>
              </w:rPr>
              <w:t>532</w:t>
            </w:r>
          </w:p>
        </w:tc>
      </w:tr>
      <w:tr w:rsidR="002B3186" w:rsidRPr="00A01B44">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rPr>
                <w:sz w:val="20"/>
                <w:szCs w:val="20"/>
              </w:rPr>
            </w:pPr>
            <w:r>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Pr>
                <w:sz w:val="20"/>
                <w:szCs w:val="20"/>
              </w:rPr>
              <w:t>50</w:t>
            </w:r>
          </w:p>
        </w:tc>
        <w:tc>
          <w:tcPr>
            <w:tcW w:w="1080" w:type="dxa"/>
            <w:tcBorders>
              <w:top w:val="single" w:sz="8" w:space="0" w:color="auto"/>
              <w:left w:val="nil"/>
              <w:bottom w:val="single" w:sz="8" w:space="0" w:color="auto"/>
              <w:right w:val="single" w:sz="4" w:space="0" w:color="auto"/>
            </w:tcBorders>
          </w:tcPr>
          <w:p w:rsidR="002B3186" w:rsidRDefault="002B3186" w:rsidP="008D7DC0">
            <w:pPr>
              <w:jc w:val="center"/>
              <w:rPr>
                <w:sz w:val="20"/>
                <w:szCs w:val="20"/>
              </w:rPr>
            </w:pPr>
            <w:r>
              <w:rPr>
                <w:sz w:val="20"/>
                <w:szCs w:val="20"/>
              </w:rPr>
              <w:t>1</w:t>
            </w:r>
          </w:p>
        </w:tc>
        <w:tc>
          <w:tcPr>
            <w:tcW w:w="1080" w:type="dxa"/>
            <w:tcBorders>
              <w:top w:val="nil"/>
              <w:left w:val="single" w:sz="4" w:space="0" w:color="auto"/>
              <w:bottom w:val="single" w:sz="8" w:space="0" w:color="auto"/>
              <w:right w:val="single" w:sz="8" w:space="0" w:color="auto"/>
            </w:tcBorders>
            <w:vAlign w:val="center"/>
          </w:tcPr>
          <w:p w:rsidR="002B3186" w:rsidRPr="00A01B44" w:rsidRDefault="002B3186" w:rsidP="008D7DC0">
            <w:pPr>
              <w:jc w:val="center"/>
              <w:rPr>
                <w:sz w:val="20"/>
                <w:szCs w:val="20"/>
              </w:rPr>
            </w:pPr>
            <w:r>
              <w:rPr>
                <w:sz w:val="20"/>
                <w:szCs w:val="20"/>
              </w:rPr>
              <w:t>1</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Pr>
                <w:sz w:val="20"/>
                <w:szCs w:val="20"/>
              </w:rPr>
              <w:t>50</w:t>
            </w:r>
          </w:p>
        </w:tc>
      </w:tr>
      <w:tr w:rsidR="002B3186" w:rsidRPr="00A01B44" w:rsidTr="0057119A">
        <w:trPr>
          <w:trHeight w:val="383"/>
        </w:trPr>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0509AF">
            <w:pPr>
              <w:rPr>
                <w:sz w:val="20"/>
                <w:szCs w:val="20"/>
              </w:rPr>
            </w:pPr>
            <w:r>
              <w:rPr>
                <w:sz w:val="20"/>
                <w:szCs w:val="20"/>
              </w:rPr>
              <w:t xml:space="preserve">Health Plan Information***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A32F25">
            <w:pPr>
              <w:jc w:val="center"/>
              <w:rPr>
                <w:sz w:val="20"/>
                <w:szCs w:val="20"/>
              </w:rPr>
            </w:pPr>
            <w:r>
              <w:rPr>
                <w:sz w:val="20"/>
                <w:szCs w:val="20"/>
              </w:rPr>
              <w:t>70</w:t>
            </w:r>
          </w:p>
        </w:tc>
        <w:tc>
          <w:tcPr>
            <w:tcW w:w="1080" w:type="dxa"/>
            <w:tcBorders>
              <w:top w:val="single" w:sz="8" w:space="0" w:color="auto"/>
              <w:left w:val="nil"/>
              <w:bottom w:val="single" w:sz="8" w:space="0" w:color="auto"/>
              <w:right w:val="single" w:sz="4" w:space="0" w:color="auto"/>
            </w:tcBorders>
            <w:vAlign w:val="center"/>
          </w:tcPr>
          <w:p w:rsidR="002B3186" w:rsidRDefault="002B3186" w:rsidP="0057119A">
            <w:pPr>
              <w:jc w:val="center"/>
              <w:rPr>
                <w:sz w:val="20"/>
                <w:szCs w:val="20"/>
              </w:rPr>
            </w:pPr>
            <w:r>
              <w:rPr>
                <w:sz w:val="20"/>
                <w:szCs w:val="20"/>
              </w:rPr>
              <w:t>4</w:t>
            </w:r>
          </w:p>
        </w:tc>
        <w:tc>
          <w:tcPr>
            <w:tcW w:w="1080" w:type="dxa"/>
            <w:tcBorders>
              <w:top w:val="nil"/>
              <w:left w:val="single" w:sz="4" w:space="0" w:color="auto"/>
              <w:bottom w:val="single" w:sz="8" w:space="0" w:color="auto"/>
              <w:right w:val="single" w:sz="8" w:space="0" w:color="auto"/>
            </w:tcBorders>
            <w:vAlign w:val="center"/>
          </w:tcPr>
          <w:p w:rsidR="002B3186" w:rsidRPr="00A01B44" w:rsidRDefault="002B3186" w:rsidP="008D7DC0">
            <w:pPr>
              <w:jc w:val="center"/>
              <w:rPr>
                <w:sz w:val="20"/>
                <w:szCs w:val="20"/>
              </w:rPr>
            </w:pPr>
            <w:r>
              <w:rPr>
                <w:sz w:val="20"/>
                <w:szCs w:val="20"/>
              </w:rPr>
              <w:t>30/60</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jc w:val="center"/>
              <w:rPr>
                <w:sz w:val="20"/>
                <w:szCs w:val="20"/>
              </w:rPr>
            </w:pPr>
            <w:r>
              <w:rPr>
                <w:sz w:val="20"/>
                <w:szCs w:val="20"/>
              </w:rPr>
              <w:t>140</w:t>
            </w:r>
          </w:p>
        </w:tc>
      </w:tr>
      <w:tr w:rsidR="002B3186" w:rsidRPr="00A0375D">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rPr>
                <w:b/>
                <w:bCs/>
                <w:sz w:val="20"/>
                <w:szCs w:val="20"/>
              </w:rPr>
            </w:pPr>
            <w:r>
              <w:rPr>
                <w:b/>
                <w:bCs/>
                <w:sz w:val="20"/>
                <w:szCs w:val="2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jc w:val="center"/>
              <w:rPr>
                <w:b/>
                <w:bCs/>
                <w:sz w:val="20"/>
                <w:szCs w:val="20"/>
              </w:rPr>
            </w:pPr>
            <w:r>
              <w:rPr>
                <w:b/>
                <w:bCs/>
                <w:sz w:val="20"/>
                <w:szCs w:val="20"/>
              </w:rPr>
              <w:t>190</w:t>
            </w:r>
          </w:p>
        </w:tc>
        <w:tc>
          <w:tcPr>
            <w:tcW w:w="1080" w:type="dxa"/>
            <w:tcBorders>
              <w:top w:val="single" w:sz="8" w:space="0" w:color="auto"/>
              <w:left w:val="nil"/>
              <w:bottom w:val="single" w:sz="8" w:space="0" w:color="auto"/>
              <w:right w:val="single" w:sz="4" w:space="0" w:color="auto"/>
            </w:tcBorders>
          </w:tcPr>
          <w:p w:rsidR="002B3186" w:rsidRPr="00A0375D" w:rsidRDefault="002B3186" w:rsidP="008D7DC0">
            <w:pPr>
              <w:jc w:val="center"/>
              <w:rPr>
                <w:b/>
                <w:bCs/>
                <w:color w:val="000000"/>
                <w:sz w:val="20"/>
                <w:szCs w:val="20"/>
              </w:rPr>
            </w:pPr>
            <w:r>
              <w:rPr>
                <w:b/>
                <w:bCs/>
                <w:color w:val="000000"/>
                <w:sz w:val="20"/>
                <w:szCs w:val="20"/>
              </w:rPr>
              <w:t>NA</w:t>
            </w:r>
          </w:p>
        </w:tc>
        <w:tc>
          <w:tcPr>
            <w:tcW w:w="1080" w:type="dxa"/>
            <w:tcBorders>
              <w:top w:val="nil"/>
              <w:left w:val="single" w:sz="4" w:space="0" w:color="auto"/>
              <w:bottom w:val="single" w:sz="8" w:space="0" w:color="auto"/>
              <w:right w:val="single" w:sz="8" w:space="0" w:color="auto"/>
            </w:tcBorders>
          </w:tcPr>
          <w:p w:rsidR="002B3186" w:rsidRPr="00A0375D" w:rsidRDefault="002B3186" w:rsidP="008D7DC0">
            <w:pPr>
              <w:jc w:val="center"/>
              <w:rPr>
                <w:b/>
                <w:bCs/>
                <w:color w:val="000000"/>
                <w:sz w:val="20"/>
                <w:szCs w:val="20"/>
              </w:rPr>
            </w:pPr>
            <w:r>
              <w:rPr>
                <w:b/>
                <w:bCs/>
                <w:color w:val="000000"/>
                <w:sz w:val="20"/>
                <w:szCs w:val="20"/>
              </w:rPr>
              <w:t>NA</w:t>
            </w:r>
          </w:p>
        </w:tc>
        <w:tc>
          <w:tcPr>
            <w:tcW w:w="9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jc w:val="center"/>
              <w:rPr>
                <w:b/>
                <w:bCs/>
                <w:sz w:val="20"/>
                <w:szCs w:val="20"/>
              </w:rPr>
            </w:pPr>
            <w:r>
              <w:rPr>
                <w:b/>
                <w:bCs/>
                <w:sz w:val="20"/>
                <w:szCs w:val="20"/>
              </w:rPr>
              <w:t>722</w:t>
            </w:r>
          </w:p>
        </w:tc>
      </w:tr>
    </w:tbl>
    <w:bookmarkEnd w:id="28"/>
    <w:p w:rsidR="002B3186" w:rsidRPr="00A32B83" w:rsidRDefault="002B3186" w:rsidP="005F3348">
      <w:pPr>
        <w:rPr>
          <w:sz w:val="20"/>
          <w:szCs w:val="20"/>
        </w:rPr>
      </w:pPr>
      <w:r w:rsidRPr="00A32B83">
        <w:rPr>
          <w:sz w:val="20"/>
          <w:szCs w:val="20"/>
        </w:rPr>
        <w:t xml:space="preserve"> *The online Registration Form (see Attachment A- </w:t>
      </w:r>
      <w:r>
        <w:rPr>
          <w:sz w:val="20"/>
          <w:szCs w:val="20"/>
        </w:rPr>
        <w:t>5</w:t>
      </w:r>
      <w:r w:rsidRPr="00A32B83">
        <w:rPr>
          <w:sz w:val="20"/>
          <w:szCs w:val="20"/>
        </w:rPr>
        <w:t>) requires about 5 minutes to complete; however over 7 hours is required to plan/prepare for the data submission.</w:t>
      </w:r>
      <w:r>
        <w:rPr>
          <w:sz w:val="20"/>
          <w:szCs w:val="20"/>
        </w:rPr>
        <w:t xml:space="preserve"> </w:t>
      </w:r>
      <w:r w:rsidRPr="00A32B83">
        <w:rPr>
          <w:sz w:val="20"/>
          <w:szCs w:val="20"/>
        </w:rPr>
        <w:t xml:space="preserve">This includes the amount of time the participating organization, and others (CEO, lawyer, vendor) typically spend deciding whether to participate in the database and preparing their materials and dataset for submission to the CAHPS </w:t>
      </w:r>
      <w:r>
        <w:rPr>
          <w:sz w:val="20"/>
          <w:szCs w:val="20"/>
        </w:rPr>
        <w:t xml:space="preserve">Health Plan </w:t>
      </w:r>
      <w:r w:rsidRPr="00A32B83">
        <w:rPr>
          <w:sz w:val="20"/>
          <w:szCs w:val="20"/>
        </w:rPr>
        <w:t>Database and performing the submission.</w:t>
      </w:r>
    </w:p>
    <w:p w:rsidR="002B3186" w:rsidRDefault="002B3186" w:rsidP="005F3348">
      <w:pPr>
        <w:rPr>
          <w:sz w:val="20"/>
          <w:szCs w:val="20"/>
        </w:rPr>
      </w:pPr>
      <w:r w:rsidRPr="00A32B83">
        <w:rPr>
          <w:sz w:val="20"/>
          <w:szCs w:val="20"/>
        </w:rPr>
        <w:t xml:space="preserve">**The Data Use Agreement (see Attachment A- </w:t>
      </w:r>
      <w:r>
        <w:rPr>
          <w:sz w:val="20"/>
          <w:szCs w:val="20"/>
        </w:rPr>
        <w:t>4)</w:t>
      </w:r>
      <w:r w:rsidRPr="00A32B83">
        <w:rPr>
          <w:sz w:val="20"/>
          <w:szCs w:val="20"/>
        </w:rPr>
        <w:t xml:space="preserve"> requires about 3 minutes to complete; however about </w:t>
      </w:r>
      <w:r>
        <w:rPr>
          <w:sz w:val="20"/>
          <w:szCs w:val="20"/>
        </w:rPr>
        <w:t>57</w:t>
      </w:r>
      <w:r w:rsidRPr="00A32B83">
        <w:rPr>
          <w:sz w:val="20"/>
          <w:szCs w:val="20"/>
        </w:rPr>
        <w:t xml:space="preserve"> </w:t>
      </w:r>
      <w:r>
        <w:rPr>
          <w:sz w:val="20"/>
          <w:szCs w:val="20"/>
        </w:rPr>
        <w:t>minutes</w:t>
      </w:r>
      <w:r w:rsidRPr="00A32B83">
        <w:rPr>
          <w:sz w:val="20"/>
          <w:szCs w:val="20"/>
        </w:rPr>
        <w:t xml:space="preserve"> is required for the participating organization to review the agreement prior to signing.</w:t>
      </w:r>
      <w:r>
        <w:rPr>
          <w:sz w:val="20"/>
          <w:szCs w:val="20"/>
        </w:rPr>
        <w:t xml:space="preserve"> </w:t>
      </w:r>
      <w:r w:rsidRPr="00A32B83">
        <w:rPr>
          <w:sz w:val="20"/>
          <w:szCs w:val="20"/>
        </w:rPr>
        <w:t>This includes the review by the organization</w:t>
      </w:r>
      <w:r>
        <w:rPr>
          <w:sz w:val="20"/>
          <w:szCs w:val="20"/>
        </w:rPr>
        <w:t>’</w:t>
      </w:r>
      <w:r w:rsidRPr="00A32B83">
        <w:rPr>
          <w:sz w:val="20"/>
          <w:szCs w:val="20"/>
        </w:rPr>
        <w:t>s CEO or legal department.</w:t>
      </w:r>
    </w:p>
    <w:p w:rsidR="002B3186" w:rsidRPr="00A32B83" w:rsidRDefault="002B3186" w:rsidP="005F3348">
      <w:pPr>
        <w:rPr>
          <w:sz w:val="20"/>
          <w:szCs w:val="20"/>
        </w:rPr>
      </w:pPr>
      <w:r>
        <w:rPr>
          <w:sz w:val="20"/>
          <w:szCs w:val="20"/>
        </w:rPr>
        <w:t>***A few health plans may submit their data directly, however most health plan data will be submitted by the POC.</w:t>
      </w:r>
    </w:p>
    <w:p w:rsidR="002B3186" w:rsidRDefault="002B3186" w:rsidP="005F3348"/>
    <w:p w:rsidR="002B3186" w:rsidRPr="003C3847" w:rsidRDefault="002B3186" w:rsidP="00A32B83">
      <w:pPr>
        <w:rPr>
          <w:b/>
          <w:bCs/>
          <w:color w:val="000000"/>
        </w:rPr>
      </w:pPr>
      <w:r w:rsidRPr="003C3847">
        <w:t xml:space="preserve">Exhibit </w:t>
      </w:r>
      <w:r>
        <w:t>A-</w:t>
      </w:r>
      <w:r w:rsidRPr="003C3847">
        <w:t xml:space="preserve">2 shows the estimated annualized cost burden based on the respondents’ time to </w:t>
      </w:r>
      <w:r>
        <w:t>complete the submission process</w:t>
      </w:r>
      <w:r w:rsidRPr="003C3847">
        <w:t>.</w:t>
      </w:r>
      <w:r>
        <w:t xml:space="preserve"> </w:t>
      </w:r>
      <w:r w:rsidRPr="003C3847">
        <w:t>The cost burden is estimated to be $3</w:t>
      </w:r>
      <w:r>
        <w:t>1</w:t>
      </w:r>
      <w:r w:rsidRPr="003C3847">
        <w:t>,0</w:t>
      </w:r>
      <w:r>
        <w:t>46</w:t>
      </w:r>
      <w:r w:rsidRPr="003C3847">
        <w:t xml:space="preserve"> annually.</w:t>
      </w:r>
    </w:p>
    <w:p w:rsidR="002B3186" w:rsidRDefault="002B3186" w:rsidP="005F3348">
      <w:pPr>
        <w:rPr>
          <w:b/>
          <w:bCs/>
        </w:rPr>
      </w:pPr>
    </w:p>
    <w:p w:rsidR="002B3186" w:rsidRDefault="002B3186" w:rsidP="005F3348">
      <w:pPr>
        <w:rPr>
          <w:b/>
          <w:bCs/>
        </w:rPr>
      </w:pPr>
      <w:r w:rsidRPr="00037998">
        <w:rPr>
          <w:b/>
          <w:bCs/>
        </w:rPr>
        <w:t xml:space="preserve">Exhibit </w:t>
      </w:r>
      <w:r>
        <w:rPr>
          <w:b/>
          <w:bCs/>
        </w:rPr>
        <w:t>A-</w:t>
      </w:r>
      <w:r w:rsidRPr="00037998">
        <w:rPr>
          <w:b/>
          <w:bCs/>
        </w:rPr>
        <w:t>2.</w:t>
      </w:r>
      <w:r>
        <w:rPr>
          <w:b/>
          <w:bCs/>
        </w:rPr>
        <w:t xml:space="preserve">  </w:t>
      </w:r>
      <w:r w:rsidRPr="00037998">
        <w:rPr>
          <w:b/>
          <w:bCs/>
        </w:rPr>
        <w:t>Estimated annualized cost burden</w:t>
      </w:r>
    </w:p>
    <w:tbl>
      <w:tblPr>
        <w:tblW w:w="8768" w:type="dxa"/>
        <w:tblInd w:w="108" w:type="dxa"/>
        <w:tblCellMar>
          <w:left w:w="0" w:type="dxa"/>
          <w:right w:w="0" w:type="dxa"/>
        </w:tblCellMar>
        <w:tblLook w:val="0000"/>
      </w:tblPr>
      <w:tblGrid>
        <w:gridCol w:w="3708"/>
        <w:gridCol w:w="1440"/>
        <w:gridCol w:w="900"/>
        <w:gridCol w:w="1460"/>
        <w:gridCol w:w="1260"/>
      </w:tblGrid>
      <w:tr w:rsidR="002B3186" w:rsidRPr="00F2682C">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sidRPr="00F2682C">
              <w:rPr>
                <w:color w:val="000000"/>
                <w:sz w:val="20"/>
                <w:szCs w:val="20"/>
              </w:rPr>
              <w:t>Form Name</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366016">
            <w:pPr>
              <w:jc w:val="center"/>
              <w:rPr>
                <w:sz w:val="20"/>
                <w:szCs w:val="20"/>
              </w:rPr>
            </w:pPr>
            <w:r w:rsidRPr="00F2682C">
              <w:rPr>
                <w:color w:val="000000"/>
                <w:sz w:val="20"/>
                <w:szCs w:val="20"/>
              </w:rPr>
              <w:t xml:space="preserve">Number </w:t>
            </w:r>
            <w:r>
              <w:rPr>
                <w:color w:val="000000"/>
                <w:sz w:val="20"/>
                <w:szCs w:val="20"/>
              </w:rPr>
              <w:t>of respondents</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sidRPr="00F2682C">
              <w:rPr>
                <w:color w:val="000000"/>
                <w:sz w:val="20"/>
                <w:szCs w:val="20"/>
              </w:rPr>
              <w:t>Total Burden hours</w:t>
            </w:r>
          </w:p>
        </w:tc>
        <w:tc>
          <w:tcPr>
            <w:tcW w:w="14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sidRPr="00F2682C">
              <w:rPr>
                <w:color w:val="000000"/>
                <w:sz w:val="20"/>
                <w:szCs w:val="20"/>
              </w:rPr>
              <w:t>Average Hourly Wage Rate*</w:t>
            </w:r>
            <w:r>
              <w:rPr>
                <w:color w:val="000000"/>
                <w:sz w:val="20"/>
                <w:szCs w:val="20"/>
              </w:rPr>
              <w:t>*</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Pr>
                <w:color w:val="000000"/>
                <w:sz w:val="20"/>
                <w:szCs w:val="20"/>
              </w:rPr>
              <w:t>Total Cost b</w:t>
            </w:r>
            <w:r w:rsidRPr="00F2682C">
              <w:rPr>
                <w:color w:val="000000"/>
                <w:sz w:val="20"/>
                <w:szCs w:val="20"/>
              </w:rPr>
              <w:t>urden</w:t>
            </w:r>
          </w:p>
        </w:tc>
      </w:tr>
      <w:tr w:rsidR="002B3186" w:rsidRPr="00F2682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rPr>
                <w:sz w:val="20"/>
                <w:szCs w:val="20"/>
              </w:rPr>
            </w:pPr>
            <w:r>
              <w:rPr>
                <w:sz w:val="20"/>
                <w:szCs w:val="20"/>
              </w:rPr>
              <w:t>Registration Form and Data Submission*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855AB">
            <w:pPr>
              <w:jc w:val="center"/>
              <w:rPr>
                <w:sz w:val="20"/>
                <w:szCs w:val="20"/>
              </w:rPr>
            </w:pPr>
            <w:r>
              <w:rPr>
                <w:sz w:val="20"/>
                <w:szCs w:val="20"/>
              </w:rPr>
              <w:t>70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1B4BF3">
            <w:pPr>
              <w:jc w:val="center"/>
              <w:rPr>
                <w:sz w:val="20"/>
                <w:szCs w:val="20"/>
              </w:rPr>
            </w:pPr>
            <w:r>
              <w:rPr>
                <w:sz w:val="20"/>
                <w:szCs w:val="20"/>
              </w:rPr>
              <w:t>532</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Pr>
                <w:sz w:val="20"/>
                <w:szCs w:val="20"/>
              </w:rPr>
              <w:t>$43.00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4B1A4C">
            <w:pPr>
              <w:jc w:val="right"/>
              <w:rPr>
                <w:sz w:val="20"/>
                <w:szCs w:val="20"/>
              </w:rPr>
            </w:pPr>
            <w:r>
              <w:rPr>
                <w:sz w:val="20"/>
                <w:szCs w:val="20"/>
              </w:rPr>
              <w:t>$22,876</w:t>
            </w:r>
          </w:p>
        </w:tc>
      </w:tr>
      <w:tr w:rsidR="002B3186" w:rsidRPr="00F2682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rPr>
                <w:sz w:val="20"/>
                <w:szCs w:val="20"/>
              </w:rPr>
            </w:pPr>
            <w:r>
              <w:rPr>
                <w:sz w:val="20"/>
                <w:szCs w:val="20"/>
              </w:rPr>
              <w:t>Data Use Agreement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855AB">
            <w:pPr>
              <w:jc w:val="center"/>
              <w:rPr>
                <w:sz w:val="20"/>
                <w:szCs w:val="20"/>
              </w:rPr>
            </w:pPr>
            <w:r>
              <w:rPr>
                <w:sz w:val="20"/>
                <w:szCs w:val="20"/>
              </w:rPr>
              <w:t>50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1B4BF3">
            <w:pPr>
              <w:jc w:val="center"/>
              <w:rPr>
                <w:sz w:val="20"/>
                <w:szCs w:val="20"/>
              </w:rPr>
            </w:pPr>
            <w:r>
              <w:rPr>
                <w:sz w:val="20"/>
                <w:szCs w:val="20"/>
              </w:rPr>
              <w:t>50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Pr>
                <w:sz w:val="20"/>
                <w:szCs w:val="20"/>
              </w:rPr>
              <w:t>$43.00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4B1A4C">
            <w:pPr>
              <w:jc w:val="right"/>
              <w:rPr>
                <w:sz w:val="20"/>
                <w:szCs w:val="20"/>
              </w:rPr>
            </w:pPr>
            <w:r>
              <w:rPr>
                <w:sz w:val="20"/>
                <w:szCs w:val="20"/>
              </w:rPr>
              <w:t>$2,150</w:t>
            </w:r>
          </w:p>
        </w:tc>
      </w:tr>
      <w:tr w:rsidR="002B3186" w:rsidRPr="00F2682C">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D7DC0">
            <w:pPr>
              <w:rPr>
                <w:sz w:val="20"/>
                <w:szCs w:val="20"/>
              </w:rPr>
            </w:pPr>
            <w:r>
              <w:rPr>
                <w:sz w:val="20"/>
                <w:szCs w:val="20"/>
              </w:rPr>
              <w:t>Health Plan Information</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8855AB">
            <w:pPr>
              <w:jc w:val="center"/>
              <w:rPr>
                <w:sz w:val="20"/>
                <w:szCs w:val="20"/>
              </w:rPr>
            </w:pPr>
            <w:r>
              <w:rPr>
                <w:sz w:val="20"/>
                <w:szCs w:val="20"/>
              </w:rPr>
              <w:t>70</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A01B44" w:rsidRDefault="002B3186" w:rsidP="001B4BF3">
            <w:pPr>
              <w:jc w:val="center"/>
              <w:rPr>
                <w:sz w:val="20"/>
                <w:szCs w:val="20"/>
              </w:rPr>
            </w:pPr>
            <w:r>
              <w:rPr>
                <w:sz w:val="20"/>
                <w:szCs w:val="20"/>
              </w:rPr>
              <w:t>140</w:t>
            </w:r>
          </w:p>
        </w:tc>
        <w:tc>
          <w:tcPr>
            <w:tcW w:w="14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8D7DC0">
            <w:pPr>
              <w:jc w:val="center"/>
              <w:rPr>
                <w:sz w:val="20"/>
                <w:szCs w:val="20"/>
              </w:rPr>
            </w:pPr>
            <w:r>
              <w:rPr>
                <w:sz w:val="20"/>
                <w:szCs w:val="20"/>
              </w:rPr>
              <w:t>$43.00</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Pr="00F2682C" w:rsidRDefault="002B3186" w:rsidP="004B1A4C">
            <w:pPr>
              <w:jc w:val="right"/>
              <w:rPr>
                <w:sz w:val="20"/>
                <w:szCs w:val="20"/>
              </w:rPr>
            </w:pPr>
            <w:r>
              <w:rPr>
                <w:sz w:val="20"/>
                <w:szCs w:val="20"/>
              </w:rPr>
              <w:t>$6,020</w:t>
            </w:r>
          </w:p>
        </w:tc>
      </w:tr>
      <w:tr w:rsidR="002B3186" w:rsidRPr="00A0375D">
        <w:tc>
          <w:tcPr>
            <w:tcW w:w="370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rPr>
                <w:b/>
                <w:bCs/>
                <w:sz w:val="20"/>
                <w:szCs w:val="20"/>
              </w:rPr>
            </w:pPr>
            <w:r w:rsidRPr="00A0375D">
              <w:rPr>
                <w:b/>
                <w:bCs/>
                <w:color w:val="000000"/>
                <w:sz w:val="20"/>
                <w:szCs w:val="20"/>
              </w:rPr>
              <w:t>Total</w:t>
            </w:r>
          </w:p>
        </w:tc>
        <w:tc>
          <w:tcPr>
            <w:tcW w:w="144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jc w:val="center"/>
              <w:rPr>
                <w:b/>
                <w:bCs/>
                <w:sz w:val="20"/>
                <w:szCs w:val="20"/>
              </w:rPr>
            </w:pPr>
            <w:r>
              <w:rPr>
                <w:b/>
                <w:bCs/>
                <w:sz w:val="20"/>
                <w:szCs w:val="20"/>
              </w:rPr>
              <w:t>190</w:t>
            </w:r>
          </w:p>
        </w:tc>
        <w:tc>
          <w:tcPr>
            <w:tcW w:w="90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1B4BF3">
            <w:pPr>
              <w:jc w:val="center"/>
              <w:rPr>
                <w:b/>
                <w:bCs/>
                <w:sz w:val="20"/>
                <w:szCs w:val="20"/>
              </w:rPr>
            </w:pPr>
            <w:r>
              <w:rPr>
                <w:b/>
                <w:bCs/>
                <w:sz w:val="20"/>
                <w:szCs w:val="20"/>
              </w:rPr>
              <w:t>722</w:t>
            </w:r>
          </w:p>
        </w:tc>
        <w:tc>
          <w:tcPr>
            <w:tcW w:w="14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8D7DC0">
            <w:pPr>
              <w:jc w:val="center"/>
              <w:rPr>
                <w:b/>
                <w:bCs/>
                <w:sz w:val="20"/>
                <w:szCs w:val="20"/>
              </w:rPr>
            </w:pPr>
            <w:r>
              <w:rPr>
                <w:b/>
                <w:bCs/>
                <w:sz w:val="20"/>
                <w:szCs w:val="20"/>
              </w:rPr>
              <w:t>NA</w:t>
            </w:r>
          </w:p>
        </w:tc>
        <w:tc>
          <w:tcPr>
            <w:tcW w:w="12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2B3186" w:rsidRPr="00A0375D" w:rsidRDefault="002B3186" w:rsidP="004B1A4C">
            <w:pPr>
              <w:jc w:val="right"/>
              <w:rPr>
                <w:b/>
                <w:bCs/>
                <w:sz w:val="20"/>
                <w:szCs w:val="20"/>
              </w:rPr>
            </w:pPr>
            <w:r>
              <w:rPr>
                <w:b/>
                <w:bCs/>
                <w:sz w:val="20"/>
                <w:szCs w:val="20"/>
              </w:rPr>
              <w:t>$31,046</w:t>
            </w:r>
          </w:p>
        </w:tc>
      </w:tr>
    </w:tbl>
    <w:p w:rsidR="002B3186" w:rsidRDefault="002B3186" w:rsidP="005635B3">
      <w:pPr>
        <w:autoSpaceDE w:val="0"/>
        <w:autoSpaceDN w:val="0"/>
        <w:adjustRightInd w:val="0"/>
        <w:rPr>
          <w:sz w:val="20"/>
          <w:szCs w:val="20"/>
        </w:rPr>
      </w:pPr>
      <w:r w:rsidRPr="00D1501D">
        <w:rPr>
          <w:color w:val="000000"/>
          <w:sz w:val="20"/>
          <w:szCs w:val="20"/>
        </w:rPr>
        <w:t>*Wage rates were calculated using the mean hourly wage based on occupational employment and wage estimates from the Dept of Labor, Bureau of Labor Statistics' May 2008 National Industry-Specific Occupational Employment and Wage Estimates NAICS 622000 –</w:t>
      </w:r>
      <w:r>
        <w:rPr>
          <w:color w:val="000000"/>
          <w:sz w:val="20"/>
          <w:szCs w:val="20"/>
        </w:rPr>
        <w:t xml:space="preserve"> </w:t>
      </w:r>
      <w:r w:rsidRPr="00D1501D">
        <w:rPr>
          <w:color w:val="000000"/>
          <w:sz w:val="20"/>
          <w:szCs w:val="20"/>
        </w:rPr>
        <w:t xml:space="preserve">located at </w:t>
      </w:r>
      <w:hyperlink r:id="rId17" w:history="1">
        <w:r w:rsidRPr="00115673">
          <w:rPr>
            <w:rStyle w:val="Hyperlink"/>
            <w:sz w:val="20"/>
            <w:szCs w:val="20"/>
          </w:rPr>
          <w:t>http://www.bls.gov/oes/current/oes_nat.htm</w:t>
        </w:r>
      </w:hyperlink>
      <w:r>
        <w:rPr>
          <w:sz w:val="20"/>
          <w:szCs w:val="20"/>
        </w:rPr>
        <w:t>.</w:t>
      </w:r>
    </w:p>
    <w:p w:rsidR="002B3186" w:rsidRPr="007068AC" w:rsidRDefault="002B3186" w:rsidP="005635B3">
      <w:pPr>
        <w:autoSpaceDE w:val="0"/>
        <w:autoSpaceDN w:val="0"/>
        <w:adjustRightInd w:val="0"/>
        <w:rPr>
          <w:sz w:val="20"/>
          <w:szCs w:val="20"/>
        </w:rPr>
      </w:pPr>
      <w:r>
        <w:rPr>
          <w:sz w:val="20"/>
          <w:szCs w:val="20"/>
        </w:rPr>
        <w:t>**</w:t>
      </w:r>
      <w:r w:rsidRPr="007068AC">
        <w:rPr>
          <w:sz w:val="20"/>
          <w:szCs w:val="20"/>
        </w:rPr>
        <w:t>Wage rate of $43.00 is based on the mean hourly wages for Medical and Health Services Managers. Wage rate of $42.67 is the weighted mean hourly wage for: Medical and Health Services Managers ($42.67 x 2.6 hours = $110.95), Lawyers ($59.98 x .5 hours =$29.99), Chief Executives ($89.16 x .5 hours = $44.58), and Computer programmer ($35.32 x 4 hours = $141.28) [Weighted mean = ($110.95 + 29.99 + 44.58 + 141.28)/7.6 hours = $326.80/7.6 hours = $43.00/hour].</w:t>
      </w:r>
    </w:p>
    <w:p w:rsidR="002B3186" w:rsidRDefault="002B3186" w:rsidP="00943F10">
      <w:pPr>
        <w:autoSpaceDE w:val="0"/>
        <w:autoSpaceDN w:val="0"/>
        <w:adjustRightInd w:val="0"/>
        <w:ind w:left="-90"/>
        <w:rPr>
          <w:sz w:val="20"/>
          <w:szCs w:val="20"/>
        </w:rPr>
      </w:pPr>
    </w:p>
    <w:p w:rsidR="002B3186" w:rsidRPr="00412C6F" w:rsidRDefault="002B3186" w:rsidP="00C22AC4">
      <w:pPr>
        <w:pStyle w:val="Heading2"/>
        <w:rPr>
          <w:sz w:val="24"/>
          <w:szCs w:val="24"/>
        </w:rPr>
      </w:pPr>
      <w:bookmarkStart w:id="29" w:name="_Toc151782188"/>
      <w:bookmarkStart w:id="30" w:name="_Toc158526228"/>
      <w:r w:rsidRPr="00412C6F">
        <w:rPr>
          <w:sz w:val="24"/>
          <w:szCs w:val="24"/>
        </w:rPr>
        <w:t>13. Estimates of Annualized Respondent Capital and Maintenance Costs</w:t>
      </w:r>
      <w:bookmarkEnd w:id="29"/>
      <w:bookmarkEnd w:id="30"/>
    </w:p>
    <w:p w:rsidR="002B3186" w:rsidRDefault="002B3186" w:rsidP="005635B3">
      <w:pPr>
        <w:spacing w:before="120"/>
      </w:pPr>
      <w:bookmarkStart w:id="31" w:name="_Toc58725299"/>
      <w:bookmarkStart w:id="32" w:name="_Toc151782189"/>
      <w:bookmarkStart w:id="33" w:name="_Toc158526229"/>
      <w:r>
        <w:t>Capital and maintenance costs include the purchase of equipment, computers or computer software or services, or storage facilities for records, as a result of complying with this data collection. There are no direct costs to respondents other than their time to participate in the study.</w:t>
      </w:r>
    </w:p>
    <w:p w:rsidR="002B3186" w:rsidRDefault="002B3186" w:rsidP="00C22AC4">
      <w:pPr>
        <w:pStyle w:val="Heading2"/>
        <w:rPr>
          <w:sz w:val="24"/>
          <w:szCs w:val="24"/>
        </w:rPr>
      </w:pPr>
      <w:r w:rsidRPr="00412C6F">
        <w:rPr>
          <w:sz w:val="24"/>
          <w:szCs w:val="24"/>
        </w:rPr>
        <w:t>14. Estimates of Annualized Cost to the Government</w:t>
      </w:r>
      <w:bookmarkEnd w:id="31"/>
      <w:bookmarkEnd w:id="32"/>
      <w:bookmarkEnd w:id="33"/>
    </w:p>
    <w:p w:rsidR="002B3186" w:rsidRPr="00BD3C1B" w:rsidRDefault="002B3186" w:rsidP="00BD3C1B">
      <w:r>
        <w:t>Exhibit A-3 shows the estimated annualized cost to the government for developing, maintaining and managing the Health Plan Database and analyzing the data and reporting results. The cost is estimated to be $260,000 annually. Annualized costs for collecting and processing the CAHPS Health Plan Database are based upon 10 years of historical project costs. Start-up costs were present in the early years of the database only.</w:t>
      </w:r>
    </w:p>
    <w:p w:rsidR="002B3186" w:rsidRDefault="002B3186" w:rsidP="00C95998">
      <w:pPr>
        <w:rPr>
          <w:i/>
          <w:iCs/>
        </w:rPr>
      </w:pPr>
      <w:bookmarkStart w:id="34" w:name="_Toc151782190"/>
      <w:bookmarkStart w:id="35" w:name="_Toc158526230"/>
    </w:p>
    <w:p w:rsidR="002B3186" w:rsidRDefault="002B3186" w:rsidP="00C95998">
      <w:pPr>
        <w:rPr>
          <w:i/>
          <w:iCs/>
        </w:rPr>
      </w:pPr>
    </w:p>
    <w:p w:rsidR="002B3186" w:rsidRDefault="002B3186" w:rsidP="00C95998">
      <w:pPr>
        <w:rPr>
          <w:i/>
          <w:iCs/>
        </w:rPr>
      </w:pPr>
    </w:p>
    <w:p w:rsidR="002B3186" w:rsidRDefault="002B3186" w:rsidP="00012FB9">
      <w:r>
        <w:rPr>
          <w:b/>
          <w:bCs/>
          <w:color w:val="000000"/>
        </w:rPr>
        <w:t>Exhibit A-3. Estimated Annualized Cost</w:t>
      </w:r>
    </w:p>
    <w:tbl>
      <w:tblPr>
        <w:tblW w:w="0" w:type="auto"/>
        <w:tblInd w:w="108" w:type="dxa"/>
        <w:tblCellMar>
          <w:left w:w="0" w:type="dxa"/>
          <w:right w:w="0" w:type="dxa"/>
        </w:tblCellMar>
        <w:tblLook w:val="0000"/>
      </w:tblPr>
      <w:tblGrid>
        <w:gridCol w:w="3708"/>
        <w:gridCol w:w="1980"/>
      </w:tblGrid>
      <w:tr w:rsidR="002B3186">
        <w:tc>
          <w:tcPr>
            <w:tcW w:w="37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2B3186" w:rsidRPr="00012FB9" w:rsidRDefault="002B3186" w:rsidP="00012FB9">
            <w:pPr>
              <w:rPr>
                <w:b/>
                <w:bCs/>
              </w:rPr>
            </w:pPr>
            <w:r w:rsidRPr="00012FB9">
              <w:rPr>
                <w:b/>
                <w:bCs/>
                <w:color w:val="000000"/>
              </w:rPr>
              <w:t>Cost Component</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B3186" w:rsidRPr="00012FB9" w:rsidRDefault="002B3186" w:rsidP="001A28C0">
            <w:pPr>
              <w:jc w:val="center"/>
              <w:rPr>
                <w:b/>
                <w:bCs/>
              </w:rPr>
            </w:pPr>
            <w:r w:rsidRPr="00012FB9">
              <w:rPr>
                <w:b/>
                <w:bCs/>
              </w:rPr>
              <w:t>Annualized Cost</w:t>
            </w:r>
          </w:p>
        </w:tc>
      </w:tr>
      <w:tr w:rsidR="002B318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Default="002B3186" w:rsidP="001F6390">
            <w:r>
              <w:t>Database Maintenance</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Default="002B3186" w:rsidP="001F6390">
            <w:pPr>
              <w:jc w:val="center"/>
            </w:pPr>
            <w:r>
              <w:t>$50,000</w:t>
            </w:r>
          </w:p>
        </w:tc>
      </w:tr>
      <w:tr w:rsidR="002B318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Default="002B3186" w:rsidP="001F6390">
            <w:r>
              <w:t>Data Submission</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Default="002B3186" w:rsidP="001A28C0">
            <w:pPr>
              <w:jc w:val="center"/>
            </w:pPr>
            <w:r>
              <w:t>$100,000</w:t>
            </w:r>
          </w:p>
        </w:tc>
      </w:tr>
      <w:tr w:rsidR="002B318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Default="002B3186" w:rsidP="001F6390">
            <w:r>
              <w:t>Data Analysis and Reporting</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Default="002B3186" w:rsidP="001F6390">
            <w:pPr>
              <w:jc w:val="center"/>
            </w:pPr>
            <w:r>
              <w:t>$110,000</w:t>
            </w:r>
          </w:p>
        </w:tc>
      </w:tr>
      <w:tr w:rsidR="002B3186">
        <w:tc>
          <w:tcPr>
            <w:tcW w:w="37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B3186" w:rsidRPr="006D1C5E" w:rsidRDefault="002B3186" w:rsidP="001A28C0">
            <w:r w:rsidRPr="006D1C5E">
              <w:rPr>
                <w:b/>
                <w:bCs/>
                <w:color w:val="000000"/>
              </w:rPr>
              <w:t>Total</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2B3186" w:rsidRDefault="002B3186" w:rsidP="001F6390">
            <w:pPr>
              <w:jc w:val="center"/>
            </w:pPr>
            <w:r>
              <w:t>$260,000</w:t>
            </w:r>
          </w:p>
        </w:tc>
      </w:tr>
    </w:tbl>
    <w:p w:rsidR="002B3186" w:rsidRPr="00C22AC4" w:rsidRDefault="002B3186" w:rsidP="00C22AC4">
      <w:pPr>
        <w:pStyle w:val="Heading2"/>
        <w:rPr>
          <w:sz w:val="24"/>
          <w:szCs w:val="24"/>
        </w:rPr>
      </w:pPr>
      <w:r w:rsidRPr="00C22AC4">
        <w:rPr>
          <w:sz w:val="24"/>
          <w:szCs w:val="24"/>
        </w:rPr>
        <w:t>15. Changes in Hour Burden</w:t>
      </w:r>
      <w:bookmarkStart w:id="36" w:name="_Toc151782191"/>
      <w:bookmarkStart w:id="37" w:name="_Toc158526231"/>
      <w:bookmarkEnd w:id="34"/>
      <w:bookmarkEnd w:id="35"/>
    </w:p>
    <w:p w:rsidR="002B3186" w:rsidRPr="00BD3C1B" w:rsidRDefault="002B3186" w:rsidP="00C95998">
      <w:r>
        <w:t>Participation rates are approximately steady. No substantial changes in burden are expected.</w:t>
      </w:r>
    </w:p>
    <w:p w:rsidR="002B3186" w:rsidRPr="00412C6F" w:rsidRDefault="002B3186" w:rsidP="00C22AC4">
      <w:pPr>
        <w:pStyle w:val="Heading2"/>
        <w:rPr>
          <w:sz w:val="24"/>
          <w:szCs w:val="24"/>
        </w:rPr>
      </w:pPr>
      <w:r w:rsidRPr="00412C6F">
        <w:rPr>
          <w:sz w:val="24"/>
          <w:szCs w:val="24"/>
        </w:rPr>
        <w:t>16. Time Schedule, Publication and Analysis Plans</w:t>
      </w:r>
      <w:bookmarkEnd w:id="36"/>
      <w:bookmarkEnd w:id="37"/>
    </w:p>
    <w:p w:rsidR="002B3186" w:rsidRPr="00BD3C1B" w:rsidRDefault="002B3186" w:rsidP="001F6390">
      <w:pPr>
        <w:spacing w:before="120"/>
        <w:rPr>
          <w:b/>
          <w:bCs/>
        </w:rPr>
      </w:pPr>
      <w:bookmarkStart w:id="38" w:name="_Toc151782192"/>
      <w:r>
        <w:t xml:space="preserve">Information for the CAHPS Health Plan Database is collected by AHRQ through its contractor, Westat, on an annual basis since 2000 and is planned to continue yearly through at least 2011. Health plans are asked to voluntarily submit their CAHPS Health Plan survey data to the CAHPS Database in June each year. The data are then cleaned and aggregated and used to produce </w:t>
      </w:r>
      <w:r w:rsidRPr="00BD3C1B">
        <w:t>annual chartbook</w:t>
      </w:r>
      <w:r>
        <w:t>s</w:t>
      </w:r>
      <w:r w:rsidRPr="00BD3C1B">
        <w:t xml:space="preserve"> and </w:t>
      </w:r>
      <w:r>
        <w:t>individual participants</w:t>
      </w:r>
      <w:r w:rsidRPr="00BD3C1B">
        <w:t xml:space="preserve"> </w:t>
      </w:r>
      <w:r>
        <w:t xml:space="preserve">comparative </w:t>
      </w:r>
      <w:r w:rsidRPr="00BD3C1B">
        <w:t xml:space="preserve">reports </w:t>
      </w:r>
      <w:r>
        <w:t>each Fall</w:t>
      </w:r>
      <w:r w:rsidRPr="00BD3C1B">
        <w:t>.</w:t>
      </w:r>
      <w:r>
        <w:t xml:space="preserve"> Chartbooks for 2000-2007 are posted on the CAHPS web site at </w:t>
      </w:r>
      <w:hyperlink r:id="rId18" w:history="1">
        <w:r w:rsidRPr="00115673">
          <w:rPr>
            <w:rStyle w:val="Hyperlink"/>
          </w:rPr>
          <w:t>https://www.cahps.ahrq.gov/content/ncbd/HP/NCBD_HP_HPProductsAndServicesArchive.asp?p=105&amp;s=52</w:t>
        </w:r>
      </w:hyperlink>
      <w:r>
        <w:t xml:space="preserve">. Results for 2008 and 2009 are available on the Online Reporting System at </w:t>
      </w:r>
      <w:hyperlink r:id="rId19" w:history="1">
        <w:r w:rsidRPr="006D4FEA">
          <w:rPr>
            <w:rStyle w:val="Hyperlink"/>
          </w:rPr>
          <w:t>https://www.cahps.ahrq.gov/CAHPSIDB/Public/about.aspx</w:t>
        </w:r>
      </w:hyperlink>
      <w:r>
        <w:t xml:space="preserve">. Results for participating Medicaid agencies and individual health plans are provided in a password protected portion of the web site. </w:t>
      </w:r>
    </w:p>
    <w:p w:rsidR="002B3186" w:rsidRPr="00424E6E" w:rsidRDefault="002B3186" w:rsidP="00C22AC4">
      <w:pPr>
        <w:pStyle w:val="Heading2"/>
        <w:rPr>
          <w:sz w:val="24"/>
          <w:szCs w:val="24"/>
        </w:rPr>
      </w:pPr>
      <w:bookmarkStart w:id="39" w:name="_Toc151782196"/>
      <w:bookmarkStart w:id="40" w:name="_Toc158526232"/>
      <w:bookmarkEnd w:id="38"/>
      <w:r w:rsidRPr="00424E6E">
        <w:rPr>
          <w:sz w:val="24"/>
          <w:szCs w:val="24"/>
        </w:rPr>
        <w:t>17. Exemption for Display of Expiration Date</w:t>
      </w:r>
      <w:bookmarkEnd w:id="39"/>
      <w:bookmarkEnd w:id="40"/>
    </w:p>
    <w:p w:rsidR="002B3186" w:rsidRDefault="002B3186" w:rsidP="00C95998"/>
    <w:p w:rsidR="002B3186" w:rsidRDefault="002B3186" w:rsidP="00C95998">
      <w:r w:rsidRPr="004F03D2">
        <w:t>AHRQ does not seek this exemption</w:t>
      </w:r>
      <w:r>
        <w:t>.</w:t>
      </w:r>
    </w:p>
    <w:p w:rsidR="002B3186" w:rsidRPr="00016560" w:rsidRDefault="002B3186" w:rsidP="00C22AC4">
      <w:pPr>
        <w:pStyle w:val="NormalWeb"/>
        <w:keepNext/>
        <w:spacing w:before="240" w:beforeAutospacing="0" w:after="60" w:afterAutospacing="0"/>
        <w:outlineLvl w:val="1"/>
        <w:rPr>
          <w:rFonts w:ascii="Arial" w:hAnsi="Arial" w:cs="Arial"/>
          <w:b/>
          <w:bCs/>
        </w:rPr>
      </w:pPr>
      <w:r>
        <w:rPr>
          <w:rFonts w:ascii="Arial" w:hAnsi="Arial" w:cs="Arial"/>
          <w:b/>
          <w:bCs/>
        </w:rPr>
        <w:t xml:space="preserve">List of </w:t>
      </w:r>
      <w:r w:rsidRPr="00016560">
        <w:rPr>
          <w:rFonts w:ascii="Arial" w:hAnsi="Arial" w:cs="Arial"/>
          <w:b/>
          <w:bCs/>
        </w:rPr>
        <w:t>Attachments:</w:t>
      </w:r>
    </w:p>
    <w:p w:rsidR="002B3186" w:rsidRPr="00FF6891" w:rsidRDefault="002B3186" w:rsidP="00FF6891">
      <w:pPr>
        <w:ind w:left="1800" w:hanging="1800"/>
      </w:pPr>
      <w:r w:rsidRPr="00FF6891">
        <w:t>Attachment A-1:</w:t>
      </w:r>
      <w:r>
        <w:t xml:space="preserve"> </w:t>
      </w:r>
      <w:r w:rsidRPr="00FF6891">
        <w:t>The Healthcare Research and Quality Act of 1999</w:t>
      </w:r>
    </w:p>
    <w:p w:rsidR="002B3186" w:rsidRPr="00FF6891" w:rsidRDefault="002B3186" w:rsidP="00FF6891">
      <w:pPr>
        <w:pStyle w:val="NormalWeb"/>
        <w:spacing w:before="0" w:beforeAutospacing="0" w:after="0" w:afterAutospacing="0"/>
      </w:pPr>
      <w:r w:rsidRPr="00FF6891">
        <w:t>Attachment A-2:</w:t>
      </w:r>
      <w:r>
        <w:t xml:space="preserve"> </w:t>
      </w:r>
      <w:r w:rsidRPr="00FF6891">
        <w:t>60 Day Federal Register Notice</w:t>
      </w:r>
    </w:p>
    <w:p w:rsidR="002B3186" w:rsidRPr="00FF6891" w:rsidRDefault="002B3186" w:rsidP="00FF6891">
      <w:pPr>
        <w:pStyle w:val="NormalWeb"/>
        <w:spacing w:before="0" w:beforeAutospacing="0" w:after="0" w:afterAutospacing="0"/>
      </w:pPr>
      <w:r w:rsidRPr="00FF6891">
        <w:t>Attachment A-3:</w:t>
      </w:r>
      <w:r>
        <w:t xml:space="preserve"> </w:t>
      </w:r>
      <w:r w:rsidRPr="00FF6891">
        <w:t>CAHPS Database Advisory Group List</w:t>
      </w:r>
    </w:p>
    <w:p w:rsidR="002B3186" w:rsidRPr="00FF6891" w:rsidRDefault="002B3186" w:rsidP="00FF6891">
      <w:pPr>
        <w:pStyle w:val="NormalWeb"/>
        <w:spacing w:before="0" w:beforeAutospacing="0" w:after="0" w:afterAutospacing="0"/>
      </w:pPr>
      <w:r w:rsidRPr="00FF6891">
        <w:t>Attachment A-4:</w:t>
      </w:r>
      <w:r>
        <w:t xml:space="preserve"> </w:t>
      </w:r>
      <w:r w:rsidRPr="00FF6891">
        <w:t>Health Plan Database Data Use Agreement</w:t>
      </w:r>
    </w:p>
    <w:p w:rsidR="002B3186" w:rsidRDefault="002B3186" w:rsidP="00FF6891">
      <w:pPr>
        <w:pStyle w:val="NormalWeb"/>
        <w:spacing w:before="0" w:beforeAutospacing="0" w:after="0" w:afterAutospacing="0"/>
      </w:pPr>
      <w:r w:rsidRPr="00FF6891">
        <w:t>Attachment A-5:</w:t>
      </w:r>
      <w:r>
        <w:t xml:space="preserve"> Health Plan Submission System Registration Form</w:t>
      </w:r>
    </w:p>
    <w:sectPr w:rsidR="002B3186" w:rsidSect="000A3CAB">
      <w:headerReference w:type="even" r:id="rId20"/>
      <w:headerReference w:type="default" r:id="rId21"/>
      <w:headerReference w:type="first" r:id="rId22"/>
      <w:footerReference w:type="first" r:id="rId23"/>
      <w:endnotePr>
        <w:numFmt w:val="decimal"/>
      </w:endnotePr>
      <w:pgSz w:w="12240" w:h="15840"/>
      <w:pgMar w:top="1440" w:right="1800" w:bottom="1260" w:left="1800" w:header="720" w:footer="720" w:gutter="0"/>
      <w:pgNumType w:fmt="numberInDash"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86" w:rsidRDefault="002B3186">
      <w:r>
        <w:separator/>
      </w:r>
    </w:p>
  </w:endnote>
  <w:endnote w:type="continuationSeparator" w:id="1">
    <w:p w:rsidR="002B3186" w:rsidRDefault="002B31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3186" w:rsidRDefault="002B3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rsidP="00E4460B">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- 5 -</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Pr="004009E4" w:rsidRDefault="002B3186" w:rsidP="004009E4">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rsidP="004009E4">
    <w:pPr>
      <w:pStyle w:val="Footer"/>
      <w:jc w:val="center"/>
      <w:rPr>
        <w:sz w:val="22"/>
        <w:szCs w:val="22"/>
      </w:rPr>
    </w:pPr>
    <w:r>
      <w:rPr>
        <w:rStyle w:val="PageNumber"/>
      </w:rPr>
      <w:fldChar w:fldCharType="begin"/>
    </w:r>
    <w:r>
      <w:rPr>
        <w:rStyle w:val="PageNumber"/>
      </w:rPr>
      <w:instrText xml:space="preserve"> PAGE </w:instrText>
    </w:r>
    <w:r>
      <w:rPr>
        <w:rStyle w:val="PageNumber"/>
      </w:rPr>
      <w:fldChar w:fldCharType="separate"/>
    </w:r>
    <w:r>
      <w:rPr>
        <w:rStyle w:val="PageNumber"/>
        <w:noProof/>
      </w:rPr>
      <w:t>- 1 -</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86" w:rsidRDefault="002B3186">
      <w:r>
        <w:separator/>
      </w:r>
    </w:p>
  </w:footnote>
  <w:footnote w:type="continuationSeparator" w:id="1">
    <w:p w:rsidR="002B3186" w:rsidRDefault="002B31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86" w:rsidRDefault="002B31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374F8"/>
    <w:multiLevelType w:val="hybridMultilevel"/>
    <w:tmpl w:val="1B525974"/>
    <w:lvl w:ilvl="0" w:tplc="04090005">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
    <w:nsid w:val="02B206E1"/>
    <w:multiLevelType w:val="hybridMultilevel"/>
    <w:tmpl w:val="26AA8D38"/>
    <w:lvl w:ilvl="0" w:tplc="0409000F">
      <w:start w:val="1"/>
      <w:numFmt w:val="decimal"/>
      <w:lvlText w:val="%1."/>
      <w:lvlJc w:val="left"/>
      <w:pPr>
        <w:tabs>
          <w:tab w:val="num" w:pos="720"/>
        </w:tabs>
        <w:ind w:left="720" w:hanging="360"/>
      </w:pPr>
      <w:rPr>
        <w:rFonts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5CB7504"/>
    <w:multiLevelType w:val="multilevel"/>
    <w:tmpl w:val="D97C213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76B4CC6"/>
    <w:multiLevelType w:val="hybridMultilevel"/>
    <w:tmpl w:val="F43436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A505E3B"/>
    <w:multiLevelType w:val="hybridMultilevel"/>
    <w:tmpl w:val="728854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A9E6DFB"/>
    <w:multiLevelType w:val="multilevel"/>
    <w:tmpl w:val="FA60D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E0543F"/>
    <w:multiLevelType w:val="multilevel"/>
    <w:tmpl w:val="76AAF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7774D0"/>
    <w:multiLevelType w:val="multilevel"/>
    <w:tmpl w:val="5F4E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9D1012"/>
    <w:multiLevelType w:val="hybridMultilevel"/>
    <w:tmpl w:val="F522BD54"/>
    <w:lvl w:ilvl="0" w:tplc="FFFFFFFF">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14454594"/>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18A10292"/>
    <w:multiLevelType w:val="hybridMultilevel"/>
    <w:tmpl w:val="B1FA664C"/>
    <w:lvl w:ilvl="0" w:tplc="0409000B">
      <w:start w:val="1"/>
      <w:numFmt w:val="bullet"/>
      <w:lvlText w:val=""/>
      <w:lvlJc w:val="left"/>
      <w:pPr>
        <w:tabs>
          <w:tab w:val="num" w:pos="612"/>
        </w:tabs>
        <w:ind w:left="612" w:hanging="360"/>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2">
    <w:nsid w:val="19C95FA7"/>
    <w:multiLevelType w:val="multilevel"/>
    <w:tmpl w:val="C25CF9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26013681"/>
    <w:multiLevelType w:val="hybridMultilevel"/>
    <w:tmpl w:val="76422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995858"/>
    <w:multiLevelType w:val="hybridMultilevel"/>
    <w:tmpl w:val="45E014A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6C79A8"/>
    <w:multiLevelType w:val="hybridMultilevel"/>
    <w:tmpl w:val="5D74BB3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332"/>
        </w:tabs>
        <w:ind w:left="1332" w:hanging="360"/>
      </w:pPr>
      <w:rPr>
        <w:rFonts w:ascii="Courier New" w:hAnsi="Courier New" w:hint="default"/>
      </w:rPr>
    </w:lvl>
    <w:lvl w:ilvl="2" w:tplc="04090005" w:tentative="1">
      <w:start w:val="1"/>
      <w:numFmt w:val="bullet"/>
      <w:lvlText w:val=""/>
      <w:lvlJc w:val="left"/>
      <w:pPr>
        <w:tabs>
          <w:tab w:val="num" w:pos="2052"/>
        </w:tabs>
        <w:ind w:left="2052" w:hanging="360"/>
      </w:pPr>
      <w:rPr>
        <w:rFonts w:ascii="Wingdings" w:hAnsi="Wingdings" w:hint="default"/>
      </w:rPr>
    </w:lvl>
    <w:lvl w:ilvl="3" w:tplc="04090001" w:tentative="1">
      <w:start w:val="1"/>
      <w:numFmt w:val="bullet"/>
      <w:lvlText w:val=""/>
      <w:lvlJc w:val="left"/>
      <w:pPr>
        <w:tabs>
          <w:tab w:val="num" w:pos="2772"/>
        </w:tabs>
        <w:ind w:left="2772" w:hanging="360"/>
      </w:pPr>
      <w:rPr>
        <w:rFonts w:ascii="Symbol" w:hAnsi="Symbol" w:hint="default"/>
      </w:rPr>
    </w:lvl>
    <w:lvl w:ilvl="4" w:tplc="04090003" w:tentative="1">
      <w:start w:val="1"/>
      <w:numFmt w:val="bullet"/>
      <w:lvlText w:val="o"/>
      <w:lvlJc w:val="left"/>
      <w:pPr>
        <w:tabs>
          <w:tab w:val="num" w:pos="3492"/>
        </w:tabs>
        <w:ind w:left="3492" w:hanging="360"/>
      </w:pPr>
      <w:rPr>
        <w:rFonts w:ascii="Courier New" w:hAnsi="Courier New" w:hint="default"/>
      </w:rPr>
    </w:lvl>
    <w:lvl w:ilvl="5" w:tplc="04090005" w:tentative="1">
      <w:start w:val="1"/>
      <w:numFmt w:val="bullet"/>
      <w:lvlText w:val=""/>
      <w:lvlJc w:val="left"/>
      <w:pPr>
        <w:tabs>
          <w:tab w:val="num" w:pos="4212"/>
        </w:tabs>
        <w:ind w:left="4212" w:hanging="360"/>
      </w:pPr>
      <w:rPr>
        <w:rFonts w:ascii="Wingdings" w:hAnsi="Wingdings" w:hint="default"/>
      </w:rPr>
    </w:lvl>
    <w:lvl w:ilvl="6" w:tplc="04090001" w:tentative="1">
      <w:start w:val="1"/>
      <w:numFmt w:val="bullet"/>
      <w:lvlText w:val=""/>
      <w:lvlJc w:val="left"/>
      <w:pPr>
        <w:tabs>
          <w:tab w:val="num" w:pos="4932"/>
        </w:tabs>
        <w:ind w:left="4932" w:hanging="360"/>
      </w:pPr>
      <w:rPr>
        <w:rFonts w:ascii="Symbol" w:hAnsi="Symbol" w:hint="default"/>
      </w:rPr>
    </w:lvl>
    <w:lvl w:ilvl="7" w:tplc="04090003" w:tentative="1">
      <w:start w:val="1"/>
      <w:numFmt w:val="bullet"/>
      <w:lvlText w:val="o"/>
      <w:lvlJc w:val="left"/>
      <w:pPr>
        <w:tabs>
          <w:tab w:val="num" w:pos="5652"/>
        </w:tabs>
        <w:ind w:left="5652" w:hanging="360"/>
      </w:pPr>
      <w:rPr>
        <w:rFonts w:ascii="Courier New" w:hAnsi="Courier New" w:hint="default"/>
      </w:rPr>
    </w:lvl>
    <w:lvl w:ilvl="8" w:tplc="04090005" w:tentative="1">
      <w:start w:val="1"/>
      <w:numFmt w:val="bullet"/>
      <w:lvlText w:val=""/>
      <w:lvlJc w:val="left"/>
      <w:pPr>
        <w:tabs>
          <w:tab w:val="num" w:pos="6372"/>
        </w:tabs>
        <w:ind w:left="6372" w:hanging="360"/>
      </w:pPr>
      <w:rPr>
        <w:rFonts w:ascii="Wingdings" w:hAnsi="Wingdings" w:hint="default"/>
      </w:rPr>
    </w:lvl>
  </w:abstractNum>
  <w:abstractNum w:abstractNumId="17">
    <w:nsid w:val="3FCB150C"/>
    <w:multiLevelType w:val="hybridMultilevel"/>
    <w:tmpl w:val="4F0871C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43A84015"/>
    <w:multiLevelType w:val="multilevel"/>
    <w:tmpl w:val="5BDA3C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478778B"/>
    <w:multiLevelType w:val="multilevel"/>
    <w:tmpl w:val="C8528428"/>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554684E"/>
    <w:multiLevelType w:val="multilevel"/>
    <w:tmpl w:val="1B525974"/>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21">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041F9E"/>
    <w:multiLevelType w:val="multilevel"/>
    <w:tmpl w:val="2D884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CE0BA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5">
    <w:nsid w:val="4F7E52AA"/>
    <w:multiLevelType w:val="multilevel"/>
    <w:tmpl w:val="319698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5FA2574"/>
    <w:multiLevelType w:val="hybridMultilevel"/>
    <w:tmpl w:val="0A1E8A72"/>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0">
    <w:nsid w:val="59A84710"/>
    <w:multiLevelType w:val="multilevel"/>
    <w:tmpl w:val="B1FA664C"/>
    <w:lvl w:ilvl="0">
      <w:start w:val="1"/>
      <w:numFmt w:val="bullet"/>
      <w:lvlText w:val=""/>
      <w:lvlJc w:val="left"/>
      <w:pPr>
        <w:tabs>
          <w:tab w:val="num" w:pos="612"/>
        </w:tabs>
        <w:ind w:left="612" w:hanging="360"/>
      </w:pPr>
      <w:rPr>
        <w:rFonts w:ascii="Wingdings" w:hAnsi="Wingdings" w:hint="default"/>
      </w:rPr>
    </w:lvl>
    <w:lvl w:ilvl="1">
      <w:start w:val="1"/>
      <w:numFmt w:val="bullet"/>
      <w:lvlText w:val="o"/>
      <w:lvlJc w:val="left"/>
      <w:pPr>
        <w:tabs>
          <w:tab w:val="num" w:pos="1332"/>
        </w:tabs>
        <w:ind w:left="1332" w:hanging="360"/>
      </w:pPr>
      <w:rPr>
        <w:rFonts w:ascii="Courier New" w:hAnsi="Courier New" w:hint="default"/>
      </w:rPr>
    </w:lvl>
    <w:lvl w:ilvl="2">
      <w:start w:val="1"/>
      <w:numFmt w:val="bullet"/>
      <w:lvlText w:val=""/>
      <w:lvlJc w:val="left"/>
      <w:pPr>
        <w:tabs>
          <w:tab w:val="num" w:pos="2052"/>
        </w:tabs>
        <w:ind w:left="2052" w:hanging="360"/>
      </w:pPr>
      <w:rPr>
        <w:rFonts w:ascii="Wingdings" w:hAnsi="Wingdings" w:hint="default"/>
      </w:rPr>
    </w:lvl>
    <w:lvl w:ilvl="3">
      <w:start w:val="1"/>
      <w:numFmt w:val="bullet"/>
      <w:lvlText w:val=""/>
      <w:lvlJc w:val="left"/>
      <w:pPr>
        <w:tabs>
          <w:tab w:val="num" w:pos="2772"/>
        </w:tabs>
        <w:ind w:left="2772" w:hanging="360"/>
      </w:pPr>
      <w:rPr>
        <w:rFonts w:ascii="Symbol" w:hAnsi="Symbol" w:hint="default"/>
      </w:rPr>
    </w:lvl>
    <w:lvl w:ilvl="4">
      <w:start w:val="1"/>
      <w:numFmt w:val="bullet"/>
      <w:lvlText w:val="o"/>
      <w:lvlJc w:val="left"/>
      <w:pPr>
        <w:tabs>
          <w:tab w:val="num" w:pos="3492"/>
        </w:tabs>
        <w:ind w:left="3492" w:hanging="360"/>
      </w:pPr>
      <w:rPr>
        <w:rFonts w:ascii="Courier New" w:hAnsi="Courier New" w:hint="default"/>
      </w:rPr>
    </w:lvl>
    <w:lvl w:ilvl="5">
      <w:start w:val="1"/>
      <w:numFmt w:val="bullet"/>
      <w:lvlText w:val=""/>
      <w:lvlJc w:val="left"/>
      <w:pPr>
        <w:tabs>
          <w:tab w:val="num" w:pos="4212"/>
        </w:tabs>
        <w:ind w:left="4212" w:hanging="360"/>
      </w:pPr>
      <w:rPr>
        <w:rFonts w:ascii="Wingdings" w:hAnsi="Wingdings" w:hint="default"/>
      </w:rPr>
    </w:lvl>
    <w:lvl w:ilvl="6">
      <w:start w:val="1"/>
      <w:numFmt w:val="bullet"/>
      <w:lvlText w:val=""/>
      <w:lvlJc w:val="left"/>
      <w:pPr>
        <w:tabs>
          <w:tab w:val="num" w:pos="4932"/>
        </w:tabs>
        <w:ind w:left="4932" w:hanging="360"/>
      </w:pPr>
      <w:rPr>
        <w:rFonts w:ascii="Symbol" w:hAnsi="Symbol" w:hint="default"/>
      </w:rPr>
    </w:lvl>
    <w:lvl w:ilvl="7">
      <w:start w:val="1"/>
      <w:numFmt w:val="bullet"/>
      <w:lvlText w:val="o"/>
      <w:lvlJc w:val="left"/>
      <w:pPr>
        <w:tabs>
          <w:tab w:val="num" w:pos="5652"/>
        </w:tabs>
        <w:ind w:left="5652" w:hanging="360"/>
      </w:pPr>
      <w:rPr>
        <w:rFonts w:ascii="Courier New" w:hAnsi="Courier New" w:hint="default"/>
      </w:rPr>
    </w:lvl>
    <w:lvl w:ilvl="8">
      <w:start w:val="1"/>
      <w:numFmt w:val="bullet"/>
      <w:lvlText w:val=""/>
      <w:lvlJc w:val="left"/>
      <w:pPr>
        <w:tabs>
          <w:tab w:val="num" w:pos="6372"/>
        </w:tabs>
        <w:ind w:left="6372" w:hanging="360"/>
      </w:pPr>
      <w:rPr>
        <w:rFonts w:ascii="Wingdings" w:hAnsi="Wingdings" w:hint="default"/>
      </w:rPr>
    </w:lvl>
  </w:abstractNum>
  <w:abstractNum w:abstractNumId="31">
    <w:nsid w:val="5A606CBB"/>
    <w:multiLevelType w:val="hybridMultilevel"/>
    <w:tmpl w:val="14D8E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B7C70DA"/>
    <w:multiLevelType w:val="multilevel"/>
    <w:tmpl w:val="04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DD73910"/>
    <w:multiLevelType w:val="hybridMultilevel"/>
    <w:tmpl w:val="8E9ED684"/>
    <w:lvl w:ilvl="0" w:tplc="FFFFFFFF">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624A77AD"/>
    <w:multiLevelType w:val="hybridMultilevel"/>
    <w:tmpl w:val="EF94B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6875F0"/>
    <w:multiLevelType w:val="hybridMultilevel"/>
    <w:tmpl w:val="42BCA01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26A3F1F"/>
    <w:multiLevelType w:val="multilevel"/>
    <w:tmpl w:val="8D2A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731647"/>
    <w:multiLevelType w:val="multilevel"/>
    <w:tmpl w:val="9682791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6EE7FE3"/>
    <w:multiLevelType w:val="hybridMultilevel"/>
    <w:tmpl w:val="FD2E7ECC"/>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0">
    <w:nsid w:val="6C507C82"/>
    <w:multiLevelType w:val="hybridMultilevel"/>
    <w:tmpl w:val="CF964A98"/>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0467CC2"/>
    <w:multiLevelType w:val="hybridMultilevel"/>
    <w:tmpl w:val="DD965748"/>
    <w:lvl w:ilvl="0" w:tplc="0409000B">
      <w:start w:val="1"/>
      <w:numFmt w:val="bullet"/>
      <w:lvlText w:val=""/>
      <w:lvlJc w:val="left"/>
      <w:pPr>
        <w:tabs>
          <w:tab w:val="num" w:pos="1080"/>
        </w:tabs>
        <w:ind w:left="1080" w:hanging="360"/>
      </w:pPr>
      <w:rPr>
        <w:rFonts w:ascii="Wingdings" w:hAnsi="Wingdings"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nsid w:val="71773900"/>
    <w:multiLevelType w:val="hybridMultilevel"/>
    <w:tmpl w:val="AB0C5916"/>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39D2F89"/>
    <w:multiLevelType w:val="hybridMultilevel"/>
    <w:tmpl w:val="C8528428"/>
    <w:lvl w:ilvl="0" w:tplc="FFFFFFFF">
      <w:start w:val="1"/>
      <w:numFmt w:val="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C8836DA"/>
    <w:multiLevelType w:val="hybridMultilevel"/>
    <w:tmpl w:val="1DC69BC0"/>
    <w:lvl w:ilvl="0" w:tplc="D9E81D0E">
      <w:start w:val="1"/>
      <w:numFmt w:val="decimal"/>
      <w:lvlText w:val="%1."/>
      <w:lvlJc w:val="left"/>
      <w:pPr>
        <w:tabs>
          <w:tab w:val="num" w:pos="720"/>
        </w:tabs>
        <w:ind w:left="720" w:hanging="360"/>
      </w:pPr>
      <w:rPr>
        <w:rFonts w:cs="Times New Roman" w:hint="default"/>
        <w:b w:val="0"/>
        <w:bCs w:val="0"/>
        <w:i w:val="0"/>
        <w:iCs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7">
    <w:nsid w:val="7DEF18BF"/>
    <w:multiLevelType w:val="hybridMultilevel"/>
    <w:tmpl w:val="0F70BD80"/>
    <w:lvl w:ilvl="0" w:tplc="96A831B0">
      <w:start w:val="1"/>
      <w:numFmt w:val="bullet"/>
      <w:lvlText w:val=""/>
      <w:lvlJc w:val="left"/>
      <w:pPr>
        <w:tabs>
          <w:tab w:val="num" w:pos="360"/>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num>
  <w:num w:numId="6">
    <w:abstractNumId w:val="46"/>
  </w:num>
  <w:num w:numId="7">
    <w:abstractNumId w:val="36"/>
  </w:num>
  <w:num w:numId="8">
    <w:abstractNumId w:val="32"/>
  </w:num>
  <w:num w:numId="9">
    <w:abstractNumId w:val="35"/>
  </w:num>
  <w:num w:numId="10">
    <w:abstractNumId w:val="14"/>
  </w:num>
  <w:num w:numId="11">
    <w:abstractNumId w:val="31"/>
  </w:num>
  <w:num w:numId="12">
    <w:abstractNumId w:val="45"/>
  </w:num>
  <w:num w:numId="13">
    <w:abstractNumId w:val="9"/>
  </w:num>
  <w:num w:numId="14">
    <w:abstractNumId w:val="17"/>
  </w:num>
  <w:num w:numId="15">
    <w:abstractNumId w:val="29"/>
  </w:num>
  <w:num w:numId="16">
    <w:abstractNumId w:val="44"/>
  </w:num>
  <w:num w:numId="17">
    <w:abstractNumId w:val="39"/>
  </w:num>
  <w:num w:numId="18">
    <w:abstractNumId w:val="19"/>
  </w:num>
  <w:num w:numId="19">
    <w:abstractNumId w:val="28"/>
  </w:num>
  <w:num w:numId="20">
    <w:abstractNumId w:val="10"/>
  </w:num>
  <w:num w:numId="21">
    <w:abstractNumId w:val="42"/>
  </w:num>
  <w:num w:numId="22">
    <w:abstractNumId w:val="1"/>
  </w:num>
  <w:num w:numId="23">
    <w:abstractNumId w:val="38"/>
  </w:num>
  <w:num w:numId="24">
    <w:abstractNumId w:val="34"/>
  </w:num>
  <w:num w:numId="25">
    <w:abstractNumId w:val="5"/>
  </w:num>
  <w:num w:numId="26">
    <w:abstractNumId w:val="11"/>
  </w:num>
  <w:num w:numId="27">
    <w:abstractNumId w:val="30"/>
  </w:num>
  <w:num w:numId="28">
    <w:abstractNumId w:val="0"/>
  </w:num>
  <w:num w:numId="29">
    <w:abstractNumId w:val="20"/>
  </w:num>
  <w:num w:numId="30">
    <w:abstractNumId w:val="16"/>
  </w:num>
  <w:num w:numId="31">
    <w:abstractNumId w:val="43"/>
  </w:num>
  <w:num w:numId="32">
    <w:abstractNumId w:val="40"/>
  </w:num>
  <w:num w:numId="33">
    <w:abstractNumId w:val="47"/>
  </w:num>
  <w:num w:numId="34">
    <w:abstractNumId w:val="21"/>
  </w:num>
  <w:num w:numId="35">
    <w:abstractNumId w:val="27"/>
  </w:num>
  <w:num w:numId="36">
    <w:abstractNumId w:val="22"/>
  </w:num>
  <w:num w:numId="37">
    <w:abstractNumId w:val="33"/>
  </w:num>
  <w:num w:numId="38">
    <w:abstractNumId w:val="15"/>
  </w:num>
  <w:num w:numId="39">
    <w:abstractNumId w:val="4"/>
  </w:num>
  <w:num w:numId="40">
    <w:abstractNumId w:val="26"/>
  </w:num>
  <w:num w:numId="41">
    <w:abstractNumId w:val="6"/>
  </w:num>
  <w:num w:numId="42">
    <w:abstractNumId w:val="8"/>
  </w:num>
  <w:num w:numId="43">
    <w:abstractNumId w:val="23"/>
  </w:num>
  <w:num w:numId="44">
    <w:abstractNumId w:val="41"/>
  </w:num>
  <w:num w:numId="45">
    <w:abstractNumId w:val="13"/>
  </w:num>
  <w:num w:numId="46">
    <w:abstractNumId w:val="3"/>
  </w:num>
  <w:num w:numId="47">
    <w:abstractNumId w:val="7"/>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embedSystemFonts/>
  <w:stylePaneFormatFilter w:val="3F01"/>
  <w:defaultTabStop w:val="720"/>
  <w:characterSpacingControl w:val="doNotCompress"/>
  <w:doNotValidateAgainstSchema/>
  <w:doNotDemarcateInvalidXml/>
  <w:footnotePr>
    <w:footnote w:id="0"/>
    <w:footnote w:id="1"/>
  </w:footnotePr>
  <w:endnotePr>
    <w:numFmt w:val="decimal"/>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EN.InstantFormat" w:val="???????"/>
  </w:docVars>
  <w:rsids>
    <w:rsidRoot w:val="00873F74"/>
    <w:rsid w:val="00011E85"/>
    <w:rsid w:val="00012FB9"/>
    <w:rsid w:val="00015E26"/>
    <w:rsid w:val="00016560"/>
    <w:rsid w:val="00024FEE"/>
    <w:rsid w:val="00034F0A"/>
    <w:rsid w:val="0003702D"/>
    <w:rsid w:val="00037998"/>
    <w:rsid w:val="00043473"/>
    <w:rsid w:val="00045959"/>
    <w:rsid w:val="00046359"/>
    <w:rsid w:val="000509AF"/>
    <w:rsid w:val="00053056"/>
    <w:rsid w:val="00053201"/>
    <w:rsid w:val="00057ED9"/>
    <w:rsid w:val="0006207D"/>
    <w:rsid w:val="00071E59"/>
    <w:rsid w:val="000779A9"/>
    <w:rsid w:val="00082047"/>
    <w:rsid w:val="00094648"/>
    <w:rsid w:val="000A140E"/>
    <w:rsid w:val="000A29DB"/>
    <w:rsid w:val="000A3475"/>
    <w:rsid w:val="000A3CAB"/>
    <w:rsid w:val="000B1B3A"/>
    <w:rsid w:val="000B4CB1"/>
    <w:rsid w:val="000B78CB"/>
    <w:rsid w:val="000C3DC9"/>
    <w:rsid w:val="000D4103"/>
    <w:rsid w:val="000D429E"/>
    <w:rsid w:val="000E01D1"/>
    <w:rsid w:val="000E42FA"/>
    <w:rsid w:val="000F1328"/>
    <w:rsid w:val="000F2B59"/>
    <w:rsid w:val="000F546A"/>
    <w:rsid w:val="00103CE3"/>
    <w:rsid w:val="00112DF2"/>
    <w:rsid w:val="00115673"/>
    <w:rsid w:val="00122AA3"/>
    <w:rsid w:val="00124917"/>
    <w:rsid w:val="00131443"/>
    <w:rsid w:val="00132118"/>
    <w:rsid w:val="001451F0"/>
    <w:rsid w:val="00147A20"/>
    <w:rsid w:val="001512C3"/>
    <w:rsid w:val="0015560F"/>
    <w:rsid w:val="001645A7"/>
    <w:rsid w:val="00166A69"/>
    <w:rsid w:val="00172AAB"/>
    <w:rsid w:val="0018366F"/>
    <w:rsid w:val="001842D0"/>
    <w:rsid w:val="00187A50"/>
    <w:rsid w:val="00193020"/>
    <w:rsid w:val="00196AF4"/>
    <w:rsid w:val="00196DE2"/>
    <w:rsid w:val="001A28C0"/>
    <w:rsid w:val="001A4057"/>
    <w:rsid w:val="001B1C61"/>
    <w:rsid w:val="001B4BF3"/>
    <w:rsid w:val="001B6C01"/>
    <w:rsid w:val="001C44DD"/>
    <w:rsid w:val="001C59E4"/>
    <w:rsid w:val="001C71C9"/>
    <w:rsid w:val="001D0454"/>
    <w:rsid w:val="001D7384"/>
    <w:rsid w:val="001D7D43"/>
    <w:rsid w:val="001F6390"/>
    <w:rsid w:val="00205BEA"/>
    <w:rsid w:val="00212992"/>
    <w:rsid w:val="00214356"/>
    <w:rsid w:val="00214C75"/>
    <w:rsid w:val="0022366A"/>
    <w:rsid w:val="002362A1"/>
    <w:rsid w:val="00240071"/>
    <w:rsid w:val="00256AE9"/>
    <w:rsid w:val="0026424E"/>
    <w:rsid w:val="00272E29"/>
    <w:rsid w:val="00276F0C"/>
    <w:rsid w:val="00277617"/>
    <w:rsid w:val="0027761B"/>
    <w:rsid w:val="0028111F"/>
    <w:rsid w:val="00281908"/>
    <w:rsid w:val="00291B73"/>
    <w:rsid w:val="0029734C"/>
    <w:rsid w:val="002A2639"/>
    <w:rsid w:val="002A32A3"/>
    <w:rsid w:val="002A5D8D"/>
    <w:rsid w:val="002A74F0"/>
    <w:rsid w:val="002B3186"/>
    <w:rsid w:val="002B382B"/>
    <w:rsid w:val="002B4C12"/>
    <w:rsid w:val="002B5958"/>
    <w:rsid w:val="002D3752"/>
    <w:rsid w:val="002E54EF"/>
    <w:rsid w:val="002E60AA"/>
    <w:rsid w:val="002F3275"/>
    <w:rsid w:val="002F4DE8"/>
    <w:rsid w:val="00317F79"/>
    <w:rsid w:val="003224B1"/>
    <w:rsid w:val="00322D73"/>
    <w:rsid w:val="00325B9C"/>
    <w:rsid w:val="00337491"/>
    <w:rsid w:val="00340D97"/>
    <w:rsid w:val="00352120"/>
    <w:rsid w:val="00361F52"/>
    <w:rsid w:val="00365FCF"/>
    <w:rsid w:val="00366016"/>
    <w:rsid w:val="0037427A"/>
    <w:rsid w:val="00377301"/>
    <w:rsid w:val="0037771B"/>
    <w:rsid w:val="0038213C"/>
    <w:rsid w:val="0038217D"/>
    <w:rsid w:val="00382DD3"/>
    <w:rsid w:val="003925C9"/>
    <w:rsid w:val="003A5231"/>
    <w:rsid w:val="003A5DA0"/>
    <w:rsid w:val="003A6039"/>
    <w:rsid w:val="003B5859"/>
    <w:rsid w:val="003B6B41"/>
    <w:rsid w:val="003C3847"/>
    <w:rsid w:val="003C60BD"/>
    <w:rsid w:val="003D0349"/>
    <w:rsid w:val="003D21A7"/>
    <w:rsid w:val="003D73D8"/>
    <w:rsid w:val="003F368E"/>
    <w:rsid w:val="003F5921"/>
    <w:rsid w:val="003F5E8E"/>
    <w:rsid w:val="004009E4"/>
    <w:rsid w:val="00406AAD"/>
    <w:rsid w:val="00412C6F"/>
    <w:rsid w:val="00414C80"/>
    <w:rsid w:val="004155E1"/>
    <w:rsid w:val="00424E6E"/>
    <w:rsid w:val="00425974"/>
    <w:rsid w:val="0042764B"/>
    <w:rsid w:val="0043596B"/>
    <w:rsid w:val="0044769A"/>
    <w:rsid w:val="00450538"/>
    <w:rsid w:val="00451682"/>
    <w:rsid w:val="00452268"/>
    <w:rsid w:val="00454252"/>
    <w:rsid w:val="00456179"/>
    <w:rsid w:val="00467163"/>
    <w:rsid w:val="004701C1"/>
    <w:rsid w:val="0047504D"/>
    <w:rsid w:val="004811AD"/>
    <w:rsid w:val="004A624D"/>
    <w:rsid w:val="004B1A4C"/>
    <w:rsid w:val="004C3BA7"/>
    <w:rsid w:val="004C4A74"/>
    <w:rsid w:val="004D1355"/>
    <w:rsid w:val="004E3A1B"/>
    <w:rsid w:val="004E4661"/>
    <w:rsid w:val="004F03D2"/>
    <w:rsid w:val="00510909"/>
    <w:rsid w:val="00511CB3"/>
    <w:rsid w:val="00514B9A"/>
    <w:rsid w:val="00520CE0"/>
    <w:rsid w:val="00531857"/>
    <w:rsid w:val="00535B56"/>
    <w:rsid w:val="00536A65"/>
    <w:rsid w:val="00541637"/>
    <w:rsid w:val="005534F6"/>
    <w:rsid w:val="00556066"/>
    <w:rsid w:val="0055780B"/>
    <w:rsid w:val="005635B3"/>
    <w:rsid w:val="0057119A"/>
    <w:rsid w:val="00581FD2"/>
    <w:rsid w:val="005A1B9A"/>
    <w:rsid w:val="005A4DC5"/>
    <w:rsid w:val="005B2955"/>
    <w:rsid w:val="005B3C01"/>
    <w:rsid w:val="005B62CF"/>
    <w:rsid w:val="005B6FAA"/>
    <w:rsid w:val="005C03BB"/>
    <w:rsid w:val="005D3F42"/>
    <w:rsid w:val="005D4243"/>
    <w:rsid w:val="005E49B8"/>
    <w:rsid w:val="005E5AC4"/>
    <w:rsid w:val="005F3348"/>
    <w:rsid w:val="005F3798"/>
    <w:rsid w:val="005F4B12"/>
    <w:rsid w:val="005F7191"/>
    <w:rsid w:val="0060047D"/>
    <w:rsid w:val="006014DB"/>
    <w:rsid w:val="00606400"/>
    <w:rsid w:val="00613C05"/>
    <w:rsid w:val="00615F2E"/>
    <w:rsid w:val="00621F02"/>
    <w:rsid w:val="00625C1B"/>
    <w:rsid w:val="00631C81"/>
    <w:rsid w:val="00635119"/>
    <w:rsid w:val="00636A0C"/>
    <w:rsid w:val="006507A1"/>
    <w:rsid w:val="00655A17"/>
    <w:rsid w:val="00664FF6"/>
    <w:rsid w:val="00673146"/>
    <w:rsid w:val="00677A0B"/>
    <w:rsid w:val="006A28E1"/>
    <w:rsid w:val="006A4D4E"/>
    <w:rsid w:val="006A5771"/>
    <w:rsid w:val="006D1C5E"/>
    <w:rsid w:val="006D33D4"/>
    <w:rsid w:val="006D4FEA"/>
    <w:rsid w:val="0070072D"/>
    <w:rsid w:val="00703573"/>
    <w:rsid w:val="007068AC"/>
    <w:rsid w:val="007109B1"/>
    <w:rsid w:val="007153F2"/>
    <w:rsid w:val="007162E8"/>
    <w:rsid w:val="00717446"/>
    <w:rsid w:val="00723075"/>
    <w:rsid w:val="00733B1F"/>
    <w:rsid w:val="00740681"/>
    <w:rsid w:val="0074285C"/>
    <w:rsid w:val="00744D19"/>
    <w:rsid w:val="00747A7E"/>
    <w:rsid w:val="00747D2F"/>
    <w:rsid w:val="00765D1A"/>
    <w:rsid w:val="007700A7"/>
    <w:rsid w:val="007721F3"/>
    <w:rsid w:val="0078134D"/>
    <w:rsid w:val="00786C89"/>
    <w:rsid w:val="007A34E6"/>
    <w:rsid w:val="007B0CF3"/>
    <w:rsid w:val="007B3A8E"/>
    <w:rsid w:val="007B6DC4"/>
    <w:rsid w:val="007C1ECB"/>
    <w:rsid w:val="007C4283"/>
    <w:rsid w:val="007D4F9F"/>
    <w:rsid w:val="007E4359"/>
    <w:rsid w:val="007F5972"/>
    <w:rsid w:val="007F667F"/>
    <w:rsid w:val="00800121"/>
    <w:rsid w:val="0080612B"/>
    <w:rsid w:val="00813237"/>
    <w:rsid w:val="00817050"/>
    <w:rsid w:val="00817DA0"/>
    <w:rsid w:val="00825DA9"/>
    <w:rsid w:val="00826103"/>
    <w:rsid w:val="00826FD3"/>
    <w:rsid w:val="00834AE9"/>
    <w:rsid w:val="008450C0"/>
    <w:rsid w:val="00861E61"/>
    <w:rsid w:val="00864C23"/>
    <w:rsid w:val="00867AFA"/>
    <w:rsid w:val="00872C66"/>
    <w:rsid w:val="00872CF7"/>
    <w:rsid w:val="00873F74"/>
    <w:rsid w:val="0087602D"/>
    <w:rsid w:val="00880DFE"/>
    <w:rsid w:val="00884124"/>
    <w:rsid w:val="008855AB"/>
    <w:rsid w:val="00887F65"/>
    <w:rsid w:val="00890C9B"/>
    <w:rsid w:val="00892655"/>
    <w:rsid w:val="00897D39"/>
    <w:rsid w:val="008A30B9"/>
    <w:rsid w:val="008B2106"/>
    <w:rsid w:val="008B593F"/>
    <w:rsid w:val="008B5FE1"/>
    <w:rsid w:val="008C080D"/>
    <w:rsid w:val="008C525E"/>
    <w:rsid w:val="008C580E"/>
    <w:rsid w:val="008D7DC0"/>
    <w:rsid w:val="008E567E"/>
    <w:rsid w:val="008F0B8B"/>
    <w:rsid w:val="008F22EF"/>
    <w:rsid w:val="008F290A"/>
    <w:rsid w:val="00914E7C"/>
    <w:rsid w:val="00923632"/>
    <w:rsid w:val="009274EF"/>
    <w:rsid w:val="009374DF"/>
    <w:rsid w:val="00937A85"/>
    <w:rsid w:val="0094128C"/>
    <w:rsid w:val="00943F10"/>
    <w:rsid w:val="009557BE"/>
    <w:rsid w:val="0096678E"/>
    <w:rsid w:val="009746A1"/>
    <w:rsid w:val="00983636"/>
    <w:rsid w:val="009855BA"/>
    <w:rsid w:val="00990E29"/>
    <w:rsid w:val="009943E2"/>
    <w:rsid w:val="009943E4"/>
    <w:rsid w:val="00994C16"/>
    <w:rsid w:val="009A237A"/>
    <w:rsid w:val="009A49A7"/>
    <w:rsid w:val="009A6E77"/>
    <w:rsid w:val="009A7ADA"/>
    <w:rsid w:val="009B3837"/>
    <w:rsid w:val="009B633D"/>
    <w:rsid w:val="009C0365"/>
    <w:rsid w:val="009C1592"/>
    <w:rsid w:val="009C30CB"/>
    <w:rsid w:val="009C33F9"/>
    <w:rsid w:val="009C4881"/>
    <w:rsid w:val="009D29F1"/>
    <w:rsid w:val="009D3DBB"/>
    <w:rsid w:val="009E4801"/>
    <w:rsid w:val="009F31C1"/>
    <w:rsid w:val="009F33DF"/>
    <w:rsid w:val="009F597D"/>
    <w:rsid w:val="00A01B44"/>
    <w:rsid w:val="00A0375D"/>
    <w:rsid w:val="00A13D8D"/>
    <w:rsid w:val="00A15D49"/>
    <w:rsid w:val="00A17E10"/>
    <w:rsid w:val="00A30D9A"/>
    <w:rsid w:val="00A32B83"/>
    <w:rsid w:val="00A32EA1"/>
    <w:rsid w:val="00A32F25"/>
    <w:rsid w:val="00A352C2"/>
    <w:rsid w:val="00A4694A"/>
    <w:rsid w:val="00A535F2"/>
    <w:rsid w:val="00A57A41"/>
    <w:rsid w:val="00A745AE"/>
    <w:rsid w:val="00A835E4"/>
    <w:rsid w:val="00A83FA6"/>
    <w:rsid w:val="00A84C4E"/>
    <w:rsid w:val="00A905D8"/>
    <w:rsid w:val="00A94219"/>
    <w:rsid w:val="00A95A50"/>
    <w:rsid w:val="00AA1DDC"/>
    <w:rsid w:val="00AA3256"/>
    <w:rsid w:val="00AA3F0B"/>
    <w:rsid w:val="00AA788A"/>
    <w:rsid w:val="00AA7CF5"/>
    <w:rsid w:val="00AC329E"/>
    <w:rsid w:val="00AD615A"/>
    <w:rsid w:val="00AD6516"/>
    <w:rsid w:val="00AE4702"/>
    <w:rsid w:val="00AE594A"/>
    <w:rsid w:val="00AF2933"/>
    <w:rsid w:val="00AF6C3F"/>
    <w:rsid w:val="00B15BDD"/>
    <w:rsid w:val="00B238AD"/>
    <w:rsid w:val="00B257FE"/>
    <w:rsid w:val="00B42241"/>
    <w:rsid w:val="00B52533"/>
    <w:rsid w:val="00B645ED"/>
    <w:rsid w:val="00B705DB"/>
    <w:rsid w:val="00B720EC"/>
    <w:rsid w:val="00B762E0"/>
    <w:rsid w:val="00B825D0"/>
    <w:rsid w:val="00B83929"/>
    <w:rsid w:val="00B915F1"/>
    <w:rsid w:val="00BA043B"/>
    <w:rsid w:val="00BA7ED4"/>
    <w:rsid w:val="00BB07C3"/>
    <w:rsid w:val="00BB1029"/>
    <w:rsid w:val="00BB1C2F"/>
    <w:rsid w:val="00BB2479"/>
    <w:rsid w:val="00BB7136"/>
    <w:rsid w:val="00BD357C"/>
    <w:rsid w:val="00BD3C1B"/>
    <w:rsid w:val="00BE01ED"/>
    <w:rsid w:val="00BE0430"/>
    <w:rsid w:val="00BF735E"/>
    <w:rsid w:val="00C0644C"/>
    <w:rsid w:val="00C16652"/>
    <w:rsid w:val="00C205C8"/>
    <w:rsid w:val="00C22AC4"/>
    <w:rsid w:val="00C35162"/>
    <w:rsid w:val="00C4006D"/>
    <w:rsid w:val="00C536F6"/>
    <w:rsid w:val="00C5590C"/>
    <w:rsid w:val="00C65AF8"/>
    <w:rsid w:val="00C73F08"/>
    <w:rsid w:val="00C77433"/>
    <w:rsid w:val="00C84911"/>
    <w:rsid w:val="00C929D4"/>
    <w:rsid w:val="00C933ED"/>
    <w:rsid w:val="00C95998"/>
    <w:rsid w:val="00CA136B"/>
    <w:rsid w:val="00CA3E90"/>
    <w:rsid w:val="00CA7470"/>
    <w:rsid w:val="00CB177A"/>
    <w:rsid w:val="00CB30E9"/>
    <w:rsid w:val="00CD3282"/>
    <w:rsid w:val="00CD647A"/>
    <w:rsid w:val="00CD730A"/>
    <w:rsid w:val="00CE7AAF"/>
    <w:rsid w:val="00CF1EAB"/>
    <w:rsid w:val="00CF3861"/>
    <w:rsid w:val="00D0660C"/>
    <w:rsid w:val="00D10532"/>
    <w:rsid w:val="00D1501D"/>
    <w:rsid w:val="00D150A9"/>
    <w:rsid w:val="00D2457E"/>
    <w:rsid w:val="00D2521F"/>
    <w:rsid w:val="00D25C6D"/>
    <w:rsid w:val="00D268A4"/>
    <w:rsid w:val="00D27D52"/>
    <w:rsid w:val="00D43B85"/>
    <w:rsid w:val="00D52188"/>
    <w:rsid w:val="00D543D5"/>
    <w:rsid w:val="00D577CE"/>
    <w:rsid w:val="00D66E74"/>
    <w:rsid w:val="00D74D81"/>
    <w:rsid w:val="00DA097F"/>
    <w:rsid w:val="00DA6194"/>
    <w:rsid w:val="00DA73A3"/>
    <w:rsid w:val="00DB3948"/>
    <w:rsid w:val="00DB49A0"/>
    <w:rsid w:val="00DB55E6"/>
    <w:rsid w:val="00DB7ACF"/>
    <w:rsid w:val="00DC1313"/>
    <w:rsid w:val="00DD6F24"/>
    <w:rsid w:val="00DE23AB"/>
    <w:rsid w:val="00DE2726"/>
    <w:rsid w:val="00DF4F3C"/>
    <w:rsid w:val="00E14FC3"/>
    <w:rsid w:val="00E24C3F"/>
    <w:rsid w:val="00E2592B"/>
    <w:rsid w:val="00E31CB6"/>
    <w:rsid w:val="00E329EE"/>
    <w:rsid w:val="00E4460B"/>
    <w:rsid w:val="00E47851"/>
    <w:rsid w:val="00E52235"/>
    <w:rsid w:val="00E544DF"/>
    <w:rsid w:val="00E55833"/>
    <w:rsid w:val="00E706B3"/>
    <w:rsid w:val="00E7422B"/>
    <w:rsid w:val="00E748B0"/>
    <w:rsid w:val="00E778EB"/>
    <w:rsid w:val="00E97584"/>
    <w:rsid w:val="00EB58F3"/>
    <w:rsid w:val="00EC3332"/>
    <w:rsid w:val="00ED0EBB"/>
    <w:rsid w:val="00EE20EA"/>
    <w:rsid w:val="00EE4455"/>
    <w:rsid w:val="00EF6C84"/>
    <w:rsid w:val="00F04055"/>
    <w:rsid w:val="00F079B9"/>
    <w:rsid w:val="00F10900"/>
    <w:rsid w:val="00F122B9"/>
    <w:rsid w:val="00F21CD9"/>
    <w:rsid w:val="00F2682C"/>
    <w:rsid w:val="00F3207F"/>
    <w:rsid w:val="00F3541A"/>
    <w:rsid w:val="00F46275"/>
    <w:rsid w:val="00F5665F"/>
    <w:rsid w:val="00F60488"/>
    <w:rsid w:val="00F631B6"/>
    <w:rsid w:val="00F63BC0"/>
    <w:rsid w:val="00F640FB"/>
    <w:rsid w:val="00F719B8"/>
    <w:rsid w:val="00F7577F"/>
    <w:rsid w:val="00F75A80"/>
    <w:rsid w:val="00F778D0"/>
    <w:rsid w:val="00F94B00"/>
    <w:rsid w:val="00FA03AD"/>
    <w:rsid w:val="00FA2E89"/>
    <w:rsid w:val="00FA504C"/>
    <w:rsid w:val="00FA7E98"/>
    <w:rsid w:val="00FB6500"/>
    <w:rsid w:val="00FC430C"/>
    <w:rsid w:val="00FC7332"/>
    <w:rsid w:val="00FD42D7"/>
    <w:rsid w:val="00FE06CC"/>
    <w:rsid w:val="00FF2D33"/>
    <w:rsid w:val="00FF6891"/>
    <w:rsid w:val="00FF703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5E6"/>
    <w:rPr>
      <w:sz w:val="24"/>
      <w:szCs w:val="24"/>
    </w:rPr>
  </w:style>
  <w:style w:type="paragraph" w:styleId="Heading1">
    <w:name w:val="heading 1"/>
    <w:basedOn w:val="Normal"/>
    <w:next w:val="Normal"/>
    <w:link w:val="Heading1Char"/>
    <w:uiPriority w:val="99"/>
    <w:qFormat/>
    <w:rsid w:val="00DB55E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DB55E6"/>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B55E6"/>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DB55E6"/>
    <w:pPr>
      <w:keepNext/>
      <w:spacing w:before="240" w:after="60"/>
      <w:outlineLvl w:val="3"/>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4801"/>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9E4801"/>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9E4801"/>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9E4801"/>
    <w:rPr>
      <w:rFonts w:ascii="Calibri" w:hAnsi="Calibri" w:cs="Calibri"/>
      <w:b/>
      <w:bCs/>
      <w:sz w:val="28"/>
      <w:szCs w:val="28"/>
    </w:rPr>
  </w:style>
  <w:style w:type="paragraph" w:styleId="BalloonText">
    <w:name w:val="Balloon Text"/>
    <w:basedOn w:val="Normal"/>
    <w:link w:val="BalloonTextChar"/>
    <w:uiPriority w:val="99"/>
    <w:semiHidden/>
    <w:rsid w:val="00DB55E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4801"/>
    <w:rPr>
      <w:rFonts w:cs="Times New Roman"/>
      <w:sz w:val="2"/>
      <w:szCs w:val="2"/>
    </w:rPr>
  </w:style>
  <w:style w:type="paragraph" w:styleId="FootnoteText">
    <w:name w:val="footnote text"/>
    <w:basedOn w:val="Normal"/>
    <w:link w:val="FootnoteTextChar"/>
    <w:uiPriority w:val="99"/>
    <w:semiHidden/>
    <w:rsid w:val="00873F74"/>
    <w:rPr>
      <w:sz w:val="20"/>
      <w:szCs w:val="20"/>
    </w:rPr>
  </w:style>
  <w:style w:type="character" w:customStyle="1" w:styleId="FootnoteTextChar">
    <w:name w:val="Footnote Text Char"/>
    <w:basedOn w:val="DefaultParagraphFont"/>
    <w:link w:val="FootnoteText"/>
    <w:uiPriority w:val="99"/>
    <w:semiHidden/>
    <w:locked/>
    <w:rsid w:val="009E4801"/>
    <w:rPr>
      <w:rFonts w:cs="Times New Roman"/>
      <w:sz w:val="20"/>
      <w:szCs w:val="20"/>
    </w:rPr>
  </w:style>
  <w:style w:type="character" w:styleId="FootnoteReference">
    <w:name w:val="footnote reference"/>
    <w:basedOn w:val="DefaultParagraphFont"/>
    <w:uiPriority w:val="99"/>
    <w:semiHidden/>
    <w:rsid w:val="00873F74"/>
    <w:rPr>
      <w:rFonts w:cs="Times New Roman"/>
      <w:vertAlign w:val="superscript"/>
    </w:rPr>
  </w:style>
  <w:style w:type="paragraph" w:customStyle="1" w:styleId="LefttoRight">
    <w:name w:val="Left to Right"/>
    <w:basedOn w:val="Normal"/>
    <w:link w:val="LefttoRightChar"/>
    <w:uiPriority w:val="99"/>
    <w:rsid w:val="00873F74"/>
    <w:pPr>
      <w:jc w:val="lowKashida"/>
    </w:pPr>
  </w:style>
  <w:style w:type="character" w:customStyle="1" w:styleId="LefttoRightChar">
    <w:name w:val="Left to Right Char"/>
    <w:basedOn w:val="DefaultParagraphFont"/>
    <w:link w:val="LefttoRight"/>
    <w:uiPriority w:val="99"/>
    <w:locked/>
    <w:rsid w:val="00873F74"/>
    <w:rPr>
      <w:rFonts w:cs="Times New Roman"/>
      <w:sz w:val="24"/>
      <w:szCs w:val="24"/>
      <w:lang w:val="en-US" w:eastAsia="en-US"/>
    </w:rPr>
  </w:style>
  <w:style w:type="table" w:styleId="TableGrid">
    <w:name w:val="Table Grid"/>
    <w:basedOn w:val="TableNormal"/>
    <w:uiPriority w:val="99"/>
    <w:rsid w:val="00873F7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Normal"/>
    <w:uiPriority w:val="99"/>
    <w:rsid w:val="00873F74"/>
    <w:pPr>
      <w:pBdr>
        <w:bottom w:val="single" w:sz="4" w:space="1" w:color="auto"/>
      </w:pBdr>
      <w:spacing w:before="120" w:after="120"/>
      <w:jc w:val="both"/>
    </w:pPr>
    <w:rPr>
      <w:b/>
      <w:bCs/>
      <w:smallCaps/>
    </w:rPr>
  </w:style>
  <w:style w:type="paragraph" w:customStyle="1" w:styleId="BulletLevel1">
    <w:name w:val="Bullet Level 1"/>
    <w:basedOn w:val="Normal"/>
    <w:uiPriority w:val="99"/>
    <w:rsid w:val="00DB55E6"/>
    <w:pPr>
      <w:numPr>
        <w:numId w:val="6"/>
      </w:numPr>
      <w:spacing w:before="120" w:after="120"/>
      <w:jc w:val="both"/>
    </w:pPr>
  </w:style>
  <w:style w:type="paragraph" w:styleId="Header">
    <w:name w:val="header"/>
    <w:basedOn w:val="Normal"/>
    <w:link w:val="HeaderChar"/>
    <w:uiPriority w:val="99"/>
    <w:rsid w:val="00DB55E6"/>
    <w:pPr>
      <w:tabs>
        <w:tab w:val="center" w:pos="4320"/>
        <w:tab w:val="right" w:pos="8640"/>
      </w:tabs>
      <w:spacing w:before="120" w:after="120"/>
      <w:jc w:val="both"/>
    </w:pPr>
  </w:style>
  <w:style w:type="character" w:customStyle="1" w:styleId="HeaderChar">
    <w:name w:val="Header Char"/>
    <w:basedOn w:val="DefaultParagraphFont"/>
    <w:link w:val="Header"/>
    <w:uiPriority w:val="99"/>
    <w:semiHidden/>
    <w:locked/>
    <w:rsid w:val="009E4801"/>
    <w:rPr>
      <w:rFonts w:cs="Times New Roman"/>
      <w:sz w:val="24"/>
      <w:szCs w:val="24"/>
    </w:rPr>
  </w:style>
  <w:style w:type="paragraph" w:styleId="TOC1">
    <w:name w:val="toc 1"/>
    <w:basedOn w:val="Normal"/>
    <w:next w:val="Normal"/>
    <w:autoRedefine/>
    <w:uiPriority w:val="99"/>
    <w:semiHidden/>
    <w:rsid w:val="00DB55E6"/>
  </w:style>
  <w:style w:type="paragraph" w:styleId="TOC2">
    <w:name w:val="toc 2"/>
    <w:basedOn w:val="Normal"/>
    <w:next w:val="Normal"/>
    <w:autoRedefine/>
    <w:uiPriority w:val="99"/>
    <w:semiHidden/>
    <w:rsid w:val="00DB55E6"/>
    <w:pPr>
      <w:ind w:left="240"/>
    </w:pPr>
  </w:style>
  <w:style w:type="paragraph" w:styleId="TOC3">
    <w:name w:val="toc 3"/>
    <w:basedOn w:val="Normal"/>
    <w:next w:val="Normal"/>
    <w:autoRedefine/>
    <w:uiPriority w:val="99"/>
    <w:semiHidden/>
    <w:rsid w:val="00DB55E6"/>
    <w:pPr>
      <w:ind w:left="480"/>
    </w:pPr>
  </w:style>
  <w:style w:type="character" w:styleId="Hyperlink">
    <w:name w:val="Hyperlink"/>
    <w:basedOn w:val="DefaultParagraphFont"/>
    <w:uiPriority w:val="99"/>
    <w:rsid w:val="00DB55E6"/>
    <w:rPr>
      <w:rFonts w:cs="Times New Roman"/>
      <w:color w:val="0000FF"/>
      <w:u w:val="single"/>
    </w:rPr>
  </w:style>
  <w:style w:type="paragraph" w:styleId="Footer">
    <w:name w:val="footer"/>
    <w:basedOn w:val="Normal"/>
    <w:link w:val="FooterChar"/>
    <w:uiPriority w:val="99"/>
    <w:rsid w:val="00DB55E6"/>
    <w:pPr>
      <w:tabs>
        <w:tab w:val="center" w:pos="4320"/>
        <w:tab w:val="right" w:pos="8640"/>
      </w:tabs>
    </w:pPr>
  </w:style>
  <w:style w:type="character" w:customStyle="1" w:styleId="FooterChar">
    <w:name w:val="Footer Char"/>
    <w:basedOn w:val="DefaultParagraphFont"/>
    <w:link w:val="Footer"/>
    <w:uiPriority w:val="99"/>
    <w:semiHidden/>
    <w:locked/>
    <w:rsid w:val="009E4801"/>
    <w:rPr>
      <w:rFonts w:cs="Times New Roman"/>
      <w:sz w:val="24"/>
      <w:szCs w:val="24"/>
    </w:rPr>
  </w:style>
  <w:style w:type="character" w:styleId="PageNumber">
    <w:name w:val="page number"/>
    <w:basedOn w:val="DefaultParagraphFont"/>
    <w:uiPriority w:val="99"/>
    <w:rsid w:val="00DB55E6"/>
    <w:rPr>
      <w:rFonts w:cs="Times New Roman"/>
    </w:rPr>
  </w:style>
  <w:style w:type="table" w:styleId="TableList3">
    <w:name w:val="Table List 3"/>
    <w:basedOn w:val="TableNormal"/>
    <w:uiPriority w:val="99"/>
    <w:rsid w:val="00DB55E6"/>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DB55E6"/>
    <w:rPr>
      <w:rFonts w:cs="Times New Roman"/>
      <w:sz w:val="16"/>
      <w:szCs w:val="16"/>
    </w:rPr>
  </w:style>
  <w:style w:type="paragraph" w:styleId="CommentText">
    <w:name w:val="annotation text"/>
    <w:basedOn w:val="Normal"/>
    <w:link w:val="CommentTextChar"/>
    <w:uiPriority w:val="99"/>
    <w:semiHidden/>
    <w:rsid w:val="00DB55E6"/>
    <w:rPr>
      <w:sz w:val="20"/>
      <w:szCs w:val="20"/>
    </w:rPr>
  </w:style>
  <w:style w:type="character" w:customStyle="1" w:styleId="CommentTextChar">
    <w:name w:val="Comment Text Char"/>
    <w:basedOn w:val="DefaultParagraphFont"/>
    <w:link w:val="CommentText"/>
    <w:uiPriority w:val="99"/>
    <w:semiHidden/>
    <w:locked/>
    <w:rsid w:val="009E4801"/>
    <w:rPr>
      <w:rFonts w:cs="Times New Roman"/>
      <w:sz w:val="20"/>
      <w:szCs w:val="20"/>
    </w:rPr>
  </w:style>
  <w:style w:type="paragraph" w:styleId="CommentSubject">
    <w:name w:val="annotation subject"/>
    <w:basedOn w:val="CommentText"/>
    <w:next w:val="CommentText"/>
    <w:link w:val="CommentSubjectChar"/>
    <w:uiPriority w:val="99"/>
    <w:semiHidden/>
    <w:rsid w:val="00DB55E6"/>
    <w:rPr>
      <w:b/>
      <w:bCs/>
    </w:rPr>
  </w:style>
  <w:style w:type="character" w:customStyle="1" w:styleId="CommentSubjectChar">
    <w:name w:val="Comment Subject Char"/>
    <w:basedOn w:val="CommentTextChar"/>
    <w:link w:val="CommentSubject"/>
    <w:uiPriority w:val="99"/>
    <w:semiHidden/>
    <w:locked/>
    <w:rsid w:val="009E4801"/>
    <w:rPr>
      <w:b/>
      <w:bCs/>
    </w:rPr>
  </w:style>
  <w:style w:type="paragraph" w:customStyle="1" w:styleId="TableSmallBullets">
    <w:name w:val="Table Small Bullets"/>
    <w:basedOn w:val="Normal"/>
    <w:uiPriority w:val="99"/>
    <w:rsid w:val="00DB55E6"/>
    <w:pPr>
      <w:numPr>
        <w:numId w:val="15"/>
      </w:numPr>
      <w:tabs>
        <w:tab w:val="left" w:pos="144"/>
      </w:tabs>
      <w:ind w:left="144" w:hanging="144"/>
    </w:pPr>
    <w:rPr>
      <w:rFonts w:ascii="Futura MdCn BT" w:hAnsi="Futura MdCn BT" w:cs="Futura MdCn BT"/>
      <w:sz w:val="20"/>
      <w:szCs w:val="20"/>
    </w:rPr>
  </w:style>
  <w:style w:type="paragraph" w:styleId="BodyTextIndent2">
    <w:name w:val="Body Text Indent 2"/>
    <w:basedOn w:val="Normal"/>
    <w:link w:val="BodyTextIndent2Char"/>
    <w:uiPriority w:val="99"/>
    <w:rsid w:val="00DB55E6"/>
    <w:pPr>
      <w:widowControl w:val="0"/>
      <w:tabs>
        <w:tab w:val="num" w:pos="780"/>
      </w:tabs>
      <w:autoSpaceDE w:val="0"/>
      <w:autoSpaceDN w:val="0"/>
      <w:adjustRightInd w:val="0"/>
      <w:ind w:left="7"/>
      <w:jc w:val="both"/>
    </w:pPr>
  </w:style>
  <w:style w:type="character" w:customStyle="1" w:styleId="BodyTextIndent2Char">
    <w:name w:val="Body Text Indent 2 Char"/>
    <w:basedOn w:val="DefaultParagraphFont"/>
    <w:link w:val="BodyTextIndent2"/>
    <w:uiPriority w:val="99"/>
    <w:semiHidden/>
    <w:locked/>
    <w:rsid w:val="009E4801"/>
    <w:rPr>
      <w:rFonts w:cs="Times New Roman"/>
      <w:sz w:val="24"/>
      <w:szCs w:val="24"/>
    </w:rPr>
  </w:style>
  <w:style w:type="character" w:styleId="Emphasis">
    <w:name w:val="Emphasis"/>
    <w:basedOn w:val="DefaultParagraphFont"/>
    <w:uiPriority w:val="99"/>
    <w:qFormat/>
    <w:rsid w:val="00DB55E6"/>
    <w:rPr>
      <w:rFonts w:cs="Times New Roman"/>
      <w:i/>
      <w:iCs/>
    </w:rPr>
  </w:style>
  <w:style w:type="paragraph" w:customStyle="1" w:styleId="Heading4t">
    <w:name w:val="Heading 4t"/>
    <w:basedOn w:val="Heading3"/>
    <w:uiPriority w:val="99"/>
    <w:rsid w:val="00DB55E6"/>
    <w:rPr>
      <w:sz w:val="24"/>
      <w:szCs w:val="24"/>
    </w:rPr>
  </w:style>
  <w:style w:type="paragraph" w:styleId="EndnoteText">
    <w:name w:val="endnote text"/>
    <w:basedOn w:val="Normal"/>
    <w:link w:val="EndnoteTextChar"/>
    <w:uiPriority w:val="99"/>
    <w:semiHidden/>
    <w:rsid w:val="00DB55E6"/>
    <w:rPr>
      <w:sz w:val="20"/>
      <w:szCs w:val="20"/>
    </w:rPr>
  </w:style>
  <w:style w:type="character" w:customStyle="1" w:styleId="EndnoteTextChar">
    <w:name w:val="Endnote Text Char"/>
    <w:basedOn w:val="DefaultParagraphFont"/>
    <w:link w:val="EndnoteText"/>
    <w:uiPriority w:val="99"/>
    <w:semiHidden/>
    <w:locked/>
    <w:rsid w:val="009E4801"/>
    <w:rPr>
      <w:rFonts w:cs="Times New Roman"/>
      <w:sz w:val="20"/>
      <w:szCs w:val="20"/>
    </w:rPr>
  </w:style>
  <w:style w:type="character" w:styleId="EndnoteReference">
    <w:name w:val="endnote reference"/>
    <w:basedOn w:val="DefaultParagraphFont"/>
    <w:uiPriority w:val="99"/>
    <w:semiHidden/>
    <w:rsid w:val="00DB55E6"/>
    <w:rPr>
      <w:rFonts w:cs="Times New Roman"/>
      <w:vertAlign w:val="superscript"/>
    </w:rPr>
  </w:style>
  <w:style w:type="character" w:styleId="FollowedHyperlink">
    <w:name w:val="FollowedHyperlink"/>
    <w:basedOn w:val="DefaultParagraphFont"/>
    <w:uiPriority w:val="99"/>
    <w:rsid w:val="00BF735E"/>
    <w:rPr>
      <w:rFonts w:cs="Times New Roman"/>
      <w:color w:val="800080"/>
      <w:u w:val="single"/>
    </w:rPr>
  </w:style>
  <w:style w:type="character" w:customStyle="1" w:styleId="QuickFormat9">
    <w:name w:val="QuickFormat9"/>
    <w:uiPriority w:val="99"/>
    <w:rsid w:val="003F5921"/>
    <w:rPr>
      <w:b/>
      <w:i/>
      <w:color w:val="000000"/>
      <w:sz w:val="24"/>
    </w:rPr>
  </w:style>
  <w:style w:type="character" w:styleId="Strong">
    <w:name w:val="Strong"/>
    <w:basedOn w:val="DefaultParagraphFont"/>
    <w:uiPriority w:val="99"/>
    <w:qFormat/>
    <w:rsid w:val="007D4F9F"/>
    <w:rPr>
      <w:rFonts w:cs="Times New Roman"/>
      <w:b/>
      <w:bCs/>
    </w:rPr>
  </w:style>
  <w:style w:type="paragraph" w:styleId="NormalWeb">
    <w:name w:val="Normal (Web)"/>
    <w:basedOn w:val="Normal"/>
    <w:uiPriority w:val="99"/>
    <w:rsid w:val="00450538"/>
    <w:pPr>
      <w:spacing w:before="100" w:beforeAutospacing="1" w:after="100" w:afterAutospacing="1"/>
    </w:pPr>
  </w:style>
  <w:style w:type="paragraph" w:styleId="Revision">
    <w:name w:val="Revision"/>
    <w:hidden/>
    <w:uiPriority w:val="99"/>
    <w:semiHidden/>
    <w:rsid w:val="00172AAB"/>
    <w:rPr>
      <w:sz w:val="24"/>
      <w:szCs w:val="24"/>
    </w:rPr>
  </w:style>
</w:styles>
</file>

<file path=word/webSettings.xml><?xml version="1.0" encoding="utf-8"?>
<w:webSettings xmlns:r="http://schemas.openxmlformats.org/officeDocument/2006/relationships" xmlns:w="http://schemas.openxmlformats.org/wordprocessingml/2006/main">
  <w:divs>
    <w:div w:id="358941278">
      <w:marLeft w:val="0"/>
      <w:marRight w:val="0"/>
      <w:marTop w:val="0"/>
      <w:marBottom w:val="0"/>
      <w:divBdr>
        <w:top w:val="none" w:sz="0" w:space="0" w:color="auto"/>
        <w:left w:val="none" w:sz="0" w:space="0" w:color="auto"/>
        <w:bottom w:val="none" w:sz="0" w:space="0" w:color="auto"/>
        <w:right w:val="none" w:sz="0" w:space="0" w:color="auto"/>
      </w:divBdr>
      <w:divsChild>
        <w:div w:id="358941279">
          <w:marLeft w:val="0"/>
          <w:marRight w:val="0"/>
          <w:marTop w:val="0"/>
          <w:marBottom w:val="0"/>
          <w:divBdr>
            <w:top w:val="none" w:sz="0" w:space="0" w:color="auto"/>
            <w:left w:val="none" w:sz="0" w:space="0" w:color="auto"/>
            <w:bottom w:val="none" w:sz="0" w:space="0" w:color="auto"/>
            <w:right w:val="none" w:sz="0" w:space="0" w:color="auto"/>
          </w:divBdr>
          <w:divsChild>
            <w:div w:id="358941315">
              <w:marLeft w:val="0"/>
              <w:marRight w:val="0"/>
              <w:marTop w:val="0"/>
              <w:marBottom w:val="0"/>
              <w:divBdr>
                <w:top w:val="none" w:sz="0" w:space="0" w:color="auto"/>
                <w:left w:val="none" w:sz="0" w:space="0" w:color="auto"/>
                <w:bottom w:val="none" w:sz="0" w:space="0" w:color="auto"/>
                <w:right w:val="none" w:sz="0" w:space="0" w:color="auto"/>
              </w:divBdr>
              <w:divsChild>
                <w:div w:id="358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0">
      <w:marLeft w:val="0"/>
      <w:marRight w:val="0"/>
      <w:marTop w:val="0"/>
      <w:marBottom w:val="0"/>
      <w:divBdr>
        <w:top w:val="none" w:sz="0" w:space="0" w:color="auto"/>
        <w:left w:val="none" w:sz="0" w:space="0" w:color="auto"/>
        <w:bottom w:val="none" w:sz="0" w:space="0" w:color="auto"/>
        <w:right w:val="none" w:sz="0" w:space="0" w:color="auto"/>
      </w:divBdr>
    </w:div>
    <w:div w:id="358941281">
      <w:marLeft w:val="0"/>
      <w:marRight w:val="0"/>
      <w:marTop w:val="0"/>
      <w:marBottom w:val="0"/>
      <w:divBdr>
        <w:top w:val="none" w:sz="0" w:space="0" w:color="auto"/>
        <w:left w:val="none" w:sz="0" w:space="0" w:color="auto"/>
        <w:bottom w:val="none" w:sz="0" w:space="0" w:color="auto"/>
        <w:right w:val="none" w:sz="0" w:space="0" w:color="auto"/>
      </w:divBdr>
    </w:div>
    <w:div w:id="358941286">
      <w:marLeft w:val="0"/>
      <w:marRight w:val="0"/>
      <w:marTop w:val="0"/>
      <w:marBottom w:val="0"/>
      <w:divBdr>
        <w:top w:val="none" w:sz="0" w:space="0" w:color="auto"/>
        <w:left w:val="none" w:sz="0" w:space="0" w:color="auto"/>
        <w:bottom w:val="none" w:sz="0" w:space="0" w:color="auto"/>
        <w:right w:val="none" w:sz="0" w:space="0" w:color="auto"/>
      </w:divBdr>
    </w:div>
    <w:div w:id="358941287">
      <w:marLeft w:val="0"/>
      <w:marRight w:val="0"/>
      <w:marTop w:val="0"/>
      <w:marBottom w:val="0"/>
      <w:divBdr>
        <w:top w:val="none" w:sz="0" w:space="0" w:color="auto"/>
        <w:left w:val="none" w:sz="0" w:space="0" w:color="auto"/>
        <w:bottom w:val="none" w:sz="0" w:space="0" w:color="auto"/>
        <w:right w:val="none" w:sz="0" w:space="0" w:color="auto"/>
      </w:divBdr>
      <w:divsChild>
        <w:div w:id="358941298">
          <w:marLeft w:val="0"/>
          <w:marRight w:val="0"/>
          <w:marTop w:val="0"/>
          <w:marBottom w:val="0"/>
          <w:divBdr>
            <w:top w:val="none" w:sz="0" w:space="0" w:color="auto"/>
            <w:left w:val="none" w:sz="0" w:space="0" w:color="auto"/>
            <w:bottom w:val="none" w:sz="0" w:space="0" w:color="auto"/>
            <w:right w:val="none" w:sz="0" w:space="0" w:color="auto"/>
          </w:divBdr>
          <w:divsChild>
            <w:div w:id="358941301">
              <w:marLeft w:val="0"/>
              <w:marRight w:val="0"/>
              <w:marTop w:val="0"/>
              <w:marBottom w:val="0"/>
              <w:divBdr>
                <w:top w:val="none" w:sz="0" w:space="0" w:color="auto"/>
                <w:left w:val="none" w:sz="0" w:space="0" w:color="auto"/>
                <w:bottom w:val="none" w:sz="0" w:space="0" w:color="auto"/>
                <w:right w:val="none" w:sz="0" w:space="0" w:color="auto"/>
              </w:divBdr>
              <w:divsChild>
                <w:div w:id="358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89">
      <w:marLeft w:val="0"/>
      <w:marRight w:val="0"/>
      <w:marTop w:val="0"/>
      <w:marBottom w:val="0"/>
      <w:divBdr>
        <w:top w:val="none" w:sz="0" w:space="0" w:color="auto"/>
        <w:left w:val="none" w:sz="0" w:space="0" w:color="auto"/>
        <w:bottom w:val="none" w:sz="0" w:space="0" w:color="auto"/>
        <w:right w:val="none" w:sz="0" w:space="0" w:color="auto"/>
      </w:divBdr>
    </w:div>
    <w:div w:id="358941290">
      <w:marLeft w:val="0"/>
      <w:marRight w:val="0"/>
      <w:marTop w:val="0"/>
      <w:marBottom w:val="0"/>
      <w:divBdr>
        <w:top w:val="none" w:sz="0" w:space="0" w:color="auto"/>
        <w:left w:val="none" w:sz="0" w:space="0" w:color="auto"/>
        <w:bottom w:val="none" w:sz="0" w:space="0" w:color="auto"/>
        <w:right w:val="none" w:sz="0" w:space="0" w:color="auto"/>
      </w:divBdr>
    </w:div>
    <w:div w:id="358941291">
      <w:marLeft w:val="0"/>
      <w:marRight w:val="0"/>
      <w:marTop w:val="0"/>
      <w:marBottom w:val="0"/>
      <w:divBdr>
        <w:top w:val="none" w:sz="0" w:space="0" w:color="auto"/>
        <w:left w:val="none" w:sz="0" w:space="0" w:color="auto"/>
        <w:bottom w:val="none" w:sz="0" w:space="0" w:color="auto"/>
        <w:right w:val="none" w:sz="0" w:space="0" w:color="auto"/>
      </w:divBdr>
    </w:div>
    <w:div w:id="358941295">
      <w:marLeft w:val="0"/>
      <w:marRight w:val="0"/>
      <w:marTop w:val="0"/>
      <w:marBottom w:val="0"/>
      <w:divBdr>
        <w:top w:val="none" w:sz="0" w:space="0" w:color="auto"/>
        <w:left w:val="none" w:sz="0" w:space="0" w:color="auto"/>
        <w:bottom w:val="none" w:sz="0" w:space="0" w:color="auto"/>
        <w:right w:val="none" w:sz="0" w:space="0" w:color="auto"/>
      </w:divBdr>
    </w:div>
    <w:div w:id="358941297">
      <w:marLeft w:val="0"/>
      <w:marRight w:val="0"/>
      <w:marTop w:val="0"/>
      <w:marBottom w:val="0"/>
      <w:divBdr>
        <w:top w:val="none" w:sz="0" w:space="0" w:color="auto"/>
        <w:left w:val="none" w:sz="0" w:space="0" w:color="auto"/>
        <w:bottom w:val="none" w:sz="0" w:space="0" w:color="auto"/>
        <w:right w:val="none" w:sz="0" w:space="0" w:color="auto"/>
      </w:divBdr>
      <w:divsChild>
        <w:div w:id="358941311">
          <w:marLeft w:val="0"/>
          <w:marRight w:val="0"/>
          <w:marTop w:val="0"/>
          <w:marBottom w:val="0"/>
          <w:divBdr>
            <w:top w:val="none" w:sz="0" w:space="0" w:color="auto"/>
            <w:left w:val="none" w:sz="0" w:space="0" w:color="auto"/>
            <w:bottom w:val="none" w:sz="0" w:space="0" w:color="auto"/>
            <w:right w:val="none" w:sz="0" w:space="0" w:color="auto"/>
          </w:divBdr>
          <w:divsChild>
            <w:div w:id="358941294">
              <w:marLeft w:val="0"/>
              <w:marRight w:val="0"/>
              <w:marTop w:val="0"/>
              <w:marBottom w:val="0"/>
              <w:divBdr>
                <w:top w:val="none" w:sz="0" w:space="0" w:color="auto"/>
                <w:left w:val="none" w:sz="0" w:space="0" w:color="auto"/>
                <w:bottom w:val="none" w:sz="0" w:space="0" w:color="auto"/>
                <w:right w:val="none" w:sz="0" w:space="0" w:color="auto"/>
              </w:divBdr>
              <w:divsChild>
                <w:div w:id="35894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299">
      <w:marLeft w:val="0"/>
      <w:marRight w:val="0"/>
      <w:marTop w:val="0"/>
      <w:marBottom w:val="0"/>
      <w:divBdr>
        <w:top w:val="none" w:sz="0" w:space="0" w:color="auto"/>
        <w:left w:val="none" w:sz="0" w:space="0" w:color="auto"/>
        <w:bottom w:val="none" w:sz="0" w:space="0" w:color="auto"/>
        <w:right w:val="none" w:sz="0" w:space="0" w:color="auto"/>
      </w:divBdr>
    </w:div>
    <w:div w:id="358941302">
      <w:marLeft w:val="0"/>
      <w:marRight w:val="0"/>
      <w:marTop w:val="0"/>
      <w:marBottom w:val="0"/>
      <w:divBdr>
        <w:top w:val="none" w:sz="0" w:space="0" w:color="auto"/>
        <w:left w:val="none" w:sz="0" w:space="0" w:color="auto"/>
        <w:bottom w:val="none" w:sz="0" w:space="0" w:color="auto"/>
        <w:right w:val="none" w:sz="0" w:space="0" w:color="auto"/>
      </w:divBdr>
    </w:div>
    <w:div w:id="358941303">
      <w:marLeft w:val="0"/>
      <w:marRight w:val="0"/>
      <w:marTop w:val="0"/>
      <w:marBottom w:val="0"/>
      <w:divBdr>
        <w:top w:val="none" w:sz="0" w:space="0" w:color="auto"/>
        <w:left w:val="none" w:sz="0" w:space="0" w:color="auto"/>
        <w:bottom w:val="none" w:sz="0" w:space="0" w:color="auto"/>
        <w:right w:val="none" w:sz="0" w:space="0" w:color="auto"/>
      </w:divBdr>
    </w:div>
    <w:div w:id="358941304">
      <w:marLeft w:val="0"/>
      <w:marRight w:val="0"/>
      <w:marTop w:val="0"/>
      <w:marBottom w:val="0"/>
      <w:divBdr>
        <w:top w:val="none" w:sz="0" w:space="0" w:color="auto"/>
        <w:left w:val="none" w:sz="0" w:space="0" w:color="auto"/>
        <w:bottom w:val="none" w:sz="0" w:space="0" w:color="auto"/>
        <w:right w:val="none" w:sz="0" w:space="0" w:color="auto"/>
      </w:divBdr>
      <w:divsChild>
        <w:div w:id="358941292">
          <w:marLeft w:val="0"/>
          <w:marRight w:val="0"/>
          <w:marTop w:val="0"/>
          <w:marBottom w:val="0"/>
          <w:divBdr>
            <w:top w:val="none" w:sz="0" w:space="0" w:color="auto"/>
            <w:left w:val="none" w:sz="0" w:space="0" w:color="auto"/>
            <w:bottom w:val="none" w:sz="0" w:space="0" w:color="auto"/>
            <w:right w:val="none" w:sz="0" w:space="0" w:color="auto"/>
          </w:divBdr>
          <w:divsChild>
            <w:div w:id="358941296">
              <w:marLeft w:val="0"/>
              <w:marRight w:val="0"/>
              <w:marTop w:val="0"/>
              <w:marBottom w:val="0"/>
              <w:divBdr>
                <w:top w:val="none" w:sz="0" w:space="0" w:color="auto"/>
                <w:left w:val="none" w:sz="0" w:space="0" w:color="auto"/>
                <w:bottom w:val="none" w:sz="0" w:space="0" w:color="auto"/>
                <w:right w:val="none" w:sz="0" w:space="0" w:color="auto"/>
              </w:divBdr>
              <w:divsChild>
                <w:div w:id="35894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5">
      <w:marLeft w:val="0"/>
      <w:marRight w:val="0"/>
      <w:marTop w:val="0"/>
      <w:marBottom w:val="0"/>
      <w:divBdr>
        <w:top w:val="none" w:sz="0" w:space="0" w:color="auto"/>
        <w:left w:val="none" w:sz="0" w:space="0" w:color="auto"/>
        <w:bottom w:val="none" w:sz="0" w:space="0" w:color="auto"/>
        <w:right w:val="none" w:sz="0" w:space="0" w:color="auto"/>
      </w:divBdr>
      <w:divsChild>
        <w:div w:id="358941288">
          <w:marLeft w:val="0"/>
          <w:marRight w:val="0"/>
          <w:marTop w:val="0"/>
          <w:marBottom w:val="0"/>
          <w:divBdr>
            <w:top w:val="none" w:sz="0" w:space="0" w:color="auto"/>
            <w:left w:val="none" w:sz="0" w:space="0" w:color="auto"/>
            <w:bottom w:val="none" w:sz="0" w:space="0" w:color="auto"/>
            <w:right w:val="none" w:sz="0" w:space="0" w:color="auto"/>
          </w:divBdr>
          <w:divsChild>
            <w:div w:id="358941285">
              <w:marLeft w:val="0"/>
              <w:marRight w:val="0"/>
              <w:marTop w:val="0"/>
              <w:marBottom w:val="0"/>
              <w:divBdr>
                <w:top w:val="none" w:sz="0" w:space="0" w:color="auto"/>
                <w:left w:val="none" w:sz="0" w:space="0" w:color="auto"/>
                <w:bottom w:val="none" w:sz="0" w:space="0" w:color="auto"/>
                <w:right w:val="none" w:sz="0" w:space="0" w:color="auto"/>
              </w:divBdr>
              <w:divsChild>
                <w:div w:id="35894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06">
      <w:marLeft w:val="0"/>
      <w:marRight w:val="0"/>
      <w:marTop w:val="0"/>
      <w:marBottom w:val="0"/>
      <w:divBdr>
        <w:top w:val="none" w:sz="0" w:space="0" w:color="auto"/>
        <w:left w:val="none" w:sz="0" w:space="0" w:color="auto"/>
        <w:bottom w:val="none" w:sz="0" w:space="0" w:color="auto"/>
        <w:right w:val="none" w:sz="0" w:space="0" w:color="auto"/>
      </w:divBdr>
    </w:div>
    <w:div w:id="358941308">
      <w:marLeft w:val="0"/>
      <w:marRight w:val="0"/>
      <w:marTop w:val="0"/>
      <w:marBottom w:val="0"/>
      <w:divBdr>
        <w:top w:val="none" w:sz="0" w:space="0" w:color="auto"/>
        <w:left w:val="none" w:sz="0" w:space="0" w:color="auto"/>
        <w:bottom w:val="none" w:sz="0" w:space="0" w:color="auto"/>
        <w:right w:val="none" w:sz="0" w:space="0" w:color="auto"/>
      </w:divBdr>
    </w:div>
    <w:div w:id="358941309">
      <w:marLeft w:val="0"/>
      <w:marRight w:val="0"/>
      <w:marTop w:val="0"/>
      <w:marBottom w:val="0"/>
      <w:divBdr>
        <w:top w:val="none" w:sz="0" w:space="0" w:color="auto"/>
        <w:left w:val="none" w:sz="0" w:space="0" w:color="auto"/>
        <w:bottom w:val="none" w:sz="0" w:space="0" w:color="auto"/>
        <w:right w:val="none" w:sz="0" w:space="0" w:color="auto"/>
      </w:divBdr>
      <w:divsChild>
        <w:div w:id="358941293">
          <w:marLeft w:val="0"/>
          <w:marRight w:val="0"/>
          <w:marTop w:val="0"/>
          <w:marBottom w:val="0"/>
          <w:divBdr>
            <w:top w:val="none" w:sz="0" w:space="0" w:color="auto"/>
            <w:left w:val="none" w:sz="0" w:space="0" w:color="auto"/>
            <w:bottom w:val="none" w:sz="0" w:space="0" w:color="auto"/>
            <w:right w:val="none" w:sz="0" w:space="0" w:color="auto"/>
          </w:divBdr>
          <w:divsChild>
            <w:div w:id="358941312">
              <w:marLeft w:val="0"/>
              <w:marRight w:val="0"/>
              <w:marTop w:val="0"/>
              <w:marBottom w:val="0"/>
              <w:divBdr>
                <w:top w:val="none" w:sz="0" w:space="0" w:color="auto"/>
                <w:left w:val="none" w:sz="0" w:space="0" w:color="auto"/>
                <w:bottom w:val="none" w:sz="0" w:space="0" w:color="auto"/>
                <w:right w:val="none" w:sz="0" w:space="0" w:color="auto"/>
              </w:divBdr>
              <w:divsChild>
                <w:div w:id="3589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41310">
      <w:marLeft w:val="0"/>
      <w:marRight w:val="0"/>
      <w:marTop w:val="0"/>
      <w:marBottom w:val="0"/>
      <w:divBdr>
        <w:top w:val="none" w:sz="0" w:space="0" w:color="auto"/>
        <w:left w:val="none" w:sz="0" w:space="0" w:color="auto"/>
        <w:bottom w:val="none" w:sz="0" w:space="0" w:color="auto"/>
        <w:right w:val="none" w:sz="0" w:space="0" w:color="auto"/>
      </w:divBdr>
    </w:div>
    <w:div w:id="3589413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hyperlink" Target="https://www.cahps.ahrq.gov/content/ncbd/HP/NCBD_HP_HPProductsAndServicesArchive.asp?p=105&amp;s=52" TargetMode="Externa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www.bls.gov/oes/current/oes_nat.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cahps.ahrq.gov/content/ncbd/HP/NCBD_HP_HPProductsAndServicesArchive.asp?p=105&amp;s=52" TargetMode="Externa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www.cahps.ahrq.gov/CAHPSIDB/Public/about.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75</TotalTime>
  <Pages>10</Pages>
  <Words>3376</Words>
  <Characters>19246</Characters>
  <Application>Microsoft Office Outlook</Application>
  <DocSecurity>0</DocSecurity>
  <Lines>0</Lines>
  <Paragraphs>0</Paragraphs>
  <ScaleCrop>false</ScaleCrop>
  <Company>N.O.R.C.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subject/>
  <dc:creator>hamlin-ben</dc:creator>
  <cp:keywords/>
  <dc:description/>
  <cp:lastModifiedBy>wcarroll</cp:lastModifiedBy>
  <cp:revision>12</cp:revision>
  <cp:lastPrinted>2009-11-16T19:57:00Z</cp:lastPrinted>
  <dcterms:created xsi:type="dcterms:W3CDTF">2009-12-04T17:20:00Z</dcterms:created>
  <dcterms:modified xsi:type="dcterms:W3CDTF">2010-04-05T18:44:00Z</dcterms:modified>
</cp:coreProperties>
</file>