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CA" w:rsidRDefault="007D13CA" w:rsidP="007D13CA"/>
    <w:p w:rsidR="007D13CA" w:rsidRDefault="007D13CA" w:rsidP="007D13CA"/>
    <w:p w:rsidR="007D13CA" w:rsidRDefault="007D13CA" w:rsidP="007D13CA"/>
    <w:p w:rsidR="007D13CA" w:rsidRDefault="007D13CA" w:rsidP="007D13CA"/>
    <w:p w:rsidR="007D13CA" w:rsidRPr="000C55EB" w:rsidRDefault="007D13CA" w:rsidP="007D13CA"/>
    <w:p w:rsidR="007D13CA" w:rsidRPr="000C55EB" w:rsidRDefault="00885AE9" w:rsidP="007D13CA">
      <w:pPr>
        <w:jc w:val="center"/>
      </w:pPr>
      <w:r>
        <w:rPr>
          <w:noProof/>
        </w:rPr>
        <w:drawing>
          <wp:inline distT="0" distB="0" distL="0" distR="0">
            <wp:extent cx="4429125" cy="1381125"/>
            <wp:effectExtent l="19050" t="0" r="9525" b="0"/>
            <wp:docPr id="1" name="Picture 1" descr="DHS_for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for_ppt"/>
                    <pic:cNvPicPr>
                      <a:picLocks noChangeAspect="1" noChangeArrowheads="1"/>
                    </pic:cNvPicPr>
                  </pic:nvPicPr>
                  <pic:blipFill>
                    <a:blip r:embed="rId7" cstate="print"/>
                    <a:srcRect/>
                    <a:stretch>
                      <a:fillRect/>
                    </a:stretch>
                  </pic:blipFill>
                  <pic:spPr bwMode="auto">
                    <a:xfrm>
                      <a:off x="0" y="0"/>
                      <a:ext cx="4429125" cy="1381125"/>
                    </a:xfrm>
                    <a:prstGeom prst="rect">
                      <a:avLst/>
                    </a:prstGeom>
                    <a:noFill/>
                    <a:ln w="9525">
                      <a:noFill/>
                      <a:miter lim="800000"/>
                      <a:headEnd/>
                      <a:tailEnd/>
                    </a:ln>
                  </pic:spPr>
                </pic:pic>
              </a:graphicData>
            </a:graphic>
          </wp:inline>
        </w:drawing>
      </w:r>
    </w:p>
    <w:p w:rsidR="007D13CA" w:rsidRPr="00265614" w:rsidRDefault="007D13CA" w:rsidP="007D13CA">
      <w:pPr>
        <w:pStyle w:val="Title"/>
        <w:pBdr>
          <w:bottom w:val="single" w:sz="4" w:space="1" w:color="auto"/>
        </w:pBdr>
        <w:rPr>
          <w:rFonts w:ascii="Times New Roman" w:hAnsi="Times New Roman"/>
        </w:rPr>
      </w:pPr>
    </w:p>
    <w:p w:rsidR="00BB6344" w:rsidRPr="00BA585C" w:rsidRDefault="00BB6344" w:rsidP="00BB6344">
      <w:pPr>
        <w:autoSpaceDE w:val="0"/>
        <w:autoSpaceDN w:val="0"/>
        <w:adjustRightInd w:val="0"/>
        <w:ind w:left="2520" w:firstLine="360"/>
        <w:rPr>
          <w:b/>
          <w:sz w:val="18"/>
          <w:szCs w:val="18"/>
        </w:rPr>
      </w:pPr>
      <w:r w:rsidRPr="00BA585C">
        <w:rPr>
          <w:b/>
          <w:sz w:val="18"/>
          <w:szCs w:val="18"/>
        </w:rPr>
        <w:t>Paperwork Burden Disclosure Notice</w:t>
      </w:r>
    </w:p>
    <w:p w:rsidR="00BB6344" w:rsidRDefault="00BB6344" w:rsidP="00BB6344">
      <w:pPr>
        <w:autoSpaceDE w:val="0"/>
        <w:autoSpaceDN w:val="0"/>
        <w:adjustRightInd w:val="0"/>
        <w:ind w:left="360"/>
        <w:rPr>
          <w:bCs/>
          <w:sz w:val="18"/>
          <w:szCs w:val="18"/>
        </w:rPr>
      </w:pPr>
      <w:r w:rsidRPr="00BA585C">
        <w:rPr>
          <w:sz w:val="18"/>
          <w:szCs w:val="18"/>
        </w:rPr>
        <w:t xml:space="preserve">Public reporting burden for this </w:t>
      </w:r>
      <w:r>
        <w:rPr>
          <w:sz w:val="18"/>
          <w:szCs w:val="18"/>
        </w:rPr>
        <w:t>form</w:t>
      </w:r>
      <w:r w:rsidRPr="00BA585C">
        <w:rPr>
          <w:sz w:val="18"/>
          <w:szCs w:val="18"/>
        </w:rPr>
        <w:t xml:space="preserve"> </w:t>
      </w:r>
      <w:proofErr w:type="gramStart"/>
      <w:r w:rsidRPr="00BA585C">
        <w:rPr>
          <w:sz w:val="18"/>
          <w:szCs w:val="18"/>
        </w:rPr>
        <w:t>is estimated</w:t>
      </w:r>
      <w:proofErr w:type="gramEnd"/>
      <w:r w:rsidRPr="00BA585C">
        <w:rPr>
          <w:sz w:val="18"/>
          <w:szCs w:val="18"/>
        </w:rPr>
        <w:t xml:space="preserve"> to average</w:t>
      </w:r>
      <w:r>
        <w:rPr>
          <w:sz w:val="18"/>
          <w:szCs w:val="18"/>
        </w:rPr>
        <w:t xml:space="preserve"> 42 hours</w:t>
      </w:r>
      <w:r w:rsidRPr="00BA585C">
        <w:rPr>
          <w:sz w:val="18"/>
          <w:szCs w:val="18"/>
        </w:rPr>
        <w:t xml:space="preserve"> per response. The burden estimate includes the time for reviewing instructions, searching existing data sources, gathering and maintaining the data needed, and completing and submitting the</w:t>
      </w:r>
      <w:r>
        <w:rPr>
          <w:sz w:val="18"/>
          <w:szCs w:val="18"/>
        </w:rPr>
        <w:t xml:space="preserve"> form</w:t>
      </w:r>
      <w:r w:rsidRPr="00BA585C">
        <w:rPr>
          <w:sz w:val="18"/>
          <w:szCs w:val="18"/>
        </w:rPr>
        <w:t xml:space="preserve">. You are not required to respond to this collection of information unless it displays a valid OMB control number.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BA585C">
        <w:rPr>
          <w:sz w:val="18"/>
          <w:szCs w:val="18"/>
        </w:rPr>
        <w:t>Paperwork</w:t>
      </w:r>
      <w:proofErr w:type="gramEnd"/>
      <w:r w:rsidRPr="00BA585C">
        <w:rPr>
          <w:sz w:val="18"/>
          <w:szCs w:val="18"/>
        </w:rPr>
        <w:t xml:space="preserve"> Reduction Project (1660-</w:t>
      </w:r>
      <w:r>
        <w:rPr>
          <w:sz w:val="18"/>
          <w:szCs w:val="18"/>
        </w:rPr>
        <w:t>NEW</w:t>
      </w:r>
      <w:r w:rsidRPr="00BA585C">
        <w:rPr>
          <w:sz w:val="18"/>
          <w:szCs w:val="18"/>
        </w:rPr>
        <w:t>)</w:t>
      </w:r>
      <w:r w:rsidRPr="00BA585C">
        <w:rPr>
          <w:bCs/>
          <w:sz w:val="18"/>
          <w:szCs w:val="18"/>
        </w:rPr>
        <w:t xml:space="preserve"> NOTE: Do not send your completed form to this address</w:t>
      </w:r>
      <w:r>
        <w:rPr>
          <w:bCs/>
          <w:sz w:val="18"/>
          <w:szCs w:val="18"/>
        </w:rPr>
        <w:t>.</w:t>
      </w:r>
    </w:p>
    <w:p w:rsidR="007D13CA" w:rsidRPr="00265614" w:rsidRDefault="007D13CA" w:rsidP="007D13CA">
      <w:pPr>
        <w:pStyle w:val="Title"/>
        <w:pBdr>
          <w:bottom w:val="none" w:sz="0" w:space="0" w:color="auto"/>
        </w:pBdr>
        <w:rPr>
          <w:rFonts w:ascii="Times New Roman" w:hAnsi="Times New Roman"/>
        </w:rPr>
      </w:pPr>
    </w:p>
    <w:p w:rsidR="007D13CA" w:rsidRPr="00025BCB" w:rsidRDefault="007D13CA" w:rsidP="007D13CA">
      <w:pPr>
        <w:pStyle w:val="Title"/>
        <w:pBdr>
          <w:bottom w:val="none" w:sz="0" w:space="0" w:color="auto"/>
        </w:pBdr>
        <w:rPr>
          <w:rFonts w:ascii="Times New Roman" w:hAnsi="Times New Roman"/>
          <w:b/>
          <w:sz w:val="44"/>
          <w:szCs w:val="44"/>
        </w:rPr>
      </w:pPr>
      <w:r>
        <w:rPr>
          <w:rFonts w:ascii="Times New Roman" w:hAnsi="Times New Roman"/>
          <w:b/>
          <w:sz w:val="44"/>
          <w:szCs w:val="44"/>
        </w:rPr>
        <w:t>Training and Exercise</w:t>
      </w:r>
      <w:r w:rsidRPr="00025BCB">
        <w:rPr>
          <w:rFonts w:ascii="Times New Roman" w:hAnsi="Times New Roman"/>
          <w:b/>
          <w:sz w:val="44"/>
          <w:szCs w:val="44"/>
        </w:rPr>
        <w:t xml:space="preserve"> Planning Workshop </w:t>
      </w:r>
      <w:r>
        <w:rPr>
          <w:rFonts w:ascii="Times New Roman" w:hAnsi="Times New Roman"/>
          <w:b/>
          <w:sz w:val="44"/>
          <w:szCs w:val="44"/>
        </w:rPr>
        <w:t xml:space="preserve">(TEPW) User </w:t>
      </w:r>
      <w:r w:rsidRPr="00025BCB">
        <w:rPr>
          <w:rFonts w:ascii="Times New Roman" w:hAnsi="Times New Roman"/>
          <w:b/>
          <w:sz w:val="44"/>
          <w:szCs w:val="44"/>
        </w:rPr>
        <w:t>Handbook</w:t>
      </w: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Times New Roman" w:hAnsi="Times New Roman"/>
        </w:rPr>
      </w:pPr>
    </w:p>
    <w:p w:rsidR="007D13CA" w:rsidRPr="00265614" w:rsidRDefault="007D13CA" w:rsidP="007D13CA">
      <w:pPr>
        <w:pStyle w:val="Title"/>
        <w:pBdr>
          <w:bottom w:val="none" w:sz="0" w:space="0" w:color="auto"/>
        </w:pBdr>
        <w:rPr>
          <w:rFonts w:ascii="Joanna MT" w:hAnsi="Joanna MT"/>
        </w:rPr>
      </w:pPr>
    </w:p>
    <w:p w:rsidR="007D13CA" w:rsidRPr="00A21F19" w:rsidRDefault="00F84677" w:rsidP="007D13CA">
      <w:pPr>
        <w:pStyle w:val="Title"/>
        <w:pBdr>
          <w:bottom w:val="none" w:sz="0" w:space="0" w:color="auto"/>
        </w:pBdr>
        <w:rPr>
          <w:rFonts w:ascii="Times New Roman" w:hAnsi="Times New Roman"/>
        </w:rPr>
      </w:pPr>
      <w:r>
        <w:rPr>
          <w:rFonts w:ascii="Times New Roman" w:hAnsi="Times New Roman"/>
        </w:rPr>
        <w:t>October 2009</w:t>
      </w:r>
    </w:p>
    <w:p w:rsidR="007D13CA" w:rsidRDefault="007D13CA" w:rsidP="007D13CA">
      <w:pPr>
        <w:pStyle w:val="BodyText"/>
      </w:pPr>
    </w:p>
    <w:p w:rsidR="00367DC5" w:rsidRDefault="00367DC5" w:rsidP="002E652A"/>
    <w:p w:rsidR="007D13CA" w:rsidRDefault="007D13CA" w:rsidP="002E652A"/>
    <w:p w:rsidR="007D13CA" w:rsidRPr="005137C4" w:rsidRDefault="007D13CA" w:rsidP="002E652A"/>
    <w:p w:rsidR="00367DC5" w:rsidRPr="005137C4" w:rsidRDefault="00367DC5" w:rsidP="002E652A">
      <w:pPr>
        <w:jc w:val="center"/>
        <w:sectPr w:rsidR="00367DC5" w:rsidRPr="005137C4" w:rsidSect="00325781">
          <w:headerReference w:type="even" r:id="rId8"/>
          <w:headerReference w:type="default" r:id="rId9"/>
          <w:pgSz w:w="12240" w:h="15840" w:code="1"/>
          <w:pgMar w:top="1440" w:right="1440" w:bottom="1440" w:left="1440" w:header="432" w:footer="432" w:gutter="0"/>
          <w:cols w:space="720"/>
          <w:titlePg/>
          <w:docGrid w:linePitch="360"/>
        </w:sectPr>
      </w:pPr>
    </w:p>
    <w:p w:rsidR="00367DC5" w:rsidRPr="00FD79E2" w:rsidRDefault="00367DC5" w:rsidP="002E652A">
      <w:pPr>
        <w:pStyle w:val="Heading1"/>
      </w:pPr>
      <w:bookmarkStart w:id="0" w:name="_Toc244318310"/>
      <w:r w:rsidRPr="00FD79E2">
        <w:lastRenderedPageBreak/>
        <w:t>Preface</w:t>
      </w:r>
      <w:bookmarkEnd w:id="0"/>
    </w:p>
    <w:p w:rsidR="00473CD7" w:rsidRDefault="00473CD7" w:rsidP="00473CD7">
      <w:pPr>
        <w:pStyle w:val="BodyText"/>
      </w:pPr>
      <w:r>
        <w:t>The Homeland Security Exercise and Evaluation Program (HSEEP) is a capabilities-based exercise program that provides common exercise policy and program guidance that constitutes a national standard for exercises. The purpose of the program is to build self-sustaining exercise programs and provide a standardized methodology for designing, developing, conducting, and evaluating all exercises. The HSEEP methodology contains exercise program management methodology</w:t>
      </w:r>
      <w:r w:rsidR="00A242F7">
        <w:t>:</w:t>
      </w:r>
      <w:r>
        <w:t xml:space="preserve"> the building</w:t>
      </w:r>
      <w:r w:rsidR="00A242F7">
        <w:t>-</w:t>
      </w:r>
      <w:r>
        <w:t xml:space="preserve">block approach to training and exercises. </w:t>
      </w:r>
    </w:p>
    <w:p w:rsidR="00473CD7" w:rsidRDefault="00473CD7" w:rsidP="00473CD7">
      <w:pPr>
        <w:pStyle w:val="BodyText"/>
      </w:pPr>
      <w:r>
        <w:t>Exercise program management assists a jurisdiction</w:t>
      </w:r>
      <w:r w:rsidR="00A242F7">
        <w:t xml:space="preserve"> or </w:t>
      </w:r>
      <w:r>
        <w:t>agency in sustaining a variety of ongoing preparedness activities and includes multiyear planning, budgeting, grant management, and funding allocation. Program management is cyclical</w:t>
      </w:r>
      <w:r w:rsidR="00D2012E">
        <w:t>:</w:t>
      </w:r>
      <w:r>
        <w:t xml:space="preserve"> a Multi-Year Training and Exercise Plan</w:t>
      </w:r>
      <w:r w:rsidR="00D2012E">
        <w:t xml:space="preserve"> (TEP</w:t>
      </w:r>
      <w:proofErr w:type="gramStart"/>
      <w:r w:rsidR="00D2012E">
        <w:t>)</w:t>
      </w:r>
      <w:r>
        <w:t>,</w:t>
      </w:r>
      <w:proofErr w:type="gramEnd"/>
      <w:r>
        <w:t xml:space="preserve"> developed at the Training and Exercise Planning Workshop (TEPW), is developed in accordance with the jurisdiction</w:t>
      </w:r>
      <w:r w:rsidR="00A242F7">
        <w:t xml:space="preserve"> or </w:t>
      </w:r>
      <w:r>
        <w:t xml:space="preserve">agency’s preparedness priorities. Exercise activities </w:t>
      </w:r>
      <w:proofErr w:type="gramStart"/>
      <w:r>
        <w:t>are then planned and conducted according to the multiyear plan’s schedule</w:t>
      </w:r>
      <w:proofErr w:type="gramEnd"/>
      <w:r>
        <w:t xml:space="preserve">.  </w:t>
      </w:r>
    </w:p>
    <w:p w:rsidR="00367DC5" w:rsidRPr="006E6F1B" w:rsidRDefault="00473CD7" w:rsidP="002E652A">
      <w:pPr>
        <w:pStyle w:val="BodyText"/>
      </w:pPr>
      <w:r>
        <w:t xml:space="preserve">An </w:t>
      </w:r>
      <w:r w:rsidRPr="005438F4">
        <w:t xml:space="preserve">annual </w:t>
      </w:r>
      <w:r w:rsidR="00367DC5" w:rsidRPr="005137C4">
        <w:t>TEPW provides the opportunity to review the</w:t>
      </w:r>
      <w:r w:rsidR="00367DC5" w:rsidRPr="00267821">
        <w:t xml:space="preserve"> </w:t>
      </w:r>
      <w:r>
        <w:t>jurisdiction</w:t>
      </w:r>
      <w:r w:rsidR="00A242F7">
        <w:t xml:space="preserve"> or </w:t>
      </w:r>
      <w:proofErr w:type="gramStart"/>
      <w:r>
        <w:t>agency</w:t>
      </w:r>
      <w:r w:rsidR="00367DC5">
        <w:t xml:space="preserve"> homeland security strategy</w:t>
      </w:r>
      <w:proofErr w:type="gramEnd"/>
      <w:r w:rsidR="00367DC5" w:rsidRPr="005137C4">
        <w:t xml:space="preserve"> and develop or update </w:t>
      </w:r>
      <w:r w:rsidR="0009524C">
        <w:t>its</w:t>
      </w:r>
      <w:r w:rsidR="00367DC5" w:rsidRPr="005137C4">
        <w:t xml:space="preserve"> Multi-Year Training and Exercise Plan. There is a focus on coordination of all training and exercise activities occurring throughout the </w:t>
      </w:r>
      <w:r w:rsidR="001A7ABB">
        <w:t>jurisdiction</w:t>
      </w:r>
      <w:r w:rsidR="00A242F7">
        <w:t xml:space="preserve"> or </w:t>
      </w:r>
      <w:r w:rsidR="001A7ABB">
        <w:t>agency</w:t>
      </w:r>
      <w:r w:rsidR="00367DC5" w:rsidRPr="005137C4">
        <w:t xml:space="preserve">, including activities sponsored by Federal </w:t>
      </w:r>
      <w:r w:rsidR="0009524C">
        <w:t>a</w:t>
      </w:r>
      <w:r w:rsidR="00367DC5" w:rsidRPr="005137C4">
        <w:t>gencies</w:t>
      </w:r>
      <w:r w:rsidR="00F84677">
        <w:t>, States,</w:t>
      </w:r>
      <w:r w:rsidR="00367DC5" w:rsidRPr="005137C4">
        <w:t xml:space="preserve"> local governments</w:t>
      </w:r>
      <w:r w:rsidR="00F84677">
        <w:t>, and tribal governments</w:t>
      </w:r>
      <w:r w:rsidR="00367DC5" w:rsidRPr="005137C4">
        <w:t>.</w:t>
      </w:r>
      <w:r w:rsidR="00367DC5" w:rsidRPr="006E6F1B">
        <w:t xml:space="preserve"> </w:t>
      </w:r>
      <w:r w:rsidR="001A7ABB">
        <w:t>Jurisdictions</w:t>
      </w:r>
      <w:r w:rsidR="00A242F7">
        <w:t xml:space="preserve"> or </w:t>
      </w:r>
      <w:r w:rsidR="001A7ABB">
        <w:t>agencies</w:t>
      </w:r>
      <w:r w:rsidR="00367DC5" w:rsidRPr="006E6F1B">
        <w:t xml:space="preserve"> must ensure that their training and exercise schedules are coordinated to prevent duplication of efforts, ensure resources </w:t>
      </w:r>
      <w:proofErr w:type="gramStart"/>
      <w:r w:rsidR="00367DC5" w:rsidRPr="006E6F1B">
        <w:t>are not overextended</w:t>
      </w:r>
      <w:proofErr w:type="gramEnd"/>
      <w:r w:rsidR="00367DC5" w:rsidRPr="006E6F1B">
        <w:t xml:space="preserve"> during training or exercises, and maximize the efficacy of training and exercise appropriations. Moreover, schedule collaboration can present opportunities for jurisdictions and agencies to fulfill multiple grant requirements with a single exercise or training course.</w:t>
      </w:r>
    </w:p>
    <w:p w:rsidR="006E6F1B" w:rsidRPr="005137C4" w:rsidRDefault="006E6F1B" w:rsidP="002E652A">
      <w:pPr>
        <w:pStyle w:val="ODPPara"/>
        <w:rPr>
          <w:rFonts w:ascii="Johanna MT" w:hAnsi="Johanna MT"/>
        </w:rPr>
      </w:pPr>
    </w:p>
    <w:p w:rsidR="00367DC5" w:rsidRPr="005137C4" w:rsidRDefault="00367DC5" w:rsidP="002E652A">
      <w:pPr>
        <w:pStyle w:val="ODPPara"/>
        <w:sectPr w:rsidR="00367DC5" w:rsidRPr="005137C4" w:rsidSect="00325781">
          <w:footerReference w:type="default" r:id="rId10"/>
          <w:footerReference w:type="first" r:id="rId11"/>
          <w:pgSz w:w="12240" w:h="15840" w:code="1"/>
          <w:pgMar w:top="1440" w:right="1440" w:bottom="1440" w:left="1440" w:header="432" w:footer="432" w:gutter="0"/>
          <w:pgNumType w:fmt="lowerRoman" w:start="2"/>
          <w:cols w:space="720"/>
          <w:docGrid w:linePitch="360"/>
        </w:sectPr>
      </w:pPr>
    </w:p>
    <w:p w:rsidR="00367DC5" w:rsidRPr="00FD79E2" w:rsidRDefault="00367DC5" w:rsidP="002E652A">
      <w:pPr>
        <w:pStyle w:val="Contents"/>
      </w:pPr>
      <w:r w:rsidRPr="00FD79E2">
        <w:lastRenderedPageBreak/>
        <w:t>Contents</w:t>
      </w:r>
    </w:p>
    <w:p w:rsidR="00833F7B" w:rsidRDefault="009C7F69">
      <w:pPr>
        <w:pStyle w:val="TOC1"/>
        <w:rPr>
          <w:rFonts w:ascii="Times New Roman" w:hAnsi="Times New Roman"/>
          <w:b w:val="0"/>
          <w:noProof/>
          <w:sz w:val="24"/>
        </w:rPr>
      </w:pPr>
      <w:r w:rsidRPr="009C7F69">
        <w:fldChar w:fldCharType="begin"/>
      </w:r>
      <w:r w:rsidR="007065BC">
        <w:instrText xml:space="preserve"> TOC \o "1-2" \h \z \u </w:instrText>
      </w:r>
      <w:r w:rsidRPr="009C7F69">
        <w:fldChar w:fldCharType="separate"/>
      </w:r>
      <w:hyperlink w:anchor="_Toc244318310" w:history="1">
        <w:r w:rsidR="00833F7B" w:rsidRPr="0086380C">
          <w:rPr>
            <w:rStyle w:val="Hyperlink"/>
            <w:noProof/>
          </w:rPr>
          <w:t>Preface</w:t>
        </w:r>
        <w:r w:rsidR="00833F7B">
          <w:rPr>
            <w:noProof/>
            <w:webHidden/>
          </w:rPr>
          <w:tab/>
        </w:r>
        <w:r>
          <w:rPr>
            <w:noProof/>
            <w:webHidden/>
          </w:rPr>
          <w:fldChar w:fldCharType="begin"/>
        </w:r>
        <w:r w:rsidR="00833F7B">
          <w:rPr>
            <w:noProof/>
            <w:webHidden/>
          </w:rPr>
          <w:instrText xml:space="preserve"> PAGEREF _Toc244318310 \h </w:instrText>
        </w:r>
        <w:r>
          <w:rPr>
            <w:noProof/>
            <w:webHidden/>
          </w:rPr>
        </w:r>
        <w:r>
          <w:rPr>
            <w:noProof/>
            <w:webHidden/>
          </w:rPr>
          <w:fldChar w:fldCharType="separate"/>
        </w:r>
        <w:r w:rsidR="00833F7B">
          <w:rPr>
            <w:noProof/>
            <w:webHidden/>
          </w:rPr>
          <w:t>ii</w:t>
        </w:r>
        <w:r>
          <w:rPr>
            <w:noProof/>
            <w:webHidden/>
          </w:rPr>
          <w:fldChar w:fldCharType="end"/>
        </w:r>
      </w:hyperlink>
    </w:p>
    <w:p w:rsidR="00833F7B" w:rsidRDefault="009C7F69">
      <w:pPr>
        <w:pStyle w:val="TOC1"/>
        <w:rPr>
          <w:rFonts w:ascii="Times New Roman" w:hAnsi="Times New Roman"/>
          <w:b w:val="0"/>
          <w:noProof/>
          <w:sz w:val="24"/>
        </w:rPr>
      </w:pPr>
      <w:hyperlink w:anchor="_Toc244318311" w:history="1">
        <w:r w:rsidR="00833F7B" w:rsidRPr="0086380C">
          <w:rPr>
            <w:rStyle w:val="Hyperlink"/>
            <w:noProof/>
          </w:rPr>
          <w:t>Training and Exercise Planning Workshop (TEPW)</w:t>
        </w:r>
        <w:r w:rsidR="00833F7B">
          <w:rPr>
            <w:noProof/>
            <w:webHidden/>
          </w:rPr>
          <w:tab/>
        </w:r>
        <w:r>
          <w:rPr>
            <w:noProof/>
            <w:webHidden/>
          </w:rPr>
          <w:fldChar w:fldCharType="begin"/>
        </w:r>
        <w:r w:rsidR="00833F7B">
          <w:rPr>
            <w:noProof/>
            <w:webHidden/>
          </w:rPr>
          <w:instrText xml:space="preserve"> PAGEREF _Toc244318311 \h </w:instrText>
        </w:r>
        <w:r>
          <w:rPr>
            <w:noProof/>
            <w:webHidden/>
          </w:rPr>
        </w:r>
        <w:r>
          <w:rPr>
            <w:noProof/>
            <w:webHidden/>
          </w:rPr>
          <w:fldChar w:fldCharType="separate"/>
        </w:r>
        <w:r w:rsidR="00833F7B">
          <w:rPr>
            <w:noProof/>
            <w:webHidden/>
          </w:rPr>
          <w:t>1</w:t>
        </w:r>
        <w:r>
          <w:rPr>
            <w:noProof/>
            <w:webHidden/>
          </w:rPr>
          <w:fldChar w:fldCharType="end"/>
        </w:r>
      </w:hyperlink>
    </w:p>
    <w:p w:rsidR="00833F7B" w:rsidRDefault="009C7F69">
      <w:pPr>
        <w:pStyle w:val="TOC2"/>
        <w:rPr>
          <w:rFonts w:ascii="Times New Roman" w:hAnsi="Times New Roman"/>
          <w:sz w:val="24"/>
        </w:rPr>
      </w:pPr>
      <w:hyperlink w:anchor="_Toc244318312" w:history="1">
        <w:r w:rsidR="00833F7B" w:rsidRPr="0086380C">
          <w:rPr>
            <w:rStyle w:val="Hyperlink"/>
          </w:rPr>
          <w:t>Purpose</w:t>
        </w:r>
        <w:r w:rsidR="00833F7B">
          <w:rPr>
            <w:webHidden/>
          </w:rPr>
          <w:tab/>
        </w:r>
        <w:r>
          <w:rPr>
            <w:webHidden/>
          </w:rPr>
          <w:fldChar w:fldCharType="begin"/>
        </w:r>
        <w:r w:rsidR="00833F7B">
          <w:rPr>
            <w:webHidden/>
          </w:rPr>
          <w:instrText xml:space="preserve"> PAGEREF _Toc244318312 \h </w:instrText>
        </w:r>
        <w:r>
          <w:rPr>
            <w:webHidden/>
          </w:rPr>
        </w:r>
        <w:r>
          <w:rPr>
            <w:webHidden/>
          </w:rPr>
          <w:fldChar w:fldCharType="separate"/>
        </w:r>
        <w:r w:rsidR="00833F7B">
          <w:rPr>
            <w:webHidden/>
          </w:rPr>
          <w:t>1</w:t>
        </w:r>
        <w:r>
          <w:rPr>
            <w:webHidden/>
          </w:rPr>
          <w:fldChar w:fldCharType="end"/>
        </w:r>
      </w:hyperlink>
    </w:p>
    <w:p w:rsidR="00833F7B" w:rsidRDefault="009C7F69">
      <w:pPr>
        <w:pStyle w:val="TOC2"/>
        <w:rPr>
          <w:rFonts w:ascii="Times New Roman" w:hAnsi="Times New Roman"/>
          <w:sz w:val="24"/>
        </w:rPr>
      </w:pPr>
      <w:hyperlink w:anchor="_Toc244318313" w:history="1">
        <w:r w:rsidR="00833F7B" w:rsidRPr="0086380C">
          <w:rPr>
            <w:rStyle w:val="Hyperlink"/>
          </w:rPr>
          <w:t>Preparation</w:t>
        </w:r>
        <w:r w:rsidR="00833F7B">
          <w:rPr>
            <w:webHidden/>
          </w:rPr>
          <w:tab/>
        </w:r>
        <w:r>
          <w:rPr>
            <w:webHidden/>
          </w:rPr>
          <w:fldChar w:fldCharType="begin"/>
        </w:r>
        <w:r w:rsidR="00833F7B">
          <w:rPr>
            <w:webHidden/>
          </w:rPr>
          <w:instrText xml:space="preserve"> PAGEREF _Toc244318313 \h </w:instrText>
        </w:r>
        <w:r>
          <w:rPr>
            <w:webHidden/>
          </w:rPr>
        </w:r>
        <w:r>
          <w:rPr>
            <w:webHidden/>
          </w:rPr>
          <w:fldChar w:fldCharType="separate"/>
        </w:r>
        <w:r w:rsidR="00833F7B">
          <w:rPr>
            <w:webHidden/>
          </w:rPr>
          <w:t>1</w:t>
        </w:r>
        <w:r>
          <w:rPr>
            <w:webHidden/>
          </w:rPr>
          <w:fldChar w:fldCharType="end"/>
        </w:r>
      </w:hyperlink>
    </w:p>
    <w:p w:rsidR="00833F7B" w:rsidRDefault="009C7F69">
      <w:pPr>
        <w:pStyle w:val="TOC2"/>
        <w:rPr>
          <w:rFonts w:ascii="Times New Roman" w:hAnsi="Times New Roman"/>
          <w:sz w:val="24"/>
        </w:rPr>
      </w:pPr>
      <w:hyperlink w:anchor="_Toc244318314" w:history="1">
        <w:r w:rsidR="00833F7B" w:rsidRPr="0086380C">
          <w:rPr>
            <w:rStyle w:val="Hyperlink"/>
          </w:rPr>
          <w:t>Conduct</w:t>
        </w:r>
        <w:r w:rsidR="00833F7B">
          <w:rPr>
            <w:webHidden/>
          </w:rPr>
          <w:tab/>
        </w:r>
        <w:r>
          <w:rPr>
            <w:webHidden/>
          </w:rPr>
          <w:fldChar w:fldCharType="begin"/>
        </w:r>
        <w:r w:rsidR="00833F7B">
          <w:rPr>
            <w:webHidden/>
          </w:rPr>
          <w:instrText xml:space="preserve"> PAGEREF _Toc244318314 \h </w:instrText>
        </w:r>
        <w:r>
          <w:rPr>
            <w:webHidden/>
          </w:rPr>
        </w:r>
        <w:r>
          <w:rPr>
            <w:webHidden/>
          </w:rPr>
          <w:fldChar w:fldCharType="separate"/>
        </w:r>
        <w:r w:rsidR="00833F7B">
          <w:rPr>
            <w:webHidden/>
          </w:rPr>
          <w:t>2</w:t>
        </w:r>
        <w:r>
          <w:rPr>
            <w:webHidden/>
          </w:rPr>
          <w:fldChar w:fldCharType="end"/>
        </w:r>
      </w:hyperlink>
    </w:p>
    <w:p w:rsidR="00833F7B" w:rsidRDefault="009C7F69">
      <w:pPr>
        <w:pStyle w:val="TOC2"/>
        <w:rPr>
          <w:rFonts w:ascii="Times New Roman" w:hAnsi="Times New Roman"/>
          <w:sz w:val="24"/>
        </w:rPr>
      </w:pPr>
      <w:hyperlink w:anchor="_Toc244318315" w:history="1">
        <w:r w:rsidR="00833F7B" w:rsidRPr="0086380C">
          <w:rPr>
            <w:rStyle w:val="Hyperlink"/>
          </w:rPr>
          <w:t>Timeline</w:t>
        </w:r>
        <w:r w:rsidR="00833F7B">
          <w:rPr>
            <w:webHidden/>
          </w:rPr>
          <w:tab/>
        </w:r>
        <w:r>
          <w:rPr>
            <w:webHidden/>
          </w:rPr>
          <w:fldChar w:fldCharType="begin"/>
        </w:r>
        <w:r w:rsidR="00833F7B">
          <w:rPr>
            <w:webHidden/>
          </w:rPr>
          <w:instrText xml:space="preserve"> PAGEREF _Toc244318315 \h </w:instrText>
        </w:r>
        <w:r>
          <w:rPr>
            <w:webHidden/>
          </w:rPr>
        </w:r>
        <w:r>
          <w:rPr>
            <w:webHidden/>
          </w:rPr>
          <w:fldChar w:fldCharType="separate"/>
        </w:r>
        <w:r w:rsidR="00833F7B">
          <w:rPr>
            <w:webHidden/>
          </w:rPr>
          <w:t>4</w:t>
        </w:r>
        <w:r>
          <w:rPr>
            <w:webHidden/>
          </w:rPr>
          <w:fldChar w:fldCharType="end"/>
        </w:r>
      </w:hyperlink>
    </w:p>
    <w:p w:rsidR="00833F7B" w:rsidRDefault="009C7F69">
      <w:pPr>
        <w:pStyle w:val="TOC2"/>
        <w:rPr>
          <w:rFonts w:ascii="Times New Roman" w:hAnsi="Times New Roman"/>
          <w:sz w:val="24"/>
        </w:rPr>
      </w:pPr>
      <w:hyperlink w:anchor="_Toc244318316" w:history="1">
        <w:r w:rsidR="00833F7B" w:rsidRPr="0086380C">
          <w:rPr>
            <w:rStyle w:val="Hyperlink"/>
          </w:rPr>
          <w:t>Participants</w:t>
        </w:r>
        <w:r w:rsidR="00833F7B">
          <w:rPr>
            <w:webHidden/>
          </w:rPr>
          <w:tab/>
        </w:r>
        <w:r>
          <w:rPr>
            <w:webHidden/>
          </w:rPr>
          <w:fldChar w:fldCharType="begin"/>
        </w:r>
        <w:r w:rsidR="00833F7B">
          <w:rPr>
            <w:webHidden/>
          </w:rPr>
          <w:instrText xml:space="preserve"> PAGEREF _Toc244318316 \h </w:instrText>
        </w:r>
        <w:r>
          <w:rPr>
            <w:webHidden/>
          </w:rPr>
        </w:r>
        <w:r>
          <w:rPr>
            <w:webHidden/>
          </w:rPr>
          <w:fldChar w:fldCharType="separate"/>
        </w:r>
        <w:r w:rsidR="00833F7B">
          <w:rPr>
            <w:webHidden/>
          </w:rPr>
          <w:t>4</w:t>
        </w:r>
        <w:r>
          <w:rPr>
            <w:webHidden/>
          </w:rPr>
          <w:fldChar w:fldCharType="end"/>
        </w:r>
      </w:hyperlink>
    </w:p>
    <w:p w:rsidR="00833F7B" w:rsidRDefault="009C7F69">
      <w:pPr>
        <w:pStyle w:val="TOC2"/>
        <w:rPr>
          <w:rFonts w:ascii="Times New Roman" w:hAnsi="Times New Roman"/>
          <w:sz w:val="24"/>
        </w:rPr>
      </w:pPr>
      <w:hyperlink w:anchor="_Toc244318317" w:history="1">
        <w:r w:rsidR="00833F7B" w:rsidRPr="0086380C">
          <w:rPr>
            <w:rStyle w:val="Hyperlink"/>
          </w:rPr>
          <w:t>Components</w:t>
        </w:r>
        <w:r w:rsidR="00833F7B">
          <w:rPr>
            <w:webHidden/>
          </w:rPr>
          <w:tab/>
        </w:r>
        <w:r>
          <w:rPr>
            <w:webHidden/>
          </w:rPr>
          <w:fldChar w:fldCharType="begin"/>
        </w:r>
        <w:r w:rsidR="00833F7B">
          <w:rPr>
            <w:webHidden/>
          </w:rPr>
          <w:instrText xml:space="preserve"> PAGEREF _Toc244318317 \h </w:instrText>
        </w:r>
        <w:r>
          <w:rPr>
            <w:webHidden/>
          </w:rPr>
        </w:r>
        <w:r>
          <w:rPr>
            <w:webHidden/>
          </w:rPr>
          <w:fldChar w:fldCharType="separate"/>
        </w:r>
        <w:r w:rsidR="00833F7B">
          <w:rPr>
            <w:webHidden/>
          </w:rPr>
          <w:t>5</w:t>
        </w:r>
        <w:r>
          <w:rPr>
            <w:webHidden/>
          </w:rPr>
          <w:fldChar w:fldCharType="end"/>
        </w:r>
      </w:hyperlink>
    </w:p>
    <w:p w:rsidR="00833F7B" w:rsidRDefault="009C7F69">
      <w:pPr>
        <w:pStyle w:val="TOC2"/>
        <w:rPr>
          <w:rFonts w:ascii="Times New Roman" w:hAnsi="Times New Roman"/>
          <w:sz w:val="24"/>
        </w:rPr>
      </w:pPr>
      <w:hyperlink w:anchor="_Toc244318318" w:history="1">
        <w:r w:rsidR="00833F7B" w:rsidRPr="0086380C">
          <w:rPr>
            <w:rStyle w:val="Hyperlink"/>
          </w:rPr>
          <w:t>Homeland Security Exercise and Evaluation Program (HSEEP)</w:t>
        </w:r>
        <w:r w:rsidR="00833F7B">
          <w:rPr>
            <w:webHidden/>
          </w:rPr>
          <w:tab/>
        </w:r>
        <w:r>
          <w:rPr>
            <w:webHidden/>
          </w:rPr>
          <w:fldChar w:fldCharType="begin"/>
        </w:r>
        <w:r w:rsidR="00833F7B">
          <w:rPr>
            <w:webHidden/>
          </w:rPr>
          <w:instrText xml:space="preserve"> PAGEREF _Toc244318318 \h </w:instrText>
        </w:r>
        <w:r>
          <w:rPr>
            <w:webHidden/>
          </w:rPr>
        </w:r>
        <w:r>
          <w:rPr>
            <w:webHidden/>
          </w:rPr>
          <w:fldChar w:fldCharType="separate"/>
        </w:r>
        <w:r w:rsidR="00833F7B">
          <w:rPr>
            <w:webHidden/>
          </w:rPr>
          <w:t>5</w:t>
        </w:r>
        <w:r>
          <w:rPr>
            <w:webHidden/>
          </w:rPr>
          <w:fldChar w:fldCharType="end"/>
        </w:r>
      </w:hyperlink>
    </w:p>
    <w:p w:rsidR="00833F7B" w:rsidRDefault="009C7F69">
      <w:pPr>
        <w:pStyle w:val="TOC2"/>
        <w:rPr>
          <w:rFonts w:ascii="Times New Roman" w:hAnsi="Times New Roman"/>
          <w:sz w:val="24"/>
        </w:rPr>
      </w:pPr>
      <w:hyperlink w:anchor="_Toc244318319" w:history="1">
        <w:r w:rsidR="00833F7B" w:rsidRPr="0086380C">
          <w:rPr>
            <w:rStyle w:val="Hyperlink"/>
          </w:rPr>
          <w:t>Capabilities-Based Planning</w:t>
        </w:r>
        <w:r w:rsidR="00833F7B">
          <w:rPr>
            <w:webHidden/>
          </w:rPr>
          <w:tab/>
        </w:r>
        <w:r>
          <w:rPr>
            <w:webHidden/>
          </w:rPr>
          <w:fldChar w:fldCharType="begin"/>
        </w:r>
        <w:r w:rsidR="00833F7B">
          <w:rPr>
            <w:webHidden/>
          </w:rPr>
          <w:instrText xml:space="preserve"> PAGEREF _Toc244318319 \h </w:instrText>
        </w:r>
        <w:r>
          <w:rPr>
            <w:webHidden/>
          </w:rPr>
        </w:r>
        <w:r>
          <w:rPr>
            <w:webHidden/>
          </w:rPr>
          <w:fldChar w:fldCharType="separate"/>
        </w:r>
        <w:r w:rsidR="00833F7B">
          <w:rPr>
            <w:webHidden/>
          </w:rPr>
          <w:t>6</w:t>
        </w:r>
        <w:r>
          <w:rPr>
            <w:webHidden/>
          </w:rPr>
          <w:fldChar w:fldCharType="end"/>
        </w:r>
      </w:hyperlink>
    </w:p>
    <w:p w:rsidR="00833F7B" w:rsidRDefault="009C7F69">
      <w:pPr>
        <w:pStyle w:val="TOC2"/>
        <w:rPr>
          <w:rFonts w:ascii="Times New Roman" w:hAnsi="Times New Roman"/>
          <w:sz w:val="24"/>
        </w:rPr>
      </w:pPr>
      <w:hyperlink w:anchor="_Toc244318320" w:history="1">
        <w:r w:rsidR="00833F7B" w:rsidRPr="0086380C">
          <w:rPr>
            <w:rStyle w:val="Hyperlink"/>
          </w:rPr>
          <w:t>Homeland Security Presidential Directive 8 (HSPD-8)</w:t>
        </w:r>
        <w:r w:rsidR="00833F7B">
          <w:rPr>
            <w:webHidden/>
          </w:rPr>
          <w:tab/>
        </w:r>
        <w:r>
          <w:rPr>
            <w:webHidden/>
          </w:rPr>
          <w:fldChar w:fldCharType="begin"/>
        </w:r>
        <w:r w:rsidR="00833F7B">
          <w:rPr>
            <w:webHidden/>
          </w:rPr>
          <w:instrText xml:space="preserve"> PAGEREF _Toc244318320 \h </w:instrText>
        </w:r>
        <w:r>
          <w:rPr>
            <w:webHidden/>
          </w:rPr>
        </w:r>
        <w:r>
          <w:rPr>
            <w:webHidden/>
          </w:rPr>
          <w:fldChar w:fldCharType="separate"/>
        </w:r>
        <w:r w:rsidR="00833F7B">
          <w:rPr>
            <w:webHidden/>
          </w:rPr>
          <w:t>6</w:t>
        </w:r>
        <w:r>
          <w:rPr>
            <w:webHidden/>
          </w:rPr>
          <w:fldChar w:fldCharType="end"/>
        </w:r>
      </w:hyperlink>
    </w:p>
    <w:p w:rsidR="00833F7B" w:rsidRDefault="009C7F69">
      <w:pPr>
        <w:pStyle w:val="TOC2"/>
        <w:rPr>
          <w:rFonts w:ascii="Times New Roman" w:hAnsi="Times New Roman"/>
          <w:sz w:val="24"/>
        </w:rPr>
      </w:pPr>
      <w:hyperlink w:anchor="_Toc244318321" w:history="1">
        <w:r w:rsidR="00833F7B" w:rsidRPr="0086380C">
          <w:rPr>
            <w:rStyle w:val="Hyperlink"/>
          </w:rPr>
          <w:t>National Preparedness Goal</w:t>
        </w:r>
        <w:r w:rsidR="00833F7B">
          <w:rPr>
            <w:webHidden/>
          </w:rPr>
          <w:tab/>
        </w:r>
        <w:r>
          <w:rPr>
            <w:webHidden/>
          </w:rPr>
          <w:fldChar w:fldCharType="begin"/>
        </w:r>
        <w:r w:rsidR="00833F7B">
          <w:rPr>
            <w:webHidden/>
          </w:rPr>
          <w:instrText xml:space="preserve"> PAGEREF _Toc244318321 \h </w:instrText>
        </w:r>
        <w:r>
          <w:rPr>
            <w:webHidden/>
          </w:rPr>
        </w:r>
        <w:r>
          <w:rPr>
            <w:webHidden/>
          </w:rPr>
          <w:fldChar w:fldCharType="separate"/>
        </w:r>
        <w:r w:rsidR="00833F7B">
          <w:rPr>
            <w:webHidden/>
          </w:rPr>
          <w:t>6</w:t>
        </w:r>
        <w:r>
          <w:rPr>
            <w:webHidden/>
          </w:rPr>
          <w:fldChar w:fldCharType="end"/>
        </w:r>
      </w:hyperlink>
    </w:p>
    <w:p w:rsidR="00833F7B" w:rsidRDefault="009C7F69">
      <w:pPr>
        <w:pStyle w:val="TOC2"/>
        <w:rPr>
          <w:rFonts w:ascii="Times New Roman" w:hAnsi="Times New Roman"/>
          <w:sz w:val="24"/>
        </w:rPr>
      </w:pPr>
      <w:hyperlink w:anchor="_Toc244318322" w:history="1">
        <w:r w:rsidR="00833F7B" w:rsidRPr="0086380C">
          <w:rPr>
            <w:rStyle w:val="Hyperlink"/>
          </w:rPr>
          <w:t>National Planning Scenarios</w:t>
        </w:r>
        <w:r w:rsidR="00833F7B">
          <w:rPr>
            <w:webHidden/>
          </w:rPr>
          <w:tab/>
        </w:r>
        <w:r>
          <w:rPr>
            <w:webHidden/>
          </w:rPr>
          <w:fldChar w:fldCharType="begin"/>
        </w:r>
        <w:r w:rsidR="00833F7B">
          <w:rPr>
            <w:webHidden/>
          </w:rPr>
          <w:instrText xml:space="preserve"> PAGEREF _Toc244318322 \h </w:instrText>
        </w:r>
        <w:r>
          <w:rPr>
            <w:webHidden/>
          </w:rPr>
        </w:r>
        <w:r>
          <w:rPr>
            <w:webHidden/>
          </w:rPr>
          <w:fldChar w:fldCharType="separate"/>
        </w:r>
        <w:r w:rsidR="00833F7B">
          <w:rPr>
            <w:webHidden/>
          </w:rPr>
          <w:t>7</w:t>
        </w:r>
        <w:r>
          <w:rPr>
            <w:webHidden/>
          </w:rPr>
          <w:fldChar w:fldCharType="end"/>
        </w:r>
      </w:hyperlink>
    </w:p>
    <w:p w:rsidR="00833F7B" w:rsidRDefault="009C7F69">
      <w:pPr>
        <w:pStyle w:val="TOC2"/>
        <w:rPr>
          <w:rFonts w:ascii="Times New Roman" w:hAnsi="Times New Roman"/>
          <w:sz w:val="24"/>
        </w:rPr>
      </w:pPr>
      <w:hyperlink w:anchor="_Toc244318323" w:history="1">
        <w:r w:rsidR="00833F7B" w:rsidRPr="0086380C">
          <w:rPr>
            <w:rStyle w:val="Hyperlink"/>
          </w:rPr>
          <w:t>Target Capabilities List (TCL)</w:t>
        </w:r>
        <w:r w:rsidR="00833F7B">
          <w:rPr>
            <w:webHidden/>
          </w:rPr>
          <w:tab/>
        </w:r>
        <w:r>
          <w:rPr>
            <w:webHidden/>
          </w:rPr>
          <w:fldChar w:fldCharType="begin"/>
        </w:r>
        <w:r w:rsidR="00833F7B">
          <w:rPr>
            <w:webHidden/>
          </w:rPr>
          <w:instrText xml:space="preserve"> PAGEREF _Toc244318323 \h </w:instrText>
        </w:r>
        <w:r>
          <w:rPr>
            <w:webHidden/>
          </w:rPr>
        </w:r>
        <w:r>
          <w:rPr>
            <w:webHidden/>
          </w:rPr>
          <w:fldChar w:fldCharType="separate"/>
        </w:r>
        <w:r w:rsidR="00833F7B">
          <w:rPr>
            <w:webHidden/>
          </w:rPr>
          <w:t>7</w:t>
        </w:r>
        <w:r>
          <w:rPr>
            <w:webHidden/>
          </w:rPr>
          <w:fldChar w:fldCharType="end"/>
        </w:r>
      </w:hyperlink>
    </w:p>
    <w:p w:rsidR="00833F7B" w:rsidRDefault="009C7F69">
      <w:pPr>
        <w:pStyle w:val="TOC2"/>
        <w:rPr>
          <w:rFonts w:ascii="Times New Roman" w:hAnsi="Times New Roman"/>
          <w:sz w:val="24"/>
        </w:rPr>
      </w:pPr>
      <w:hyperlink w:anchor="_Toc244318324" w:history="1">
        <w:r w:rsidR="00833F7B" w:rsidRPr="0086380C">
          <w:rPr>
            <w:rStyle w:val="Hyperlink"/>
          </w:rPr>
          <w:t>Universal Task List (UTL)</w:t>
        </w:r>
        <w:r w:rsidR="00833F7B">
          <w:rPr>
            <w:webHidden/>
          </w:rPr>
          <w:tab/>
        </w:r>
        <w:r>
          <w:rPr>
            <w:webHidden/>
          </w:rPr>
          <w:fldChar w:fldCharType="begin"/>
        </w:r>
        <w:r w:rsidR="00833F7B">
          <w:rPr>
            <w:webHidden/>
          </w:rPr>
          <w:instrText xml:space="preserve"> PAGEREF _Toc244318324 \h </w:instrText>
        </w:r>
        <w:r>
          <w:rPr>
            <w:webHidden/>
          </w:rPr>
        </w:r>
        <w:r>
          <w:rPr>
            <w:webHidden/>
          </w:rPr>
          <w:fldChar w:fldCharType="separate"/>
        </w:r>
        <w:r w:rsidR="00833F7B">
          <w:rPr>
            <w:webHidden/>
          </w:rPr>
          <w:t>8</w:t>
        </w:r>
        <w:r>
          <w:rPr>
            <w:webHidden/>
          </w:rPr>
          <w:fldChar w:fldCharType="end"/>
        </w:r>
      </w:hyperlink>
    </w:p>
    <w:p w:rsidR="00833F7B" w:rsidRDefault="009C7F69">
      <w:pPr>
        <w:pStyle w:val="TOC1"/>
        <w:rPr>
          <w:rFonts w:ascii="Times New Roman" w:hAnsi="Times New Roman"/>
          <w:b w:val="0"/>
          <w:noProof/>
          <w:sz w:val="24"/>
        </w:rPr>
      </w:pPr>
      <w:hyperlink w:anchor="_Toc244318325" w:history="1">
        <w:r w:rsidR="00833F7B" w:rsidRPr="0086380C">
          <w:rPr>
            <w:rStyle w:val="Hyperlink"/>
            <w:noProof/>
          </w:rPr>
          <w:t>Appendix A: Target Capabilities List (TCL)</w:t>
        </w:r>
        <w:r w:rsidR="00833F7B">
          <w:rPr>
            <w:noProof/>
            <w:webHidden/>
          </w:rPr>
          <w:tab/>
        </w:r>
        <w:r>
          <w:rPr>
            <w:noProof/>
            <w:webHidden/>
          </w:rPr>
          <w:fldChar w:fldCharType="begin"/>
        </w:r>
        <w:r w:rsidR="00833F7B">
          <w:rPr>
            <w:noProof/>
            <w:webHidden/>
          </w:rPr>
          <w:instrText xml:space="preserve"> PAGEREF _Toc244318325 \h </w:instrText>
        </w:r>
        <w:r>
          <w:rPr>
            <w:noProof/>
            <w:webHidden/>
          </w:rPr>
        </w:r>
        <w:r>
          <w:rPr>
            <w:noProof/>
            <w:webHidden/>
          </w:rPr>
          <w:fldChar w:fldCharType="separate"/>
        </w:r>
        <w:r w:rsidR="00833F7B">
          <w:rPr>
            <w:noProof/>
            <w:webHidden/>
          </w:rPr>
          <w:t>1</w:t>
        </w:r>
        <w:r>
          <w:rPr>
            <w:noProof/>
            <w:webHidden/>
          </w:rPr>
          <w:fldChar w:fldCharType="end"/>
        </w:r>
      </w:hyperlink>
    </w:p>
    <w:p w:rsidR="00833F7B" w:rsidRDefault="009C7F69">
      <w:pPr>
        <w:pStyle w:val="TOC1"/>
        <w:rPr>
          <w:rFonts w:ascii="Times New Roman" w:hAnsi="Times New Roman"/>
          <w:b w:val="0"/>
          <w:noProof/>
          <w:sz w:val="24"/>
        </w:rPr>
      </w:pPr>
      <w:hyperlink w:anchor="_Toc244318326" w:history="1">
        <w:r w:rsidR="00833F7B" w:rsidRPr="0086380C">
          <w:rPr>
            <w:rStyle w:val="Hyperlink"/>
            <w:noProof/>
          </w:rPr>
          <w:t>Appendix B: Exercise Types</w:t>
        </w:r>
        <w:r w:rsidR="00833F7B">
          <w:rPr>
            <w:noProof/>
            <w:webHidden/>
          </w:rPr>
          <w:tab/>
        </w:r>
        <w:r>
          <w:rPr>
            <w:noProof/>
            <w:webHidden/>
          </w:rPr>
          <w:fldChar w:fldCharType="begin"/>
        </w:r>
        <w:r w:rsidR="00833F7B">
          <w:rPr>
            <w:noProof/>
            <w:webHidden/>
          </w:rPr>
          <w:instrText xml:space="preserve"> PAGEREF _Toc244318326 \h </w:instrText>
        </w:r>
        <w:r>
          <w:rPr>
            <w:noProof/>
            <w:webHidden/>
          </w:rPr>
        </w:r>
        <w:r>
          <w:rPr>
            <w:noProof/>
            <w:webHidden/>
          </w:rPr>
          <w:fldChar w:fldCharType="separate"/>
        </w:r>
        <w:r w:rsidR="00833F7B">
          <w:rPr>
            <w:noProof/>
            <w:webHidden/>
          </w:rPr>
          <w:t>1</w:t>
        </w:r>
        <w:r>
          <w:rPr>
            <w:noProof/>
            <w:webHidden/>
          </w:rPr>
          <w:fldChar w:fldCharType="end"/>
        </w:r>
      </w:hyperlink>
    </w:p>
    <w:p w:rsidR="00833F7B" w:rsidRDefault="009C7F69">
      <w:pPr>
        <w:pStyle w:val="TOC2"/>
        <w:rPr>
          <w:rFonts w:ascii="Times New Roman" w:hAnsi="Times New Roman"/>
          <w:sz w:val="24"/>
        </w:rPr>
      </w:pPr>
      <w:hyperlink w:anchor="_Toc244318327" w:history="1">
        <w:r w:rsidR="00833F7B" w:rsidRPr="0086380C">
          <w:rPr>
            <w:rStyle w:val="Hyperlink"/>
          </w:rPr>
          <w:t>Discussion-Based Exercises</w:t>
        </w:r>
        <w:r w:rsidR="00833F7B">
          <w:rPr>
            <w:webHidden/>
          </w:rPr>
          <w:tab/>
        </w:r>
        <w:r>
          <w:rPr>
            <w:webHidden/>
          </w:rPr>
          <w:fldChar w:fldCharType="begin"/>
        </w:r>
        <w:r w:rsidR="00833F7B">
          <w:rPr>
            <w:webHidden/>
          </w:rPr>
          <w:instrText xml:space="preserve"> PAGEREF _Toc244318327 \h </w:instrText>
        </w:r>
        <w:r>
          <w:rPr>
            <w:webHidden/>
          </w:rPr>
        </w:r>
        <w:r>
          <w:rPr>
            <w:webHidden/>
          </w:rPr>
          <w:fldChar w:fldCharType="separate"/>
        </w:r>
        <w:r w:rsidR="00833F7B">
          <w:rPr>
            <w:webHidden/>
          </w:rPr>
          <w:t>1</w:t>
        </w:r>
        <w:r>
          <w:rPr>
            <w:webHidden/>
          </w:rPr>
          <w:fldChar w:fldCharType="end"/>
        </w:r>
      </w:hyperlink>
    </w:p>
    <w:p w:rsidR="00833F7B" w:rsidRDefault="009C7F69">
      <w:pPr>
        <w:pStyle w:val="TOC2"/>
        <w:rPr>
          <w:rFonts w:ascii="Times New Roman" w:hAnsi="Times New Roman"/>
          <w:sz w:val="24"/>
        </w:rPr>
      </w:pPr>
      <w:hyperlink w:anchor="_Toc244318328" w:history="1">
        <w:r w:rsidR="00833F7B" w:rsidRPr="0086380C">
          <w:rPr>
            <w:rStyle w:val="Hyperlink"/>
          </w:rPr>
          <w:t>Operations-Based Exercises</w:t>
        </w:r>
        <w:r w:rsidR="00833F7B">
          <w:rPr>
            <w:webHidden/>
          </w:rPr>
          <w:tab/>
        </w:r>
        <w:r>
          <w:rPr>
            <w:webHidden/>
          </w:rPr>
          <w:fldChar w:fldCharType="begin"/>
        </w:r>
        <w:r w:rsidR="00833F7B">
          <w:rPr>
            <w:webHidden/>
          </w:rPr>
          <w:instrText xml:space="preserve"> PAGEREF _Toc244318328 \h </w:instrText>
        </w:r>
        <w:r>
          <w:rPr>
            <w:webHidden/>
          </w:rPr>
        </w:r>
        <w:r>
          <w:rPr>
            <w:webHidden/>
          </w:rPr>
          <w:fldChar w:fldCharType="separate"/>
        </w:r>
        <w:r w:rsidR="00833F7B">
          <w:rPr>
            <w:webHidden/>
          </w:rPr>
          <w:t>3</w:t>
        </w:r>
        <w:r>
          <w:rPr>
            <w:webHidden/>
          </w:rPr>
          <w:fldChar w:fldCharType="end"/>
        </w:r>
      </w:hyperlink>
    </w:p>
    <w:p w:rsidR="00833F7B" w:rsidRDefault="009C7F69">
      <w:pPr>
        <w:pStyle w:val="TOC1"/>
        <w:rPr>
          <w:rFonts w:ascii="Times New Roman" w:hAnsi="Times New Roman"/>
          <w:b w:val="0"/>
          <w:noProof/>
          <w:sz w:val="24"/>
        </w:rPr>
      </w:pPr>
      <w:hyperlink w:anchor="_Toc244318329" w:history="1">
        <w:r w:rsidR="00833F7B" w:rsidRPr="0086380C">
          <w:rPr>
            <w:rStyle w:val="Hyperlink"/>
            <w:noProof/>
          </w:rPr>
          <w:t>Appendix C: Sample Forms</w:t>
        </w:r>
        <w:r w:rsidR="00833F7B">
          <w:rPr>
            <w:noProof/>
            <w:webHidden/>
          </w:rPr>
          <w:tab/>
        </w:r>
        <w:r>
          <w:rPr>
            <w:noProof/>
            <w:webHidden/>
          </w:rPr>
          <w:fldChar w:fldCharType="begin"/>
        </w:r>
        <w:r w:rsidR="00833F7B">
          <w:rPr>
            <w:noProof/>
            <w:webHidden/>
          </w:rPr>
          <w:instrText xml:space="preserve"> PAGEREF _Toc244318329 \h </w:instrText>
        </w:r>
        <w:r>
          <w:rPr>
            <w:noProof/>
            <w:webHidden/>
          </w:rPr>
        </w:r>
        <w:r>
          <w:rPr>
            <w:noProof/>
            <w:webHidden/>
          </w:rPr>
          <w:fldChar w:fldCharType="separate"/>
        </w:r>
        <w:r w:rsidR="00833F7B">
          <w:rPr>
            <w:noProof/>
            <w:webHidden/>
          </w:rPr>
          <w:t>1</w:t>
        </w:r>
        <w:r>
          <w:rPr>
            <w:noProof/>
            <w:webHidden/>
          </w:rPr>
          <w:fldChar w:fldCharType="end"/>
        </w:r>
      </w:hyperlink>
    </w:p>
    <w:p w:rsidR="00833F7B" w:rsidRDefault="009C7F69">
      <w:pPr>
        <w:pStyle w:val="TOC2"/>
        <w:rPr>
          <w:rFonts w:ascii="Times New Roman" w:hAnsi="Times New Roman"/>
          <w:sz w:val="24"/>
        </w:rPr>
      </w:pPr>
      <w:hyperlink w:anchor="_Toc244318330" w:history="1">
        <w:r w:rsidR="00833F7B" w:rsidRPr="0086380C">
          <w:rPr>
            <w:rStyle w:val="Hyperlink"/>
          </w:rPr>
          <w:t>Sample Invitation Letter</w:t>
        </w:r>
        <w:r w:rsidR="00833F7B">
          <w:rPr>
            <w:webHidden/>
          </w:rPr>
          <w:tab/>
        </w:r>
        <w:r>
          <w:rPr>
            <w:webHidden/>
          </w:rPr>
          <w:fldChar w:fldCharType="begin"/>
        </w:r>
        <w:r w:rsidR="00833F7B">
          <w:rPr>
            <w:webHidden/>
          </w:rPr>
          <w:instrText xml:space="preserve"> PAGEREF _Toc244318330 \h </w:instrText>
        </w:r>
        <w:r>
          <w:rPr>
            <w:webHidden/>
          </w:rPr>
        </w:r>
        <w:r>
          <w:rPr>
            <w:webHidden/>
          </w:rPr>
          <w:fldChar w:fldCharType="separate"/>
        </w:r>
        <w:r w:rsidR="00833F7B">
          <w:rPr>
            <w:webHidden/>
          </w:rPr>
          <w:t>1</w:t>
        </w:r>
        <w:r>
          <w:rPr>
            <w:webHidden/>
          </w:rPr>
          <w:fldChar w:fldCharType="end"/>
        </w:r>
      </w:hyperlink>
    </w:p>
    <w:p w:rsidR="00833F7B" w:rsidRDefault="009C7F69">
      <w:pPr>
        <w:pStyle w:val="TOC2"/>
        <w:rPr>
          <w:rFonts w:ascii="Times New Roman" w:hAnsi="Times New Roman"/>
          <w:sz w:val="24"/>
        </w:rPr>
      </w:pPr>
      <w:hyperlink w:anchor="_Toc244318331" w:history="1">
        <w:r w:rsidR="00833F7B" w:rsidRPr="0086380C">
          <w:rPr>
            <w:rStyle w:val="Hyperlink"/>
          </w:rPr>
          <w:t>Sample TEPW Agenda</w:t>
        </w:r>
        <w:r w:rsidR="00833F7B">
          <w:rPr>
            <w:webHidden/>
          </w:rPr>
          <w:tab/>
        </w:r>
        <w:r>
          <w:rPr>
            <w:webHidden/>
          </w:rPr>
          <w:fldChar w:fldCharType="begin"/>
        </w:r>
        <w:r w:rsidR="00833F7B">
          <w:rPr>
            <w:webHidden/>
          </w:rPr>
          <w:instrText xml:space="preserve"> PAGEREF _Toc244318331 \h </w:instrText>
        </w:r>
        <w:r>
          <w:rPr>
            <w:webHidden/>
          </w:rPr>
        </w:r>
        <w:r>
          <w:rPr>
            <w:webHidden/>
          </w:rPr>
          <w:fldChar w:fldCharType="separate"/>
        </w:r>
        <w:r w:rsidR="00833F7B">
          <w:rPr>
            <w:webHidden/>
          </w:rPr>
          <w:t>2</w:t>
        </w:r>
        <w:r>
          <w:rPr>
            <w:webHidden/>
          </w:rPr>
          <w:fldChar w:fldCharType="end"/>
        </w:r>
      </w:hyperlink>
    </w:p>
    <w:p w:rsidR="00833F7B" w:rsidRDefault="009C7F69">
      <w:pPr>
        <w:pStyle w:val="TOC2"/>
        <w:rPr>
          <w:rFonts w:ascii="Times New Roman" w:hAnsi="Times New Roman"/>
          <w:sz w:val="24"/>
        </w:rPr>
      </w:pPr>
      <w:hyperlink w:anchor="_Toc244318332" w:history="1">
        <w:r w:rsidR="00833F7B" w:rsidRPr="0086380C">
          <w:rPr>
            <w:rStyle w:val="Hyperlink"/>
          </w:rPr>
          <w:t>Sample Participant List</w:t>
        </w:r>
        <w:r w:rsidR="00833F7B">
          <w:rPr>
            <w:webHidden/>
          </w:rPr>
          <w:tab/>
        </w:r>
        <w:r>
          <w:rPr>
            <w:webHidden/>
          </w:rPr>
          <w:fldChar w:fldCharType="begin"/>
        </w:r>
        <w:r w:rsidR="00833F7B">
          <w:rPr>
            <w:webHidden/>
          </w:rPr>
          <w:instrText xml:space="preserve"> PAGEREF _Toc244318332 \h </w:instrText>
        </w:r>
        <w:r>
          <w:rPr>
            <w:webHidden/>
          </w:rPr>
        </w:r>
        <w:r>
          <w:rPr>
            <w:webHidden/>
          </w:rPr>
          <w:fldChar w:fldCharType="separate"/>
        </w:r>
        <w:r w:rsidR="00833F7B">
          <w:rPr>
            <w:webHidden/>
          </w:rPr>
          <w:t>3</w:t>
        </w:r>
        <w:r>
          <w:rPr>
            <w:webHidden/>
          </w:rPr>
          <w:fldChar w:fldCharType="end"/>
        </w:r>
      </w:hyperlink>
    </w:p>
    <w:p w:rsidR="00367DC5" w:rsidRDefault="009C7F69" w:rsidP="002E652A">
      <w:r>
        <w:fldChar w:fldCharType="end"/>
      </w:r>
    </w:p>
    <w:p w:rsidR="007065BC" w:rsidRPr="003F7386" w:rsidRDefault="007065BC" w:rsidP="002E652A"/>
    <w:p w:rsidR="0009524C" w:rsidRDefault="0009524C" w:rsidP="002E652A"/>
    <w:p w:rsidR="003F7386" w:rsidRPr="003F7386" w:rsidRDefault="003F7386" w:rsidP="002E652A">
      <w:pPr>
        <w:sectPr w:rsidR="003F7386" w:rsidRPr="003F7386" w:rsidSect="00325781">
          <w:footerReference w:type="default" r:id="rId12"/>
          <w:footerReference w:type="first" r:id="rId13"/>
          <w:pgSz w:w="12240" w:h="15840" w:code="1"/>
          <w:pgMar w:top="1440" w:right="1440" w:bottom="1440" w:left="1440" w:header="432" w:footer="432" w:gutter="0"/>
          <w:pgNumType w:fmt="lowerRoman"/>
          <w:cols w:space="720"/>
          <w:docGrid w:linePitch="360"/>
        </w:sectPr>
      </w:pPr>
    </w:p>
    <w:p w:rsidR="00A40127" w:rsidRDefault="00367DC5" w:rsidP="002E652A">
      <w:pPr>
        <w:pStyle w:val="Heading1"/>
      </w:pPr>
      <w:bookmarkStart w:id="1" w:name="_Toc244318311"/>
      <w:bookmarkStart w:id="2" w:name="_Toc242263765"/>
      <w:r w:rsidRPr="00D97424">
        <w:lastRenderedPageBreak/>
        <w:t>Training an</w:t>
      </w:r>
      <w:r w:rsidR="00ED4A0A" w:rsidRPr="00D97424">
        <w:t xml:space="preserve">d Exercise Planning Workshop </w:t>
      </w:r>
      <w:r w:rsidR="00A40127">
        <w:t>(TEPW)</w:t>
      </w:r>
      <w:bookmarkEnd w:id="1"/>
    </w:p>
    <w:p w:rsidR="00367DC5" w:rsidRPr="00D97424" w:rsidRDefault="00367DC5" w:rsidP="002E652A">
      <w:pPr>
        <w:pStyle w:val="Heading2"/>
      </w:pPr>
      <w:bookmarkStart w:id="3" w:name="_Toc244318312"/>
      <w:r w:rsidRPr="00D97424">
        <w:t>Purpose</w:t>
      </w:r>
      <w:bookmarkEnd w:id="2"/>
      <w:bookmarkEnd w:id="3"/>
    </w:p>
    <w:p w:rsidR="00367DC5" w:rsidRPr="005137C4" w:rsidRDefault="00367DC5" w:rsidP="002E652A">
      <w:pPr>
        <w:pStyle w:val="BodyText"/>
      </w:pPr>
      <w:r w:rsidRPr="005137C4">
        <w:t xml:space="preserve">The U.S. Department of Homeland Security (DHS) has developed this </w:t>
      </w:r>
      <w:r w:rsidRPr="00A40127">
        <w:rPr>
          <w:i/>
        </w:rPr>
        <w:t>Training and Exercise Plan</w:t>
      </w:r>
      <w:r w:rsidR="00E6704A" w:rsidRPr="00A40127">
        <w:rPr>
          <w:i/>
        </w:rPr>
        <w:t>ning</w:t>
      </w:r>
      <w:r w:rsidRPr="00A40127">
        <w:rPr>
          <w:i/>
        </w:rPr>
        <w:t xml:space="preserve"> Workshop (TEPW) User Handbook, </w:t>
      </w:r>
      <w:r w:rsidRPr="005137C4">
        <w:t>which</w:t>
      </w:r>
      <w:r w:rsidRPr="00D97424">
        <w:t xml:space="preserve"> </w:t>
      </w:r>
      <w:r w:rsidRPr="005137C4">
        <w:t xml:space="preserve">provides the necessary information and documentation to assist </w:t>
      </w:r>
      <w:r>
        <w:t xml:space="preserve">each </w:t>
      </w:r>
      <w:r w:rsidR="001A7ABB">
        <w:t>jurisdiction</w:t>
      </w:r>
      <w:r w:rsidR="00A242F7">
        <w:t xml:space="preserve"> or </w:t>
      </w:r>
      <w:r w:rsidR="001A7ABB">
        <w:t xml:space="preserve">agency </w:t>
      </w:r>
      <w:r w:rsidR="00ED4A0A">
        <w:t>in conducting an annual T</w:t>
      </w:r>
      <w:r w:rsidRPr="005137C4">
        <w:t xml:space="preserve">EPW. It has been tailored to include documents appropriate to the needs of </w:t>
      </w:r>
      <w:r>
        <w:t xml:space="preserve">each </w:t>
      </w:r>
      <w:r w:rsidR="001A7ABB">
        <w:t>jurisdiction</w:t>
      </w:r>
      <w:r w:rsidR="00A242F7">
        <w:t xml:space="preserve"> or </w:t>
      </w:r>
      <w:r w:rsidR="001A7ABB">
        <w:t xml:space="preserve">agency </w:t>
      </w:r>
      <w:r w:rsidR="00ED4A0A">
        <w:t>conducting the T</w:t>
      </w:r>
      <w:r w:rsidRPr="005137C4">
        <w:t>EPW, including guidelines, sample documents, timelines, and definitions.</w:t>
      </w:r>
    </w:p>
    <w:p w:rsidR="00ED4A0A" w:rsidRPr="005670EB" w:rsidRDefault="00ED4A0A" w:rsidP="002E652A">
      <w:pPr>
        <w:pStyle w:val="BodyText"/>
      </w:pPr>
      <w:r w:rsidRPr="005670EB">
        <w:t xml:space="preserve">The TEPW is part of a process that begins with the Improvement Planning Workshop (IPW). The IPW provides an opportunity to determine the </w:t>
      </w:r>
      <w:r>
        <w:t xml:space="preserve">primary </w:t>
      </w:r>
      <w:r w:rsidRPr="005670EB">
        <w:t>areas for improvement and target capabilities on which the jurisdiction</w:t>
      </w:r>
      <w:r w:rsidR="00A242F7">
        <w:t xml:space="preserve"> or </w:t>
      </w:r>
      <w:r w:rsidRPr="005670EB">
        <w:t>agency should focus</w:t>
      </w:r>
      <w:r w:rsidRPr="00321E74">
        <w:t xml:space="preserve"> </w:t>
      </w:r>
      <w:r w:rsidR="00A40127">
        <w:t>its</w:t>
      </w:r>
      <w:r>
        <w:t xml:space="preserve"> exercise programs</w:t>
      </w:r>
      <w:r w:rsidRPr="005670EB">
        <w:t xml:space="preserve">. These areas for improvement and target capabilities constitute the foundation for ongoing development and evolution of the Multi-Year Training and Exercise Plan, which </w:t>
      </w:r>
      <w:proofErr w:type="gramStart"/>
      <w:r w:rsidRPr="005670EB">
        <w:t>is revised</w:t>
      </w:r>
      <w:proofErr w:type="gramEnd"/>
      <w:r w:rsidRPr="005670EB">
        <w:t xml:space="preserve"> annually at the TEPW. At the TEPW, stakeholders identify training and exercises that will assist the jurisdiction</w:t>
      </w:r>
      <w:r w:rsidR="00A242F7">
        <w:t xml:space="preserve"> or </w:t>
      </w:r>
      <w:r w:rsidRPr="005670EB">
        <w:t xml:space="preserve">agency in closing gaps and addressing the priorities identified at the IPW as well as identify target capabilities to focus on for each fiscal year. </w:t>
      </w:r>
      <w:r w:rsidRPr="00A40127">
        <w:rPr>
          <w:b/>
        </w:rPr>
        <w:t>Figure 1</w:t>
      </w:r>
      <w:r w:rsidRPr="005670EB">
        <w:t xml:space="preserve"> illustrates how the IPW ties into the TEPW and highlights the inputs and outputs of each workshop.</w:t>
      </w:r>
    </w:p>
    <w:p w:rsidR="00ED4A0A" w:rsidRPr="00E11CA1" w:rsidRDefault="00ED4A0A" w:rsidP="002E652A">
      <w:pPr>
        <w:pStyle w:val="Caption"/>
      </w:pPr>
      <w:proofErr w:type="gramStart"/>
      <w:r w:rsidRPr="00E11CA1">
        <w:t>Figure 1.</w:t>
      </w:r>
      <w:proofErr w:type="gramEnd"/>
      <w:r w:rsidRPr="00E11CA1">
        <w:t xml:space="preserve"> IPW and TEPW Process</w:t>
      </w:r>
    </w:p>
    <w:p w:rsidR="00ED4A0A" w:rsidRPr="00E11CA1" w:rsidRDefault="00ED4A0A" w:rsidP="002E652A">
      <w:pPr>
        <w:pStyle w:val="BodyText"/>
        <w:ind w:left="360"/>
        <w:jc w:val="center"/>
        <w:rPr>
          <w:sz w:val="20"/>
          <w:szCs w:val="20"/>
        </w:rPr>
      </w:pPr>
    </w:p>
    <w:p w:rsidR="00ED4A0A" w:rsidRPr="00E11CA1" w:rsidRDefault="00885AE9" w:rsidP="002E652A">
      <w:pPr>
        <w:pStyle w:val="BodyText"/>
        <w:jc w:val="cente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80050" cy="2584450"/>
            <wp:effectExtent l="19050" t="0" r="6350" b="0"/>
            <wp:wrapSquare wrapText="bothSides"/>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4" cstate="print"/>
                    <a:srcRect/>
                    <a:stretch>
                      <a:fillRect/>
                    </a:stretch>
                  </pic:blipFill>
                  <pic:spPr bwMode="auto">
                    <a:xfrm>
                      <a:off x="0" y="0"/>
                      <a:ext cx="5480050" cy="2584450"/>
                    </a:xfrm>
                    <a:prstGeom prst="rect">
                      <a:avLst/>
                    </a:prstGeom>
                    <a:noFill/>
                    <a:ln w="9525">
                      <a:noFill/>
                      <a:miter lim="800000"/>
                      <a:headEnd/>
                      <a:tailEnd/>
                    </a:ln>
                  </pic:spPr>
                </pic:pic>
              </a:graphicData>
            </a:graphic>
          </wp:anchor>
        </w:drawing>
      </w:r>
    </w:p>
    <w:p w:rsidR="00ED4A0A" w:rsidRDefault="00ED4A0A" w:rsidP="002E652A">
      <w:pPr>
        <w:pStyle w:val="BodyText"/>
        <w:jc w:val="center"/>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ED4A0A" w:rsidRDefault="00ED4A0A" w:rsidP="002E652A">
      <w:pPr>
        <w:pStyle w:val="BodyText"/>
      </w:pPr>
    </w:p>
    <w:p w:rsidR="003F7386" w:rsidRDefault="003F7386" w:rsidP="002E652A">
      <w:pPr>
        <w:pStyle w:val="BodyText"/>
      </w:pPr>
    </w:p>
    <w:p w:rsidR="003F7386" w:rsidRDefault="003F7386" w:rsidP="002E652A">
      <w:pPr>
        <w:pStyle w:val="BodyText"/>
      </w:pPr>
    </w:p>
    <w:p w:rsidR="008E149B" w:rsidRPr="008E149B" w:rsidRDefault="008E149B" w:rsidP="002E652A">
      <w:pPr>
        <w:pStyle w:val="BodyText"/>
        <w:rPr>
          <w:sz w:val="12"/>
          <w:szCs w:val="12"/>
        </w:rPr>
      </w:pPr>
    </w:p>
    <w:p w:rsidR="00367DC5" w:rsidRPr="00D97424" w:rsidRDefault="00367DC5" w:rsidP="002E652A">
      <w:pPr>
        <w:pStyle w:val="Heading2"/>
      </w:pPr>
      <w:bookmarkStart w:id="4" w:name="_Toc242263766"/>
      <w:bookmarkStart w:id="5" w:name="_Toc244318313"/>
      <w:r w:rsidRPr="00D97424">
        <w:t>Preparation</w:t>
      </w:r>
      <w:bookmarkEnd w:id="4"/>
      <w:bookmarkEnd w:id="5"/>
    </w:p>
    <w:p w:rsidR="00ED4A0A" w:rsidRPr="005670EB" w:rsidRDefault="00ED4A0A" w:rsidP="002E652A">
      <w:pPr>
        <w:pStyle w:val="BodyText"/>
      </w:pPr>
      <w:r w:rsidRPr="005670EB">
        <w:t xml:space="preserve">Sponsoring and conducting a TEPW requires a great deal of preparation and coordination. For the TEPW to run smoothly, </w:t>
      </w:r>
      <w:r>
        <w:t>participants</w:t>
      </w:r>
      <w:r w:rsidRPr="005670EB">
        <w:t xml:space="preserve"> should have sufficient authority to commit their agency to specific actions discussed at the workshop and </w:t>
      </w:r>
      <w:r>
        <w:t>should be</w:t>
      </w:r>
      <w:r w:rsidRPr="005670EB">
        <w:t xml:space="preserve"> able to make preparedness planning decisions for their respective jurisdiction</w:t>
      </w:r>
      <w:r w:rsidR="00A242F7">
        <w:t xml:space="preserve"> or </w:t>
      </w:r>
      <w:r>
        <w:t>agency</w:t>
      </w:r>
      <w:r w:rsidRPr="005670EB">
        <w:t xml:space="preserve">. Coordinating the attendance of such individuals can take several weeks; invitations </w:t>
      </w:r>
      <w:proofErr w:type="gramStart"/>
      <w:r w:rsidRPr="005670EB">
        <w:t>should be extended</w:t>
      </w:r>
      <w:proofErr w:type="gramEnd"/>
      <w:r w:rsidRPr="005670EB">
        <w:t xml:space="preserve"> at least 6 weeks before conducting the workshop. </w:t>
      </w:r>
      <w:r w:rsidR="00E278D5" w:rsidRPr="005670EB">
        <w:t xml:space="preserve">Read-ahead materials </w:t>
      </w:r>
      <w:proofErr w:type="gramStart"/>
      <w:r w:rsidR="00E278D5" w:rsidRPr="005670EB">
        <w:t>should be distributed</w:t>
      </w:r>
      <w:proofErr w:type="gramEnd"/>
      <w:r w:rsidR="00E278D5" w:rsidRPr="005670EB">
        <w:t xml:space="preserve"> to all TEPW participants </w:t>
      </w:r>
      <w:r w:rsidR="00E278D5" w:rsidRPr="005670EB">
        <w:lastRenderedPageBreak/>
        <w:t>at least 4 weeks before the workshop to enable participants to understand what is expected of them and assist in preparing them to contribute.</w:t>
      </w:r>
    </w:p>
    <w:p w:rsidR="00367DC5" w:rsidRPr="002E652A" w:rsidRDefault="00367DC5" w:rsidP="002E652A">
      <w:pPr>
        <w:pStyle w:val="Heading2"/>
      </w:pPr>
      <w:bookmarkStart w:id="6" w:name="_Toc242263767"/>
      <w:bookmarkStart w:id="7" w:name="_Toc244318314"/>
      <w:r w:rsidRPr="002E652A">
        <w:t>Conduct</w:t>
      </w:r>
      <w:bookmarkEnd w:id="6"/>
      <w:bookmarkEnd w:id="7"/>
    </w:p>
    <w:p w:rsidR="00367DC5" w:rsidRPr="002E652A" w:rsidRDefault="00367DC5" w:rsidP="002E652A">
      <w:pPr>
        <w:pStyle w:val="Heading3"/>
        <w:spacing w:before="0"/>
      </w:pPr>
      <w:r w:rsidRPr="002E652A">
        <w:t>Overview</w:t>
      </w:r>
    </w:p>
    <w:p w:rsidR="00E278D5" w:rsidRPr="005670EB" w:rsidRDefault="00E278D5" w:rsidP="002E652A">
      <w:pPr>
        <w:pStyle w:val="BodyText"/>
      </w:pPr>
      <w:r w:rsidRPr="005670EB">
        <w:t xml:space="preserve">The TEPW </w:t>
      </w:r>
      <w:proofErr w:type="gramStart"/>
      <w:r w:rsidRPr="005670EB">
        <w:t>should be held</w:t>
      </w:r>
      <w:proofErr w:type="gramEnd"/>
      <w:r w:rsidRPr="005670EB">
        <w:t xml:space="preserve"> </w:t>
      </w:r>
      <w:r>
        <w:t xml:space="preserve">at most </w:t>
      </w:r>
      <w:r w:rsidR="00A40127">
        <w:t>1</w:t>
      </w:r>
      <w:r>
        <w:t xml:space="preserve"> month</w:t>
      </w:r>
      <w:r w:rsidRPr="005670EB">
        <w:t xml:space="preserve"> after the IPW. </w:t>
      </w:r>
      <w:r>
        <w:t>That said, h</w:t>
      </w:r>
      <w:r w:rsidRPr="005670EB">
        <w:t xml:space="preserve">olding the TEPW the day after the IPW ensures that the same participants are at each workshop and are familiar with the areas for improvement. </w:t>
      </w:r>
    </w:p>
    <w:p w:rsidR="00E278D5" w:rsidRPr="005670EB" w:rsidRDefault="00E278D5" w:rsidP="002E652A">
      <w:pPr>
        <w:pStyle w:val="BodyText"/>
      </w:pPr>
      <w:r>
        <w:t>Sponsors</w:t>
      </w:r>
      <w:r w:rsidRPr="005670EB">
        <w:t xml:space="preserve"> should anticipate that the TEPW </w:t>
      </w:r>
      <w:proofErr w:type="gramStart"/>
      <w:r w:rsidRPr="005670EB">
        <w:t>will</w:t>
      </w:r>
      <w:proofErr w:type="gramEnd"/>
      <w:r w:rsidRPr="005670EB">
        <w:t xml:space="preserve"> require </w:t>
      </w:r>
      <w:r w:rsidR="00A40127">
        <w:t>1</w:t>
      </w:r>
      <w:r w:rsidRPr="005670EB">
        <w:t xml:space="preserve"> day for conduct. Workshop participants will focus on the following activities:</w:t>
      </w:r>
    </w:p>
    <w:p w:rsidR="00E278D5" w:rsidRPr="003F7386" w:rsidRDefault="00E278D5" w:rsidP="002E652A">
      <w:pPr>
        <w:pStyle w:val="ListBullet"/>
      </w:pPr>
      <w:r w:rsidRPr="00A40127">
        <w:rPr>
          <w:b/>
        </w:rPr>
        <w:t>Identify training opportunities.</w:t>
      </w:r>
      <w:r w:rsidRPr="003F7386">
        <w:t xml:space="preserve"> Identify training opportunities to address the areas for improvement identified during the IPW.</w:t>
      </w:r>
    </w:p>
    <w:p w:rsidR="00E278D5" w:rsidRPr="003F7386" w:rsidRDefault="00E278D5" w:rsidP="002E652A">
      <w:pPr>
        <w:pStyle w:val="ListBullet"/>
      </w:pPr>
      <w:r w:rsidRPr="00A40127">
        <w:rPr>
          <w:b/>
        </w:rPr>
        <w:t>Link priority target capabilities to fiscal years.</w:t>
      </w:r>
      <w:r w:rsidRPr="003F7386">
        <w:t xml:space="preserve"> Identify which priority target capabilities to focus on as a jurisdiction</w:t>
      </w:r>
      <w:r w:rsidR="00A242F7">
        <w:t xml:space="preserve"> or </w:t>
      </w:r>
      <w:r w:rsidRPr="003F7386">
        <w:t>agency in which fiscal years.</w:t>
      </w:r>
    </w:p>
    <w:p w:rsidR="00E278D5" w:rsidRPr="003F7386" w:rsidRDefault="00E278D5" w:rsidP="002E652A">
      <w:pPr>
        <w:pStyle w:val="ListBullet"/>
      </w:pPr>
      <w:r w:rsidRPr="00A40127">
        <w:rPr>
          <w:b/>
        </w:rPr>
        <w:t>Update exercise schedule.</w:t>
      </w:r>
      <w:r w:rsidRPr="003F7386">
        <w:t xml:space="preserve"> Update the calendar with exercises that meet the definition of a </w:t>
      </w:r>
      <w:r w:rsidR="001A7ABB">
        <w:t>jurisdiction</w:t>
      </w:r>
      <w:r w:rsidR="00A242F7">
        <w:t xml:space="preserve"> or </w:t>
      </w:r>
      <w:r w:rsidR="001A7ABB">
        <w:t xml:space="preserve">agency </w:t>
      </w:r>
      <w:r w:rsidRPr="003F7386">
        <w:t xml:space="preserve">exercise. </w:t>
      </w:r>
    </w:p>
    <w:p w:rsidR="00E278D5" w:rsidRPr="003F7386" w:rsidRDefault="00E278D5" w:rsidP="002E652A">
      <w:pPr>
        <w:pStyle w:val="ListBullet"/>
      </w:pPr>
      <w:r w:rsidRPr="00A40127">
        <w:rPr>
          <w:b/>
        </w:rPr>
        <w:t xml:space="preserve">Identify </w:t>
      </w:r>
      <w:proofErr w:type="gramStart"/>
      <w:r w:rsidRPr="00A40127">
        <w:rPr>
          <w:b/>
        </w:rPr>
        <w:t>exercise training</w:t>
      </w:r>
      <w:proofErr w:type="gramEnd"/>
      <w:r w:rsidRPr="00A40127">
        <w:rPr>
          <w:b/>
        </w:rPr>
        <w:t xml:space="preserve"> opportunities.</w:t>
      </w:r>
      <w:r w:rsidRPr="003F7386">
        <w:t xml:space="preserve"> Identify training opportunities that will help participants succeed in the exercises.</w:t>
      </w:r>
    </w:p>
    <w:p w:rsidR="00E278D5" w:rsidRPr="005670EB" w:rsidRDefault="00E278D5" w:rsidP="002E652A">
      <w:pPr>
        <w:pStyle w:val="BodyText"/>
      </w:pPr>
      <w:r w:rsidRPr="005670EB">
        <w:t xml:space="preserve">It is important to provide background information to participants before the activities. </w:t>
      </w:r>
      <w:r>
        <w:t>Sponsors</w:t>
      </w:r>
      <w:r w:rsidRPr="005670EB">
        <w:t xml:space="preserve"> should invite </w:t>
      </w:r>
      <w:r w:rsidR="00A40127">
        <w:t xml:space="preserve">Federal and </w:t>
      </w:r>
      <w:r w:rsidRPr="005670EB">
        <w:t>State participants to provide a brief on their State or agency’s Training and Exercise Plan.</w:t>
      </w:r>
    </w:p>
    <w:p w:rsidR="00367DC5" w:rsidRPr="00D97424" w:rsidRDefault="001A7ABB" w:rsidP="002E652A">
      <w:pPr>
        <w:pStyle w:val="Heading3"/>
      </w:pPr>
      <w:r>
        <w:t>Jurisdictio</w:t>
      </w:r>
      <w:r w:rsidR="00A242F7">
        <w:t xml:space="preserve">n or </w:t>
      </w:r>
      <w:r>
        <w:t xml:space="preserve">Agency </w:t>
      </w:r>
      <w:r w:rsidR="00367DC5" w:rsidRPr="00D97424">
        <w:t>Point of Contact (POC) Responsibilities</w:t>
      </w:r>
    </w:p>
    <w:p w:rsidR="00E278D5" w:rsidRPr="00E11CA1" w:rsidRDefault="00367DC5" w:rsidP="002E652A">
      <w:pPr>
        <w:pStyle w:val="BodyText"/>
      </w:pPr>
      <w:r w:rsidRPr="005137C4">
        <w:t>To ensure the TEPW</w:t>
      </w:r>
      <w:r w:rsidR="00A40127">
        <w:t xml:space="preserve"> is effective</w:t>
      </w:r>
      <w:r w:rsidRPr="005137C4">
        <w:t xml:space="preserve">, a list of basic roles and responsibilities </w:t>
      </w:r>
      <w:proofErr w:type="gramStart"/>
      <w:r w:rsidRPr="005137C4">
        <w:t xml:space="preserve">has been </w:t>
      </w:r>
      <w:r>
        <w:t>developed</w:t>
      </w:r>
      <w:proofErr w:type="gramEnd"/>
      <w:r w:rsidRPr="005137C4">
        <w:t xml:space="preserve"> for the </w:t>
      </w:r>
      <w:r w:rsidR="001A7ABB">
        <w:t>jurisdiction</w:t>
      </w:r>
      <w:r w:rsidR="00A242F7">
        <w:t xml:space="preserve"> or </w:t>
      </w:r>
      <w:r w:rsidR="001A7ABB">
        <w:t xml:space="preserve">agency </w:t>
      </w:r>
      <w:r>
        <w:t>point</w:t>
      </w:r>
      <w:r w:rsidR="00605BEF">
        <w:t>s of contact</w:t>
      </w:r>
      <w:r>
        <w:t xml:space="preserve"> (</w:t>
      </w:r>
      <w:r w:rsidRPr="005137C4">
        <w:t>POC</w:t>
      </w:r>
      <w:r>
        <w:t>s)</w:t>
      </w:r>
      <w:r w:rsidRPr="005137C4">
        <w:t xml:space="preserve">. The </w:t>
      </w:r>
      <w:r w:rsidR="001A7ABB">
        <w:t>jurisdiction</w:t>
      </w:r>
      <w:r w:rsidR="00A242F7">
        <w:t xml:space="preserve"> or </w:t>
      </w:r>
      <w:r w:rsidR="001A7ABB">
        <w:t xml:space="preserve">agency </w:t>
      </w:r>
      <w:r w:rsidRPr="005137C4">
        <w:t xml:space="preserve">will provide the structure in which all workshop activities </w:t>
      </w:r>
      <w:proofErr w:type="gramStart"/>
      <w:r w:rsidRPr="005137C4">
        <w:t>will be conducted</w:t>
      </w:r>
      <w:proofErr w:type="gramEnd"/>
      <w:r w:rsidRPr="005137C4">
        <w:t xml:space="preserve"> (based on the HSEEP framework). </w:t>
      </w:r>
    </w:p>
    <w:p w:rsidR="00367DC5" w:rsidRPr="003F7386" w:rsidRDefault="00367DC5" w:rsidP="002E652A">
      <w:pPr>
        <w:pStyle w:val="BodyText"/>
        <w:rPr>
          <w:b/>
        </w:rPr>
      </w:pPr>
      <w:r w:rsidRPr="003F7386">
        <w:rPr>
          <w:b/>
        </w:rPr>
        <w:t>TEPW Preparation</w:t>
      </w:r>
    </w:p>
    <w:p w:rsidR="00367DC5" w:rsidRPr="003F7386" w:rsidRDefault="00367DC5" w:rsidP="002E652A">
      <w:pPr>
        <w:pStyle w:val="ListBullet"/>
      </w:pPr>
      <w:r w:rsidRPr="003F7386">
        <w:t>Prepare all documentation and meeting facilitation materials (e.g</w:t>
      </w:r>
      <w:r w:rsidR="00E278D5" w:rsidRPr="003F7386">
        <w:t>., agendas, PowerPoint presenta</w:t>
      </w:r>
      <w:r w:rsidRPr="003F7386">
        <w:t xml:space="preserve">tions, </w:t>
      </w:r>
      <w:proofErr w:type="gramStart"/>
      <w:r w:rsidRPr="003F7386">
        <w:t>minutes</w:t>
      </w:r>
      <w:proofErr w:type="gramEnd"/>
      <w:r w:rsidRPr="003F7386">
        <w:t>) in support of the workshop.</w:t>
      </w:r>
    </w:p>
    <w:p w:rsidR="00367DC5" w:rsidRPr="003F7386" w:rsidRDefault="00367DC5" w:rsidP="002E652A">
      <w:pPr>
        <w:pStyle w:val="ListBullet"/>
      </w:pPr>
      <w:r w:rsidRPr="003F7386">
        <w:t xml:space="preserve">Invite and register all participants for the workshop (see Appendix C for sample </w:t>
      </w:r>
      <w:r w:rsidR="00E6704A" w:rsidRPr="003F7386">
        <w:t>invitation letter</w:t>
      </w:r>
      <w:r w:rsidRPr="003F7386">
        <w:t>).</w:t>
      </w:r>
    </w:p>
    <w:p w:rsidR="00367DC5" w:rsidRPr="003F7386" w:rsidRDefault="00367DC5" w:rsidP="002E652A">
      <w:pPr>
        <w:pStyle w:val="ListBullet"/>
      </w:pPr>
      <w:r w:rsidRPr="003F7386">
        <w:t>Set workshop agenda (see Appendix C for sample agenda).</w:t>
      </w:r>
    </w:p>
    <w:p w:rsidR="00367DC5" w:rsidRPr="003F7386" w:rsidRDefault="00367DC5" w:rsidP="002E652A">
      <w:pPr>
        <w:pStyle w:val="ListBullet"/>
      </w:pPr>
      <w:r w:rsidRPr="003F7386">
        <w:t xml:space="preserve">Ensure that participants review </w:t>
      </w:r>
      <w:r w:rsidR="00E278D5" w:rsidRPr="003F7386">
        <w:t>the priority target capabilities and areas for improvement identified during the IPW</w:t>
      </w:r>
      <w:r w:rsidR="00A40127">
        <w:t>,</w:t>
      </w:r>
      <w:r w:rsidR="00E278D5" w:rsidRPr="003F7386">
        <w:t xml:space="preserve"> </w:t>
      </w:r>
      <w:r w:rsidRPr="003F7386">
        <w:t xml:space="preserve">the State </w:t>
      </w:r>
      <w:r w:rsidR="00A40127" w:rsidRPr="003F7386">
        <w:t>homeland security str</w:t>
      </w:r>
      <w:r w:rsidRPr="003F7386">
        <w:t>ategy</w:t>
      </w:r>
      <w:r w:rsidR="00A40127">
        <w:t>,</w:t>
      </w:r>
      <w:r w:rsidRPr="003F7386">
        <w:t xml:space="preserve"> and prerequisite TEPW reading.</w:t>
      </w:r>
    </w:p>
    <w:p w:rsidR="00367DC5" w:rsidRPr="003F7386" w:rsidRDefault="00367DC5" w:rsidP="002E652A">
      <w:pPr>
        <w:pStyle w:val="ListBullet"/>
      </w:pPr>
      <w:r w:rsidRPr="003F7386">
        <w:t>Ensure that participants bring their individual agency training and exercise schedules.</w:t>
      </w:r>
    </w:p>
    <w:p w:rsidR="00367DC5" w:rsidRPr="003F7386" w:rsidRDefault="00E278D5" w:rsidP="00EC07F6">
      <w:pPr>
        <w:pStyle w:val="BodyText"/>
        <w:keepNext/>
        <w:rPr>
          <w:b/>
        </w:rPr>
      </w:pPr>
      <w:r w:rsidRPr="003F7386">
        <w:rPr>
          <w:b/>
        </w:rPr>
        <w:t>T</w:t>
      </w:r>
      <w:r w:rsidR="00367DC5" w:rsidRPr="003F7386">
        <w:rPr>
          <w:b/>
        </w:rPr>
        <w:t>EPW Conduct</w:t>
      </w:r>
    </w:p>
    <w:p w:rsidR="00867851" w:rsidRDefault="00E278D5" w:rsidP="002E652A">
      <w:pPr>
        <w:pStyle w:val="ListBullet"/>
      </w:pPr>
      <w:r w:rsidRPr="003F7386">
        <w:t>Conduct and facilitate the T</w:t>
      </w:r>
      <w:r w:rsidR="00367DC5" w:rsidRPr="003F7386">
        <w:t xml:space="preserve">EPW. </w:t>
      </w:r>
    </w:p>
    <w:p w:rsidR="00867851" w:rsidRDefault="00367DC5" w:rsidP="002E652A">
      <w:pPr>
        <w:pStyle w:val="ListBullet"/>
      </w:pPr>
      <w:r w:rsidRPr="003F7386">
        <w:lastRenderedPageBreak/>
        <w:t xml:space="preserve">If breakout groups are required, provide a facilitator for group discussions who will ensure attendees stay focused on TEPW goals. </w:t>
      </w:r>
    </w:p>
    <w:p w:rsidR="00367DC5" w:rsidRPr="003F7386" w:rsidRDefault="00367DC5" w:rsidP="002E652A">
      <w:pPr>
        <w:pStyle w:val="ListBullet"/>
      </w:pPr>
      <w:r w:rsidRPr="003F7386">
        <w:t>Coordinate recording (note taking) of major points of discussion.</w:t>
      </w:r>
    </w:p>
    <w:p w:rsidR="00367DC5" w:rsidRPr="003F7386" w:rsidRDefault="00367DC5" w:rsidP="002E652A">
      <w:pPr>
        <w:pStyle w:val="BodyText"/>
        <w:rPr>
          <w:b/>
        </w:rPr>
      </w:pPr>
      <w:r w:rsidRPr="003F7386">
        <w:rPr>
          <w:b/>
        </w:rPr>
        <w:t>Post-</w:t>
      </w:r>
      <w:r w:rsidR="00E278D5" w:rsidRPr="003F7386">
        <w:rPr>
          <w:b/>
        </w:rPr>
        <w:t>T</w:t>
      </w:r>
      <w:r w:rsidRPr="003F7386">
        <w:rPr>
          <w:b/>
        </w:rPr>
        <w:t>EPW</w:t>
      </w:r>
    </w:p>
    <w:p w:rsidR="00367DC5" w:rsidRPr="003F7386" w:rsidRDefault="00367DC5" w:rsidP="002E652A">
      <w:pPr>
        <w:pStyle w:val="ListBullet"/>
      </w:pPr>
      <w:r w:rsidRPr="003F7386">
        <w:t xml:space="preserve">Draft TEPW </w:t>
      </w:r>
      <w:r w:rsidR="00867851">
        <w:t>s</w:t>
      </w:r>
      <w:r w:rsidR="00780CD0" w:rsidRPr="003F7386">
        <w:t>ummary</w:t>
      </w:r>
      <w:r w:rsidR="00867851">
        <w:t>,</w:t>
      </w:r>
      <w:r w:rsidRPr="003F7386">
        <w:t xml:space="preserve"> and submit </w:t>
      </w:r>
      <w:r w:rsidR="00867851">
        <w:t xml:space="preserve">it </w:t>
      </w:r>
      <w:r w:rsidRPr="003F7386">
        <w:t xml:space="preserve">to </w:t>
      </w:r>
      <w:r w:rsidR="00867851">
        <w:t xml:space="preserve">the </w:t>
      </w:r>
      <w:r w:rsidRPr="003F7386">
        <w:t>DHS.</w:t>
      </w:r>
    </w:p>
    <w:p w:rsidR="00367DC5" w:rsidRPr="003F7386" w:rsidRDefault="00367DC5" w:rsidP="002E652A">
      <w:pPr>
        <w:pStyle w:val="ListBullet"/>
      </w:pPr>
      <w:r w:rsidRPr="003F7386">
        <w:t xml:space="preserve">Submit </w:t>
      </w:r>
      <w:r w:rsidR="00867851">
        <w:t xml:space="preserve">the </w:t>
      </w:r>
      <w:r w:rsidRPr="003F7386">
        <w:t xml:space="preserve">final Multi-Year Training and Exercise Plan to the DHS Secure Portal. The </w:t>
      </w:r>
      <w:r w:rsidR="001A7ABB">
        <w:t>jurisdiction</w:t>
      </w:r>
      <w:r w:rsidR="00A242F7">
        <w:t xml:space="preserve"> or </w:t>
      </w:r>
      <w:r w:rsidR="001A7ABB">
        <w:t xml:space="preserve">agency </w:t>
      </w:r>
      <w:r w:rsidRPr="003F7386">
        <w:t>POC must submit all plans.</w:t>
      </w:r>
    </w:p>
    <w:p w:rsidR="00367DC5" w:rsidRPr="003F7386" w:rsidRDefault="00367DC5" w:rsidP="002E652A">
      <w:pPr>
        <w:pStyle w:val="ListBullet"/>
      </w:pPr>
      <w:r w:rsidRPr="003F7386">
        <w:t xml:space="preserve">Schedule exercise dates in the National Exercise Schedule (NEXS) System off the </w:t>
      </w:r>
      <w:r w:rsidR="00867851">
        <w:t>Homeland Security Exercise and Evaluation Program (</w:t>
      </w:r>
      <w:r w:rsidR="00605BEF" w:rsidRPr="003F7386">
        <w:t>HSEEP</w:t>
      </w:r>
      <w:r w:rsidR="00867851">
        <w:t>)</w:t>
      </w:r>
      <w:r w:rsidR="00605BEF" w:rsidRPr="003F7386">
        <w:t xml:space="preserve"> W</w:t>
      </w:r>
      <w:r w:rsidRPr="003F7386">
        <w:t>eb</w:t>
      </w:r>
      <w:r w:rsidR="00605BEF" w:rsidRPr="003F7386">
        <w:t xml:space="preserve"> </w:t>
      </w:r>
      <w:r w:rsidRPr="003F7386">
        <w:t xml:space="preserve">site at </w:t>
      </w:r>
      <w:r w:rsidR="00867851" w:rsidRPr="00867851">
        <w:rPr>
          <w:i/>
        </w:rPr>
        <w:t>https:\\hseep.dhs.gov</w:t>
      </w:r>
      <w:r w:rsidR="00867851">
        <w:t xml:space="preserve">, </w:t>
      </w:r>
      <w:r w:rsidRPr="003F7386">
        <w:t>and ensure that you have assigned an exercise POC.</w:t>
      </w:r>
      <w:r w:rsidR="00824CDD" w:rsidRPr="003F7386">
        <w:t xml:space="preserve"> The </w:t>
      </w:r>
      <w:r w:rsidR="00867851">
        <w:t xml:space="preserve">HSEEP </w:t>
      </w:r>
      <w:r w:rsidR="00824CDD" w:rsidRPr="003F7386">
        <w:t xml:space="preserve">User Guide is located at </w:t>
      </w:r>
      <w:hyperlink r:id="rId15" w:tooltip="blocked::https://hseep.dhs.gov/pages/1001_Toolk.aspx" w:history="1">
        <w:r w:rsidR="00824CDD" w:rsidRPr="00867851">
          <w:rPr>
            <w:i/>
          </w:rPr>
          <w:t>https://hseep.dhs.gov/pages/1001_Toolk.aspx</w:t>
        </w:r>
      </w:hyperlink>
      <w:r w:rsidR="00824CDD" w:rsidRPr="003F7386">
        <w:t>.</w:t>
      </w:r>
    </w:p>
    <w:p w:rsidR="00367DC5" w:rsidRPr="003F7386" w:rsidRDefault="00367DC5" w:rsidP="002E652A">
      <w:pPr>
        <w:pStyle w:val="ListBullet"/>
      </w:pPr>
      <w:r w:rsidRPr="003F7386">
        <w:t xml:space="preserve">Distribute final copies of training and exercise materials to </w:t>
      </w:r>
      <w:r w:rsidR="00867851">
        <w:t xml:space="preserve">the </w:t>
      </w:r>
      <w:r w:rsidRPr="003F7386">
        <w:t xml:space="preserve">DHS and the </w:t>
      </w:r>
      <w:r w:rsidR="001A7ABB">
        <w:t>jurisdiction</w:t>
      </w:r>
      <w:r w:rsidR="00A242F7">
        <w:t xml:space="preserve"> or </w:t>
      </w:r>
      <w:r w:rsidR="001A7ABB">
        <w:t>agency</w:t>
      </w:r>
      <w:r w:rsidRPr="003F7386">
        <w:t xml:space="preserve"> via CD-ROM and hardcopy, as necessary.</w:t>
      </w:r>
    </w:p>
    <w:p w:rsidR="00367DC5" w:rsidRPr="003F7386" w:rsidRDefault="00780CD0" w:rsidP="002E652A">
      <w:pPr>
        <w:pStyle w:val="BodyText"/>
        <w:rPr>
          <w:b/>
        </w:rPr>
      </w:pPr>
      <w:r w:rsidRPr="003F7386">
        <w:rPr>
          <w:b/>
        </w:rPr>
        <w:t>T</w:t>
      </w:r>
      <w:r w:rsidR="00367DC5" w:rsidRPr="003F7386">
        <w:rPr>
          <w:b/>
        </w:rPr>
        <w:t>EPW Checklist</w:t>
      </w:r>
    </w:p>
    <w:p w:rsidR="00367DC5" w:rsidRPr="003F7386" w:rsidRDefault="00367DC5" w:rsidP="002E652A">
      <w:pPr>
        <w:pStyle w:val="ListBullet"/>
      </w:pPr>
      <w:r w:rsidRPr="003F7386">
        <w:t>Invite all applicable representatives</w:t>
      </w:r>
      <w:r w:rsidR="00867851">
        <w:t>,</w:t>
      </w:r>
      <w:r w:rsidRPr="003F7386">
        <w:t xml:space="preserve"> and include an RSVP deadline.</w:t>
      </w:r>
    </w:p>
    <w:p w:rsidR="00367DC5" w:rsidRPr="003F7386" w:rsidRDefault="00367DC5" w:rsidP="002E652A">
      <w:pPr>
        <w:pStyle w:val="ListBullet"/>
      </w:pPr>
      <w:r w:rsidRPr="003F7386">
        <w:t xml:space="preserve">Ensure all TEPW invitees </w:t>
      </w:r>
      <w:proofErr w:type="gramStart"/>
      <w:r w:rsidRPr="003F7386">
        <w:t>are provided</w:t>
      </w:r>
      <w:proofErr w:type="gramEnd"/>
      <w:r w:rsidRPr="003F7386">
        <w:t xml:space="preserve"> with all prerequisite materials.</w:t>
      </w:r>
    </w:p>
    <w:p w:rsidR="00367DC5" w:rsidRPr="003F7386" w:rsidRDefault="00367DC5" w:rsidP="002E652A">
      <w:pPr>
        <w:pStyle w:val="ListBullet"/>
      </w:pPr>
      <w:r w:rsidRPr="003F7386">
        <w:t>Ensure all TEPW invitees understand the requirement to bring their individual agency training and exercise schedules to the TEPW.</w:t>
      </w:r>
    </w:p>
    <w:p w:rsidR="00367DC5" w:rsidRPr="003F7386" w:rsidRDefault="00367DC5" w:rsidP="002E652A">
      <w:pPr>
        <w:pStyle w:val="ListBullet"/>
      </w:pPr>
      <w:r w:rsidRPr="003F7386">
        <w:t>Register all TEPW attendees.</w:t>
      </w:r>
    </w:p>
    <w:p w:rsidR="00367DC5" w:rsidRPr="003F7386" w:rsidRDefault="00367DC5" w:rsidP="002E652A">
      <w:pPr>
        <w:pStyle w:val="ListBullet"/>
      </w:pPr>
      <w:r w:rsidRPr="003F7386">
        <w:t xml:space="preserve">Prepare all documentation and meeting facilitation materials (e.g., agendas, presentations, copies of the </w:t>
      </w:r>
      <w:proofErr w:type="gramStart"/>
      <w:r w:rsidRPr="003F7386">
        <w:t xml:space="preserve">State </w:t>
      </w:r>
      <w:r w:rsidR="00867851" w:rsidRPr="003F7386">
        <w:t>homeland security s</w:t>
      </w:r>
      <w:r w:rsidRPr="003F7386">
        <w:t>trategy</w:t>
      </w:r>
      <w:proofErr w:type="gramEnd"/>
      <w:r w:rsidRPr="003F7386">
        <w:t>, Target Capabilities List [TCL]) in support of the workshop.</w:t>
      </w:r>
    </w:p>
    <w:p w:rsidR="00367DC5" w:rsidRPr="003F7386" w:rsidRDefault="00367DC5" w:rsidP="002E652A">
      <w:pPr>
        <w:pStyle w:val="ListBullet"/>
      </w:pPr>
      <w:r w:rsidRPr="003F7386">
        <w:t>Conduct and facilitate the TEPW. Provide facilitation so attendees stay focused on TEPW goals. Coordinate recording (note taking) of major points for discussion.</w:t>
      </w:r>
    </w:p>
    <w:p w:rsidR="00367DC5" w:rsidRPr="003F7386" w:rsidRDefault="00367DC5" w:rsidP="002E652A">
      <w:pPr>
        <w:pStyle w:val="ListBullet"/>
      </w:pPr>
      <w:r w:rsidRPr="003F7386">
        <w:t xml:space="preserve">Schedule exercise dates in the </w:t>
      </w:r>
      <w:r w:rsidR="00C84A92" w:rsidRPr="003F7386">
        <w:t>National Exercise Schedule (</w:t>
      </w:r>
      <w:r w:rsidRPr="003F7386">
        <w:t>NEXS</w:t>
      </w:r>
      <w:r w:rsidR="00C84A92" w:rsidRPr="003F7386">
        <w:t>)</w:t>
      </w:r>
      <w:r w:rsidRPr="003F7386">
        <w:t xml:space="preserve"> System</w:t>
      </w:r>
      <w:r w:rsidR="00867851">
        <w:t>,</w:t>
      </w:r>
      <w:r w:rsidRPr="003F7386">
        <w:t xml:space="preserve"> and ensure that you have assigned an exercise POC.</w:t>
      </w:r>
    </w:p>
    <w:p w:rsidR="00367DC5" w:rsidRPr="003F7386" w:rsidRDefault="00367DC5" w:rsidP="002E652A">
      <w:pPr>
        <w:pStyle w:val="ListBullet"/>
      </w:pPr>
      <w:r w:rsidRPr="003F7386">
        <w:t>Post and maintain all materials in the DHS Secure Portal.</w:t>
      </w:r>
    </w:p>
    <w:p w:rsidR="00367DC5" w:rsidRPr="003F7386" w:rsidRDefault="00367DC5" w:rsidP="002E652A">
      <w:pPr>
        <w:pStyle w:val="ListBullet"/>
      </w:pPr>
      <w:r w:rsidRPr="003F7386">
        <w:t xml:space="preserve">Review all materials as provided by the </w:t>
      </w:r>
      <w:r w:rsidR="001A7ABB">
        <w:t>jurisdiction</w:t>
      </w:r>
      <w:r w:rsidR="00A242F7">
        <w:t xml:space="preserve"> or </w:t>
      </w:r>
      <w:r w:rsidR="001A7ABB">
        <w:t>agency</w:t>
      </w:r>
      <w:r w:rsidRPr="003F7386">
        <w:t>.</w:t>
      </w:r>
    </w:p>
    <w:p w:rsidR="00367DC5" w:rsidRPr="003F7386" w:rsidRDefault="00367DC5" w:rsidP="002E652A">
      <w:pPr>
        <w:pStyle w:val="ListBullet"/>
      </w:pPr>
      <w:r w:rsidRPr="003F7386">
        <w:t xml:space="preserve">Ensure submission of the Multi-Year Training and Exercise Plan to </w:t>
      </w:r>
      <w:r w:rsidR="00867851">
        <w:t xml:space="preserve">the </w:t>
      </w:r>
      <w:r w:rsidRPr="003F7386">
        <w:t xml:space="preserve">DHS for final approval. All plans </w:t>
      </w:r>
      <w:proofErr w:type="gramStart"/>
      <w:r w:rsidRPr="003F7386">
        <w:t>must be submitted</w:t>
      </w:r>
      <w:proofErr w:type="gramEnd"/>
      <w:r w:rsidRPr="003F7386">
        <w:t xml:space="preserve"> by the </w:t>
      </w:r>
      <w:r w:rsidR="001A7ABB">
        <w:t>jurisdiction</w:t>
      </w:r>
      <w:r w:rsidR="00A242F7">
        <w:t xml:space="preserve"> or </w:t>
      </w:r>
      <w:r w:rsidR="001A7ABB">
        <w:t xml:space="preserve">agency </w:t>
      </w:r>
      <w:r w:rsidRPr="003F7386">
        <w:t>POC.</w:t>
      </w:r>
    </w:p>
    <w:p w:rsidR="00367DC5" w:rsidRPr="003F7386" w:rsidRDefault="00367DC5" w:rsidP="002E652A">
      <w:pPr>
        <w:pStyle w:val="ListBullet"/>
      </w:pPr>
      <w:r w:rsidRPr="003F7386">
        <w:t xml:space="preserve">Ensure distribution of all final copies of training and exercise materials to </w:t>
      </w:r>
      <w:r w:rsidR="00867851">
        <w:t xml:space="preserve">the DHS and the </w:t>
      </w:r>
      <w:r w:rsidR="001A7ABB">
        <w:t>jurisdiction</w:t>
      </w:r>
      <w:r w:rsidR="00A242F7">
        <w:t xml:space="preserve"> or </w:t>
      </w:r>
      <w:r w:rsidR="001A7ABB">
        <w:t xml:space="preserve">agency </w:t>
      </w:r>
      <w:r w:rsidRPr="003F7386">
        <w:t>via CD-ROM and hardcopy, as necessary.</w:t>
      </w:r>
    </w:p>
    <w:p w:rsidR="00367DC5" w:rsidRPr="00D97424" w:rsidRDefault="001A7ABB" w:rsidP="002E652A">
      <w:pPr>
        <w:pStyle w:val="Heading2"/>
      </w:pPr>
      <w:bookmarkStart w:id="8" w:name="_Toc242263768"/>
      <w:r>
        <w:br w:type="page"/>
      </w:r>
      <w:bookmarkStart w:id="9" w:name="_Toc244318315"/>
      <w:r w:rsidR="00367DC5" w:rsidRPr="00D97424">
        <w:lastRenderedPageBreak/>
        <w:t>Timeline</w:t>
      </w:r>
      <w:bookmarkEnd w:id="8"/>
      <w:bookmarkEnd w:id="9"/>
    </w:p>
    <w:tbl>
      <w:tblPr>
        <w:tblW w:w="9324"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2"/>
        <w:gridCol w:w="7542"/>
      </w:tblGrid>
      <w:tr w:rsidR="00780CD0" w:rsidRPr="005670EB">
        <w:trPr>
          <w:trHeight w:hRule="exact" w:val="360"/>
          <w:jc w:val="center"/>
        </w:trPr>
        <w:tc>
          <w:tcPr>
            <w:tcW w:w="1782" w:type="dxa"/>
            <w:tcBorders>
              <w:right w:val="single" w:sz="4" w:space="0" w:color="FFFFFF"/>
            </w:tcBorders>
            <w:shd w:val="clear" w:color="auto" w:fill="000080"/>
            <w:vAlign w:val="bottom"/>
          </w:tcPr>
          <w:p w:rsidR="00780CD0" w:rsidRPr="00867851" w:rsidRDefault="00780CD0" w:rsidP="002E652A">
            <w:pPr>
              <w:pStyle w:val="TableText"/>
              <w:jc w:val="center"/>
              <w:rPr>
                <w:b/>
              </w:rPr>
            </w:pPr>
            <w:r w:rsidRPr="00867851">
              <w:rPr>
                <w:b/>
              </w:rPr>
              <w:t>Date</w:t>
            </w:r>
          </w:p>
        </w:tc>
        <w:tc>
          <w:tcPr>
            <w:tcW w:w="7542" w:type="dxa"/>
            <w:tcBorders>
              <w:left w:val="single" w:sz="4" w:space="0" w:color="FFFFFF"/>
            </w:tcBorders>
            <w:shd w:val="clear" w:color="auto" w:fill="000080"/>
            <w:vAlign w:val="bottom"/>
          </w:tcPr>
          <w:p w:rsidR="00780CD0" w:rsidRPr="00867851" w:rsidRDefault="00780CD0" w:rsidP="002E652A">
            <w:pPr>
              <w:pStyle w:val="TableText"/>
              <w:jc w:val="center"/>
              <w:rPr>
                <w:b/>
              </w:rPr>
            </w:pPr>
            <w:r w:rsidRPr="00867851">
              <w:rPr>
                <w:b/>
              </w:rPr>
              <w:t>Activity</w:t>
            </w:r>
          </w:p>
        </w:tc>
      </w:tr>
      <w:tr w:rsidR="00780CD0" w:rsidRPr="005670EB">
        <w:trPr>
          <w:trHeight w:hRule="exact" w:val="568"/>
          <w:jc w:val="center"/>
        </w:trPr>
        <w:tc>
          <w:tcPr>
            <w:tcW w:w="1782" w:type="dxa"/>
            <w:vAlign w:val="center"/>
          </w:tcPr>
          <w:p w:rsidR="00780CD0" w:rsidRPr="00D97424" w:rsidRDefault="00780CD0" w:rsidP="002E652A">
            <w:pPr>
              <w:pStyle w:val="TableText"/>
            </w:pPr>
            <w:r w:rsidRPr="00D97424">
              <w:t>TEPW – 6</w:t>
            </w:r>
            <w:r w:rsidR="00D2012E">
              <w:t>–</w:t>
            </w:r>
            <w:r w:rsidRPr="00D97424">
              <w:t>8 weeks</w:t>
            </w:r>
          </w:p>
        </w:tc>
        <w:tc>
          <w:tcPr>
            <w:tcW w:w="7542" w:type="dxa"/>
            <w:vAlign w:val="center"/>
          </w:tcPr>
          <w:p w:rsidR="00780CD0" w:rsidRPr="00D97424" w:rsidRDefault="00780CD0" w:rsidP="002E652A">
            <w:pPr>
              <w:pStyle w:val="TableText"/>
            </w:pPr>
            <w:r w:rsidRPr="00D97424">
              <w:t>Invite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3 weeks</w:t>
            </w:r>
          </w:p>
        </w:tc>
        <w:tc>
          <w:tcPr>
            <w:tcW w:w="7542" w:type="dxa"/>
            <w:vAlign w:val="center"/>
          </w:tcPr>
          <w:p w:rsidR="00780CD0" w:rsidRPr="00D97424" w:rsidRDefault="00780CD0" w:rsidP="002E652A">
            <w:pPr>
              <w:pStyle w:val="TableText"/>
            </w:pPr>
            <w:r w:rsidRPr="00D97424">
              <w:t>Send read-ahead material to TEPW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w:t>
            </w:r>
          </w:p>
        </w:tc>
        <w:tc>
          <w:tcPr>
            <w:tcW w:w="7542" w:type="dxa"/>
            <w:vAlign w:val="center"/>
          </w:tcPr>
          <w:p w:rsidR="00780CD0" w:rsidRPr="00D97424" w:rsidRDefault="00780CD0" w:rsidP="002E652A">
            <w:pPr>
              <w:pStyle w:val="TableText"/>
            </w:pPr>
            <w:r w:rsidRPr="00D97424">
              <w:t>Conduct TEPW</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+ 2 weeks</w:t>
            </w:r>
          </w:p>
        </w:tc>
        <w:tc>
          <w:tcPr>
            <w:tcW w:w="7542" w:type="dxa"/>
            <w:vAlign w:val="center"/>
          </w:tcPr>
          <w:p w:rsidR="00780CD0" w:rsidRPr="00D97424" w:rsidRDefault="00780CD0" w:rsidP="002E652A">
            <w:pPr>
              <w:pStyle w:val="TableText"/>
            </w:pPr>
            <w:r w:rsidRPr="00D97424">
              <w:t>Provide draft TEPW summary to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+ 3 weeks</w:t>
            </w:r>
          </w:p>
        </w:tc>
        <w:tc>
          <w:tcPr>
            <w:tcW w:w="7542" w:type="dxa"/>
            <w:vAlign w:val="center"/>
          </w:tcPr>
          <w:p w:rsidR="00780CD0" w:rsidRPr="00D97424" w:rsidRDefault="00780CD0" w:rsidP="002E652A">
            <w:pPr>
              <w:pStyle w:val="TableText"/>
            </w:pPr>
            <w:r w:rsidRPr="00D97424">
              <w:t>Stakeholders review and approve</w:t>
            </w:r>
            <w:r w:rsidR="00867851">
              <w:t>/</w:t>
            </w:r>
            <w:r w:rsidRPr="00D97424">
              <w:t>disapprove TEPW summary</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+ 4 weeks</w:t>
            </w:r>
          </w:p>
        </w:tc>
        <w:tc>
          <w:tcPr>
            <w:tcW w:w="7542" w:type="dxa"/>
            <w:vAlign w:val="center"/>
          </w:tcPr>
          <w:p w:rsidR="00780CD0" w:rsidRPr="00D97424" w:rsidRDefault="00780CD0" w:rsidP="002E652A">
            <w:pPr>
              <w:pStyle w:val="TableText"/>
            </w:pPr>
            <w:r w:rsidRPr="00D97424">
              <w:t>Provide final TEPW summary to stakeholders</w:t>
            </w:r>
            <w:r w:rsidR="00867851">
              <w:t>.</w:t>
            </w:r>
          </w:p>
        </w:tc>
      </w:tr>
      <w:tr w:rsidR="00780CD0" w:rsidRPr="005670EB">
        <w:trPr>
          <w:trHeight w:hRule="exact" w:val="360"/>
          <w:jc w:val="center"/>
        </w:trPr>
        <w:tc>
          <w:tcPr>
            <w:tcW w:w="1782" w:type="dxa"/>
            <w:vAlign w:val="center"/>
          </w:tcPr>
          <w:p w:rsidR="00780CD0" w:rsidRPr="00D97424" w:rsidRDefault="00780CD0" w:rsidP="002E652A">
            <w:pPr>
              <w:pStyle w:val="TableText"/>
            </w:pPr>
            <w:r w:rsidRPr="00D97424">
              <w:t>TEPW + 6 weeks</w:t>
            </w:r>
          </w:p>
        </w:tc>
        <w:tc>
          <w:tcPr>
            <w:tcW w:w="7542" w:type="dxa"/>
            <w:vAlign w:val="center"/>
          </w:tcPr>
          <w:p w:rsidR="00780CD0" w:rsidRPr="00D97424" w:rsidRDefault="00780CD0" w:rsidP="002E652A">
            <w:pPr>
              <w:pStyle w:val="TableText"/>
            </w:pPr>
            <w:r w:rsidRPr="00D97424">
              <w:t>Provide draft Multi-Year Training and Exercise Plan to stakeholders</w:t>
            </w:r>
            <w:r w:rsidR="00867851">
              <w:t>.</w:t>
            </w:r>
          </w:p>
        </w:tc>
      </w:tr>
      <w:tr w:rsidR="008E149B" w:rsidRPr="005670EB">
        <w:trPr>
          <w:trHeight w:hRule="exact" w:val="360"/>
          <w:jc w:val="center"/>
        </w:trPr>
        <w:tc>
          <w:tcPr>
            <w:tcW w:w="1782" w:type="dxa"/>
            <w:vAlign w:val="center"/>
          </w:tcPr>
          <w:p w:rsidR="008E149B" w:rsidRPr="00D97424" w:rsidRDefault="008E149B" w:rsidP="008E149B">
            <w:pPr>
              <w:pStyle w:val="TableText"/>
            </w:pPr>
            <w:r w:rsidRPr="00D97424">
              <w:t>TEPW + 7 weeks</w:t>
            </w:r>
          </w:p>
        </w:tc>
        <w:tc>
          <w:tcPr>
            <w:tcW w:w="7542" w:type="dxa"/>
            <w:vAlign w:val="center"/>
          </w:tcPr>
          <w:p w:rsidR="008E149B" w:rsidRPr="008E149B" w:rsidRDefault="008E149B" w:rsidP="008E149B">
            <w:pPr>
              <w:pStyle w:val="TableText"/>
              <w:rPr>
                <w:spacing w:val="-2"/>
              </w:rPr>
            </w:pPr>
            <w:r w:rsidRPr="008E149B">
              <w:rPr>
                <w:spacing w:val="-2"/>
              </w:rPr>
              <w:t xml:space="preserve">Stakeholders review and approve/disapprove Multi-Year Training and Exercise Plan. </w:t>
            </w:r>
          </w:p>
        </w:tc>
      </w:tr>
      <w:tr w:rsidR="008E149B" w:rsidRPr="005670EB">
        <w:trPr>
          <w:trHeight w:hRule="exact" w:val="360"/>
          <w:jc w:val="center"/>
        </w:trPr>
        <w:tc>
          <w:tcPr>
            <w:tcW w:w="1782" w:type="dxa"/>
            <w:vAlign w:val="center"/>
          </w:tcPr>
          <w:p w:rsidR="008E149B" w:rsidRPr="00D97424" w:rsidRDefault="008E149B" w:rsidP="002E652A">
            <w:pPr>
              <w:pStyle w:val="TableText"/>
            </w:pPr>
            <w:r w:rsidRPr="00D97424">
              <w:t>TEPW + 60 days</w:t>
            </w:r>
          </w:p>
        </w:tc>
        <w:tc>
          <w:tcPr>
            <w:tcW w:w="7542" w:type="dxa"/>
            <w:vAlign w:val="center"/>
          </w:tcPr>
          <w:p w:rsidR="008E149B" w:rsidRPr="00D97424" w:rsidRDefault="008E149B" w:rsidP="002E652A">
            <w:pPr>
              <w:pStyle w:val="TableText"/>
            </w:pPr>
            <w:r w:rsidRPr="00D97424">
              <w:t xml:space="preserve">Provide final Multi-Year Training and Exercise Plan to the </w:t>
            </w:r>
            <w:r>
              <w:t>DHS.</w:t>
            </w:r>
          </w:p>
        </w:tc>
      </w:tr>
      <w:tr w:rsidR="008E149B" w:rsidRPr="005670EB">
        <w:trPr>
          <w:trHeight w:hRule="exact" w:val="360"/>
          <w:jc w:val="center"/>
        </w:trPr>
        <w:tc>
          <w:tcPr>
            <w:tcW w:w="1782" w:type="dxa"/>
            <w:vAlign w:val="center"/>
          </w:tcPr>
          <w:p w:rsidR="008E149B" w:rsidRPr="00D97424" w:rsidRDefault="008E149B" w:rsidP="002E652A">
            <w:pPr>
              <w:pStyle w:val="TableText"/>
            </w:pPr>
            <w:r w:rsidRPr="00D97424">
              <w:t>TEPW + 8 weeks</w:t>
            </w:r>
          </w:p>
        </w:tc>
        <w:tc>
          <w:tcPr>
            <w:tcW w:w="7542" w:type="dxa"/>
            <w:vAlign w:val="center"/>
          </w:tcPr>
          <w:p w:rsidR="008E149B" w:rsidRPr="00D97424" w:rsidRDefault="008E149B" w:rsidP="002E652A">
            <w:pPr>
              <w:pStyle w:val="TableText"/>
            </w:pPr>
            <w:r w:rsidRPr="00D97424">
              <w:t>Provide final Multi-Year Training and Exercise Plan to stakeholders</w:t>
            </w:r>
            <w:r>
              <w:t>.</w:t>
            </w:r>
          </w:p>
        </w:tc>
      </w:tr>
    </w:tbl>
    <w:p w:rsidR="00367DC5" w:rsidRPr="003F7386" w:rsidRDefault="00367DC5" w:rsidP="00EC07F6">
      <w:pPr>
        <w:pStyle w:val="Heading2"/>
        <w:spacing w:before="240"/>
      </w:pPr>
      <w:bookmarkStart w:id="10" w:name="_Toc242263769"/>
      <w:bookmarkStart w:id="11" w:name="_Toc244318316"/>
      <w:r w:rsidRPr="003F7386">
        <w:t>Participants</w:t>
      </w:r>
      <w:bookmarkEnd w:id="10"/>
      <w:bookmarkEnd w:id="11"/>
    </w:p>
    <w:p w:rsidR="00780CD0" w:rsidRPr="005670EB" w:rsidRDefault="00780CD0" w:rsidP="002E652A">
      <w:pPr>
        <w:pStyle w:val="BodyText"/>
      </w:pPr>
      <w:r w:rsidRPr="005670EB">
        <w:t>TEPW participants should be aware of their jurisdictional capabilities, homeland security strategy, and training and exercise calendars. They should be prepared to identify training opportunities and exercises that could assist the host jurisdiction</w:t>
      </w:r>
      <w:r w:rsidR="00A242F7">
        <w:t xml:space="preserve"> or </w:t>
      </w:r>
      <w:r w:rsidRPr="005670EB">
        <w:t>agency in closing the gaps identified at the IPW.</w:t>
      </w:r>
    </w:p>
    <w:p w:rsidR="00780CD0" w:rsidRPr="005670EB" w:rsidRDefault="00780CD0" w:rsidP="002E652A">
      <w:pPr>
        <w:pStyle w:val="BodyText"/>
      </w:pPr>
      <w:r>
        <w:t>It is recommended that the audience be kept to 50</w:t>
      </w:r>
      <w:r w:rsidRPr="005670EB">
        <w:t xml:space="preserve"> or fewer participants and</w:t>
      </w:r>
      <w:r>
        <w:t xml:space="preserve"> that participation </w:t>
      </w:r>
      <w:r w:rsidRPr="005670EB">
        <w:t xml:space="preserve">includes jurisdictional/agency response and recovery partners. </w:t>
      </w:r>
      <w:r w:rsidRPr="00E11CA1">
        <w:t xml:space="preserve">The following </w:t>
      </w:r>
      <w:proofErr w:type="gramStart"/>
      <w:r w:rsidRPr="00E11CA1">
        <w:t>is meant</w:t>
      </w:r>
      <w:proofErr w:type="gramEnd"/>
      <w:r w:rsidRPr="00E11CA1">
        <w:t xml:space="preserve"> as a possible list of invitees and should not be considered an all-inclusive mandatory list. Depending on the jurisdiction</w:t>
      </w:r>
      <w:r w:rsidR="00A242F7">
        <w:t xml:space="preserve"> or </w:t>
      </w:r>
      <w:r w:rsidRPr="00E11CA1">
        <w:t xml:space="preserve">agency, the invitee could be the preparedness officer, training and exercise officer, emergency management representative, homeland security representative, health officer, administrative agent, </w:t>
      </w:r>
      <w:r>
        <w:t xml:space="preserve">law enforcement representative, fire representative, </w:t>
      </w:r>
      <w:r w:rsidR="009F0F5E">
        <w:t>and so forth</w:t>
      </w:r>
      <w:r w:rsidRPr="00E11CA1">
        <w:t>.</w:t>
      </w:r>
    </w:p>
    <w:p w:rsidR="009F0F5E" w:rsidRPr="00915C64" w:rsidRDefault="009F0F5E" w:rsidP="008E149B">
      <w:pPr>
        <w:pStyle w:val="ListBullet"/>
        <w:spacing w:after="0"/>
      </w:pPr>
      <w:r w:rsidRPr="00915C64">
        <w:t>States, UASI</w:t>
      </w:r>
      <w:r>
        <w:t xml:space="preserve"> entities, tribes, and local governments</w:t>
      </w:r>
    </w:p>
    <w:p w:rsidR="00780CD0" w:rsidRPr="003F7386" w:rsidRDefault="00780CD0" w:rsidP="008E149B">
      <w:pPr>
        <w:pStyle w:val="ListBullet"/>
        <w:spacing w:after="0"/>
      </w:pPr>
      <w:r w:rsidRPr="003F7386">
        <w:t>Emergency Support Function (ESF) leads</w:t>
      </w:r>
    </w:p>
    <w:p w:rsidR="00780CD0" w:rsidRPr="003F7386" w:rsidRDefault="00780CD0" w:rsidP="002E652A">
      <w:pPr>
        <w:pStyle w:val="ListBullet"/>
      </w:pPr>
      <w:r w:rsidRPr="003F7386">
        <w:t>Other Federal agencies (e.g., U.S. Department of Health and Human Services Office of the Assistant Secretary for Preparedness and Response, Transportation Security Administration, Defense Coordinating Elements)</w:t>
      </w:r>
    </w:p>
    <w:p w:rsidR="00780CD0" w:rsidRDefault="00780CD0" w:rsidP="002E652A">
      <w:pPr>
        <w:pStyle w:val="BodyText"/>
      </w:pPr>
      <w:r>
        <w:t>To prepare for the TE</w:t>
      </w:r>
      <w:r w:rsidRPr="00E11CA1">
        <w:t xml:space="preserve">PW, </w:t>
      </w:r>
      <w:r>
        <w:t>participants should review</w:t>
      </w:r>
      <w:r w:rsidRPr="00E11CA1">
        <w:t xml:space="preserve"> </w:t>
      </w:r>
      <w:r w:rsidR="009F0F5E">
        <w:t>the following:</w:t>
      </w:r>
    </w:p>
    <w:p w:rsidR="00780CD0" w:rsidRPr="003F7386" w:rsidRDefault="009F0F5E" w:rsidP="008E149B">
      <w:pPr>
        <w:pStyle w:val="ListBullet"/>
        <w:spacing w:after="0"/>
      </w:pPr>
      <w:r>
        <w:t>P</w:t>
      </w:r>
      <w:r w:rsidR="00780CD0" w:rsidRPr="00C5585C">
        <w:t xml:space="preserve">riority target capabilities and areas for improvement identified during the </w:t>
      </w:r>
      <w:r>
        <w:t>IPW</w:t>
      </w:r>
    </w:p>
    <w:p w:rsidR="009F0F5E" w:rsidRDefault="009F0F5E" w:rsidP="008E149B">
      <w:pPr>
        <w:pStyle w:val="ListBullet"/>
        <w:spacing w:after="0"/>
      </w:pPr>
      <w:r>
        <w:t>J</w:t>
      </w:r>
      <w:r w:rsidR="00780CD0" w:rsidRPr="003F7386">
        <w:t>urisdiction</w:t>
      </w:r>
      <w:r w:rsidR="00A242F7">
        <w:t xml:space="preserve"> or </w:t>
      </w:r>
      <w:r w:rsidR="00780CD0" w:rsidRPr="003F7386">
        <w:t>agency’s Multi-Year Training and Exercise Plan</w:t>
      </w:r>
    </w:p>
    <w:p w:rsidR="00780CD0" w:rsidRPr="00C5585C" w:rsidRDefault="00780CD0" w:rsidP="002E652A">
      <w:pPr>
        <w:pStyle w:val="ListBullet2"/>
      </w:pPr>
      <w:r w:rsidRPr="003F7386">
        <w:t>Identify and prepare to discuss exerci</w:t>
      </w:r>
      <w:r w:rsidRPr="00C5585C">
        <w:t xml:space="preserve">ses that </w:t>
      </w:r>
      <w:proofErr w:type="gramStart"/>
      <w:r w:rsidRPr="00C5585C">
        <w:t>can be nominated</w:t>
      </w:r>
      <w:proofErr w:type="gramEnd"/>
      <w:r w:rsidRPr="00C5585C">
        <w:t xml:space="preserve"> for the exercise calendar and training opportunities that align to the areas for improvement identified during the IPW.</w:t>
      </w:r>
    </w:p>
    <w:p w:rsidR="00367DC5" w:rsidRPr="003F7386" w:rsidRDefault="00367DC5" w:rsidP="002E652A">
      <w:pPr>
        <w:pStyle w:val="Heading2"/>
      </w:pPr>
      <w:bookmarkStart w:id="12" w:name="_Toc242263770"/>
      <w:bookmarkStart w:id="13" w:name="_Toc244318317"/>
      <w:r w:rsidRPr="003F7386">
        <w:lastRenderedPageBreak/>
        <w:t>Components</w:t>
      </w:r>
      <w:bookmarkEnd w:id="12"/>
      <w:bookmarkEnd w:id="13"/>
    </w:p>
    <w:p w:rsidR="00367DC5" w:rsidRDefault="001A7ABB" w:rsidP="002E652A">
      <w:pPr>
        <w:pStyle w:val="ListBullet"/>
      </w:pPr>
      <w:proofErr w:type="gramStart"/>
      <w:r w:rsidRPr="00D2012E">
        <w:rPr>
          <w:b/>
        </w:rPr>
        <w:t>Jurisdiction</w:t>
      </w:r>
      <w:r w:rsidR="00A242F7" w:rsidRPr="00D2012E">
        <w:rPr>
          <w:b/>
        </w:rPr>
        <w:t xml:space="preserve"> or A</w:t>
      </w:r>
      <w:r w:rsidRPr="00D2012E">
        <w:rPr>
          <w:b/>
        </w:rPr>
        <w:t>gency</w:t>
      </w:r>
      <w:r>
        <w:t xml:space="preserve"> </w:t>
      </w:r>
      <w:r w:rsidR="009F0F5E" w:rsidRPr="00CC4325">
        <w:rPr>
          <w:b/>
        </w:rPr>
        <w:t>Homeland Security St</w:t>
      </w:r>
      <w:r w:rsidR="00367DC5" w:rsidRPr="00CC4325">
        <w:rPr>
          <w:b/>
        </w:rPr>
        <w:t>rategy</w:t>
      </w:r>
      <w:r w:rsidR="009F0F5E">
        <w:rPr>
          <w:b/>
        </w:rPr>
        <w:t>.</w:t>
      </w:r>
      <w:proofErr w:type="gramEnd"/>
      <w:r w:rsidR="00367DC5" w:rsidRPr="00CC4325">
        <w:t xml:space="preserve"> The current state of preparedness a</w:t>
      </w:r>
      <w:r w:rsidR="00367DC5" w:rsidRPr="003F7386">
        <w:t xml:space="preserve">ctivities, planning, training, equipment, and exercises from all agencies and programs </w:t>
      </w:r>
      <w:proofErr w:type="gramStart"/>
      <w:r w:rsidR="00367DC5" w:rsidRPr="003F7386">
        <w:t>should be discussed</w:t>
      </w:r>
      <w:proofErr w:type="gramEnd"/>
      <w:r w:rsidR="00367DC5" w:rsidRPr="003F7386">
        <w:t xml:space="preserve">. Priorities gleaned from the </w:t>
      </w:r>
      <w:r>
        <w:t>jurisdiction</w:t>
      </w:r>
      <w:r w:rsidR="00A242F7">
        <w:t xml:space="preserve"> or </w:t>
      </w:r>
      <w:proofErr w:type="gramStart"/>
      <w:r>
        <w:t xml:space="preserve">agency </w:t>
      </w:r>
      <w:r w:rsidR="00367DC5" w:rsidRPr="003F7386">
        <w:t>homeland security strategy</w:t>
      </w:r>
      <w:proofErr w:type="gramEnd"/>
      <w:r w:rsidR="00367DC5" w:rsidRPr="003F7386">
        <w:t xml:space="preserve"> should be identified and disseminated to participants </w:t>
      </w:r>
      <w:r w:rsidR="009F0F5E">
        <w:t>before</w:t>
      </w:r>
      <w:r w:rsidR="00367DC5" w:rsidRPr="003F7386">
        <w:t xml:space="preserve"> the TEPW.</w:t>
      </w:r>
    </w:p>
    <w:p w:rsidR="00367DC5" w:rsidRPr="003F7386" w:rsidRDefault="00367DC5" w:rsidP="002E652A">
      <w:pPr>
        <w:pStyle w:val="ListBullet"/>
      </w:pPr>
      <w:proofErr w:type="gramStart"/>
      <w:r w:rsidRPr="009F0F5E">
        <w:rPr>
          <w:b/>
        </w:rPr>
        <w:t>Capabilities-Based Planning</w:t>
      </w:r>
      <w:r w:rsidR="009F0F5E">
        <w:rPr>
          <w:b/>
        </w:rPr>
        <w:t>.</w:t>
      </w:r>
      <w:proofErr w:type="gramEnd"/>
      <w:r w:rsidRPr="009F0F5E">
        <w:rPr>
          <w:b/>
        </w:rPr>
        <w:t xml:space="preserve"> </w:t>
      </w:r>
      <w:r w:rsidRPr="003F7386">
        <w:t xml:space="preserve">An overview of capabilities-based planning </w:t>
      </w:r>
      <w:proofErr w:type="gramStart"/>
      <w:r w:rsidRPr="003F7386">
        <w:t>should be conducted</w:t>
      </w:r>
      <w:proofErr w:type="gramEnd"/>
      <w:r w:rsidRPr="003F7386">
        <w:t xml:space="preserve">. </w:t>
      </w:r>
      <w:r w:rsidR="001A7ABB">
        <w:t>Jurisdiction</w:t>
      </w:r>
      <w:r w:rsidR="00A242F7">
        <w:t xml:space="preserve"> or </w:t>
      </w:r>
      <w:r w:rsidR="001A7ABB">
        <w:t xml:space="preserve">agency </w:t>
      </w:r>
      <w:r w:rsidRPr="003F7386">
        <w:t xml:space="preserve">priorities </w:t>
      </w:r>
      <w:proofErr w:type="gramStart"/>
      <w:r w:rsidRPr="003F7386">
        <w:t xml:space="preserve">should be clearly defined and discussed as they relate to </w:t>
      </w:r>
      <w:r w:rsidR="009F0F5E" w:rsidRPr="003F7386">
        <w:t>national pr</w:t>
      </w:r>
      <w:r w:rsidRPr="003F7386">
        <w:t>iorities</w:t>
      </w:r>
      <w:proofErr w:type="gramEnd"/>
      <w:r w:rsidRPr="003F7386">
        <w:t xml:space="preserve">. If applicable, </w:t>
      </w:r>
      <w:r w:rsidR="001A7ABB">
        <w:t>jurisdiction</w:t>
      </w:r>
      <w:r w:rsidR="00A242F7">
        <w:t xml:space="preserve"> or </w:t>
      </w:r>
      <w:r w:rsidR="001A7ABB">
        <w:t xml:space="preserve">agency </w:t>
      </w:r>
      <w:r w:rsidRPr="003F7386">
        <w:t xml:space="preserve">priorities </w:t>
      </w:r>
      <w:proofErr w:type="gramStart"/>
      <w:r w:rsidRPr="003F7386">
        <w:t>should be linked</w:t>
      </w:r>
      <w:proofErr w:type="gramEnd"/>
      <w:r w:rsidRPr="003F7386">
        <w:t xml:space="preserve"> to improvement planning efforts. Target capabilities that </w:t>
      </w:r>
      <w:proofErr w:type="gramStart"/>
      <w:r w:rsidRPr="003F7386">
        <w:t>should be accomplished</w:t>
      </w:r>
      <w:proofErr w:type="gramEnd"/>
      <w:r w:rsidRPr="003F7386">
        <w:t xml:space="preserve"> to attain </w:t>
      </w:r>
      <w:r w:rsidR="001A7ABB">
        <w:t>jurisdiction</w:t>
      </w:r>
      <w:r w:rsidR="00A242F7">
        <w:t xml:space="preserve"> or </w:t>
      </w:r>
      <w:r w:rsidR="001A7ABB">
        <w:t xml:space="preserve">agency </w:t>
      </w:r>
      <w:r w:rsidRPr="003F7386">
        <w:t xml:space="preserve">priorities should then be listed along with training and exercises that will help the </w:t>
      </w:r>
      <w:r w:rsidR="001A7ABB">
        <w:t>jurisdiction</w:t>
      </w:r>
      <w:r w:rsidR="00A242F7">
        <w:t xml:space="preserve"> or </w:t>
      </w:r>
      <w:r w:rsidR="001A7ABB">
        <w:t xml:space="preserve">agency </w:t>
      </w:r>
      <w:r w:rsidRPr="003F7386">
        <w:t>obtain those capabilities and achieve those priorities.</w:t>
      </w:r>
    </w:p>
    <w:p w:rsidR="00367DC5" w:rsidRPr="003F7386" w:rsidRDefault="00367DC5" w:rsidP="002E652A">
      <w:pPr>
        <w:pStyle w:val="ListBullet"/>
      </w:pPr>
      <w:proofErr w:type="gramStart"/>
      <w:r w:rsidRPr="009F0F5E">
        <w:rPr>
          <w:b/>
        </w:rPr>
        <w:t>Multi-Year Training and Exercise Plan</w:t>
      </w:r>
      <w:r w:rsidR="009F0F5E">
        <w:rPr>
          <w:b/>
        </w:rPr>
        <w:t>.</w:t>
      </w:r>
      <w:proofErr w:type="gramEnd"/>
      <w:r w:rsidRPr="009F0F5E">
        <w:rPr>
          <w:b/>
        </w:rPr>
        <w:t xml:space="preserve"> </w:t>
      </w:r>
      <w:r w:rsidRPr="003F7386">
        <w:t xml:space="preserve">The Multi-Year Training and Exercise Plan is the roadmap for accomplishing priorities described in the </w:t>
      </w:r>
      <w:r w:rsidR="001A7ABB">
        <w:t>jurisdiction</w:t>
      </w:r>
      <w:r w:rsidR="00A242F7">
        <w:t xml:space="preserve"> or </w:t>
      </w:r>
      <w:proofErr w:type="gramStart"/>
      <w:r w:rsidR="001A7ABB">
        <w:t xml:space="preserve">agency </w:t>
      </w:r>
      <w:r w:rsidRPr="003F7386">
        <w:t>homeland security strategy</w:t>
      </w:r>
      <w:proofErr w:type="gramEnd"/>
      <w:r w:rsidRPr="003F7386">
        <w:t xml:space="preserve">. Included in the plan should be the </w:t>
      </w:r>
      <w:r w:rsidR="009F0F5E" w:rsidRPr="003F7386">
        <w:t>training and exercise sch</w:t>
      </w:r>
      <w:r w:rsidRPr="003F7386">
        <w:t>edule for the ensuing 3 years.</w:t>
      </w:r>
    </w:p>
    <w:p w:rsidR="00367DC5" w:rsidRPr="003F7386" w:rsidRDefault="00367DC5" w:rsidP="002E652A">
      <w:pPr>
        <w:pStyle w:val="ListBullet"/>
      </w:pPr>
      <w:proofErr w:type="gramStart"/>
      <w:r w:rsidRPr="009F0F5E">
        <w:rPr>
          <w:b/>
        </w:rPr>
        <w:t>HSEEP</w:t>
      </w:r>
      <w:r w:rsidR="009F0F5E">
        <w:rPr>
          <w:b/>
        </w:rPr>
        <w:t>.</w:t>
      </w:r>
      <w:proofErr w:type="gramEnd"/>
      <w:r w:rsidRPr="009F0F5E">
        <w:rPr>
          <w:b/>
        </w:rPr>
        <w:t xml:space="preserve"> </w:t>
      </w:r>
      <w:r w:rsidRPr="003F7386">
        <w:t xml:space="preserve">A brief overview of HSEEP </w:t>
      </w:r>
      <w:proofErr w:type="gramStart"/>
      <w:r w:rsidRPr="003F7386">
        <w:t>should be conducted</w:t>
      </w:r>
      <w:proofErr w:type="gramEnd"/>
      <w:r w:rsidRPr="003F7386">
        <w:t>, highlighting the program’s guidelines, goals, and objectives.</w:t>
      </w:r>
    </w:p>
    <w:p w:rsidR="00367DC5" w:rsidRPr="009F0F5E" w:rsidRDefault="00367DC5" w:rsidP="002E652A">
      <w:pPr>
        <w:pStyle w:val="ListBullet"/>
      </w:pPr>
      <w:proofErr w:type="gramStart"/>
      <w:r w:rsidRPr="009F0F5E">
        <w:rPr>
          <w:b/>
        </w:rPr>
        <w:t>Training and Exercise Schedule</w:t>
      </w:r>
      <w:r w:rsidR="009F0F5E" w:rsidRPr="009F0F5E">
        <w:rPr>
          <w:b/>
        </w:rPr>
        <w:t>.</w:t>
      </w:r>
      <w:proofErr w:type="gramEnd"/>
      <w:r w:rsidRPr="009F0F5E">
        <w:t xml:space="preserve"> Attendees at the TEPW should develop a training and exercise schedule to be included in the Multi-Year Training and Exercise Plan. The schedule should list the proposed training and exercises to </w:t>
      </w:r>
      <w:proofErr w:type="gramStart"/>
      <w:r w:rsidRPr="009F0F5E">
        <w:t>be conducted</w:t>
      </w:r>
      <w:proofErr w:type="gramEnd"/>
      <w:r w:rsidRPr="009F0F5E">
        <w:t xml:space="preserve"> over the ensuing 3 years. For example, schedules created in 2006 represent training and exercise activities expected to occur from January 1, 2006, to December 31, 2008. In 2007, </w:t>
      </w:r>
      <w:r w:rsidR="009F0F5E" w:rsidRPr="009F0F5E">
        <w:t xml:space="preserve">the </w:t>
      </w:r>
      <w:r w:rsidR="001A7ABB">
        <w:t>jurisdiction</w:t>
      </w:r>
      <w:r w:rsidR="00A242F7">
        <w:t xml:space="preserve"> or </w:t>
      </w:r>
      <w:r w:rsidR="001A7ABB">
        <w:t xml:space="preserve">agency </w:t>
      </w:r>
      <w:r w:rsidRPr="009F0F5E">
        <w:t xml:space="preserve">should create a 3-year training and exercise schedule that represents training and exercise activities planned for January 1, 2007, to December 31, 2009. The schedule should allow adequate time for a building-block progression of exercises. For exercises held in the first year, approximate dates should be available. For second and third year schedules, tentative dates may be used. The schedule </w:t>
      </w:r>
      <w:proofErr w:type="gramStart"/>
      <w:r w:rsidRPr="009F0F5E">
        <w:t>should be submitted</w:t>
      </w:r>
      <w:proofErr w:type="gramEnd"/>
      <w:r w:rsidRPr="009F0F5E">
        <w:t xml:space="preserve"> to </w:t>
      </w:r>
      <w:r w:rsidR="009F0F5E" w:rsidRPr="009F0F5E">
        <w:t xml:space="preserve">the </w:t>
      </w:r>
      <w:r w:rsidRPr="009F0F5E">
        <w:t xml:space="preserve">DHS by the </w:t>
      </w:r>
      <w:r w:rsidR="001A7ABB">
        <w:t>jurisdiction</w:t>
      </w:r>
      <w:r w:rsidR="00A242F7">
        <w:t xml:space="preserve"> or </w:t>
      </w:r>
      <w:r w:rsidR="001A7ABB">
        <w:t xml:space="preserve">agency </w:t>
      </w:r>
      <w:r w:rsidRPr="009F0F5E">
        <w:t xml:space="preserve">POC as part of the completed Multi-Year Training and Exercise Plan within 30 days of the TEPW. The State POC or SAA should post the exercise schedule to the </w:t>
      </w:r>
      <w:r w:rsidR="009F0F5E" w:rsidRPr="009F0F5E">
        <w:t xml:space="preserve">Centralized Scheduling and Information System (CSIS) </w:t>
      </w:r>
      <w:r w:rsidRPr="009F0F5E">
        <w:t>on the DHS Secure Portal.</w:t>
      </w:r>
    </w:p>
    <w:p w:rsidR="00A56A11" w:rsidRPr="003F7386" w:rsidRDefault="00A56A11" w:rsidP="00A56A11">
      <w:pPr>
        <w:pStyle w:val="Heading2"/>
      </w:pPr>
      <w:bookmarkStart w:id="14" w:name="_Toc244059796"/>
      <w:bookmarkStart w:id="15" w:name="_Toc244318318"/>
      <w:bookmarkStart w:id="16" w:name="_Toc242263771"/>
      <w:r w:rsidRPr="003F7386">
        <w:t>Homeland Security Exercise and Evaluation Program</w:t>
      </w:r>
      <w:r>
        <w:t xml:space="preserve"> (HSEEP)</w:t>
      </w:r>
      <w:bookmarkEnd w:id="14"/>
      <w:bookmarkEnd w:id="15"/>
    </w:p>
    <w:p w:rsidR="00A56A11" w:rsidRPr="00CC4325" w:rsidRDefault="00A56A11" w:rsidP="00A56A11">
      <w:pPr>
        <w:pStyle w:val="BodyText"/>
      </w:pPr>
      <w:r w:rsidRPr="00CC4325">
        <w:t xml:space="preserve">HSEEP </w:t>
      </w:r>
      <w:proofErr w:type="gramStart"/>
      <w:r w:rsidRPr="00CC4325">
        <w:t xml:space="preserve">was </w:t>
      </w:r>
      <w:r>
        <w:t>created</w:t>
      </w:r>
      <w:proofErr w:type="gramEnd"/>
      <w:r w:rsidRPr="00CC4325">
        <w:t xml:space="preserve"> to provide </w:t>
      </w:r>
      <w:r>
        <w:t xml:space="preserve">a consistent methodology for </w:t>
      </w:r>
      <w:r w:rsidRPr="00CC4325">
        <w:t>exercise planning, design, development, conduct, evaluation</w:t>
      </w:r>
      <w:r w:rsidR="00D2012E">
        <w:t>,</w:t>
      </w:r>
      <w:r w:rsidRPr="00CC4325">
        <w:t xml:space="preserve"> </w:t>
      </w:r>
      <w:r>
        <w:t xml:space="preserve">and improvement planning </w:t>
      </w:r>
      <w:r w:rsidRPr="00CC4325">
        <w:t>process</w:t>
      </w:r>
      <w:r>
        <w:t>es</w:t>
      </w:r>
      <w:r w:rsidRPr="00CC4325">
        <w:t xml:space="preserve">. HSEEP provides the tools and resources such as policy, guidance, training, technology, </w:t>
      </w:r>
      <w:r>
        <w:t xml:space="preserve">sample materials, </w:t>
      </w:r>
      <w:r w:rsidRPr="00CC4325">
        <w:t>and direct support to promote regional, State, and local exercise expertise, while advancing a standardized means of assessing and improving preparedness across the Nation.</w:t>
      </w:r>
    </w:p>
    <w:p w:rsidR="00A56A11" w:rsidRPr="003F7386" w:rsidRDefault="00A56A11" w:rsidP="00A56A11">
      <w:pPr>
        <w:pStyle w:val="Heading2"/>
      </w:pPr>
      <w:bookmarkStart w:id="17" w:name="_Toc244059797"/>
      <w:bookmarkStart w:id="18" w:name="_Toc244318319"/>
      <w:r w:rsidRPr="003F7386">
        <w:t>Capabilities-Based Planning</w:t>
      </w:r>
      <w:bookmarkEnd w:id="17"/>
      <w:bookmarkEnd w:id="18"/>
    </w:p>
    <w:p w:rsidR="00A56A11" w:rsidRPr="00CC4325" w:rsidRDefault="00A56A11" w:rsidP="00A56A11">
      <w:pPr>
        <w:pStyle w:val="BodyText"/>
      </w:pPr>
      <w:r w:rsidRPr="00CC4325">
        <w:t xml:space="preserve">The National Planning Scenarios and the establishment of the national priorities steered the focus of homeland security toward a capabilities-based planning approach. Capabilities-based planning </w:t>
      </w:r>
      <w:r w:rsidRPr="00CC4325">
        <w:lastRenderedPageBreak/>
        <w:t xml:space="preserve">focuses on uncertainty. Because it can never be determined with 100 percent accuracy what threat or hazard will occur, it is important to build capabilities that </w:t>
      </w:r>
      <w:proofErr w:type="gramStart"/>
      <w:r w:rsidRPr="00CC4325">
        <w:t>can be applied</w:t>
      </w:r>
      <w:proofErr w:type="gramEnd"/>
      <w:r w:rsidRPr="00CC4325">
        <w:t xml:space="preserve"> to a wide variety of incidents. The </w:t>
      </w:r>
      <w:r>
        <w:t>Target Capabilities List (</w:t>
      </w:r>
      <w:r w:rsidRPr="00CC4325">
        <w:t>TCL</w:t>
      </w:r>
      <w:r>
        <w:t>)</w:t>
      </w:r>
      <w:r w:rsidRPr="00CC4325">
        <w:t xml:space="preserve"> defines capabilities-based planning as “planning, under uncertainty, to build capabilities suitable for a wide range of threats and hazards while working within an economic framework that necessitates prioritization and choice.” As such, capabilities-based planning is all-hazards planning that </w:t>
      </w:r>
      <w:proofErr w:type="gramStart"/>
      <w:r w:rsidRPr="00CC4325">
        <w:t>identifies</w:t>
      </w:r>
      <w:proofErr w:type="gramEnd"/>
      <w:r w:rsidRPr="00CC4325">
        <w:t xml:space="preserve"> a baseline assessment of State or urban area homeland security efforts. An assessment of this kind is necessary to begin any long-term exercise strategy. This determines where current capabilities stand against the </w:t>
      </w:r>
      <w:r w:rsidR="00297E66">
        <w:t>Universal Task List (</w:t>
      </w:r>
      <w:r w:rsidRPr="00CC4325">
        <w:t>UTL</w:t>
      </w:r>
      <w:r w:rsidR="00297E66">
        <w:t>)</w:t>
      </w:r>
      <w:r w:rsidRPr="00CC4325">
        <w:t xml:space="preserve"> and TCL and identifies gaps in capabilities. The approach focuses efforts on identifying and developing the capabilities from the TCL to perform the critical tasks from the UTL.</w:t>
      </w:r>
    </w:p>
    <w:p w:rsidR="00A56A11" w:rsidRPr="00CC4325" w:rsidRDefault="00A56A11" w:rsidP="00A56A11">
      <w:pPr>
        <w:pStyle w:val="Caption"/>
      </w:pPr>
      <w:r w:rsidRPr="00CC4325">
        <w:t>Evolution of Capabilities-Based Planning</w:t>
      </w:r>
    </w:p>
    <w:p w:rsidR="00A56A11" w:rsidRDefault="00885AE9" w:rsidP="00A56A11">
      <w:pPr>
        <w:jc w:val="center"/>
      </w:pPr>
      <w:r>
        <w:rPr>
          <w:noProof/>
        </w:rPr>
        <w:drawing>
          <wp:inline distT="0" distB="0" distL="0" distR="0">
            <wp:extent cx="5486400" cy="628650"/>
            <wp:effectExtent l="19050" t="0" r="0" b="0"/>
            <wp:docPr id="2" name="Picture 2" descr="This image models the evolution of Capabilities-Based Planning. Flowing from left to right, the five elements are: HSPD-8, National Preparedness Goal, National Planning Scenarios, UTL, and 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models the evolution of Capabilities-Based Planning. Flowing from left to right, the five elements are: HSPD-8, National Preparedness Goal, National Planning Scenarios, UTL, and TCL."/>
                    <pic:cNvPicPr>
                      <a:picLocks noChangeAspect="1" noChangeArrowheads="1"/>
                    </pic:cNvPicPr>
                  </pic:nvPicPr>
                  <pic:blipFill>
                    <a:blip r:embed="rId16" cstate="print"/>
                    <a:srcRect/>
                    <a:stretch>
                      <a:fillRect/>
                    </a:stretch>
                  </pic:blipFill>
                  <pic:spPr bwMode="auto">
                    <a:xfrm>
                      <a:off x="0" y="0"/>
                      <a:ext cx="5486400" cy="628650"/>
                    </a:xfrm>
                    <a:prstGeom prst="rect">
                      <a:avLst/>
                    </a:prstGeom>
                    <a:noFill/>
                    <a:ln w="9525">
                      <a:noFill/>
                      <a:miter lim="800000"/>
                      <a:headEnd/>
                      <a:tailEnd/>
                    </a:ln>
                  </pic:spPr>
                </pic:pic>
              </a:graphicData>
            </a:graphic>
          </wp:inline>
        </w:drawing>
      </w:r>
    </w:p>
    <w:p w:rsidR="00A56A11" w:rsidRPr="00140A1C" w:rsidRDefault="00A56A11" w:rsidP="00A56A11">
      <w:pPr>
        <w:jc w:val="center"/>
      </w:pPr>
    </w:p>
    <w:p w:rsidR="00A56A11" w:rsidRPr="003F7386" w:rsidRDefault="00A56A11" w:rsidP="00A56A11">
      <w:pPr>
        <w:pStyle w:val="Heading2"/>
      </w:pPr>
      <w:bookmarkStart w:id="19" w:name="_Toc244059798"/>
      <w:bookmarkStart w:id="20" w:name="_Toc244318320"/>
      <w:r w:rsidRPr="003F7386">
        <w:t xml:space="preserve">Homeland Security Presidential Directive </w:t>
      </w:r>
      <w:r>
        <w:t xml:space="preserve">8 </w:t>
      </w:r>
      <w:r w:rsidRPr="003F7386">
        <w:t>(HSPD-8</w:t>
      </w:r>
      <w:r>
        <w:t>)</w:t>
      </w:r>
      <w:bookmarkEnd w:id="19"/>
      <w:bookmarkEnd w:id="20"/>
    </w:p>
    <w:p w:rsidR="00A56A11" w:rsidRDefault="00A56A11" w:rsidP="00A56A11">
      <w:pPr>
        <w:pStyle w:val="BodyText"/>
      </w:pPr>
      <w:r w:rsidRPr="00915C64">
        <w:t xml:space="preserve">On December 17, 2003, the President issued </w:t>
      </w:r>
      <w:r>
        <w:t>Homeland Security Presidential Directive 8 (</w:t>
      </w:r>
      <w:r w:rsidRPr="00915C64">
        <w:t>HSPD</w:t>
      </w:r>
      <w:r>
        <w:noBreakHyphen/>
      </w:r>
      <w:r w:rsidRPr="00915C64">
        <w:t>8</w:t>
      </w:r>
      <w:r>
        <w:t>)</w:t>
      </w:r>
      <w:r w:rsidRPr="00915C64">
        <w:t xml:space="preserve">: National Preparedness. Among other actions, HSPD-8 required establishment of a National Preparedness Goal, which establishes measurable priorities, targets, and a common approach to developing capabilities needed to better prepare the Nation as a whole. The National Preparedness Goal uses a capabilities-based planning approach to help answer the </w:t>
      </w:r>
      <w:r>
        <w:t xml:space="preserve">following </w:t>
      </w:r>
      <w:r w:rsidRPr="00915C64">
        <w:t>questions</w:t>
      </w:r>
      <w:r>
        <w:t>:</w:t>
      </w:r>
    </w:p>
    <w:p w:rsidR="00A56A11" w:rsidRDefault="00A56A11" w:rsidP="00297E66">
      <w:pPr>
        <w:pStyle w:val="ListBullet"/>
        <w:numPr>
          <w:ilvl w:val="0"/>
          <w:numId w:val="16"/>
        </w:numPr>
        <w:spacing w:after="0"/>
      </w:pPr>
      <w:r w:rsidRPr="00915C64">
        <w:t>How prepared are we</w:t>
      </w:r>
      <w:r>
        <w:t>?</w:t>
      </w:r>
    </w:p>
    <w:p w:rsidR="00A56A11" w:rsidRDefault="00A56A11" w:rsidP="00297E66">
      <w:pPr>
        <w:pStyle w:val="ListBullet"/>
        <w:numPr>
          <w:ilvl w:val="0"/>
          <w:numId w:val="16"/>
        </w:numPr>
        <w:spacing w:after="0"/>
      </w:pPr>
      <w:r w:rsidRPr="00915C64">
        <w:t>How prepared do we need to be</w:t>
      </w:r>
      <w:r>
        <w:t>?</w:t>
      </w:r>
    </w:p>
    <w:p w:rsidR="00A56A11" w:rsidRDefault="00A56A11" w:rsidP="00A56A11">
      <w:pPr>
        <w:pStyle w:val="ListBullet"/>
        <w:numPr>
          <w:ilvl w:val="0"/>
          <w:numId w:val="16"/>
        </w:numPr>
      </w:pPr>
      <w:r w:rsidRPr="00915C64">
        <w:t xml:space="preserve">How do we prioritize efforts to close the gap? </w:t>
      </w:r>
    </w:p>
    <w:p w:rsidR="00A56A11" w:rsidRPr="00915C64" w:rsidRDefault="00A56A11" w:rsidP="00A56A11">
      <w:pPr>
        <w:pStyle w:val="BodyText"/>
      </w:pPr>
      <w:proofErr w:type="gramStart"/>
      <w:r w:rsidRPr="00915C64">
        <w:t>As a result</w:t>
      </w:r>
      <w:proofErr w:type="gramEnd"/>
      <w:r w:rsidRPr="00915C64">
        <w:t xml:space="preserve"> of HSPD-8 and the National Preparedness Goal, a set of National Planning Scenarios was developed to illustrate the effects and conditions of incidents of national significance for which the Nation should prepare.</w:t>
      </w:r>
    </w:p>
    <w:p w:rsidR="00A56A11" w:rsidRPr="00CC4325" w:rsidRDefault="00A56A11" w:rsidP="00A56A11">
      <w:pPr>
        <w:pStyle w:val="Heading2"/>
      </w:pPr>
      <w:bookmarkStart w:id="21" w:name="_Toc244059799"/>
      <w:bookmarkStart w:id="22" w:name="_Toc244318321"/>
      <w:r w:rsidRPr="00CC4325">
        <w:t>National Preparedness Goal</w:t>
      </w:r>
      <w:bookmarkEnd w:id="21"/>
      <w:bookmarkEnd w:id="22"/>
    </w:p>
    <w:p w:rsidR="00A56A11" w:rsidRDefault="00A56A11" w:rsidP="00A56A11">
      <w:pPr>
        <w:pStyle w:val="BodyText"/>
      </w:pPr>
      <w:r w:rsidRPr="005137C4">
        <w:t xml:space="preserve">The National Preparedness Goal is designed to guide Federal </w:t>
      </w:r>
      <w:r>
        <w:t>d</w:t>
      </w:r>
      <w:r w:rsidRPr="005137C4">
        <w:t xml:space="preserve">epartments and </w:t>
      </w:r>
      <w:r>
        <w:t>agencies; State, territorial, t</w:t>
      </w:r>
      <w:r w:rsidRPr="005137C4">
        <w:t>ribal, and local officials</w:t>
      </w:r>
      <w:r>
        <w:t>;</w:t>
      </w:r>
      <w:r w:rsidRPr="005137C4">
        <w:t xml:space="preserve"> the private sector</w:t>
      </w:r>
      <w:r>
        <w:t>;</w:t>
      </w:r>
      <w:r w:rsidRPr="005137C4">
        <w:t xml:space="preserve"> </w:t>
      </w:r>
      <w:r>
        <w:t>nongovernmental organizations (NGOs);</w:t>
      </w:r>
      <w:r w:rsidRPr="005137C4">
        <w:t xml:space="preserve"> and the public in determining how most effectively and efficiently to strengthen preparedness for terrorist attacks, major disasters, and other emergencies. </w:t>
      </w:r>
    </w:p>
    <w:p w:rsidR="00A56A11" w:rsidRPr="00CC4325" w:rsidRDefault="00A56A11" w:rsidP="00A56A11">
      <w:pPr>
        <w:pStyle w:val="BodyText"/>
      </w:pPr>
      <w:r w:rsidRPr="00CC4325">
        <w:t xml:space="preserve">The </w:t>
      </w:r>
      <w:proofErr w:type="gramStart"/>
      <w:r w:rsidRPr="00CC4325">
        <w:t xml:space="preserve">following eight national priorities were established by </w:t>
      </w:r>
      <w:r>
        <w:t xml:space="preserve">the </w:t>
      </w:r>
      <w:r w:rsidRPr="00CC4325">
        <w:t>DHS National Preparedness Goal</w:t>
      </w:r>
      <w:proofErr w:type="gramEnd"/>
      <w:r w:rsidRPr="00CC4325">
        <w:t>:</w:t>
      </w:r>
    </w:p>
    <w:p w:rsidR="00A56A11" w:rsidRPr="00915C64" w:rsidRDefault="00A56A11" w:rsidP="00A56A11">
      <w:pPr>
        <w:pStyle w:val="ListBullet"/>
        <w:numPr>
          <w:ilvl w:val="0"/>
          <w:numId w:val="35"/>
        </w:numPr>
        <w:spacing w:after="0"/>
      </w:pPr>
      <w:r w:rsidRPr="00915C64">
        <w:t xml:space="preserve">Implement </w:t>
      </w:r>
      <w:r w:rsidR="00297E66">
        <w:t>the National Incident Management System (</w:t>
      </w:r>
      <w:r w:rsidRPr="00915C64">
        <w:t>NIMS</w:t>
      </w:r>
      <w:r w:rsidR="00297E66">
        <w:t>)</w:t>
      </w:r>
      <w:r w:rsidRPr="00915C64">
        <w:t xml:space="preserve"> and </w:t>
      </w:r>
      <w:r w:rsidR="00297E66">
        <w:t>National Response Framework</w:t>
      </w:r>
      <w:r w:rsidRPr="00915C64">
        <w:t xml:space="preserve"> </w:t>
      </w:r>
      <w:r w:rsidR="00297E66">
        <w:t>(</w:t>
      </w:r>
      <w:r>
        <w:t>NRF</w:t>
      </w:r>
      <w:r w:rsidR="00297E66">
        <w:t>)</w:t>
      </w:r>
      <w:r>
        <w:t>.</w:t>
      </w:r>
    </w:p>
    <w:p w:rsidR="00A56A11" w:rsidRPr="00915C64" w:rsidRDefault="00A56A11" w:rsidP="00A56A11">
      <w:pPr>
        <w:pStyle w:val="ListBullet"/>
        <w:numPr>
          <w:ilvl w:val="0"/>
          <w:numId w:val="35"/>
        </w:numPr>
        <w:spacing w:after="0"/>
      </w:pPr>
      <w:r w:rsidRPr="00915C64">
        <w:t>Expand regional collaboration</w:t>
      </w:r>
      <w:r>
        <w:t>.</w:t>
      </w:r>
    </w:p>
    <w:p w:rsidR="00A56A11" w:rsidRPr="00915C64" w:rsidRDefault="00A56A11" w:rsidP="00A56A11">
      <w:pPr>
        <w:pStyle w:val="ListBullet"/>
        <w:numPr>
          <w:ilvl w:val="0"/>
          <w:numId w:val="35"/>
        </w:numPr>
        <w:spacing w:after="0"/>
      </w:pPr>
      <w:r w:rsidRPr="00915C64">
        <w:t>Implement the National I</w:t>
      </w:r>
      <w:r>
        <w:t>nfrastructure Preparedness Plan.</w:t>
      </w:r>
    </w:p>
    <w:p w:rsidR="00A56A11" w:rsidRPr="00915C64" w:rsidRDefault="00A56A11" w:rsidP="00A56A11">
      <w:pPr>
        <w:pStyle w:val="ListBullet"/>
        <w:numPr>
          <w:ilvl w:val="0"/>
          <w:numId w:val="35"/>
        </w:numPr>
        <w:spacing w:after="0"/>
      </w:pPr>
      <w:r w:rsidRPr="00915C64">
        <w:t>Strengthen information sharing and collaboration capabilities</w:t>
      </w:r>
      <w:r>
        <w:t>.</w:t>
      </w:r>
    </w:p>
    <w:p w:rsidR="00A56A11" w:rsidRPr="00915C64" w:rsidRDefault="00A56A11" w:rsidP="00A56A11">
      <w:pPr>
        <w:pStyle w:val="ListBullet"/>
        <w:numPr>
          <w:ilvl w:val="0"/>
          <w:numId w:val="35"/>
        </w:numPr>
        <w:spacing w:after="0"/>
      </w:pPr>
      <w:r w:rsidRPr="00915C64">
        <w:lastRenderedPageBreak/>
        <w:t xml:space="preserve">Strengthen </w:t>
      </w:r>
      <w:r w:rsidR="00297E66">
        <w:t>chemical, biological, radiological, nuclear, and high-yield explosives (</w:t>
      </w:r>
      <w:r w:rsidRPr="00915C64">
        <w:t>CBRNE</w:t>
      </w:r>
      <w:r w:rsidR="00297E66">
        <w:t>)</w:t>
      </w:r>
      <w:r w:rsidRPr="00915C64">
        <w:t xml:space="preserve"> weapons detection, response, and decontamination capabilities</w:t>
      </w:r>
      <w:r>
        <w:t>.</w:t>
      </w:r>
    </w:p>
    <w:p w:rsidR="00A56A11" w:rsidRPr="00915C64" w:rsidRDefault="00A56A11" w:rsidP="00A56A11">
      <w:pPr>
        <w:pStyle w:val="ListBullet"/>
        <w:numPr>
          <w:ilvl w:val="0"/>
          <w:numId w:val="35"/>
        </w:numPr>
        <w:spacing w:after="0"/>
      </w:pPr>
      <w:r w:rsidRPr="00915C64">
        <w:t>Strengthen interoperable communications capabilities</w:t>
      </w:r>
      <w:r>
        <w:t>.</w:t>
      </w:r>
    </w:p>
    <w:p w:rsidR="00A56A11" w:rsidRPr="00915C64" w:rsidRDefault="00A56A11" w:rsidP="00A56A11">
      <w:pPr>
        <w:pStyle w:val="ListBullet"/>
        <w:numPr>
          <w:ilvl w:val="0"/>
          <w:numId w:val="35"/>
        </w:numPr>
        <w:spacing w:after="0"/>
      </w:pPr>
      <w:r w:rsidRPr="00915C64">
        <w:t>Strengthen medical surge and mass prophylaxis capabilities</w:t>
      </w:r>
      <w:r>
        <w:t>.</w:t>
      </w:r>
    </w:p>
    <w:p w:rsidR="00A56A11" w:rsidRPr="00915C64" w:rsidRDefault="00A56A11" w:rsidP="00A56A11">
      <w:pPr>
        <w:pStyle w:val="ListBullet"/>
        <w:numPr>
          <w:ilvl w:val="0"/>
          <w:numId w:val="35"/>
        </w:numPr>
      </w:pPr>
      <w:r w:rsidRPr="00915C64">
        <w:t>Strengthen emergency operations planning and citizen protection capabilities</w:t>
      </w:r>
      <w:r>
        <w:t>.</w:t>
      </w:r>
    </w:p>
    <w:p w:rsidR="00A56A11" w:rsidRPr="00CC4325" w:rsidRDefault="00A56A11" w:rsidP="00A56A11">
      <w:pPr>
        <w:pStyle w:val="Heading2"/>
      </w:pPr>
      <w:bookmarkStart w:id="23" w:name="_Toc244059801"/>
      <w:bookmarkStart w:id="24" w:name="_Toc244318322"/>
      <w:r w:rsidRPr="00CC4325">
        <w:t>National Planning Scenarios</w:t>
      </w:r>
      <w:bookmarkEnd w:id="23"/>
      <w:bookmarkEnd w:id="24"/>
    </w:p>
    <w:p w:rsidR="00A56A11" w:rsidRDefault="00A56A11" w:rsidP="00A56A11">
      <w:pPr>
        <w:pStyle w:val="BodyText"/>
      </w:pPr>
      <w:r w:rsidRPr="005137C4">
        <w:t>The 15 National Planning Scenarios address all-hazard</w:t>
      </w:r>
      <w:r>
        <w:t>s</w:t>
      </w:r>
      <w:r w:rsidRPr="005137C4">
        <w:t xml:space="preserve"> incidents, which include terrorism, natural disasters, and health emergencies. </w:t>
      </w:r>
      <w:proofErr w:type="gramStart"/>
      <w:r w:rsidRPr="005137C4">
        <w:t>They</w:t>
      </w:r>
      <w:proofErr w:type="gramEnd"/>
      <w:r w:rsidRPr="005137C4">
        <w:t xml:space="preserve"> represent </w:t>
      </w:r>
      <w:r>
        <w:t>the</w:t>
      </w:r>
      <w:r w:rsidRPr="005137C4">
        <w:t xml:space="preserve"> minimum number of scenarios necessary to illustrate the range of potential incidents, rather than every possible threat or hazard. The 15 National Planning Scenarios are:</w:t>
      </w:r>
    </w:p>
    <w:p w:rsidR="00A56A11" w:rsidRPr="00CC4325" w:rsidRDefault="00A56A11" w:rsidP="00A56A11">
      <w:pPr>
        <w:pStyle w:val="ListBullet"/>
        <w:numPr>
          <w:ilvl w:val="0"/>
          <w:numId w:val="17"/>
        </w:numPr>
        <w:spacing w:after="0"/>
      </w:pPr>
      <w:r w:rsidRPr="00CC4325">
        <w:t xml:space="preserve">Improvised Nuclear Device </w:t>
      </w:r>
      <w:r>
        <w:t>(IND)</w:t>
      </w:r>
    </w:p>
    <w:p w:rsidR="00A56A11" w:rsidRPr="00CC4325" w:rsidRDefault="00A56A11" w:rsidP="00A56A11">
      <w:pPr>
        <w:pStyle w:val="ListBullet"/>
        <w:numPr>
          <w:ilvl w:val="0"/>
          <w:numId w:val="17"/>
        </w:numPr>
        <w:spacing w:after="0"/>
      </w:pPr>
      <w:r w:rsidRPr="00CC4325">
        <w:t xml:space="preserve">Aerosolized Anthrax </w:t>
      </w:r>
    </w:p>
    <w:p w:rsidR="00A56A11" w:rsidRPr="00CC4325" w:rsidRDefault="00A56A11" w:rsidP="00A56A11">
      <w:pPr>
        <w:pStyle w:val="ListBullet"/>
        <w:numPr>
          <w:ilvl w:val="0"/>
          <w:numId w:val="17"/>
        </w:numPr>
        <w:spacing w:after="0"/>
      </w:pPr>
      <w:r w:rsidRPr="00CC4325">
        <w:t xml:space="preserve">Pandemic Influenza </w:t>
      </w:r>
    </w:p>
    <w:p w:rsidR="00A56A11" w:rsidRPr="00CC4325" w:rsidRDefault="00A56A11" w:rsidP="00A56A11">
      <w:pPr>
        <w:pStyle w:val="ListBullet"/>
        <w:numPr>
          <w:ilvl w:val="0"/>
          <w:numId w:val="17"/>
        </w:numPr>
        <w:spacing w:after="0"/>
      </w:pPr>
      <w:r w:rsidRPr="00CC4325">
        <w:t>Plague</w:t>
      </w:r>
    </w:p>
    <w:p w:rsidR="00A56A11" w:rsidRPr="00CC4325" w:rsidRDefault="00A56A11" w:rsidP="00A56A11">
      <w:pPr>
        <w:pStyle w:val="ListBullet"/>
        <w:numPr>
          <w:ilvl w:val="0"/>
          <w:numId w:val="17"/>
        </w:numPr>
        <w:spacing w:after="0"/>
      </w:pPr>
      <w:r w:rsidRPr="00CC4325">
        <w:t xml:space="preserve">Blister Agent </w:t>
      </w:r>
    </w:p>
    <w:p w:rsidR="00A56A11" w:rsidRPr="00CC4325" w:rsidRDefault="00A56A11" w:rsidP="00A56A11">
      <w:pPr>
        <w:pStyle w:val="ListBullet"/>
        <w:numPr>
          <w:ilvl w:val="0"/>
          <w:numId w:val="17"/>
        </w:numPr>
        <w:spacing w:after="0"/>
      </w:pPr>
      <w:r w:rsidRPr="00CC4325">
        <w:t xml:space="preserve">Toxic Industrial Chemical </w:t>
      </w:r>
    </w:p>
    <w:p w:rsidR="00A56A11" w:rsidRPr="00CC4325" w:rsidRDefault="00A56A11" w:rsidP="00A56A11">
      <w:pPr>
        <w:pStyle w:val="ListBullet"/>
        <w:numPr>
          <w:ilvl w:val="0"/>
          <w:numId w:val="17"/>
        </w:numPr>
        <w:spacing w:after="0"/>
      </w:pPr>
      <w:r w:rsidRPr="00CC4325">
        <w:t xml:space="preserve">Nerve Agent </w:t>
      </w:r>
    </w:p>
    <w:p w:rsidR="00A56A11" w:rsidRPr="00CC4325" w:rsidRDefault="00A56A11" w:rsidP="00A56A11">
      <w:pPr>
        <w:pStyle w:val="ListBullet"/>
        <w:numPr>
          <w:ilvl w:val="0"/>
          <w:numId w:val="17"/>
        </w:numPr>
        <w:spacing w:after="0"/>
      </w:pPr>
      <w:r w:rsidRPr="00CC4325">
        <w:t>Chlorine Tank Explosion</w:t>
      </w:r>
    </w:p>
    <w:p w:rsidR="00A56A11" w:rsidRPr="00CC4325" w:rsidRDefault="00A56A11" w:rsidP="00A56A11">
      <w:pPr>
        <w:pStyle w:val="ListBullet"/>
        <w:numPr>
          <w:ilvl w:val="0"/>
          <w:numId w:val="17"/>
        </w:numPr>
        <w:spacing w:after="0"/>
      </w:pPr>
      <w:r w:rsidRPr="00CC4325">
        <w:t>Major Earthquake</w:t>
      </w:r>
    </w:p>
    <w:p w:rsidR="00A56A11" w:rsidRPr="00CC4325" w:rsidRDefault="00A56A11" w:rsidP="00A56A11">
      <w:pPr>
        <w:pStyle w:val="ListBullet"/>
        <w:numPr>
          <w:ilvl w:val="0"/>
          <w:numId w:val="17"/>
        </w:numPr>
        <w:spacing w:after="0"/>
      </w:pPr>
      <w:r w:rsidRPr="00CC4325">
        <w:t>Major Hurricane</w:t>
      </w:r>
    </w:p>
    <w:p w:rsidR="00A56A11" w:rsidRPr="00CC4325" w:rsidRDefault="00A56A11" w:rsidP="00A56A11">
      <w:pPr>
        <w:pStyle w:val="ListBullet"/>
        <w:numPr>
          <w:ilvl w:val="0"/>
          <w:numId w:val="17"/>
        </w:numPr>
        <w:spacing w:after="0"/>
      </w:pPr>
      <w:r w:rsidRPr="00CC4325">
        <w:t>Radiological Dispersal Device (RDD)</w:t>
      </w:r>
    </w:p>
    <w:p w:rsidR="00A56A11" w:rsidRPr="00CC4325" w:rsidRDefault="00A56A11" w:rsidP="00A56A11">
      <w:pPr>
        <w:pStyle w:val="ListBullet"/>
        <w:numPr>
          <w:ilvl w:val="0"/>
          <w:numId w:val="17"/>
        </w:numPr>
        <w:spacing w:after="0"/>
      </w:pPr>
      <w:r w:rsidRPr="00CC4325">
        <w:t>Improvised Explosive Device (IED)</w:t>
      </w:r>
    </w:p>
    <w:p w:rsidR="00A56A11" w:rsidRPr="00CC4325" w:rsidRDefault="00A56A11" w:rsidP="00A56A11">
      <w:pPr>
        <w:pStyle w:val="ListBullet"/>
        <w:numPr>
          <w:ilvl w:val="0"/>
          <w:numId w:val="17"/>
        </w:numPr>
        <w:spacing w:after="0"/>
      </w:pPr>
      <w:r w:rsidRPr="00CC4325">
        <w:t>Food Contamination</w:t>
      </w:r>
    </w:p>
    <w:p w:rsidR="00A56A11" w:rsidRPr="00CC4325" w:rsidRDefault="00A56A11" w:rsidP="00A56A11">
      <w:pPr>
        <w:pStyle w:val="ListBullet"/>
        <w:numPr>
          <w:ilvl w:val="0"/>
          <w:numId w:val="17"/>
        </w:numPr>
        <w:spacing w:after="0"/>
      </w:pPr>
      <w:r w:rsidRPr="00CC4325">
        <w:t>Foreign Animal Disease (FAD)</w:t>
      </w:r>
    </w:p>
    <w:p w:rsidR="00A56A11" w:rsidRPr="00CC4325" w:rsidRDefault="00A56A11" w:rsidP="00A56A11">
      <w:pPr>
        <w:pStyle w:val="ListBullet"/>
        <w:numPr>
          <w:ilvl w:val="0"/>
          <w:numId w:val="17"/>
        </w:numPr>
      </w:pPr>
      <w:r w:rsidRPr="00CC4325">
        <w:t>Cyber</w:t>
      </w:r>
    </w:p>
    <w:p w:rsidR="00A56A11" w:rsidRPr="00CC4325" w:rsidRDefault="00A56A11" w:rsidP="00A56A11">
      <w:pPr>
        <w:pStyle w:val="BodyText"/>
      </w:pPr>
      <w:r w:rsidRPr="00CC4325">
        <w:t>The National Planning Scenarios serve as the basis for identifying tasks that must be performed to prevent, protect against, respond to, and recover from these incidents, as well as the capabilities required to perform the tasks. The 15 scenarios provide for common planning factors in terms of the potential scope, magnitude, and complexity of major events that will help to determine the target levels of capability required and apportion responsibility among all potential partners. Developing appropriate capabilities to address this range of scenarios will best prepare the Nation for terrorist attacks, major disasters, and other emergencies.</w:t>
      </w:r>
    </w:p>
    <w:p w:rsidR="00A56A11" w:rsidRPr="003F7386" w:rsidRDefault="00A56A11" w:rsidP="00A56A11">
      <w:pPr>
        <w:pStyle w:val="Heading2"/>
      </w:pPr>
      <w:bookmarkStart w:id="25" w:name="_Toc244059802"/>
      <w:bookmarkStart w:id="26" w:name="_Toc244318323"/>
      <w:r w:rsidRPr="003F7386">
        <w:t xml:space="preserve">Target Capabilities List </w:t>
      </w:r>
      <w:r>
        <w:t>(TCL)</w:t>
      </w:r>
      <w:bookmarkEnd w:id="25"/>
      <w:bookmarkEnd w:id="26"/>
    </w:p>
    <w:p w:rsidR="00A56A11" w:rsidRDefault="00A56A11" w:rsidP="00A56A11">
      <w:pPr>
        <w:pStyle w:val="BodyText"/>
      </w:pPr>
      <w:r w:rsidRPr="00CC4325">
        <w:t xml:space="preserve">The TCL includes 37 goals that </w:t>
      </w:r>
      <w:r w:rsidRPr="005137C4">
        <w:t xml:space="preserve">will balance the potential threat and magnitude of terrorist attacks, major disasters, and other emergencies with the resources required </w:t>
      </w:r>
      <w:r>
        <w:t>for</w:t>
      </w:r>
      <w:r w:rsidRPr="005137C4">
        <w:t xml:space="preserve"> prevent</w:t>
      </w:r>
      <w:r>
        <w:t>ion, response</w:t>
      </w:r>
      <w:r w:rsidRPr="005137C4">
        <w:t>, and recover</w:t>
      </w:r>
      <w:r>
        <w:t>y</w:t>
      </w:r>
      <w:r w:rsidRPr="005137C4">
        <w:t xml:space="preserve">. This list </w:t>
      </w:r>
      <w:proofErr w:type="gramStart"/>
      <w:r w:rsidRPr="005137C4">
        <w:t>is designed</w:t>
      </w:r>
      <w:proofErr w:type="gramEnd"/>
      <w:r w:rsidRPr="005137C4">
        <w:t xml:space="preserve"> to help jurisdictions understand what their preparedness roles and responsibilities are during a major incident and includes everything from all-hazards planning to worker health and safety.</w:t>
      </w:r>
    </w:p>
    <w:p w:rsidR="00A56A11" w:rsidRPr="00CC4325" w:rsidRDefault="00A56A11" w:rsidP="00A56A11">
      <w:pPr>
        <w:pStyle w:val="Heading2"/>
      </w:pPr>
      <w:bookmarkStart w:id="27" w:name="_Toc244059803"/>
      <w:bookmarkStart w:id="28" w:name="_Toc244318324"/>
      <w:r w:rsidRPr="00CC4325">
        <w:t xml:space="preserve">Universal Task List </w:t>
      </w:r>
      <w:r>
        <w:t>(UTL)</w:t>
      </w:r>
      <w:bookmarkEnd w:id="27"/>
      <w:bookmarkEnd w:id="28"/>
    </w:p>
    <w:p w:rsidR="00A56A11" w:rsidRPr="005137C4" w:rsidRDefault="00A56A11" w:rsidP="00A56A11">
      <w:pPr>
        <w:pStyle w:val="BodyText"/>
      </w:pPr>
      <w:r w:rsidRPr="005137C4">
        <w:t xml:space="preserve">The </w:t>
      </w:r>
      <w:r>
        <w:t>UTL</w:t>
      </w:r>
      <w:r w:rsidRPr="005137C4">
        <w:t xml:space="preserve"> is a list of every unique task that </w:t>
      </w:r>
      <w:proofErr w:type="gramStart"/>
      <w:r w:rsidRPr="005137C4">
        <w:t>was identified</w:t>
      </w:r>
      <w:proofErr w:type="gramEnd"/>
      <w:r w:rsidRPr="005137C4">
        <w:t xml:space="preserve"> from</w:t>
      </w:r>
      <w:r>
        <w:t xml:space="preserve"> the list of National Planning S</w:t>
      </w:r>
      <w:r w:rsidRPr="005137C4">
        <w:t xml:space="preserve">cenarios developed under the leadership of the Homeland Security Council. The UTL is a </w:t>
      </w:r>
      <w:r w:rsidRPr="005137C4">
        <w:lastRenderedPageBreak/>
        <w:t>reference to help plan, organize, equip, train, exercise, and evaluate personnel for the tasks they may need to perform during a major incident.</w:t>
      </w:r>
    </w:p>
    <w:bookmarkEnd w:id="16"/>
    <w:p w:rsidR="00367DC5" w:rsidRDefault="00367DC5" w:rsidP="002E652A"/>
    <w:p w:rsidR="00A56A11" w:rsidRDefault="00A56A11" w:rsidP="002E652A"/>
    <w:p w:rsidR="00A56A11" w:rsidRPr="00140A1C" w:rsidRDefault="00A56A11" w:rsidP="002E652A">
      <w:pPr>
        <w:sectPr w:rsidR="00A56A11" w:rsidRPr="00140A1C" w:rsidSect="00325781">
          <w:pgSz w:w="12240" w:h="15840" w:code="1"/>
          <w:pgMar w:top="1440" w:right="1440" w:bottom="1440" w:left="1440" w:header="432" w:footer="432" w:gutter="0"/>
          <w:pgNumType w:start="1"/>
          <w:cols w:space="720"/>
          <w:docGrid w:linePitch="360"/>
        </w:sectPr>
      </w:pPr>
    </w:p>
    <w:p w:rsidR="00140A1C" w:rsidRPr="00CD23F0" w:rsidRDefault="00140A1C" w:rsidP="002E652A">
      <w:pPr>
        <w:pStyle w:val="Heading1"/>
      </w:pPr>
      <w:bookmarkStart w:id="29" w:name="_Toc242257826"/>
      <w:bookmarkStart w:id="30" w:name="_Toc242260033"/>
      <w:bookmarkStart w:id="31" w:name="_Toc243472962"/>
      <w:bookmarkStart w:id="32" w:name="_Toc243473120"/>
      <w:bookmarkStart w:id="33" w:name="_Toc244318325"/>
      <w:bookmarkStart w:id="34" w:name="_Toc243472963"/>
      <w:r w:rsidRPr="00CD23F0">
        <w:lastRenderedPageBreak/>
        <w:t>Appendix A: Target Capabilities List</w:t>
      </w:r>
      <w:bookmarkEnd w:id="29"/>
      <w:bookmarkEnd w:id="30"/>
      <w:r>
        <w:t xml:space="preserve"> (TCL)</w:t>
      </w:r>
      <w:bookmarkEnd w:id="31"/>
      <w:bookmarkEnd w:id="32"/>
      <w:bookmarkEnd w:id="33"/>
    </w:p>
    <w:p w:rsidR="00140A1C" w:rsidRPr="00CD23F0" w:rsidRDefault="00140A1C" w:rsidP="002E652A">
      <w:pPr>
        <w:pStyle w:val="Heading3"/>
      </w:pPr>
      <w:r>
        <w:t>Common Target Capabilities</w:t>
      </w:r>
      <w:bookmarkEnd w:id="34"/>
    </w:p>
    <w:p w:rsidR="00140A1C" w:rsidRPr="00F94D70" w:rsidRDefault="00140A1C" w:rsidP="002E652A">
      <w:pPr>
        <w:pStyle w:val="ListBullet"/>
        <w:numPr>
          <w:ilvl w:val="0"/>
          <w:numId w:val="21"/>
        </w:numPr>
      </w:pPr>
      <w:bookmarkStart w:id="35" w:name="_Toc222966203"/>
      <w:proofErr w:type="gramStart"/>
      <w:r w:rsidRPr="00F94D70">
        <w:rPr>
          <w:b/>
        </w:rPr>
        <w:t>Communications</w:t>
      </w:r>
      <w:bookmarkEnd w:id="35"/>
      <w:r w:rsidRPr="00F94D70">
        <w:rPr>
          <w:b/>
        </w:rPr>
        <w:t>.</w:t>
      </w:r>
      <w:proofErr w:type="gramEnd"/>
      <w:r w:rsidRPr="00F94D70">
        <w:rPr>
          <w:b/>
        </w:rPr>
        <w:t xml:space="preserve"> </w:t>
      </w:r>
      <w:r w:rsidRPr="00F94D70">
        <w:t xml:space="preserve">Communications is the fundamental capability within disciplines and jurisdictions that practitioners need to perform the most routine and basic elements of their job functions. Agencies must be operable, meaning they must have sufficient wireless communications to meet their everyday internal and emergency communication requirements before they place value on being interoperable (i.e., able to work with other agencies). Communications interoperability is the ability of public safety agencies (police, fire, emergency medical services [EMS]) and service agencies (public works, transportation, hospitals) to talk within and across agencies and jurisdictions via radio and associated communications systems, exchanging voice, data, and/or video with one another on demand, in real time, when needed, and when authorized. It is essential that public safety </w:t>
      </w:r>
      <w:proofErr w:type="gramStart"/>
      <w:r w:rsidRPr="00F94D70">
        <w:t>has</w:t>
      </w:r>
      <w:proofErr w:type="gramEnd"/>
      <w:r w:rsidRPr="00F94D70">
        <w:t xml:space="preserve"> the intra-agency operability it needs and that it builds its systems toward interoperability.</w:t>
      </w:r>
    </w:p>
    <w:p w:rsidR="00140A1C" w:rsidRPr="00CD23F0" w:rsidRDefault="00140A1C" w:rsidP="002E652A">
      <w:pPr>
        <w:pStyle w:val="ListBullet"/>
        <w:numPr>
          <w:ilvl w:val="0"/>
          <w:numId w:val="21"/>
        </w:numPr>
      </w:pPr>
      <w:bookmarkStart w:id="36" w:name="_Toc222966204"/>
      <w:proofErr w:type="gramStart"/>
      <w:r w:rsidRPr="00CD23F0">
        <w:rPr>
          <w:b/>
        </w:rPr>
        <w:t>Community Preparedness and Participation</w:t>
      </w:r>
      <w:bookmarkEnd w:id="36"/>
      <w:r w:rsidRPr="00CD23F0">
        <w:rPr>
          <w:b/>
        </w:rPr>
        <w:t>.</w:t>
      </w:r>
      <w:proofErr w:type="gramEnd"/>
      <w:r w:rsidRPr="00CD23F0">
        <w:t xml:space="preserve"> Th</w:t>
      </w:r>
      <w:r>
        <w:t>is</w:t>
      </w:r>
      <w:r w:rsidRPr="00CD23F0">
        <w:t xml:space="preserve"> capability provides that everyone in America is fully aware, trained, and practiced on how to prevent, protect/mitigate, prepare for, and respond to all threats and hazards. This requires a role for citizens in personal preparedness, exercises, ongoing volunteer programs, and surge capacity response. Specific capabilities for universal preparedness</w:t>
      </w:r>
      <w:r>
        <w:t>—</w:t>
      </w:r>
      <w:r w:rsidRPr="00CD23F0">
        <w:t>including knowledge of all</w:t>
      </w:r>
      <w:r>
        <w:t xml:space="preserve"> </w:t>
      </w:r>
      <w:r w:rsidRPr="00CD23F0">
        <w:t>hazards (technological, natural, and terrorist incidents) and related protective measures, skills, and supplies</w:t>
      </w:r>
      <w:r>
        <w:t>—</w:t>
      </w:r>
      <w:r w:rsidRPr="00CD23F0">
        <w:t>will be determined through a collaborative process with emergency responders.</w:t>
      </w:r>
    </w:p>
    <w:p w:rsidR="00140A1C" w:rsidRPr="00CD23F0" w:rsidRDefault="00140A1C" w:rsidP="002E652A">
      <w:pPr>
        <w:pStyle w:val="ListBullet"/>
        <w:numPr>
          <w:ilvl w:val="0"/>
          <w:numId w:val="21"/>
        </w:numPr>
      </w:pPr>
      <w:bookmarkStart w:id="37" w:name="_Toc222966205"/>
      <w:proofErr w:type="gramStart"/>
      <w:r w:rsidRPr="00CD23F0">
        <w:rPr>
          <w:b/>
        </w:rPr>
        <w:t>Planning</w:t>
      </w:r>
      <w:bookmarkEnd w:id="37"/>
      <w:r w:rsidRPr="00CD23F0">
        <w:rPr>
          <w:b/>
        </w:rPr>
        <w:t>.</w:t>
      </w:r>
      <w:proofErr w:type="gramEnd"/>
      <w:r w:rsidRPr="00CD23F0">
        <w:t xml:space="preserve"> Planning is the mechanism through which Federal, State, </w:t>
      </w:r>
      <w:r>
        <w:t>local, and tribal</w:t>
      </w:r>
      <w:r w:rsidRPr="00CD23F0">
        <w:t xml:space="preserve"> governments, nongovernmental organizations, and the private sector develop, validate, and maintain plans, policies, and procedures describing how they will prioritize, coordinate, manage, and support personnel, information, equipment, and resources to prevent, protect and mitigate against, respond to, and recover from incidents of national significance. Preparedness plans </w:t>
      </w:r>
      <w:proofErr w:type="gramStart"/>
      <w:r w:rsidRPr="00CD23F0">
        <w:t>are drafted</w:t>
      </w:r>
      <w:proofErr w:type="gramEnd"/>
      <w:r w:rsidRPr="00CD23F0">
        <w:t xml:space="preserve"> by a litany of organizations, agencies, and departments at all levels of government and within the private sector. Preparedness plans are not limited to plans drafted by emergency management planners. </w:t>
      </w:r>
      <w:r>
        <w:t>This</w:t>
      </w:r>
      <w:r w:rsidRPr="00CD23F0">
        <w:t xml:space="preserve"> capability sets forth many of the activities and tasks undertaken by an emergency management planner when drafting (or updating) emergency management (preparedness) plans.</w:t>
      </w:r>
    </w:p>
    <w:p w:rsidR="00140A1C" w:rsidRPr="00CD23F0" w:rsidRDefault="00140A1C" w:rsidP="002E652A">
      <w:pPr>
        <w:pStyle w:val="ListBullet"/>
        <w:numPr>
          <w:ilvl w:val="0"/>
          <w:numId w:val="21"/>
        </w:numPr>
      </w:pPr>
      <w:bookmarkStart w:id="38" w:name="_Toc222966206"/>
      <w:r w:rsidRPr="00CD23F0">
        <w:rPr>
          <w:b/>
        </w:rPr>
        <w:t>Risk Management</w:t>
      </w:r>
      <w:bookmarkEnd w:id="38"/>
      <w:r w:rsidRPr="00CD23F0">
        <w:rPr>
          <w:b/>
        </w:rPr>
        <w:t>.</w:t>
      </w:r>
      <w:r w:rsidRPr="00CD23F0">
        <w:t xml:space="preserve"> Risk Management </w:t>
      </w:r>
      <w:proofErr w:type="gramStart"/>
      <w:r w:rsidRPr="00CD23F0">
        <w:t>is defined</w:t>
      </w:r>
      <w:proofErr w:type="gramEnd"/>
      <w:r w:rsidRPr="00CD23F0">
        <w:t xml:space="preserve"> by the Government Accountability Office as “A continuous process of managing—through a series of mitigating actions that permeate an entity’s activities—the likelihood of an adverse event and its negative impact.” Risk </w:t>
      </w:r>
      <w:r>
        <w:t>m</w:t>
      </w:r>
      <w:r w:rsidRPr="00CD23F0">
        <w:t xml:space="preserve">anagement </w:t>
      </w:r>
      <w:proofErr w:type="gramStart"/>
      <w:r w:rsidRPr="00CD23F0">
        <w:t>is founded</w:t>
      </w:r>
      <w:proofErr w:type="gramEnd"/>
      <w:r w:rsidRPr="00CD23F0">
        <w:t xml:space="preserve"> in the capacity for all levels of government to identify and measure risk </w:t>
      </w:r>
      <w:r>
        <w:t>before</w:t>
      </w:r>
      <w:r w:rsidRPr="00CD23F0">
        <w:t xml:space="preserve"> an event, based on threats/hazards, vulnerabilities, and consequences, and to manage the exposure to that risk through prioritization and implementation of risk-reduction strategies. The capability and actions to perform risk management may well vary between levels of government; however, the foundation of risk management is constant.</w:t>
      </w:r>
    </w:p>
    <w:p w:rsidR="00140A1C" w:rsidRPr="00CD23F0" w:rsidRDefault="00140A1C" w:rsidP="002E652A">
      <w:pPr>
        <w:pStyle w:val="ListBullet"/>
        <w:numPr>
          <w:ilvl w:val="0"/>
          <w:numId w:val="21"/>
        </w:numPr>
      </w:pPr>
      <w:bookmarkStart w:id="39" w:name="_Toc222966207"/>
      <w:proofErr w:type="gramStart"/>
      <w:r w:rsidRPr="00CD23F0">
        <w:rPr>
          <w:b/>
        </w:rPr>
        <w:lastRenderedPageBreak/>
        <w:t>Intelligence/Information Sharing and Dissemination</w:t>
      </w:r>
      <w:bookmarkEnd w:id="39"/>
      <w:r w:rsidRPr="00CD23F0">
        <w:rPr>
          <w:b/>
        </w:rPr>
        <w:t>.</w:t>
      </w:r>
      <w:proofErr w:type="gramEnd"/>
      <w:r w:rsidRPr="00CD23F0">
        <w:t xml:space="preserve"> </w:t>
      </w:r>
      <w:r>
        <w:t>This</w:t>
      </w:r>
      <w:r w:rsidRPr="00CD23F0">
        <w:t xml:space="preserve"> capability provides necessary tools to enable efficient prevention, protection, response, and recovery activities. Intelligence/information sharing and dissemination is the multijurisdictional, multidisciplinary exchange and dissemination of information and intelligence among the Federal, State, local</w:t>
      </w:r>
      <w:r>
        <w:t>, and tribal</w:t>
      </w:r>
      <w:r w:rsidRPr="00CD23F0">
        <w:t xml:space="preserve"> layers of government</w:t>
      </w:r>
      <w:r>
        <w:t>;</w:t>
      </w:r>
      <w:r w:rsidRPr="00CD23F0">
        <w:t xml:space="preserve"> the private sector</w:t>
      </w:r>
      <w:r>
        <w:t>;</w:t>
      </w:r>
      <w:r w:rsidRPr="00CD23F0">
        <w:t xml:space="preserve"> and citizens. The goal of sharing and dissemination is to facilitate distribution of relevant, actionable, timely, and preferably declassified or unclassified information and/or intelligence that </w:t>
      </w:r>
      <w:proofErr w:type="gramStart"/>
      <w:r w:rsidRPr="00CD23F0">
        <w:t>is updated</w:t>
      </w:r>
      <w:proofErr w:type="gramEnd"/>
      <w:r w:rsidRPr="00CD23F0">
        <w:t xml:space="preserve"> frequently to the consumers who need it. More simply, the goal is to get the right information to the right people at the right time. An effective intelligence/information sharing and dissemination system will provide durable, reliable, and effective information exchanges (both horizontally and vertically) between those responsible for gathering information and the analysts and consumers of threat-related information. It will also allow for feedback and other necessary communications in addition to the regular flow of information and intelligence.</w:t>
      </w:r>
    </w:p>
    <w:p w:rsidR="00140A1C" w:rsidRPr="00CD23F0" w:rsidRDefault="00140A1C" w:rsidP="002E652A">
      <w:pPr>
        <w:pStyle w:val="Heading3"/>
      </w:pPr>
      <w:bookmarkStart w:id="40" w:name="_Toc212623350"/>
      <w:bookmarkStart w:id="41" w:name="_Toc243472964"/>
      <w:r w:rsidRPr="00CD23F0">
        <w:t>Prevent Mission Area</w:t>
      </w:r>
      <w:bookmarkEnd w:id="40"/>
      <w:bookmarkEnd w:id="41"/>
    </w:p>
    <w:p w:rsidR="00140A1C" w:rsidRPr="00CD23F0" w:rsidRDefault="00140A1C" w:rsidP="002E652A">
      <w:pPr>
        <w:pStyle w:val="ListBullet"/>
        <w:numPr>
          <w:ilvl w:val="0"/>
          <w:numId w:val="21"/>
        </w:numPr>
      </w:pPr>
      <w:bookmarkStart w:id="42" w:name="_Toc222966209"/>
      <w:proofErr w:type="gramStart"/>
      <w:r w:rsidRPr="00CD23F0">
        <w:rPr>
          <w:b/>
        </w:rPr>
        <w:t>CBRNE Detection</w:t>
      </w:r>
      <w:bookmarkEnd w:id="42"/>
      <w:r w:rsidRPr="00CD23F0">
        <w:rPr>
          <w:b/>
        </w:rPr>
        <w:t>.</w:t>
      </w:r>
      <w:proofErr w:type="gramEnd"/>
      <w:r w:rsidRPr="00CD23F0">
        <w:t xml:space="preserve"> The preventive chemical, biological, radiological, nuclear, and </w:t>
      </w:r>
      <w:r>
        <w:t xml:space="preserve">high-yield </w:t>
      </w:r>
      <w:r w:rsidRPr="00CD23F0">
        <w:t xml:space="preserve">explosives (CBRNE) </w:t>
      </w:r>
      <w:r>
        <w:t>d</w:t>
      </w:r>
      <w:r w:rsidRPr="00CD23F0">
        <w:t xml:space="preserve">etection capability provides the ability to detect CBRNE materials at points of manufacture, transportation, and use. It is important to note that the activities and tasks described in this capability </w:t>
      </w:r>
      <w:proofErr w:type="gramStart"/>
      <w:r w:rsidRPr="00CD23F0">
        <w:t>will be carried out</w:t>
      </w:r>
      <w:proofErr w:type="gramEnd"/>
      <w:r w:rsidRPr="00CD23F0">
        <w:t xml:space="preserve"> individually for each specific agent, rather than for all agents at the same time. Therefore, when considering critical tasks and preparedness measures, each task and measure </w:t>
      </w:r>
      <w:proofErr w:type="gramStart"/>
      <w:r w:rsidRPr="00CD23F0">
        <w:t>should be applied</w:t>
      </w:r>
      <w:proofErr w:type="gramEnd"/>
      <w:r w:rsidRPr="00CD23F0">
        <w:t xml:space="preserve"> separately to each CBRNE agent. For example, in considering whether technical support (or “</w:t>
      </w:r>
      <w:proofErr w:type="spellStart"/>
      <w:r w:rsidRPr="00CD23F0">
        <w:t>reachback</w:t>
      </w:r>
      <w:proofErr w:type="spellEnd"/>
      <w:r w:rsidRPr="00CD23F0">
        <w:t xml:space="preserve">”) is available, radiological/nuclear </w:t>
      </w:r>
      <w:proofErr w:type="spellStart"/>
      <w:r w:rsidRPr="00CD23F0">
        <w:t>reachback</w:t>
      </w:r>
      <w:proofErr w:type="spellEnd"/>
      <w:r w:rsidRPr="00CD23F0">
        <w:t xml:space="preserve"> is considerably different from chemical, biological, or explosive </w:t>
      </w:r>
      <w:proofErr w:type="spellStart"/>
      <w:r w:rsidRPr="00CD23F0">
        <w:t>reachback</w:t>
      </w:r>
      <w:proofErr w:type="spellEnd"/>
      <w:r w:rsidRPr="00CD23F0">
        <w:t>. Preparedness in one or more of the CBRNE areas does not equate to preparedness across the entire CBRNE detection spectrum.</w:t>
      </w:r>
    </w:p>
    <w:p w:rsidR="00140A1C" w:rsidRPr="00CD23F0" w:rsidRDefault="00140A1C" w:rsidP="002E652A">
      <w:pPr>
        <w:pStyle w:val="ListBullet"/>
        <w:numPr>
          <w:ilvl w:val="0"/>
          <w:numId w:val="21"/>
        </w:numPr>
      </w:pPr>
      <w:bookmarkStart w:id="43" w:name="_Toc222966210"/>
      <w:proofErr w:type="gramStart"/>
      <w:r w:rsidRPr="00CD23F0">
        <w:rPr>
          <w:b/>
        </w:rPr>
        <w:t>Information Gathering and Recognition of Indicators and Warnings</w:t>
      </w:r>
      <w:bookmarkEnd w:id="43"/>
      <w:r w:rsidRPr="00CD23F0">
        <w:rPr>
          <w:b/>
        </w:rPr>
        <w:t>.</w:t>
      </w:r>
      <w:proofErr w:type="gramEnd"/>
      <w:r w:rsidRPr="00CD23F0">
        <w:t xml:space="preserve"> </w:t>
      </w:r>
      <w:r>
        <w:t>This</w:t>
      </w:r>
      <w:r w:rsidRPr="00CD23F0">
        <w:t xml:space="preserve"> capability entails the gathering, consolidation, and retention of raw data and information from sources including human sources, observation, technical sources, and open (unclassified) materials. Unlike intelligence collection, information gathering is the continual gathering of only pure, unexamined data, not the targeted collection traditionally conducted by the intelligence community or targeted investigations. Recognition of indicators and warnings is the ability to see in this gathered data the potential trends, indications, and/or warnings of criminal and/or terrorist activities (including planning and surveillance) against U.S. citizens, government entities, critical infrastructure, and/or U.S. allies.</w:t>
      </w:r>
    </w:p>
    <w:p w:rsidR="00140A1C" w:rsidRPr="00CD23F0" w:rsidRDefault="00140A1C" w:rsidP="002E652A">
      <w:pPr>
        <w:pStyle w:val="ListBullet"/>
        <w:numPr>
          <w:ilvl w:val="0"/>
          <w:numId w:val="21"/>
        </w:numPr>
      </w:pPr>
      <w:bookmarkStart w:id="44" w:name="_Toc222966211"/>
      <w:proofErr w:type="gramStart"/>
      <w:r w:rsidRPr="00CD23F0">
        <w:rPr>
          <w:b/>
        </w:rPr>
        <w:t>Intelligence Analysis and Production</w:t>
      </w:r>
      <w:bookmarkEnd w:id="44"/>
      <w:r w:rsidRPr="00CD23F0">
        <w:rPr>
          <w:b/>
        </w:rPr>
        <w:t>.</w:t>
      </w:r>
      <w:proofErr w:type="gramEnd"/>
      <w:r w:rsidRPr="00CD23F0">
        <w:t xml:space="preserve"> Intelligence analysis and production is the merging of data and information for the purpose of analyzing, linking, and disseminating timely and actionable intelligence with an emphasis on the larger public safety and </w:t>
      </w:r>
      <w:proofErr w:type="gramStart"/>
      <w:r w:rsidRPr="00CD23F0">
        <w:t>homeland security threat picture</w:t>
      </w:r>
      <w:proofErr w:type="gramEnd"/>
      <w:r w:rsidRPr="00CD23F0">
        <w:t>. This process focuses on the consolidation of analytical products among the intelligence analysis units at the Federal, State, local, and tribal levels for tactical, operational, and strategic use. This capability also includes the examination of raw data to identify threat pictures, recognize potentially harmful patterns, or connect suspicious links to discern potential indications or warnings.</w:t>
      </w:r>
    </w:p>
    <w:p w:rsidR="00140A1C" w:rsidRPr="00CD23F0" w:rsidRDefault="00140A1C" w:rsidP="002E652A">
      <w:pPr>
        <w:pStyle w:val="ListBullet"/>
        <w:numPr>
          <w:ilvl w:val="0"/>
          <w:numId w:val="21"/>
        </w:numPr>
      </w:pPr>
      <w:bookmarkStart w:id="45" w:name="_Toc222966212"/>
      <w:proofErr w:type="gramStart"/>
      <w:r w:rsidRPr="00CD23F0">
        <w:rPr>
          <w:b/>
        </w:rPr>
        <w:lastRenderedPageBreak/>
        <w:t>Counter-Terror Investigations and Law Enforcement</w:t>
      </w:r>
      <w:bookmarkEnd w:id="45"/>
      <w:r w:rsidRPr="00CD23F0">
        <w:rPr>
          <w:b/>
        </w:rPr>
        <w:t>.</w:t>
      </w:r>
      <w:proofErr w:type="gramEnd"/>
      <w:r w:rsidRPr="00CD23F0">
        <w:t xml:space="preserve"> </w:t>
      </w:r>
      <w:proofErr w:type="gramStart"/>
      <w:r>
        <w:t>This</w:t>
      </w:r>
      <w:r w:rsidRPr="00CD23F0">
        <w:t xml:space="preserve"> is the capability that includes the broad range of activities undertaken by law enforcement</w:t>
      </w:r>
      <w:proofErr w:type="gramEnd"/>
      <w:r w:rsidRPr="00CD23F0">
        <w:t xml:space="preserve"> and related entities to detect, examine, probe, investigate, and conduct operations related to potential terrorist activities. Current and emerging investigative techniques </w:t>
      </w:r>
      <w:proofErr w:type="gramStart"/>
      <w:r w:rsidRPr="00CD23F0">
        <w:t>are used</w:t>
      </w:r>
      <w:proofErr w:type="gramEnd"/>
      <w:r w:rsidRPr="00CD23F0">
        <w:t xml:space="preserve"> with an emphasis on training, legal frameworks, recognition of indications and warnings, source development, interdiction, and related issues specific to antiterrorism activities.</w:t>
      </w:r>
    </w:p>
    <w:p w:rsidR="00140A1C" w:rsidRPr="00CD23F0" w:rsidRDefault="00140A1C" w:rsidP="002E652A">
      <w:pPr>
        <w:pStyle w:val="Heading3"/>
      </w:pPr>
      <w:bookmarkStart w:id="46" w:name="_Toc243472965"/>
      <w:bookmarkStart w:id="47" w:name="_Toc212623358"/>
      <w:r w:rsidRPr="00CD23F0">
        <w:t>Protect Mission</w:t>
      </w:r>
      <w:r>
        <w:t xml:space="preserve"> Area</w:t>
      </w:r>
      <w:bookmarkEnd w:id="46"/>
    </w:p>
    <w:p w:rsidR="00140A1C" w:rsidRPr="00CD23F0" w:rsidRDefault="00140A1C" w:rsidP="002E652A">
      <w:pPr>
        <w:pStyle w:val="ListBullet"/>
        <w:numPr>
          <w:ilvl w:val="0"/>
          <w:numId w:val="21"/>
        </w:numPr>
      </w:pPr>
      <w:bookmarkStart w:id="48" w:name="_Toc222966214"/>
      <w:proofErr w:type="gramStart"/>
      <w:r w:rsidRPr="00CD23F0">
        <w:rPr>
          <w:b/>
        </w:rPr>
        <w:t>Critical Infrastructure Protection</w:t>
      </w:r>
      <w:bookmarkEnd w:id="48"/>
      <w:r w:rsidRPr="00CD23F0">
        <w:rPr>
          <w:b/>
        </w:rPr>
        <w:t>.</w:t>
      </w:r>
      <w:proofErr w:type="gramEnd"/>
      <w:r w:rsidRPr="00CD23F0">
        <w:t xml:space="preserve"> </w:t>
      </w:r>
      <w:r>
        <w:t>This</w:t>
      </w:r>
      <w:r w:rsidRPr="00CD23F0">
        <w:t xml:space="preserve"> capability enables public and private entities to identify, assess, prioritize, and protect critical infrastructure and key resources so they can detect, prevent, deter, devalue, and mitigate deliberate efforts to destroy, incapacitate, or exploit the Nation’s critical infrastructure and key resources.</w:t>
      </w:r>
    </w:p>
    <w:p w:rsidR="00140A1C" w:rsidRPr="00CD23F0" w:rsidRDefault="00140A1C" w:rsidP="002E652A">
      <w:pPr>
        <w:pStyle w:val="ListBullet"/>
        <w:numPr>
          <w:ilvl w:val="0"/>
          <w:numId w:val="21"/>
        </w:numPr>
      </w:pPr>
      <w:bookmarkStart w:id="49" w:name="_Toc222966215"/>
      <w:proofErr w:type="gramStart"/>
      <w:r w:rsidRPr="00CD23F0">
        <w:rPr>
          <w:b/>
        </w:rPr>
        <w:t>Epidemiological Surveillance and Investigation</w:t>
      </w:r>
      <w:bookmarkEnd w:id="49"/>
      <w:r w:rsidRPr="00CD23F0">
        <w:rPr>
          <w:b/>
        </w:rPr>
        <w:t>.</w:t>
      </w:r>
      <w:proofErr w:type="gramEnd"/>
      <w:r w:rsidRPr="00CD23F0">
        <w:t xml:space="preserve"> </w:t>
      </w:r>
      <w:r>
        <w:t>This</w:t>
      </w:r>
      <w:r w:rsidRPr="00CD23F0">
        <w:t xml:space="preserve"> capability is the capacity </w:t>
      </w:r>
      <w:proofErr w:type="gramStart"/>
      <w:r w:rsidRPr="00CD23F0">
        <w:t>to rapidly conduct</w:t>
      </w:r>
      <w:proofErr w:type="gramEnd"/>
      <w:r w:rsidRPr="00CD23F0">
        <w:t xml:space="preserve"> epidemiological investigations. It includes exposure and disease (both deliberate release and naturally occurring) detection, rapid implementation of active surveillance, maintenance of ongoing surveillance activities, epidemiological investigation, analysis, and communication with the public and providers about case definitions, disease risk and mitigation, and recommendations for the implementation of control measures.</w:t>
      </w:r>
    </w:p>
    <w:p w:rsidR="00140A1C" w:rsidRPr="00CD23F0" w:rsidRDefault="00140A1C" w:rsidP="002E652A">
      <w:pPr>
        <w:pStyle w:val="ListBullet"/>
        <w:numPr>
          <w:ilvl w:val="0"/>
          <w:numId w:val="21"/>
        </w:numPr>
      </w:pPr>
      <w:bookmarkStart w:id="50" w:name="_Toc222966216"/>
      <w:proofErr w:type="gramStart"/>
      <w:r w:rsidRPr="00CD23F0">
        <w:rPr>
          <w:b/>
        </w:rPr>
        <w:t>Food and Agriculture Safety and Defense</w:t>
      </w:r>
      <w:bookmarkEnd w:id="50"/>
      <w:r w:rsidRPr="00CD23F0">
        <w:rPr>
          <w:b/>
        </w:rPr>
        <w:t>.</w:t>
      </w:r>
      <w:proofErr w:type="gramEnd"/>
      <w:r w:rsidRPr="00CD23F0">
        <w:t xml:space="preserve"> </w:t>
      </w:r>
      <w:proofErr w:type="gramStart"/>
      <w:r>
        <w:t>This</w:t>
      </w:r>
      <w:r w:rsidRPr="00CD23F0">
        <w:t xml:space="preserve"> is the capability to prevent, protect against, respond to, and recover from chemical, biological, and radiological contaminants and other hazards that affect the safety of food and agricultural products.</w:t>
      </w:r>
      <w:proofErr w:type="gramEnd"/>
      <w:r w:rsidRPr="00CD23F0">
        <w:t xml:space="preserve"> This includes timely eradication of outbreaks of crop diseases/pests, assessments of the integrity of the food</w:t>
      </w:r>
      <w:r>
        <w:t>-</w:t>
      </w:r>
      <w:r w:rsidRPr="00CD23F0">
        <w:t xml:space="preserve">producing industry, removal and disposal of potentially compromised materials from the U.S. food supply, and decontamination of affected food manufacturing facilities or retail points of purchase or service. This also includes appropriate laboratory surveillance to detect human </w:t>
      </w:r>
      <w:proofErr w:type="spellStart"/>
      <w:r w:rsidRPr="00CD23F0">
        <w:t>foodborne</w:t>
      </w:r>
      <w:proofErr w:type="spellEnd"/>
      <w:r w:rsidRPr="00CD23F0">
        <w:t xml:space="preserve"> illness or food product contamination. It is accomplished concurrent to protecting public health and maintaining domestic and international confidence in the U.S. commercial food supply. Additionally, the public </w:t>
      </w:r>
      <w:proofErr w:type="gramStart"/>
      <w:r w:rsidRPr="00CD23F0">
        <w:t>is provided</w:t>
      </w:r>
      <w:proofErr w:type="gramEnd"/>
      <w:r w:rsidRPr="00CD23F0">
        <w:t xml:space="preserve"> with accurate and timely notification and instructions related to an event and appropriate steps to follow with regard to disposal of affected food or agricultural products and appropriate decontamination procedures.</w:t>
      </w:r>
    </w:p>
    <w:p w:rsidR="00140A1C" w:rsidRPr="00CD23F0" w:rsidRDefault="00140A1C" w:rsidP="002E652A">
      <w:pPr>
        <w:pStyle w:val="ListBullet"/>
        <w:numPr>
          <w:ilvl w:val="0"/>
          <w:numId w:val="21"/>
        </w:numPr>
      </w:pPr>
      <w:bookmarkStart w:id="51" w:name="_Toc222966217"/>
      <w:proofErr w:type="gramStart"/>
      <w:r w:rsidRPr="00CD23F0">
        <w:rPr>
          <w:b/>
        </w:rPr>
        <w:t>Public Health Laboratory Testing</w:t>
      </w:r>
      <w:bookmarkEnd w:id="51"/>
      <w:r w:rsidRPr="00CD23F0">
        <w:rPr>
          <w:b/>
        </w:rPr>
        <w:t>.</w:t>
      </w:r>
      <w:proofErr w:type="gramEnd"/>
      <w:r w:rsidRPr="00CD23F0">
        <w:t xml:space="preserve"> </w:t>
      </w:r>
      <w:r>
        <w:t>This</w:t>
      </w:r>
      <w:r w:rsidRPr="00CD23F0">
        <w:t xml:space="preserve"> capability is the ongoing surveillance, rapid detection, confirmatory testing, data reporting, investigative support, and laboratory networking to address potential exposure or exposure to all hazards including chemical, radiological, and biological agents in all matrices including clinical specimens and food and environmental samples (e.g., water, air, soil). Such all-hazard threats include those deliberately released with criminal intent as well as those that may be present </w:t>
      </w:r>
      <w:proofErr w:type="gramStart"/>
      <w:r w:rsidRPr="00CD23F0">
        <w:t>as a result</w:t>
      </w:r>
      <w:proofErr w:type="gramEnd"/>
      <w:r w:rsidRPr="00CD23F0">
        <w:t xml:space="preserve"> of unintentional or natural occurrences.</w:t>
      </w:r>
    </w:p>
    <w:p w:rsidR="00140A1C" w:rsidRPr="00CD23F0" w:rsidRDefault="00140A1C" w:rsidP="002E652A">
      <w:pPr>
        <w:pStyle w:val="Heading3"/>
        <w:keepNext/>
      </w:pPr>
      <w:bookmarkStart w:id="52" w:name="_Toc212623361"/>
      <w:bookmarkStart w:id="53" w:name="_Toc243472966"/>
      <w:bookmarkEnd w:id="47"/>
      <w:r w:rsidRPr="00CD23F0">
        <w:t>Respond Mission Area</w:t>
      </w:r>
      <w:bookmarkEnd w:id="52"/>
      <w:bookmarkEnd w:id="53"/>
    </w:p>
    <w:p w:rsidR="00140A1C" w:rsidRPr="00CD23F0" w:rsidRDefault="00140A1C" w:rsidP="002E652A">
      <w:pPr>
        <w:pStyle w:val="ListBullet"/>
        <w:keepNext/>
        <w:numPr>
          <w:ilvl w:val="0"/>
          <w:numId w:val="21"/>
        </w:numPr>
      </w:pPr>
      <w:bookmarkStart w:id="54" w:name="_Toc222966219"/>
      <w:proofErr w:type="gramStart"/>
      <w:r w:rsidRPr="00CD23F0">
        <w:rPr>
          <w:b/>
        </w:rPr>
        <w:t>Animal Disease Emergency Support</w:t>
      </w:r>
      <w:bookmarkEnd w:id="54"/>
      <w:r w:rsidRPr="00CD23F0">
        <w:rPr>
          <w:b/>
        </w:rPr>
        <w:t>.</w:t>
      </w:r>
      <w:proofErr w:type="gramEnd"/>
      <w:r w:rsidRPr="00CD23F0">
        <w:t xml:space="preserve"> </w:t>
      </w:r>
      <w:r>
        <w:t>This</w:t>
      </w:r>
      <w:r w:rsidRPr="00CD23F0">
        <w:t xml:space="preserve"> is the capability to protect, prevent, detect, respond to, and recover from threats and incidents that would result in the disruption of industries related to U.S. livestock, other domestic animals (including companion </w:t>
      </w:r>
      <w:r w:rsidRPr="00CD23F0">
        <w:lastRenderedPageBreak/>
        <w:t>animals), or wildlife and/or endanger the food supply, public health, or domestic and international trade. It includes the ability to respond to large-scale national and regional emergencies as well as to smaller-scale incidents through rapid determination of the nature of the event, initiation of the appropriate response, containment of the disrupting effects, and facilitation of recovery.</w:t>
      </w:r>
    </w:p>
    <w:p w:rsidR="00140A1C" w:rsidRPr="00CD23F0" w:rsidRDefault="00140A1C" w:rsidP="002E652A">
      <w:pPr>
        <w:pStyle w:val="ListBullet"/>
        <w:numPr>
          <w:ilvl w:val="0"/>
          <w:numId w:val="21"/>
        </w:numPr>
      </w:pPr>
      <w:bookmarkStart w:id="55" w:name="_Toc222966220"/>
      <w:proofErr w:type="gramStart"/>
      <w:r w:rsidRPr="00CD23F0">
        <w:rPr>
          <w:b/>
        </w:rPr>
        <w:t>Citizen Evacuation and Shelter-in-Place</w:t>
      </w:r>
      <w:bookmarkEnd w:id="55"/>
      <w:r w:rsidRPr="00CD23F0">
        <w:rPr>
          <w:b/>
        </w:rPr>
        <w:t>.</w:t>
      </w:r>
      <w:proofErr w:type="gramEnd"/>
      <w:r w:rsidRPr="00CD23F0">
        <w:t xml:space="preserve"> </w:t>
      </w:r>
      <w:r>
        <w:t>This</w:t>
      </w:r>
      <w:r w:rsidRPr="00CD23F0">
        <w:t xml:space="preserve"> is the capability to prepare for, ensure communication of, and immediately execute the safe and effective sheltering-in-place of an at-risk population (and companion animals) and/or the organized and managed evacuation of the at-risk population (and companion animals) to areas of safe refuge in response to a potentially or actually dangerous environment. In addition, this capability involves the safe reentry of the population where feasible.</w:t>
      </w:r>
    </w:p>
    <w:p w:rsidR="00140A1C" w:rsidRPr="00CD23F0" w:rsidRDefault="00140A1C" w:rsidP="002E652A">
      <w:pPr>
        <w:pStyle w:val="ListBullet"/>
        <w:numPr>
          <w:ilvl w:val="0"/>
          <w:numId w:val="21"/>
        </w:numPr>
      </w:pPr>
      <w:bookmarkStart w:id="56" w:name="_Toc222966221"/>
      <w:proofErr w:type="gramStart"/>
      <w:r w:rsidRPr="00CD23F0">
        <w:rPr>
          <w:b/>
        </w:rPr>
        <w:t>Critical Resource Logistics and Distribution</w:t>
      </w:r>
      <w:bookmarkEnd w:id="56"/>
      <w:r w:rsidRPr="00CD23F0">
        <w:rPr>
          <w:b/>
        </w:rPr>
        <w:t>.</w:t>
      </w:r>
      <w:proofErr w:type="gramEnd"/>
      <w:r w:rsidRPr="00CD23F0">
        <w:t xml:space="preserve"> </w:t>
      </w:r>
      <w:r>
        <w:t xml:space="preserve">This </w:t>
      </w:r>
      <w:r w:rsidRPr="00CD23F0">
        <w:t>is the capability to identify, inventory, dispatch, mobilize, transport, recover, and demobilize and to accurately track and record available human and material critical resources throughout all incident management phases. Critical resources are those necessary to preserve life, property, safety, and security.</w:t>
      </w:r>
    </w:p>
    <w:p w:rsidR="00140A1C" w:rsidRPr="00CD23F0" w:rsidRDefault="00140A1C" w:rsidP="002E652A">
      <w:pPr>
        <w:pStyle w:val="ListBullet"/>
        <w:numPr>
          <w:ilvl w:val="0"/>
          <w:numId w:val="21"/>
        </w:numPr>
      </w:pPr>
      <w:bookmarkStart w:id="57" w:name="_Toc222966222"/>
      <w:proofErr w:type="gramStart"/>
      <w:r w:rsidRPr="00CD23F0">
        <w:rPr>
          <w:b/>
        </w:rPr>
        <w:t>Emergency Operations Center (EOC) Management</w:t>
      </w:r>
      <w:bookmarkEnd w:id="57"/>
      <w:r w:rsidRPr="00CD23F0">
        <w:rPr>
          <w:b/>
        </w:rPr>
        <w:t>.</w:t>
      </w:r>
      <w:proofErr w:type="gramEnd"/>
      <w:r w:rsidRPr="00CD23F0">
        <w:t xml:space="preserve"> </w:t>
      </w:r>
      <w:r>
        <w:t>This</w:t>
      </w:r>
      <w:r w:rsidRPr="00CD23F0">
        <w:t xml:space="preserve"> is the capability to provide multiagency coordination for incident management by activating and operating an EOC for a preplanned or no-notice event. EOC management includes EOC activation, notification, staffing, and deactivation; management, direction, control, and coordination of response and recovery activities; coordination of efforts among neighboring governments at each level and among local, regional, State, and Federal EOCs; coordination of public information and warning; and maintenance of the information and communication necessary for coordinating response and recovery activities. Similar entities may include the National (or Regional) Response Coordination Center (NRCC or RRCC), Joint Field Offices (JFOs), National Operating Center (NOC), Joint Operations Center (JOC), Multi-Agency Coordination Center (MACC), Initial Operating Facility (IOF), etc.</w:t>
      </w:r>
    </w:p>
    <w:p w:rsidR="00140A1C" w:rsidRPr="00CD23F0" w:rsidRDefault="00140A1C" w:rsidP="002E652A">
      <w:pPr>
        <w:pStyle w:val="ListBullet"/>
        <w:numPr>
          <w:ilvl w:val="0"/>
          <w:numId w:val="21"/>
        </w:numPr>
      </w:pPr>
      <w:bookmarkStart w:id="58" w:name="_Toc222966223"/>
      <w:proofErr w:type="gramStart"/>
      <w:r w:rsidRPr="00CD23F0">
        <w:rPr>
          <w:b/>
        </w:rPr>
        <w:t>Emergency Public Information and Warning</w:t>
      </w:r>
      <w:bookmarkEnd w:id="58"/>
      <w:r w:rsidRPr="00CD23F0">
        <w:rPr>
          <w:b/>
        </w:rPr>
        <w:t>.</w:t>
      </w:r>
      <w:proofErr w:type="gramEnd"/>
      <w:r w:rsidRPr="00CD23F0">
        <w:t xml:space="preserve"> </w:t>
      </w:r>
      <w:r>
        <w:t>This</w:t>
      </w:r>
      <w:r w:rsidRPr="00CD23F0">
        <w:t xml:space="preserve"> capability includes public information, alert/warning, and notification. It involves developing, coordinating, and disseminating information to the public, coordinating officials, incident management personnel, and responders across all jurisdictions and disciplines effectively under all hazard conditions.</w:t>
      </w:r>
    </w:p>
    <w:p w:rsidR="00140A1C" w:rsidRPr="00CD23F0" w:rsidRDefault="00140A1C" w:rsidP="002E652A">
      <w:pPr>
        <w:pStyle w:val="ListBullet"/>
        <w:numPr>
          <w:ilvl w:val="0"/>
          <w:numId w:val="21"/>
        </w:numPr>
      </w:pPr>
      <w:proofErr w:type="gramStart"/>
      <w:r w:rsidRPr="00CD23F0">
        <w:rPr>
          <w:b/>
        </w:rPr>
        <w:t>Emergency Public Safety and Security Response.</w:t>
      </w:r>
      <w:proofErr w:type="gramEnd"/>
      <w:r w:rsidRPr="00CD23F0">
        <w:t xml:space="preserve"> </w:t>
      </w:r>
      <w:r>
        <w:t>This</w:t>
      </w:r>
      <w:r w:rsidRPr="00CD23F0">
        <w:t xml:space="preserve"> is the capability to reduce the impact and consequences of an incident or major event by securing the affected area, including crime/incident scene preservation issues as appropriate; safely diverting the public from hazards; providing security support to other response operations and properties; and sustaining operations from response through recovery. Public safety and security response requires coordination among officials from law enforcement, fire, and EMS.</w:t>
      </w:r>
    </w:p>
    <w:p w:rsidR="00140A1C" w:rsidRPr="00CD23F0" w:rsidRDefault="00140A1C" w:rsidP="002E652A">
      <w:pPr>
        <w:pStyle w:val="ListBullet"/>
        <w:numPr>
          <w:ilvl w:val="0"/>
          <w:numId w:val="21"/>
        </w:numPr>
      </w:pPr>
      <w:proofErr w:type="gramStart"/>
      <w:r w:rsidRPr="00CD23F0">
        <w:rPr>
          <w:b/>
        </w:rPr>
        <w:t>Emergency Triage and Pre-Hospital Treatment.</w:t>
      </w:r>
      <w:proofErr w:type="gramEnd"/>
      <w:r w:rsidRPr="00CD23F0">
        <w:t xml:space="preserve"> </w:t>
      </w:r>
      <w:r>
        <w:t>This</w:t>
      </w:r>
      <w:r w:rsidRPr="00CD23F0">
        <w:t xml:space="preserve"> is the capability to appropriately dispatch EMS resources; provide feasible, suitable, and medically acceptable pre-hospital </w:t>
      </w:r>
      <w:r w:rsidRPr="00CD23F0">
        <w:lastRenderedPageBreak/>
        <w:t>triage and treatment of patients; provide transport as well as medical care en route to an appropriate receiving facility; and track patients to a treatment facility.</w:t>
      </w:r>
    </w:p>
    <w:p w:rsidR="00140A1C" w:rsidRPr="00CD23F0" w:rsidRDefault="00140A1C" w:rsidP="002E652A">
      <w:pPr>
        <w:pStyle w:val="ListBullet"/>
        <w:numPr>
          <w:ilvl w:val="0"/>
          <w:numId w:val="21"/>
        </w:numPr>
      </w:pPr>
      <w:proofErr w:type="gramStart"/>
      <w:r w:rsidRPr="00CD23F0">
        <w:rPr>
          <w:b/>
        </w:rPr>
        <w:t>Environmental Health.</w:t>
      </w:r>
      <w:proofErr w:type="gramEnd"/>
      <w:r w:rsidRPr="00CD23F0">
        <w:t xml:space="preserve"> </w:t>
      </w:r>
      <w:r>
        <w:t>This</w:t>
      </w:r>
      <w:r w:rsidRPr="00CD23F0">
        <w:t xml:space="preserve"> is the capability to protect the public from environmental hazards and manage the health effects of an environmental health emergency on the public. The capability minimizes human exposures to environmental public health hazards (e.g., contaminated food, air, water, solid waste/debris, hazardous waste, vegetation, sediments, </w:t>
      </w:r>
      <w:proofErr w:type="gramStart"/>
      <w:r w:rsidRPr="00CD23F0">
        <w:t>vectors</w:t>
      </w:r>
      <w:proofErr w:type="gramEnd"/>
      <w:r w:rsidRPr="00CD23F0">
        <w:t xml:space="preserve">). The capability provides the expertise to run fate and transport models; design, implement, and interpret the results of environmental field surveys and laboratory sample analyses; develop protective guidance where none exists; and use available data and judgment to recommend appropriate actions for protecting the public and environment. Environmental </w:t>
      </w:r>
      <w:r>
        <w:t>h</w:t>
      </w:r>
      <w:r w:rsidRPr="00CD23F0">
        <w:t>ealth identifies environmental hazards in the affected area through rapid needs assessments and comprehensive environmental health and risk assessments. It works closely with the health community and environmental agencies to link exposures with predicted disease outcomes, provides input in the development of Crisis and Emergency Risk Communication (CERC) messages, provides guidance on personal protective measures, and advises on environmental health guidelines.</w:t>
      </w:r>
    </w:p>
    <w:p w:rsidR="00140A1C" w:rsidRPr="00CD23F0" w:rsidRDefault="00140A1C" w:rsidP="002E652A">
      <w:pPr>
        <w:pStyle w:val="ListBullet"/>
        <w:numPr>
          <w:ilvl w:val="0"/>
          <w:numId w:val="21"/>
        </w:numPr>
      </w:pPr>
      <w:bookmarkStart w:id="59" w:name="_Toc222966225"/>
      <w:proofErr w:type="gramStart"/>
      <w:r w:rsidRPr="00CD23F0">
        <w:rPr>
          <w:b/>
        </w:rPr>
        <w:t>Explosive Device Response Operations</w:t>
      </w:r>
      <w:bookmarkEnd w:id="59"/>
      <w:r w:rsidRPr="00CD23F0">
        <w:rPr>
          <w:b/>
        </w:rPr>
        <w:t>.</w:t>
      </w:r>
      <w:proofErr w:type="gramEnd"/>
      <w:r w:rsidRPr="00CD23F0">
        <w:t xml:space="preserve"> </w:t>
      </w:r>
      <w:r>
        <w:t>This</w:t>
      </w:r>
      <w:r w:rsidRPr="00CD23F0">
        <w:t xml:space="preserve"> is the capability to coordinate, direct, and conduct improvised explosive device (IED) response after initial alert and notification; coordinate intelligence fusion and analysis, information collection, and threat recognition; assess the situation and conduct appropriate render</w:t>
      </w:r>
      <w:r>
        <w:t>-</w:t>
      </w:r>
      <w:r w:rsidRPr="00CD23F0">
        <w:t>safe procedures (RSP); conduct searches for additional devices; and coordinate overall efforts to mitigate CBRNE threats to the incident site.</w:t>
      </w:r>
    </w:p>
    <w:p w:rsidR="00140A1C" w:rsidRPr="00CD23F0" w:rsidRDefault="00140A1C" w:rsidP="002E652A">
      <w:pPr>
        <w:pStyle w:val="ListBullet"/>
        <w:numPr>
          <w:ilvl w:val="0"/>
          <w:numId w:val="21"/>
        </w:numPr>
      </w:pPr>
      <w:bookmarkStart w:id="60" w:name="_Toc222966226"/>
      <w:proofErr w:type="gramStart"/>
      <w:r w:rsidRPr="00CD23F0">
        <w:rPr>
          <w:b/>
        </w:rPr>
        <w:t>Fatality Management</w:t>
      </w:r>
      <w:bookmarkEnd w:id="60"/>
      <w:r w:rsidRPr="00CD23F0">
        <w:rPr>
          <w:b/>
        </w:rPr>
        <w:t>.</w:t>
      </w:r>
      <w:proofErr w:type="gramEnd"/>
      <w:r w:rsidRPr="00CD23F0">
        <w:t xml:space="preserve"> </w:t>
      </w:r>
      <w:proofErr w:type="gramStart"/>
      <w:r>
        <w:t>This</w:t>
      </w:r>
      <w:r w:rsidRPr="00CD23F0">
        <w:t xml:space="preserve"> is the capability to effectively perform scene documentation; the complete collection and recovery of the dead, victims’ personal effects, and items of evidence; decontamination of remains and personal effects (if required); transportation, storage, documentation, and recovery of forensic and physical evidence; determination of the nature and extent of injury; identification of the fatalities using scientific means; certification of the cause and manner of death; processing and returning of human remains and personal effects of the victims to the legally authorized person(s) (if possible); and interaction with and provision of legal, customary, compassionate, and culturally competent required services to the families of deceased within the context of the family assistance center.</w:t>
      </w:r>
      <w:proofErr w:type="gramEnd"/>
      <w:r w:rsidRPr="00CD23F0">
        <w:t xml:space="preserve"> All activities </w:t>
      </w:r>
      <w:proofErr w:type="gramStart"/>
      <w:r w:rsidRPr="00CD23F0">
        <w:t>should be sufficiently documented</w:t>
      </w:r>
      <w:proofErr w:type="gramEnd"/>
      <w:r w:rsidRPr="00CD23F0">
        <w:t xml:space="preserve"> for admissibility in criminal and civil courts. Fatality management activities also need to </w:t>
      </w:r>
      <w:proofErr w:type="gramStart"/>
      <w:r w:rsidRPr="00CD23F0">
        <w:t>be incorporated</w:t>
      </w:r>
      <w:proofErr w:type="gramEnd"/>
      <w:r w:rsidRPr="00CD23F0">
        <w:t xml:space="preserve"> in the surveillance and intelligence sharing networks to identify sentinel cases of bioterrorism and other public health threats. Fatality management operations </w:t>
      </w:r>
      <w:proofErr w:type="gramStart"/>
      <w:r w:rsidRPr="00CD23F0">
        <w:t>are conducted</w:t>
      </w:r>
      <w:proofErr w:type="gramEnd"/>
      <w:r w:rsidRPr="00CD23F0">
        <w:t xml:space="preserve"> through a unified command structure.</w:t>
      </w:r>
    </w:p>
    <w:p w:rsidR="00140A1C" w:rsidRPr="00CD23F0" w:rsidRDefault="00140A1C" w:rsidP="002E652A">
      <w:pPr>
        <w:pStyle w:val="ListBullet"/>
        <w:numPr>
          <w:ilvl w:val="0"/>
          <w:numId w:val="21"/>
        </w:numPr>
      </w:pPr>
      <w:bookmarkStart w:id="61" w:name="_Toc222966227"/>
      <w:proofErr w:type="gramStart"/>
      <w:r w:rsidRPr="00CD23F0">
        <w:rPr>
          <w:b/>
        </w:rPr>
        <w:t>Fire Incident Response Support</w:t>
      </w:r>
      <w:bookmarkEnd w:id="61"/>
      <w:r w:rsidRPr="00CD23F0">
        <w:rPr>
          <w:b/>
        </w:rPr>
        <w:t>.</w:t>
      </w:r>
      <w:proofErr w:type="gramEnd"/>
      <w:r w:rsidRPr="00CD23F0">
        <w:t xml:space="preserve"> </w:t>
      </w:r>
      <w:proofErr w:type="gramStart"/>
      <w:r w:rsidRPr="00CD23F0">
        <w:t xml:space="preserve">This capability provides coordination and implementation of fire suppression operations, which include the following tasks: assessing the scene, assigning resources, establishing an Incident Command System (ICS) consistent with the National Incident Management System (NIMS), communicating the status of the situation, requesting additional resources, establishing a safe perimeter, evacuating persons in danger, rescuing trapped victims, conducting fire suppression, </w:t>
      </w:r>
      <w:r w:rsidRPr="00CD23F0">
        <w:lastRenderedPageBreak/>
        <w:t>determining the cause of the fire(s), and ensuring the area is left in a safe condition.</w:t>
      </w:r>
      <w:proofErr w:type="gramEnd"/>
      <w:r w:rsidRPr="00CD23F0">
        <w:t xml:space="preserve"> This capability further includes support necessary to prepare the community and reduce vulnerabilities in a major event.</w:t>
      </w:r>
    </w:p>
    <w:p w:rsidR="00140A1C" w:rsidRPr="00CD23F0" w:rsidRDefault="00140A1C" w:rsidP="002E652A">
      <w:pPr>
        <w:pStyle w:val="ListBullet"/>
        <w:numPr>
          <w:ilvl w:val="0"/>
          <w:numId w:val="21"/>
        </w:numPr>
      </w:pPr>
      <w:bookmarkStart w:id="62" w:name="_Toc222966228"/>
      <w:proofErr w:type="gramStart"/>
      <w:r w:rsidRPr="00CD23F0">
        <w:rPr>
          <w:b/>
        </w:rPr>
        <w:t>Isolation and Quarantine</w:t>
      </w:r>
      <w:bookmarkEnd w:id="62"/>
      <w:r w:rsidRPr="00CD23F0">
        <w:rPr>
          <w:b/>
        </w:rPr>
        <w:t>.</w:t>
      </w:r>
      <w:proofErr w:type="gramEnd"/>
      <w:r w:rsidRPr="00CD23F0">
        <w:t xml:space="preserve"> </w:t>
      </w:r>
      <w:r>
        <w:t>This</w:t>
      </w:r>
      <w:r w:rsidRPr="00CD23F0">
        <w:t xml:space="preserve"> is the capability to protect the health of the population </w:t>
      </w:r>
      <w:proofErr w:type="gramStart"/>
      <w:r w:rsidRPr="00CD23F0">
        <w:t>through the use of</w:t>
      </w:r>
      <w:proofErr w:type="gramEnd"/>
      <w:r w:rsidRPr="00CD23F0">
        <w:t xml:space="preserve"> isolation and/or quarantine measures to contain the spread of disease. Isolation of ill individuals may occur in homes, hospitals, designated healthcare facilities, or alternate facilities. Quarantine refers to the separation and restriction of movement of persons who, while not yet ill, </w:t>
      </w:r>
      <w:proofErr w:type="gramStart"/>
      <w:r w:rsidRPr="00CD23F0">
        <w:t>have been exposed</w:t>
      </w:r>
      <w:proofErr w:type="gramEnd"/>
      <w:r w:rsidRPr="00CD23F0">
        <w:t xml:space="preserve"> to an infectious agent and may become infectious. Successful implementation will require that sufficient legal, logistical, and informational support exists to maintain these measures. Most experts expect that isolation and quarantine will not stop the outbreak and that</w:t>
      </w:r>
      <w:r>
        <w:t>,</w:t>
      </w:r>
      <w:r w:rsidRPr="00CD23F0">
        <w:t xml:space="preserve"> if used, the focus will be on cases that might introduce the disease into the State or other geographic area.</w:t>
      </w:r>
    </w:p>
    <w:p w:rsidR="00140A1C" w:rsidRPr="00CD23F0" w:rsidRDefault="00140A1C" w:rsidP="002E652A">
      <w:pPr>
        <w:pStyle w:val="ListBullet"/>
        <w:numPr>
          <w:ilvl w:val="0"/>
          <w:numId w:val="21"/>
        </w:numPr>
      </w:pPr>
      <w:bookmarkStart w:id="63" w:name="_Toc222966229"/>
      <w:r w:rsidRPr="00CD23F0">
        <w:rPr>
          <w:b/>
        </w:rPr>
        <w:t>Mass Care (Sheltering, Feeding, and Related Services)</w:t>
      </w:r>
      <w:bookmarkEnd w:id="63"/>
      <w:r w:rsidRPr="00CD23F0">
        <w:rPr>
          <w:b/>
        </w:rPr>
        <w:t>.</w:t>
      </w:r>
      <w:r w:rsidRPr="00CD23F0">
        <w:t xml:space="preserve"> </w:t>
      </w:r>
      <w:r>
        <w:t xml:space="preserve">This </w:t>
      </w:r>
      <w:r w:rsidRPr="00CD23F0">
        <w:t xml:space="preserve">is the capability to provide immediate shelter, feeding centers, basic first aid, bulk distribution of needed items, and related services to persons affected by a large-scale incident. Mass </w:t>
      </w:r>
      <w:r>
        <w:t>c</w:t>
      </w:r>
      <w:r w:rsidRPr="00CD23F0">
        <w:t xml:space="preserve">are </w:t>
      </w:r>
      <w:proofErr w:type="gramStart"/>
      <w:r w:rsidRPr="00CD23F0">
        <w:t>is usually provided</w:t>
      </w:r>
      <w:proofErr w:type="gramEnd"/>
      <w:r w:rsidRPr="00CD23F0">
        <w:t xml:space="preserve"> by nongovernmental organizations (NGOs), such as the American Red Cross, or by local government. The capability also provides for companion animal care/handling through local government and appropriate animal-related organizations.</w:t>
      </w:r>
    </w:p>
    <w:p w:rsidR="00140A1C" w:rsidRPr="00CD23F0" w:rsidRDefault="00140A1C" w:rsidP="002E652A">
      <w:pPr>
        <w:pStyle w:val="ListBullet"/>
        <w:numPr>
          <w:ilvl w:val="0"/>
          <w:numId w:val="21"/>
        </w:numPr>
      </w:pPr>
      <w:bookmarkStart w:id="64" w:name="_Toc222966230"/>
      <w:proofErr w:type="gramStart"/>
      <w:r w:rsidRPr="00CD23F0">
        <w:rPr>
          <w:b/>
        </w:rPr>
        <w:t>Mass Prophylaxis</w:t>
      </w:r>
      <w:bookmarkEnd w:id="64"/>
      <w:r w:rsidRPr="00CD23F0">
        <w:rPr>
          <w:b/>
        </w:rPr>
        <w:t>.</w:t>
      </w:r>
      <w:proofErr w:type="gramEnd"/>
      <w:r w:rsidRPr="00CD23F0">
        <w:t xml:space="preserve"> </w:t>
      </w:r>
      <w:r>
        <w:t>This</w:t>
      </w:r>
      <w:r w:rsidRPr="00CD23F0">
        <w:t xml:space="preserve"> is the capability to protect the health of the population through the administration of critical interventions in response to a public health emergency in order to prevent the development of disease among those who are exposed or </w:t>
      </w:r>
      <w:proofErr w:type="gramStart"/>
      <w:r w:rsidRPr="00CD23F0">
        <w:t>are potentially exposed</w:t>
      </w:r>
      <w:proofErr w:type="gramEnd"/>
      <w:r w:rsidRPr="00CD23F0">
        <w:t xml:space="preserve"> to public health threats. This capability includes the provision of appropriate </w:t>
      </w:r>
      <w:proofErr w:type="spellStart"/>
      <w:r w:rsidRPr="00CD23F0">
        <w:t>followup</w:t>
      </w:r>
      <w:proofErr w:type="spellEnd"/>
      <w:r w:rsidRPr="00CD23F0">
        <w:t xml:space="preserve"> and monitoring of adverse events as well as risk communication messages to address the concerns of the public.</w:t>
      </w:r>
    </w:p>
    <w:p w:rsidR="00140A1C" w:rsidRPr="00CD23F0" w:rsidRDefault="00140A1C" w:rsidP="002E652A">
      <w:pPr>
        <w:pStyle w:val="ListBullet"/>
        <w:numPr>
          <w:ilvl w:val="0"/>
          <w:numId w:val="21"/>
        </w:numPr>
      </w:pPr>
      <w:bookmarkStart w:id="65" w:name="_Toc222966231"/>
      <w:proofErr w:type="gramStart"/>
      <w:r w:rsidRPr="00CD23F0">
        <w:rPr>
          <w:b/>
        </w:rPr>
        <w:t>Medical Supplies Management and Distribution</w:t>
      </w:r>
      <w:bookmarkEnd w:id="65"/>
      <w:r w:rsidRPr="00CD23F0">
        <w:rPr>
          <w:b/>
        </w:rPr>
        <w:t>.</w:t>
      </w:r>
      <w:proofErr w:type="gramEnd"/>
      <w:r w:rsidRPr="00CD23F0">
        <w:t xml:space="preserve"> </w:t>
      </w:r>
      <w:r>
        <w:t>This</w:t>
      </w:r>
      <w:r w:rsidRPr="00CD23F0">
        <w:t xml:space="preserve"> is the capability to procure and maintain pharmaceuticals and medical materials before an incident and to transport, distribute, and track these materials during an incident.</w:t>
      </w:r>
    </w:p>
    <w:p w:rsidR="00140A1C" w:rsidRPr="00CD23F0" w:rsidRDefault="00140A1C" w:rsidP="002E652A">
      <w:pPr>
        <w:pStyle w:val="ListBullet"/>
        <w:numPr>
          <w:ilvl w:val="0"/>
          <w:numId w:val="21"/>
        </w:numPr>
      </w:pPr>
      <w:bookmarkStart w:id="66" w:name="_Toc222966232"/>
      <w:proofErr w:type="gramStart"/>
      <w:r w:rsidRPr="00CD23F0">
        <w:rPr>
          <w:b/>
        </w:rPr>
        <w:t>Medical Surge</w:t>
      </w:r>
      <w:bookmarkEnd w:id="66"/>
      <w:r w:rsidRPr="00CD23F0">
        <w:rPr>
          <w:b/>
        </w:rPr>
        <w:t>.</w:t>
      </w:r>
      <w:proofErr w:type="gramEnd"/>
      <w:r w:rsidRPr="00CD23F0">
        <w:t xml:space="preserve"> </w:t>
      </w:r>
      <w:r>
        <w:t>This</w:t>
      </w:r>
      <w:r w:rsidRPr="00CD23F0">
        <w:t xml:space="preserve"> is the capability </w:t>
      </w:r>
      <w:proofErr w:type="gramStart"/>
      <w:r w:rsidRPr="00CD23F0">
        <w:t>to rapidly expand</w:t>
      </w:r>
      <w:proofErr w:type="gramEnd"/>
      <w:r w:rsidRPr="00CD23F0">
        <w:t xml:space="preserve"> the capacity of the existing healthcare system (long-term care facilities, community health agencies, acute care facilities, alternate care facilities, and public health departments) in order to provide triage and subsequent medical care. This includes providing definitive care to individuals at the appropriate clinical level of care, within sufficient time to achieve recovery and minimize medical complications. The capability applies to an event resulting in a number or type of patients that overwhelm the day-to-day acute-care medical capacity. Planners must consider that medical resources are normally at or near capacity at any given time. Medical </w:t>
      </w:r>
      <w:r>
        <w:t>s</w:t>
      </w:r>
      <w:r w:rsidRPr="00CD23F0">
        <w:t>urge is defined as rapid expansion of the capacity of the existing healthcare system in response to an event that results in increased need of personnel (clinical and nonclinical), support functions (laboratories and radiological), physical space (beds, alternate care facilities), and logistical support (clinical and nonclinical equipment and supplies).</w:t>
      </w:r>
    </w:p>
    <w:p w:rsidR="00140A1C" w:rsidRPr="00CD23F0" w:rsidRDefault="00140A1C" w:rsidP="002E652A">
      <w:pPr>
        <w:pStyle w:val="ListBullet"/>
        <w:numPr>
          <w:ilvl w:val="0"/>
          <w:numId w:val="21"/>
        </w:numPr>
      </w:pPr>
      <w:bookmarkStart w:id="67" w:name="_Toc222966233"/>
      <w:proofErr w:type="gramStart"/>
      <w:r w:rsidRPr="00CD23F0">
        <w:rPr>
          <w:b/>
        </w:rPr>
        <w:t>Onsite Incident Management</w:t>
      </w:r>
      <w:bookmarkEnd w:id="67"/>
      <w:r w:rsidRPr="00CD23F0">
        <w:rPr>
          <w:b/>
        </w:rPr>
        <w:t>.</w:t>
      </w:r>
      <w:proofErr w:type="gramEnd"/>
      <w:r w:rsidRPr="00CD23F0">
        <w:t xml:space="preserve"> </w:t>
      </w:r>
      <w:r>
        <w:t>This</w:t>
      </w:r>
      <w:r w:rsidRPr="00CD23F0">
        <w:t xml:space="preserve"> is the capability to effectively direct and control incident activities by using the ICS consistent with the NIMS.</w:t>
      </w:r>
    </w:p>
    <w:p w:rsidR="00140A1C" w:rsidRPr="00CD23F0" w:rsidRDefault="00140A1C" w:rsidP="002E652A">
      <w:pPr>
        <w:pStyle w:val="ListBullet"/>
        <w:numPr>
          <w:ilvl w:val="0"/>
          <w:numId w:val="21"/>
        </w:numPr>
      </w:pPr>
      <w:bookmarkStart w:id="68" w:name="_Toc222966235"/>
      <w:proofErr w:type="gramStart"/>
      <w:r w:rsidRPr="00CD23F0">
        <w:rPr>
          <w:b/>
        </w:rPr>
        <w:lastRenderedPageBreak/>
        <w:t>Responder Safety and Health</w:t>
      </w:r>
      <w:bookmarkEnd w:id="68"/>
      <w:r w:rsidRPr="00CD23F0">
        <w:rPr>
          <w:b/>
        </w:rPr>
        <w:t>.</w:t>
      </w:r>
      <w:proofErr w:type="gramEnd"/>
      <w:r w:rsidRPr="00CD23F0">
        <w:t xml:space="preserve"> </w:t>
      </w:r>
      <w:r>
        <w:t>This</w:t>
      </w:r>
      <w:r w:rsidRPr="00CD23F0">
        <w:t xml:space="preserve"> is the capability that ensures adequate trained and equipped personnel and resources are available at the time of an incident to protect the safety and health of </w:t>
      </w:r>
      <w:proofErr w:type="spellStart"/>
      <w:r w:rsidRPr="00CD23F0">
        <w:t>onscene</w:t>
      </w:r>
      <w:proofErr w:type="spellEnd"/>
      <w:r w:rsidRPr="00CD23F0">
        <w:t xml:space="preserve"> first responders, hospital/medical facility personnel (first receivers), and skilled support personnel through the creation and maintenance of an effective safety and health program. This program needs to comply with the Occupational Safety and Health Administration’s (OSHA’s) Hazardous Waste Operations and Emergency Response (HAZWOPER) standard (29 Code of Federal Regulations [CFR] 1910.120, as implemented by the U.S. Environmental Protection Agency [EPA] or State authorities) and any other applicable Federal and State regulations. The program also needs to be integrated into the ICS and include training, exposure monitoring, personal protective equipment, health and safety planning, risk management practices, medical care, decontamination procedures, infection control, vaccinations for preventable diseases, adequate work-schedule relief, psychological support, and </w:t>
      </w:r>
      <w:proofErr w:type="spellStart"/>
      <w:r w:rsidRPr="00CD23F0">
        <w:t>followup</w:t>
      </w:r>
      <w:proofErr w:type="spellEnd"/>
      <w:r w:rsidRPr="00CD23F0">
        <w:t xml:space="preserve"> assessments.</w:t>
      </w:r>
    </w:p>
    <w:p w:rsidR="00140A1C" w:rsidRPr="00CD23F0" w:rsidRDefault="00140A1C" w:rsidP="002E652A">
      <w:pPr>
        <w:pStyle w:val="ListBullet"/>
        <w:numPr>
          <w:ilvl w:val="0"/>
          <w:numId w:val="21"/>
        </w:numPr>
      </w:pPr>
      <w:bookmarkStart w:id="69" w:name="_Toc222966237"/>
      <w:proofErr w:type="gramStart"/>
      <w:r w:rsidRPr="00CD23F0">
        <w:rPr>
          <w:b/>
        </w:rPr>
        <w:t>Search and Rescue (Land-Based)</w:t>
      </w:r>
      <w:bookmarkEnd w:id="69"/>
      <w:r w:rsidRPr="00CD23F0">
        <w:rPr>
          <w:b/>
        </w:rPr>
        <w:t>.</w:t>
      </w:r>
      <w:proofErr w:type="gramEnd"/>
      <w:r w:rsidRPr="00CD23F0">
        <w:t xml:space="preserve"> </w:t>
      </w:r>
      <w:r>
        <w:t>This</w:t>
      </w:r>
      <w:r w:rsidRPr="00CD23F0">
        <w:t xml:space="preserve"> is the capability to coordinate and conduct search and rescue (SAR) response efforts for all hazards, including searching affected areas for victims (human and, to the extent no humans remain endangered, animal) and locating, accessing, medically stabilizing, and extricating victims from the damaged area.</w:t>
      </w:r>
    </w:p>
    <w:p w:rsidR="00140A1C" w:rsidRPr="00CD23F0" w:rsidRDefault="00140A1C" w:rsidP="002E652A">
      <w:pPr>
        <w:pStyle w:val="ListBullet"/>
        <w:numPr>
          <w:ilvl w:val="0"/>
          <w:numId w:val="21"/>
        </w:numPr>
      </w:pPr>
      <w:bookmarkStart w:id="70" w:name="_Toc222966238"/>
      <w:proofErr w:type="gramStart"/>
      <w:r w:rsidRPr="00CD23F0">
        <w:rPr>
          <w:b/>
        </w:rPr>
        <w:t>Volunteer Management and Donations</w:t>
      </w:r>
      <w:bookmarkEnd w:id="70"/>
      <w:r w:rsidRPr="00CD23F0">
        <w:rPr>
          <w:b/>
        </w:rPr>
        <w:t>.</w:t>
      </w:r>
      <w:proofErr w:type="gramEnd"/>
      <w:r w:rsidRPr="00CD23F0">
        <w:t xml:space="preserve"> </w:t>
      </w:r>
      <w:r>
        <w:t>This</w:t>
      </w:r>
      <w:r w:rsidRPr="00CD23F0">
        <w:t xml:space="preserve"> is the capability </w:t>
      </w:r>
      <w:proofErr w:type="gramStart"/>
      <w:r w:rsidRPr="00CD23F0">
        <w:t>to effectively coordinate</w:t>
      </w:r>
      <w:proofErr w:type="gramEnd"/>
      <w:r w:rsidRPr="00CD23F0">
        <w:t xml:space="preserve"> the use of volunteers and donations in support of domestic incident management.</w:t>
      </w:r>
    </w:p>
    <w:p w:rsidR="00140A1C" w:rsidRPr="00CD23F0" w:rsidRDefault="00140A1C" w:rsidP="002E652A">
      <w:pPr>
        <w:pStyle w:val="ListBullet"/>
        <w:numPr>
          <w:ilvl w:val="0"/>
          <w:numId w:val="21"/>
        </w:numPr>
      </w:pPr>
      <w:bookmarkStart w:id="71" w:name="_Toc222966239"/>
      <w:proofErr w:type="gramStart"/>
      <w:r w:rsidRPr="00CD23F0">
        <w:rPr>
          <w:b/>
        </w:rPr>
        <w:t>Weapons of Mass Destruction (WMD)/Hazardous Materials (</w:t>
      </w:r>
      <w:proofErr w:type="spellStart"/>
      <w:r w:rsidRPr="00CD23F0">
        <w:rPr>
          <w:b/>
        </w:rPr>
        <w:t>HazMat</w:t>
      </w:r>
      <w:proofErr w:type="spellEnd"/>
      <w:r w:rsidRPr="00CD23F0">
        <w:rPr>
          <w:b/>
        </w:rPr>
        <w:t>) Response and Decontamination</w:t>
      </w:r>
      <w:bookmarkEnd w:id="71"/>
      <w:r w:rsidRPr="00CD23F0">
        <w:rPr>
          <w:b/>
        </w:rPr>
        <w:t>.</w:t>
      </w:r>
      <w:proofErr w:type="gramEnd"/>
      <w:r w:rsidRPr="00CD23F0">
        <w:t xml:space="preserve"> </w:t>
      </w:r>
      <w:r>
        <w:t>This</w:t>
      </w:r>
      <w:r w:rsidRPr="00CD23F0">
        <w:t xml:space="preserve"> is the capability to assess and manage the consequences </w:t>
      </w:r>
      <w:proofErr w:type="gramStart"/>
      <w:r w:rsidRPr="00CD23F0">
        <w:t xml:space="preserve">of a </w:t>
      </w:r>
      <w:proofErr w:type="spellStart"/>
      <w:r w:rsidRPr="00CD23F0">
        <w:t>HazMat</w:t>
      </w:r>
      <w:proofErr w:type="spellEnd"/>
      <w:r w:rsidRPr="00CD23F0">
        <w:t xml:space="preserve"> release, either</w:t>
      </w:r>
      <w:proofErr w:type="gramEnd"/>
      <w:r w:rsidRPr="00CD23F0">
        <w:t xml:space="preserve"> accidental or as part of a terrorist attack. </w:t>
      </w:r>
      <w:proofErr w:type="gramStart"/>
      <w:r w:rsidRPr="00CD23F0">
        <w:t xml:space="preserve">It includes testing and identifying all likely hazardous substances onsite; ensuring that responders have protective clothing and equipment; conducting rescue operations to remove affected victims from the hazardous environment; conducting geographical survey searches of suspected sources or contamination spreads and establishing isolation perimeters; mitigating the effects of </w:t>
      </w:r>
      <w:proofErr w:type="spellStart"/>
      <w:r w:rsidRPr="00CD23F0">
        <w:t>HazMat</w:t>
      </w:r>
      <w:proofErr w:type="spellEnd"/>
      <w:r w:rsidRPr="00CD23F0">
        <w:t>; decontaminating onsite victims, responders, and equipment; coordinating offsite decontamination with relevant agencies; and notifying environmental, health, and law enforcement agencies that have jurisdiction for the incident to begin implementation of their standard evidence collection and investigation procedures.</w:t>
      </w:r>
      <w:proofErr w:type="gramEnd"/>
    </w:p>
    <w:p w:rsidR="00140A1C" w:rsidRPr="00CD23F0" w:rsidRDefault="00140A1C" w:rsidP="002E652A">
      <w:pPr>
        <w:pStyle w:val="Heading3"/>
      </w:pPr>
      <w:bookmarkStart w:id="72" w:name="_Toc243472967"/>
      <w:r w:rsidRPr="00CD23F0">
        <w:t>Recover Mission</w:t>
      </w:r>
      <w:r>
        <w:t xml:space="preserve"> Area</w:t>
      </w:r>
      <w:bookmarkEnd w:id="72"/>
    </w:p>
    <w:p w:rsidR="00140A1C" w:rsidRPr="00CD23F0" w:rsidRDefault="00140A1C" w:rsidP="002E652A">
      <w:pPr>
        <w:pStyle w:val="ListBullet"/>
        <w:numPr>
          <w:ilvl w:val="0"/>
          <w:numId w:val="21"/>
        </w:numPr>
      </w:pPr>
      <w:bookmarkStart w:id="73" w:name="_Toc224099579"/>
      <w:proofErr w:type="gramStart"/>
      <w:r w:rsidRPr="00CD23F0">
        <w:rPr>
          <w:b/>
        </w:rPr>
        <w:t>Economic and Community Recovery</w:t>
      </w:r>
      <w:bookmarkEnd w:id="73"/>
      <w:r w:rsidRPr="00CD23F0">
        <w:rPr>
          <w:b/>
        </w:rPr>
        <w:t>.</w:t>
      </w:r>
      <w:proofErr w:type="gramEnd"/>
      <w:r w:rsidRPr="00CD23F0">
        <w:t xml:space="preserve"> </w:t>
      </w:r>
      <w:r>
        <w:t>This</w:t>
      </w:r>
      <w:r w:rsidRPr="00CD23F0">
        <w:t xml:space="preserve"> is the capability to implement short- and long-term recovery and mitigation processes after an incident. This will include identifying the extent of damage caused by an incident, conducting thorough </w:t>
      </w:r>
      <w:proofErr w:type="spellStart"/>
      <w:r w:rsidRPr="00CD23F0">
        <w:t>postevent</w:t>
      </w:r>
      <w:proofErr w:type="spellEnd"/>
      <w:r w:rsidRPr="00CD23F0">
        <w:t xml:space="preserve"> assessments, and determining and providing the support needed for recovery and restoration activities to minimize future loss from a similar event.</w:t>
      </w:r>
    </w:p>
    <w:p w:rsidR="00140A1C" w:rsidRPr="00CD23F0" w:rsidRDefault="00140A1C" w:rsidP="002E652A">
      <w:pPr>
        <w:pStyle w:val="ListBullet"/>
        <w:numPr>
          <w:ilvl w:val="0"/>
          <w:numId w:val="21"/>
        </w:numPr>
      </w:pPr>
      <w:bookmarkStart w:id="74" w:name="_Toc224099580"/>
      <w:proofErr w:type="gramStart"/>
      <w:r w:rsidRPr="00CD23F0">
        <w:rPr>
          <w:b/>
        </w:rPr>
        <w:t>Restoration of Lifelines</w:t>
      </w:r>
      <w:bookmarkEnd w:id="74"/>
      <w:r w:rsidRPr="00CD23F0">
        <w:rPr>
          <w:b/>
        </w:rPr>
        <w:t>.</w:t>
      </w:r>
      <w:proofErr w:type="gramEnd"/>
      <w:r w:rsidRPr="00CD23F0">
        <w:t xml:space="preserve"> </w:t>
      </w:r>
      <w:r>
        <w:t>This</w:t>
      </w:r>
      <w:r w:rsidRPr="00CD23F0">
        <w:t xml:space="preserve"> is the capability to initiate and sustain restoration activities. This includes facilitating the repair/replacement of infrastructure for oil, gas, electric, telecommunications, </w:t>
      </w:r>
      <w:proofErr w:type="gramStart"/>
      <w:r w:rsidRPr="00CD23F0">
        <w:t>drinking</w:t>
      </w:r>
      <w:proofErr w:type="gramEnd"/>
      <w:r w:rsidRPr="00CD23F0">
        <w:t xml:space="preserve"> water, wastewater, and transportation services.</w:t>
      </w:r>
    </w:p>
    <w:p w:rsidR="00140A1C" w:rsidRDefault="00140A1C" w:rsidP="002E652A">
      <w:pPr>
        <w:pStyle w:val="ListBullet"/>
        <w:numPr>
          <w:ilvl w:val="0"/>
          <w:numId w:val="21"/>
        </w:numPr>
      </w:pPr>
      <w:bookmarkStart w:id="75" w:name="_Toc224099581"/>
      <w:proofErr w:type="gramStart"/>
      <w:r w:rsidRPr="00CD23F0">
        <w:rPr>
          <w:b/>
        </w:rPr>
        <w:lastRenderedPageBreak/>
        <w:t>Structural Damage Assessment</w:t>
      </w:r>
      <w:bookmarkEnd w:id="75"/>
      <w:r w:rsidRPr="00CD23F0">
        <w:rPr>
          <w:b/>
        </w:rPr>
        <w:t>.</w:t>
      </w:r>
      <w:proofErr w:type="gramEnd"/>
      <w:r w:rsidRPr="00CD23F0">
        <w:t xml:space="preserve"> </w:t>
      </w:r>
      <w:r>
        <w:t>This</w:t>
      </w:r>
      <w:r w:rsidRPr="00CD23F0">
        <w:t xml:space="preserve"> is the capability to conduct damage and safety assessments of civil, commercial, and residential infrastructure and to perform structural inspections and mitigation activities. The capability includes being able to provide contractor management, construction management, cost estimating, technical assistance, and other engineering services to support and manage response and recovery operations.</w:t>
      </w:r>
    </w:p>
    <w:p w:rsidR="00140A1C" w:rsidRPr="00140A1C" w:rsidRDefault="00140A1C" w:rsidP="002E652A"/>
    <w:p w:rsidR="00140A1C" w:rsidRPr="00140A1C" w:rsidRDefault="00140A1C" w:rsidP="002E652A"/>
    <w:p w:rsidR="00140A1C" w:rsidRPr="00140A1C" w:rsidRDefault="00140A1C" w:rsidP="002E652A">
      <w:pPr>
        <w:sectPr w:rsidR="00140A1C" w:rsidRPr="00140A1C" w:rsidSect="00325781">
          <w:footerReference w:type="default" r:id="rId17"/>
          <w:pgSz w:w="12240" w:h="15840" w:code="1"/>
          <w:pgMar w:top="1440" w:right="1440" w:bottom="1440" w:left="1440" w:header="432" w:footer="432" w:gutter="0"/>
          <w:pgNumType w:start="1" w:chapStyle="1"/>
          <w:cols w:space="720"/>
          <w:docGrid w:linePitch="360"/>
        </w:sectPr>
      </w:pPr>
    </w:p>
    <w:p w:rsidR="001520ED" w:rsidRDefault="001520ED" w:rsidP="002E652A">
      <w:pPr>
        <w:pStyle w:val="Heading1"/>
      </w:pPr>
      <w:bookmarkStart w:id="76" w:name="_Toc242263781"/>
      <w:bookmarkStart w:id="77" w:name="_Toc244318326"/>
      <w:bookmarkStart w:id="78" w:name="_Toc218943991"/>
      <w:r>
        <w:lastRenderedPageBreak/>
        <w:t>Appendix B: Exercise Types</w:t>
      </w:r>
      <w:bookmarkEnd w:id="76"/>
      <w:bookmarkEnd w:id="77"/>
    </w:p>
    <w:p w:rsidR="00780CD0" w:rsidRPr="001520ED" w:rsidRDefault="00780CD0" w:rsidP="002E652A">
      <w:pPr>
        <w:pStyle w:val="Heading2"/>
      </w:pPr>
      <w:bookmarkStart w:id="79" w:name="_Toc244318327"/>
      <w:r w:rsidRPr="001520ED">
        <w:t>Discussion-Based Exercises</w:t>
      </w:r>
      <w:bookmarkEnd w:id="78"/>
      <w:bookmarkEnd w:id="79"/>
    </w:p>
    <w:p w:rsidR="00780CD0" w:rsidRPr="005670EB" w:rsidRDefault="00780CD0" w:rsidP="002E652A">
      <w:pPr>
        <w:pStyle w:val="BodyText"/>
      </w:pPr>
      <w:r w:rsidRPr="005670EB">
        <w:t xml:space="preserve">Discussion-based exercises </w:t>
      </w:r>
      <w:proofErr w:type="gramStart"/>
      <w:r w:rsidRPr="005670EB">
        <w:t>are normally used</w:t>
      </w:r>
      <w:proofErr w:type="gramEnd"/>
      <w:r w:rsidRPr="005670EB">
        <w:t xml:space="preserve"> as starting points in the building-block approach to the cycle, mix, and range of exercises. Discussion-based exercises include seminars, workshops, tabletop exercises (TTXs), and games. These types of exercises typically highlight existing plans, policies, mutual aid agreements (MAAs), and procedures. Thus, they are exceptional tools for familiarizing agencies and personnel with current or expected jurisdictional capabilities. Discussion-based exercises typically focus on strategic policy-oriented issues; operations-based exercises focus more on tactical response-related issues. Facilitators and/or presenters usually lead the discussion, keeping participants on track while meeting the objectives of the exercise.</w:t>
      </w:r>
    </w:p>
    <w:p w:rsidR="00780CD0" w:rsidRPr="005670EB" w:rsidRDefault="00780CD0" w:rsidP="002E652A">
      <w:pPr>
        <w:pStyle w:val="BodyText"/>
      </w:pPr>
      <w:proofErr w:type="gramStart"/>
      <w:r w:rsidRPr="00CF1352">
        <w:rPr>
          <w:b/>
        </w:rPr>
        <w:t>Seminars.</w:t>
      </w:r>
      <w:proofErr w:type="gramEnd"/>
      <w:r w:rsidRPr="00CF1352">
        <w:t xml:space="preserve"> </w:t>
      </w:r>
      <w:r w:rsidRPr="005670EB">
        <w:t xml:space="preserve">Seminars </w:t>
      </w:r>
      <w:proofErr w:type="gramStart"/>
      <w:r w:rsidRPr="005670EB">
        <w:t>are generally used</w:t>
      </w:r>
      <w:proofErr w:type="gramEnd"/>
      <w:r w:rsidRPr="005670EB">
        <w:t xml:space="preserve"> to orient participants to, or provide an overview of, authorities, strategies, plans, policies, procedures, protocols, response resources, or concepts and ideas. Seminars provide a good starting point for jurisdictions that are developing or making major changes to their plans and procedures. They offer the following attributes:</w:t>
      </w:r>
    </w:p>
    <w:p w:rsidR="00780CD0" w:rsidRPr="003F7386" w:rsidRDefault="00780CD0" w:rsidP="002E652A">
      <w:pPr>
        <w:pStyle w:val="ListBullet"/>
        <w:spacing w:after="0"/>
      </w:pPr>
      <w:r w:rsidRPr="003F7386">
        <w:t>Informal discussions led by a seminar leader</w:t>
      </w:r>
    </w:p>
    <w:p w:rsidR="00780CD0" w:rsidRPr="003F7386" w:rsidRDefault="00780CD0" w:rsidP="002E652A">
      <w:pPr>
        <w:pStyle w:val="ListBullet"/>
        <w:spacing w:after="0"/>
      </w:pPr>
      <w:r w:rsidRPr="003F7386">
        <w:t>Lack of time constraints caused by real-time portrayal of events</w:t>
      </w:r>
    </w:p>
    <w:p w:rsidR="00780CD0" w:rsidRPr="003F7386" w:rsidRDefault="00780CD0" w:rsidP="002E652A">
      <w:pPr>
        <w:pStyle w:val="ListBullet"/>
        <w:spacing w:after="0"/>
      </w:pPr>
      <w:r w:rsidRPr="003F7386">
        <w:t>Low-stress environment that uses a number of instruction techniques such as lectures, multimedia presentations, panel discussions, case study discussions, expert testimony, and decision support tools</w:t>
      </w:r>
    </w:p>
    <w:p w:rsidR="00780CD0" w:rsidRPr="003F7386" w:rsidRDefault="00780CD0" w:rsidP="002E652A">
      <w:pPr>
        <w:pStyle w:val="ListBullet"/>
      </w:pPr>
      <w:r w:rsidRPr="003F7386">
        <w:t xml:space="preserve">Proven effectiveness with both small and large groups </w:t>
      </w:r>
    </w:p>
    <w:p w:rsidR="00780CD0" w:rsidRPr="00CF1352" w:rsidRDefault="00780CD0" w:rsidP="002E652A">
      <w:pPr>
        <w:pStyle w:val="BodyText"/>
      </w:pPr>
      <w:proofErr w:type="gramStart"/>
      <w:r w:rsidRPr="00CF1352">
        <w:rPr>
          <w:b/>
        </w:rPr>
        <w:t>Workshops.</w:t>
      </w:r>
      <w:proofErr w:type="gramEnd"/>
      <w:r w:rsidRPr="00CF1352">
        <w:t xml:space="preserve"> Workshops represent the second tier of exercises in the Homeland Security Exercise and Evaluation Program (HSEEP) building-block approach. Although similar to seminars, workshops differ in two important aspects: participant interaction is increased, and the focus is on achieving or building a product (such as a plan or a policy). Workshops provide an ideal forum for the following:</w:t>
      </w:r>
    </w:p>
    <w:p w:rsidR="00780CD0" w:rsidRPr="003F7386" w:rsidRDefault="00780CD0" w:rsidP="002E652A">
      <w:pPr>
        <w:pStyle w:val="ListBullet"/>
        <w:spacing w:after="0"/>
      </w:pPr>
      <w:r w:rsidRPr="003F7386">
        <w:t>Building teams</w:t>
      </w:r>
    </w:p>
    <w:p w:rsidR="00780CD0" w:rsidRPr="003F7386" w:rsidRDefault="00780CD0" w:rsidP="002E652A">
      <w:pPr>
        <w:pStyle w:val="ListBullet"/>
        <w:spacing w:after="0"/>
      </w:pPr>
      <w:r w:rsidRPr="003F7386">
        <w:t>Collecting or sharing information</w:t>
      </w:r>
    </w:p>
    <w:p w:rsidR="00780CD0" w:rsidRPr="003F7386" w:rsidRDefault="00780CD0" w:rsidP="002E652A">
      <w:pPr>
        <w:pStyle w:val="ListBullet"/>
        <w:spacing w:after="0"/>
      </w:pPr>
      <w:r w:rsidRPr="003F7386">
        <w:t>Obtaining consensus</w:t>
      </w:r>
    </w:p>
    <w:p w:rsidR="00780CD0" w:rsidRPr="003F7386" w:rsidRDefault="00780CD0" w:rsidP="002E652A">
      <w:pPr>
        <w:pStyle w:val="ListBullet"/>
        <w:spacing w:after="0"/>
      </w:pPr>
      <w:r w:rsidRPr="003F7386">
        <w:t>Obtaining new or different perspectives</w:t>
      </w:r>
    </w:p>
    <w:p w:rsidR="00780CD0" w:rsidRPr="003F7386" w:rsidRDefault="00780CD0" w:rsidP="002E652A">
      <w:pPr>
        <w:pStyle w:val="ListBullet"/>
        <w:spacing w:after="0"/>
      </w:pPr>
      <w:r w:rsidRPr="003F7386">
        <w:t>Problem solving of complex issues</w:t>
      </w:r>
    </w:p>
    <w:p w:rsidR="00780CD0" w:rsidRPr="003F7386" w:rsidRDefault="00780CD0" w:rsidP="002E652A">
      <w:pPr>
        <w:pStyle w:val="ListBullet"/>
        <w:spacing w:after="0"/>
      </w:pPr>
      <w:r w:rsidRPr="003F7386">
        <w:t>Testing new ideas, processes, or procedures</w:t>
      </w:r>
    </w:p>
    <w:p w:rsidR="00780CD0" w:rsidRPr="00CF1352" w:rsidRDefault="00780CD0" w:rsidP="002E652A">
      <w:pPr>
        <w:pStyle w:val="ListBullet"/>
      </w:pPr>
      <w:r w:rsidRPr="003F7386">
        <w:t>Training groups in coo</w:t>
      </w:r>
      <w:r w:rsidRPr="00CF1352">
        <w:t>rdinated activities</w:t>
      </w:r>
    </w:p>
    <w:p w:rsidR="00780CD0" w:rsidRPr="00CF1352" w:rsidRDefault="00780CD0" w:rsidP="002E652A">
      <w:pPr>
        <w:pStyle w:val="BodyText"/>
      </w:pPr>
      <w:r w:rsidRPr="00CF1352">
        <w:t>In conjunction with exercise development, workshops are most useful in achieving specific aspects of exercise design such as the following:</w:t>
      </w:r>
    </w:p>
    <w:p w:rsidR="00780CD0" w:rsidRPr="003F7386" w:rsidRDefault="00780CD0" w:rsidP="002E652A">
      <w:pPr>
        <w:pStyle w:val="ListBullet"/>
        <w:spacing w:after="0"/>
      </w:pPr>
      <w:r w:rsidRPr="00CF1352">
        <w:t>Determ</w:t>
      </w:r>
      <w:r w:rsidRPr="003F7386">
        <w:t>ining evaluation elements and standards of performance</w:t>
      </w:r>
    </w:p>
    <w:p w:rsidR="00780CD0" w:rsidRPr="003F7386" w:rsidRDefault="00780CD0" w:rsidP="002E652A">
      <w:pPr>
        <w:pStyle w:val="ListBullet"/>
        <w:spacing w:after="0"/>
      </w:pPr>
      <w:r w:rsidRPr="003F7386">
        <w:t>Determining program or exercise objectives</w:t>
      </w:r>
    </w:p>
    <w:p w:rsidR="00780CD0" w:rsidRPr="00CF1352" w:rsidRDefault="00780CD0" w:rsidP="002E652A">
      <w:pPr>
        <w:pStyle w:val="ListBullet"/>
      </w:pPr>
      <w:r w:rsidRPr="003F7386">
        <w:t>Developing e</w:t>
      </w:r>
      <w:r w:rsidRPr="00CF1352">
        <w:t>xercise scenario and key events listings</w:t>
      </w:r>
    </w:p>
    <w:p w:rsidR="00780CD0" w:rsidRPr="005670EB" w:rsidRDefault="00780CD0" w:rsidP="002E652A">
      <w:pPr>
        <w:pStyle w:val="BodyText"/>
      </w:pPr>
      <w:r w:rsidRPr="005670EB">
        <w:t xml:space="preserve">A workshop may be used to produce new standard operating procedures (SOPs), emergency operations plans (EOPs), MAAs, </w:t>
      </w:r>
      <w:r>
        <w:t>M</w:t>
      </w:r>
      <w:r w:rsidRPr="005670EB">
        <w:t>ulti-</w:t>
      </w:r>
      <w:r>
        <w:t>Y</w:t>
      </w:r>
      <w:r w:rsidRPr="005670EB">
        <w:t xml:space="preserve">ear </w:t>
      </w:r>
      <w:r>
        <w:t>Training and E</w:t>
      </w:r>
      <w:r w:rsidRPr="005670EB">
        <w:t xml:space="preserve">xercise </w:t>
      </w:r>
      <w:r>
        <w:t>P</w:t>
      </w:r>
      <w:r w:rsidRPr="005670EB">
        <w:t>lans</w:t>
      </w:r>
      <w:r>
        <w:t xml:space="preserve"> (output of the TEPW)</w:t>
      </w:r>
      <w:r w:rsidRPr="005670EB">
        <w:t xml:space="preserve">, </w:t>
      </w:r>
      <w:r w:rsidRPr="005670EB">
        <w:lastRenderedPageBreak/>
        <w:t xml:space="preserve">and improvement plans (IPs). To be effective, workshops must be highly focused on a specific issue, and the desired outcome or goal </w:t>
      </w:r>
      <w:proofErr w:type="gramStart"/>
      <w:r w:rsidRPr="005670EB">
        <w:t>must be clearly defined</w:t>
      </w:r>
      <w:proofErr w:type="gramEnd"/>
      <w:r w:rsidRPr="005670EB">
        <w:t>.</w:t>
      </w:r>
    </w:p>
    <w:p w:rsidR="00780CD0" w:rsidRPr="005670EB" w:rsidRDefault="00780CD0" w:rsidP="002E652A">
      <w:pPr>
        <w:pStyle w:val="BodyText"/>
      </w:pPr>
      <w:r w:rsidRPr="005670EB">
        <w:t>Potential topics and goals are numerous, but all workshops share the following attributes:</w:t>
      </w:r>
    </w:p>
    <w:p w:rsidR="00780CD0" w:rsidRPr="00CF1352" w:rsidRDefault="00780CD0" w:rsidP="002E652A">
      <w:pPr>
        <w:pStyle w:val="ListBullet"/>
        <w:spacing w:after="0"/>
      </w:pPr>
      <w:r w:rsidRPr="00CF1352">
        <w:t>Effective with both small and large groups</w:t>
      </w:r>
    </w:p>
    <w:p w:rsidR="00780CD0" w:rsidRPr="00CF1352" w:rsidRDefault="00780CD0" w:rsidP="002E652A">
      <w:pPr>
        <w:pStyle w:val="ListBullet"/>
        <w:spacing w:after="0"/>
      </w:pPr>
      <w:r w:rsidRPr="00CF1352">
        <w:t>Facilitated, working breakout sessions</w:t>
      </w:r>
    </w:p>
    <w:p w:rsidR="00780CD0" w:rsidRPr="00CF1352" w:rsidRDefault="00780CD0" w:rsidP="002E652A">
      <w:pPr>
        <w:pStyle w:val="ListBullet"/>
        <w:spacing w:after="0"/>
      </w:pPr>
      <w:r w:rsidRPr="00CF1352">
        <w:t>Goals oriented toward an identifiable product</w:t>
      </w:r>
    </w:p>
    <w:p w:rsidR="00780CD0" w:rsidRPr="00CF1352" w:rsidRDefault="00780CD0" w:rsidP="002E652A">
      <w:pPr>
        <w:pStyle w:val="ListBullet"/>
        <w:spacing w:after="0"/>
      </w:pPr>
      <w:r w:rsidRPr="00CF1352">
        <w:t>Information conveyed through different instructional techniques</w:t>
      </w:r>
    </w:p>
    <w:p w:rsidR="00780CD0" w:rsidRPr="00CF1352" w:rsidRDefault="00780CD0" w:rsidP="002E652A">
      <w:pPr>
        <w:pStyle w:val="ListBullet"/>
        <w:spacing w:after="0"/>
      </w:pPr>
      <w:r w:rsidRPr="00CF1352">
        <w:t>Lack of time constraint from real-time portrayal of events</w:t>
      </w:r>
    </w:p>
    <w:p w:rsidR="00780CD0" w:rsidRPr="00CF1352" w:rsidRDefault="00780CD0" w:rsidP="002E652A">
      <w:pPr>
        <w:pStyle w:val="ListBullet"/>
        <w:spacing w:after="0"/>
      </w:pPr>
      <w:r w:rsidRPr="00CF1352">
        <w:t>Low-stress environment</w:t>
      </w:r>
    </w:p>
    <w:p w:rsidR="00780CD0" w:rsidRPr="00CF1352" w:rsidRDefault="00780CD0" w:rsidP="002E652A">
      <w:pPr>
        <w:pStyle w:val="ListBullet"/>
        <w:spacing w:after="0"/>
      </w:pPr>
      <w:r w:rsidRPr="00CF1352">
        <w:t>No-fault forum</w:t>
      </w:r>
    </w:p>
    <w:p w:rsidR="00780CD0" w:rsidRPr="00CF1352" w:rsidRDefault="00780CD0" w:rsidP="002E652A">
      <w:pPr>
        <w:pStyle w:val="ListBullet"/>
      </w:pPr>
      <w:r w:rsidRPr="00CF1352">
        <w:t>Plenary discussions led by a workshop leader</w:t>
      </w:r>
    </w:p>
    <w:p w:rsidR="00780CD0" w:rsidRPr="005670EB" w:rsidRDefault="00780CD0" w:rsidP="002E652A">
      <w:pPr>
        <w:pStyle w:val="BodyText"/>
      </w:pPr>
      <w:r w:rsidRPr="00CF1352">
        <w:rPr>
          <w:b/>
        </w:rPr>
        <w:t>Tabletop Exercises (TTXs).</w:t>
      </w:r>
      <w:r w:rsidRPr="00CF1352">
        <w:t xml:space="preserve"> </w:t>
      </w:r>
      <w:r w:rsidRPr="005670EB">
        <w:t xml:space="preserve">TTXs involve senior staff members, elected or appointed officials, or other key personnel in an informal setting discussing simulated situations. This type of exercise </w:t>
      </w:r>
      <w:proofErr w:type="gramStart"/>
      <w:r w:rsidRPr="005670EB">
        <w:t>is intended</w:t>
      </w:r>
      <w:proofErr w:type="gramEnd"/>
      <w:r w:rsidRPr="005670EB">
        <w:t xml:space="preserve"> to stimulate discussion of various issues regarding a hypothetical situation. It </w:t>
      </w:r>
      <w:proofErr w:type="gramStart"/>
      <w:r w:rsidRPr="005670EB">
        <w:t>can be used</w:t>
      </w:r>
      <w:proofErr w:type="gramEnd"/>
      <w:r w:rsidRPr="005670EB">
        <w:t xml:space="preserve"> to assess plans, policies, and procedures or to assess types of systems needed to guide the prevention of, response to, and recovery from a defined incident. TTXs </w:t>
      </w:r>
      <w:proofErr w:type="gramStart"/>
      <w:r w:rsidRPr="005670EB">
        <w:t>are typically aimed</w:t>
      </w:r>
      <w:proofErr w:type="gramEnd"/>
      <w:r w:rsidRPr="005670EB">
        <w:t xml:space="preserve"> at facilitating understanding of concepts, identifying strengths and shortfalls, and/or achieving a change in attitude. Participants are encouraged to discuss issues in depth and develop decisions through slow-paced problem solving rather than the rapid, spontaneous </w:t>
      </w:r>
      <w:proofErr w:type="spellStart"/>
      <w:r w:rsidRPr="005670EB">
        <w:t>decisionmaking</w:t>
      </w:r>
      <w:proofErr w:type="spellEnd"/>
      <w:r w:rsidRPr="005670EB">
        <w:t xml:space="preserve"> that occurs under actual or simulated emergency conditions. In contrast to the scale and cost of operations-based exercises and games, TTXs can be cost-effective tools when used in conjunction with more complex exercises. The effectiveness of a TTX </w:t>
      </w:r>
      <w:proofErr w:type="gramStart"/>
      <w:r w:rsidRPr="005670EB">
        <w:t>is derived</w:t>
      </w:r>
      <w:proofErr w:type="gramEnd"/>
      <w:r w:rsidRPr="005670EB">
        <w:t xml:space="preserve"> from the energetic involvement of participants and their assessment of recommended revisions to current policies, procedures, and plans.</w:t>
      </w:r>
    </w:p>
    <w:p w:rsidR="00780CD0" w:rsidRPr="005670EB" w:rsidRDefault="00780CD0" w:rsidP="002E652A">
      <w:pPr>
        <w:pStyle w:val="BodyText"/>
      </w:pPr>
      <w:r w:rsidRPr="005670EB">
        <w:t xml:space="preserve">TTX methods </w:t>
      </w:r>
      <w:proofErr w:type="gramStart"/>
      <w:r w:rsidRPr="005670EB">
        <w:t>are divided</w:t>
      </w:r>
      <w:proofErr w:type="gramEnd"/>
      <w:r w:rsidRPr="005670EB">
        <w:t xml:space="preserve"> into two categories: basic and advanced. In a basic TTX, the scene set by the scenario materials remains constant. It describes an event or emergency incident and brings discussion participants up to the simulated present time. Players apply their knowledge and skills to a list of problems presented by the facilitator, problems </w:t>
      </w:r>
      <w:proofErr w:type="gramStart"/>
      <w:r w:rsidRPr="005670EB">
        <w:t>are discussed</w:t>
      </w:r>
      <w:proofErr w:type="gramEnd"/>
      <w:r w:rsidRPr="005670EB">
        <w:t xml:space="preserve"> as a group, and resolution is generally agreed upon and summarized by the leader. In an advanced TTX, play focuses on delivery of </w:t>
      </w:r>
      <w:proofErr w:type="spellStart"/>
      <w:r w:rsidRPr="005670EB">
        <w:t>prescripted</w:t>
      </w:r>
      <w:proofErr w:type="spellEnd"/>
      <w:r w:rsidRPr="005670EB">
        <w:t xml:space="preserve"> messages to players that alter the original scenario. The exercise facilitator usually introduces problems one at a time in the form of a written message, simulated telephone call, videotape, or other means. Participants discuss the issues raised by the problem, using appropriate plans and procedures. TTX attributes may include the following:</w:t>
      </w:r>
    </w:p>
    <w:p w:rsidR="00780CD0" w:rsidRPr="00CF1352" w:rsidRDefault="00780CD0" w:rsidP="002E652A">
      <w:pPr>
        <w:pStyle w:val="ListBullet"/>
        <w:spacing w:after="0"/>
      </w:pPr>
      <w:r w:rsidRPr="00CF1352">
        <w:t>Achieving limited or specific objectives</w:t>
      </w:r>
    </w:p>
    <w:p w:rsidR="00780CD0" w:rsidRPr="00CF1352" w:rsidRDefault="00780CD0" w:rsidP="002E652A">
      <w:pPr>
        <w:pStyle w:val="ListBullet"/>
        <w:spacing w:after="0"/>
      </w:pPr>
      <w:r w:rsidRPr="00CF1352">
        <w:t>Assessing interagency coordination</w:t>
      </w:r>
    </w:p>
    <w:p w:rsidR="00780CD0" w:rsidRPr="00CF1352" w:rsidRDefault="00780CD0" w:rsidP="002E652A">
      <w:pPr>
        <w:pStyle w:val="ListBullet"/>
        <w:spacing w:after="0"/>
      </w:pPr>
      <w:r w:rsidRPr="00CF1352">
        <w:t>Conducting a specific case study</w:t>
      </w:r>
    </w:p>
    <w:p w:rsidR="00780CD0" w:rsidRPr="00CF1352" w:rsidRDefault="00780CD0" w:rsidP="002E652A">
      <w:pPr>
        <w:pStyle w:val="ListBullet"/>
        <w:spacing w:after="0"/>
      </w:pPr>
      <w:r w:rsidRPr="00CF1352">
        <w:t>Examining personnel contingencies</w:t>
      </w:r>
    </w:p>
    <w:p w:rsidR="00780CD0" w:rsidRPr="00CF1352" w:rsidRDefault="00780CD0" w:rsidP="002E652A">
      <w:pPr>
        <w:pStyle w:val="ListBullet"/>
        <w:spacing w:after="0"/>
      </w:pPr>
      <w:r w:rsidRPr="00CF1352">
        <w:t>Familiarizing senior officials with a situation</w:t>
      </w:r>
    </w:p>
    <w:p w:rsidR="00780CD0" w:rsidRPr="00CF1352" w:rsidRDefault="00780CD0" w:rsidP="002E652A">
      <w:pPr>
        <w:pStyle w:val="ListBullet"/>
        <w:spacing w:after="0"/>
      </w:pPr>
      <w:r w:rsidRPr="00CF1352">
        <w:t>Participating in information sharing</w:t>
      </w:r>
    </w:p>
    <w:p w:rsidR="00780CD0" w:rsidRPr="00CF1352" w:rsidRDefault="00780CD0" w:rsidP="002E652A">
      <w:pPr>
        <w:pStyle w:val="ListBullet"/>
        <w:spacing w:after="0"/>
      </w:pPr>
      <w:r w:rsidRPr="00CF1352">
        <w:t>Practicing group problem solving</w:t>
      </w:r>
    </w:p>
    <w:p w:rsidR="00780CD0" w:rsidRPr="00CF1352" w:rsidRDefault="00780CD0" w:rsidP="002E652A">
      <w:pPr>
        <w:pStyle w:val="ListBullet"/>
      </w:pPr>
      <w:r w:rsidRPr="00CF1352">
        <w:t>Testing group message interpretation</w:t>
      </w:r>
    </w:p>
    <w:p w:rsidR="00780CD0" w:rsidRPr="001520ED" w:rsidRDefault="00780CD0" w:rsidP="002E652A">
      <w:pPr>
        <w:pStyle w:val="Heading2"/>
      </w:pPr>
      <w:bookmarkStart w:id="80" w:name="_Toc218943992"/>
      <w:bookmarkStart w:id="81" w:name="_Toc244318328"/>
      <w:r w:rsidRPr="001520ED">
        <w:lastRenderedPageBreak/>
        <w:t>Operations-Based Exercises</w:t>
      </w:r>
      <w:bookmarkEnd w:id="80"/>
      <w:bookmarkEnd w:id="81"/>
    </w:p>
    <w:p w:rsidR="00780CD0" w:rsidRPr="005670EB" w:rsidRDefault="00780CD0" w:rsidP="002E652A">
      <w:pPr>
        <w:pStyle w:val="BodyText"/>
      </w:pPr>
      <w:r w:rsidRPr="005670EB">
        <w:t xml:space="preserve">Operations-based exercises </w:t>
      </w:r>
      <w:proofErr w:type="gramStart"/>
      <w:r w:rsidRPr="005670EB">
        <w:t>are used</w:t>
      </w:r>
      <w:proofErr w:type="gramEnd"/>
      <w:r w:rsidRPr="005670EB">
        <w:t xml:space="preserve"> to validate the plans, policies, agreements, and procedures solidified in discussion-based exercises. Operations-based exercises include drills, functional exercises (FEs), and full-scale exercises (FSEs). They can clarify roles and responsibilities, identify gaps in resources needed to implement plans and procedures, and improve individual and team performance. Operations-based exercises are characterized by actual response, mobilization of apparatus and resources, and commitment of personnel, usually over an extended </w:t>
      </w:r>
      <w:proofErr w:type="gramStart"/>
      <w:r w:rsidRPr="005670EB">
        <w:t>period of time</w:t>
      </w:r>
      <w:proofErr w:type="gramEnd"/>
      <w:r w:rsidRPr="005670EB">
        <w:t>.</w:t>
      </w:r>
    </w:p>
    <w:p w:rsidR="00780CD0" w:rsidRPr="005670EB" w:rsidRDefault="00780CD0" w:rsidP="002E652A">
      <w:pPr>
        <w:pStyle w:val="BodyText"/>
      </w:pPr>
      <w:proofErr w:type="gramStart"/>
      <w:r w:rsidRPr="00CF1352">
        <w:rPr>
          <w:b/>
        </w:rPr>
        <w:t>Drills.</w:t>
      </w:r>
      <w:proofErr w:type="gramEnd"/>
      <w:r w:rsidRPr="00CF1352">
        <w:t xml:space="preserve"> </w:t>
      </w:r>
      <w:r w:rsidRPr="005670EB">
        <w:t xml:space="preserve">A drill is a coordinated, supervised activity usually used to test a single specific operation or function in a single agency. Drills </w:t>
      </w:r>
      <w:proofErr w:type="gramStart"/>
      <w:r w:rsidRPr="005670EB">
        <w:t>are commonly used</w:t>
      </w:r>
      <w:proofErr w:type="gramEnd"/>
      <w:r w:rsidRPr="005670EB">
        <w:t xml:space="preserve"> to provide training on new equipment, develop or test new policies or procedures, or practice and maintain current skills. Typical attributes include the following:</w:t>
      </w:r>
    </w:p>
    <w:p w:rsidR="00780CD0" w:rsidRPr="003F7386" w:rsidRDefault="00780CD0" w:rsidP="002E652A">
      <w:pPr>
        <w:pStyle w:val="ListBullet"/>
        <w:spacing w:after="0"/>
      </w:pPr>
      <w:r w:rsidRPr="00CF1352">
        <w:t>A narro</w:t>
      </w:r>
      <w:r w:rsidRPr="003F7386">
        <w:t>w focus, measured against established standards</w:t>
      </w:r>
    </w:p>
    <w:p w:rsidR="00780CD0" w:rsidRPr="003F7386" w:rsidRDefault="00780CD0" w:rsidP="002E652A">
      <w:pPr>
        <w:pStyle w:val="ListBullet"/>
        <w:spacing w:after="0"/>
      </w:pPr>
      <w:r w:rsidRPr="003F7386">
        <w:t>Instant feedback</w:t>
      </w:r>
    </w:p>
    <w:p w:rsidR="00780CD0" w:rsidRPr="003F7386" w:rsidRDefault="00780CD0" w:rsidP="002E652A">
      <w:pPr>
        <w:pStyle w:val="ListBullet"/>
        <w:spacing w:after="0"/>
      </w:pPr>
      <w:r w:rsidRPr="003F7386">
        <w:t>Performance in isolation</w:t>
      </w:r>
    </w:p>
    <w:p w:rsidR="00780CD0" w:rsidRPr="00CF1352" w:rsidRDefault="00780CD0" w:rsidP="002E652A">
      <w:pPr>
        <w:pStyle w:val="ListBullet"/>
      </w:pPr>
      <w:r w:rsidRPr="003F7386">
        <w:t>Realistic environme</w:t>
      </w:r>
      <w:r w:rsidRPr="00CF1352">
        <w:t>nt</w:t>
      </w:r>
    </w:p>
    <w:p w:rsidR="00780CD0" w:rsidRPr="00CF1352" w:rsidRDefault="00780CD0" w:rsidP="002E652A">
      <w:pPr>
        <w:pStyle w:val="BodyText"/>
      </w:pPr>
      <w:proofErr w:type="gramStart"/>
      <w:r w:rsidRPr="00CF1352">
        <w:rPr>
          <w:b/>
        </w:rPr>
        <w:t>Functional Exercises (FEs).</w:t>
      </w:r>
      <w:proofErr w:type="gramEnd"/>
      <w:r w:rsidRPr="00CF1352">
        <w:t xml:space="preserve"> An FE, also known as a Command Post Exercise (CPX), </w:t>
      </w:r>
      <w:proofErr w:type="gramStart"/>
      <w:r w:rsidRPr="00CF1352">
        <w:t>is designed</w:t>
      </w:r>
      <w:proofErr w:type="gramEnd"/>
      <w:r w:rsidRPr="00CF1352">
        <w:t xml:space="preserve"> to test and evaluate individual capabilities, multiple functions or activities within a function, or interdependent groups of functions. FEs generally focus on exercising the plans, policies, procedures, and staffs of the direction and control nodes of the Incident Command System (ICS), Unified Command, and Emergency Operations Centers</w:t>
      </w:r>
      <w:r w:rsidR="007065BC">
        <w:t xml:space="preserve"> (EOCs)</w:t>
      </w:r>
      <w:r w:rsidRPr="00CF1352">
        <w:t xml:space="preserve">. Generally, incidents </w:t>
      </w:r>
      <w:proofErr w:type="gramStart"/>
      <w:r w:rsidRPr="00CF1352">
        <w:t>are projected</w:t>
      </w:r>
      <w:proofErr w:type="gramEnd"/>
      <w:r w:rsidRPr="00CF1352">
        <w:t xml:space="preserve"> through an exercise scenario with event updates that drive activity at the management level. Movement of personnel and equipment is simulated.</w:t>
      </w:r>
    </w:p>
    <w:p w:rsidR="00780CD0" w:rsidRPr="00CF1352" w:rsidRDefault="00780CD0" w:rsidP="002E652A">
      <w:pPr>
        <w:pStyle w:val="BodyText"/>
      </w:pPr>
      <w:r w:rsidRPr="00CF1352">
        <w:t>The objective of an FE is to execute specific plans and procedures and apply established policies, plans, and procedures under crisis conditions, within or by particular function teams. An FE simulates the reality of operations in a functional area by presenting complex and realistic problems that require rapid and effective responses by trained personnel in a highly stressful environment. Attributes of an FE include the following:</w:t>
      </w:r>
    </w:p>
    <w:p w:rsidR="00780CD0" w:rsidRPr="00CF1352" w:rsidRDefault="00780CD0" w:rsidP="002E652A">
      <w:pPr>
        <w:pStyle w:val="ListBullet"/>
        <w:spacing w:after="0"/>
      </w:pPr>
      <w:r w:rsidRPr="00CF1352">
        <w:t>Evaluating the EOC, headquarters, and staff</w:t>
      </w:r>
    </w:p>
    <w:p w:rsidR="00780CD0" w:rsidRPr="00CF1352" w:rsidRDefault="00780CD0" w:rsidP="002E652A">
      <w:pPr>
        <w:pStyle w:val="ListBullet"/>
        <w:spacing w:after="0"/>
      </w:pPr>
      <w:r w:rsidRPr="00CF1352">
        <w:t>Evaluating functions</w:t>
      </w:r>
    </w:p>
    <w:p w:rsidR="00780CD0" w:rsidRPr="00CF1352" w:rsidRDefault="00780CD0" w:rsidP="002E652A">
      <w:pPr>
        <w:pStyle w:val="ListBullet"/>
        <w:spacing w:after="0"/>
      </w:pPr>
      <w:r w:rsidRPr="00CF1352">
        <w:t xml:space="preserve">Examining </w:t>
      </w:r>
      <w:proofErr w:type="spellStart"/>
      <w:r w:rsidRPr="00CF1352">
        <w:t>interjurisdictional</w:t>
      </w:r>
      <w:proofErr w:type="spellEnd"/>
      <w:r w:rsidRPr="00CF1352">
        <w:t xml:space="preserve"> relationships</w:t>
      </w:r>
    </w:p>
    <w:p w:rsidR="00780CD0" w:rsidRPr="00CF1352" w:rsidRDefault="00780CD0" w:rsidP="002E652A">
      <w:pPr>
        <w:pStyle w:val="ListBullet"/>
        <w:spacing w:after="0"/>
      </w:pPr>
      <w:r w:rsidRPr="00CF1352">
        <w:t>Measuring resource adequacy</w:t>
      </w:r>
    </w:p>
    <w:p w:rsidR="00780CD0" w:rsidRPr="00CF1352" w:rsidRDefault="00780CD0" w:rsidP="002E652A">
      <w:pPr>
        <w:pStyle w:val="ListBullet"/>
      </w:pPr>
      <w:r w:rsidRPr="00CF1352">
        <w:t>Reinforcing established policies and procedures</w:t>
      </w:r>
    </w:p>
    <w:p w:rsidR="00780CD0" w:rsidRPr="005670EB" w:rsidRDefault="00780CD0" w:rsidP="002E652A">
      <w:pPr>
        <w:pStyle w:val="BodyText"/>
      </w:pPr>
      <w:proofErr w:type="gramStart"/>
      <w:r w:rsidRPr="00CF1352">
        <w:rPr>
          <w:b/>
        </w:rPr>
        <w:t>Full-Scale Exercises (FSEs).</w:t>
      </w:r>
      <w:proofErr w:type="gramEnd"/>
      <w:r w:rsidRPr="00CF1352">
        <w:t xml:space="preserve"> </w:t>
      </w:r>
      <w:r w:rsidRPr="005670EB">
        <w:t xml:space="preserve">FSEs are multiagency, multijurisdictional exercises that test many facets of emergency response and recovery. They include many first responders operating under the ICS or Unified Command to effectively and efficiently respond to, and recover from, an incident. An FSE focuses on implementing and analyzing the plans, policies, and procedures developed in discussion-based exercises and honed in previous, smaller, operations-based exercises. The events </w:t>
      </w:r>
      <w:proofErr w:type="gramStart"/>
      <w:r w:rsidRPr="005670EB">
        <w:t>are projected</w:t>
      </w:r>
      <w:proofErr w:type="gramEnd"/>
      <w:r w:rsidRPr="005670EB">
        <w:t xml:space="preserve"> through a scripted exercise scenario with built-in flexibility to allow updates to drive activity. It </w:t>
      </w:r>
      <w:proofErr w:type="gramStart"/>
      <w:r w:rsidRPr="005670EB">
        <w:t>is conducted</w:t>
      </w:r>
      <w:proofErr w:type="gramEnd"/>
      <w:r w:rsidRPr="005670EB">
        <w:t xml:space="preserve"> in a real-time, stressful environment that closely mirrors a real incident. First responders and resources </w:t>
      </w:r>
      <w:proofErr w:type="gramStart"/>
      <w:r w:rsidRPr="005670EB">
        <w:t>are mobilized and deployed to the scene where they conduct their actions as if a real incident had occurred (with minor exceptions)</w:t>
      </w:r>
      <w:proofErr w:type="gramEnd"/>
      <w:r w:rsidRPr="005670EB">
        <w:t xml:space="preserve">. An </w:t>
      </w:r>
      <w:r w:rsidRPr="005670EB">
        <w:lastRenderedPageBreak/>
        <w:t xml:space="preserve">FSE simulates the reality of operations in multiple functional areas by presenting complex and realistic problems that require critical thinking, rapid problem solving, and effective responses by trained personnel in a highly stressful environment. Other entities that are not involved in the exercise, but that would be involved in an actual incident, </w:t>
      </w:r>
      <w:proofErr w:type="gramStart"/>
      <w:r w:rsidRPr="005670EB">
        <w:t>should be instructed</w:t>
      </w:r>
      <w:proofErr w:type="gramEnd"/>
      <w:r w:rsidRPr="005670EB">
        <w:t xml:space="preserve"> not to respond.</w:t>
      </w:r>
    </w:p>
    <w:p w:rsidR="00780CD0" w:rsidRPr="00CF1352" w:rsidRDefault="00780CD0" w:rsidP="002E652A">
      <w:pPr>
        <w:pStyle w:val="BodyText"/>
      </w:pPr>
      <w:r w:rsidRPr="00CF1352">
        <w:t>An FSE provides an opportunity to execute plans, procedures, and MAAs in response to a simulated live incident in a highly stressful environment. Typical FSE attributes include the following:</w:t>
      </w:r>
    </w:p>
    <w:p w:rsidR="00780CD0" w:rsidRPr="00CF1352" w:rsidRDefault="00780CD0" w:rsidP="002E652A">
      <w:pPr>
        <w:pStyle w:val="ListBullet"/>
        <w:spacing w:after="0"/>
      </w:pPr>
      <w:r w:rsidRPr="00CF1352">
        <w:t>Activating personnel and equipment</w:t>
      </w:r>
    </w:p>
    <w:p w:rsidR="00780CD0" w:rsidRPr="00CF1352" w:rsidRDefault="00780CD0" w:rsidP="002E652A">
      <w:pPr>
        <w:pStyle w:val="ListBullet"/>
        <w:spacing w:after="0"/>
      </w:pPr>
      <w:r w:rsidRPr="00CF1352">
        <w:t>Allocating resources and personnel</w:t>
      </w:r>
    </w:p>
    <w:p w:rsidR="00780CD0" w:rsidRPr="00CF1352" w:rsidRDefault="00780CD0" w:rsidP="002E652A">
      <w:pPr>
        <w:pStyle w:val="ListBullet"/>
        <w:spacing w:after="0"/>
      </w:pPr>
      <w:r w:rsidRPr="00CF1352">
        <w:t>Analyzing memorandums of understanding (MOUs), SOPs, plans, policies, and procedures</w:t>
      </w:r>
    </w:p>
    <w:p w:rsidR="00780CD0" w:rsidRPr="00CF1352" w:rsidRDefault="00780CD0" w:rsidP="002E652A">
      <w:pPr>
        <w:pStyle w:val="ListBullet"/>
        <w:spacing w:after="0"/>
      </w:pPr>
      <w:r w:rsidRPr="00CF1352">
        <w:t>Assessing equipment capabilities</w:t>
      </w:r>
    </w:p>
    <w:p w:rsidR="00780CD0" w:rsidRPr="00CF1352" w:rsidRDefault="00780CD0" w:rsidP="002E652A">
      <w:pPr>
        <w:pStyle w:val="ListBullet"/>
        <w:spacing w:after="0"/>
      </w:pPr>
      <w:r w:rsidRPr="00CF1352">
        <w:t xml:space="preserve">Assessing </w:t>
      </w:r>
      <w:proofErr w:type="spellStart"/>
      <w:r w:rsidRPr="00CF1352">
        <w:t>interjurisdictional</w:t>
      </w:r>
      <w:proofErr w:type="spellEnd"/>
      <w:r w:rsidRPr="00CF1352">
        <w:t xml:space="preserve"> cooperation</w:t>
      </w:r>
    </w:p>
    <w:p w:rsidR="00780CD0" w:rsidRPr="00CF1352" w:rsidRDefault="00780CD0" w:rsidP="002E652A">
      <w:pPr>
        <w:pStyle w:val="ListBullet"/>
        <w:spacing w:after="0"/>
      </w:pPr>
      <w:r w:rsidRPr="00CF1352">
        <w:t>Assessing organizational and individual performance</w:t>
      </w:r>
    </w:p>
    <w:p w:rsidR="00780CD0" w:rsidRPr="00CF1352" w:rsidRDefault="00780CD0" w:rsidP="002E652A">
      <w:pPr>
        <w:pStyle w:val="ListBullet"/>
        <w:spacing w:after="0"/>
      </w:pPr>
      <w:r w:rsidRPr="00CF1352">
        <w:t>Demonstrating interagency cooperation</w:t>
      </w:r>
    </w:p>
    <w:p w:rsidR="00780CD0" w:rsidRPr="00CF1352" w:rsidRDefault="00780CD0" w:rsidP="002E652A">
      <w:pPr>
        <w:pStyle w:val="ListBullet"/>
        <w:spacing w:after="0"/>
      </w:pPr>
      <w:r w:rsidRPr="00CF1352">
        <w:t>Exercising public information systems</w:t>
      </w:r>
    </w:p>
    <w:p w:rsidR="00780CD0" w:rsidRPr="00CF1352" w:rsidRDefault="00780CD0" w:rsidP="002E652A">
      <w:pPr>
        <w:pStyle w:val="ListBullet"/>
      </w:pPr>
      <w:r w:rsidRPr="00CF1352">
        <w:t>Testing communications systems and procedures</w:t>
      </w:r>
    </w:p>
    <w:p w:rsidR="00367DC5" w:rsidRPr="005137C4" w:rsidRDefault="00367DC5" w:rsidP="002E652A"/>
    <w:p w:rsidR="00367DC5" w:rsidRPr="005137C4" w:rsidRDefault="00367DC5" w:rsidP="002E652A">
      <w:pPr>
        <w:pStyle w:val="ODPPara"/>
      </w:pPr>
    </w:p>
    <w:p w:rsidR="00367DC5" w:rsidRPr="005137C4" w:rsidRDefault="00367DC5" w:rsidP="002E652A">
      <w:pPr>
        <w:pStyle w:val="ODPPara"/>
        <w:spacing w:before="0" w:after="0"/>
        <w:sectPr w:rsidR="00367DC5" w:rsidRPr="005137C4" w:rsidSect="00325781">
          <w:footerReference w:type="default" r:id="rId18"/>
          <w:pgSz w:w="12240" w:h="15840" w:code="1"/>
          <w:pgMar w:top="1440" w:right="1440" w:bottom="1440" w:left="1440" w:header="432" w:footer="432" w:gutter="0"/>
          <w:pgNumType w:start="1"/>
          <w:cols w:space="720"/>
          <w:docGrid w:linePitch="360"/>
        </w:sectPr>
      </w:pPr>
    </w:p>
    <w:p w:rsidR="00572682" w:rsidRDefault="001520ED" w:rsidP="002E652A">
      <w:pPr>
        <w:pStyle w:val="Heading1"/>
      </w:pPr>
      <w:bookmarkStart w:id="82" w:name="_Toc242263782"/>
      <w:bookmarkStart w:id="83" w:name="_Toc244318329"/>
      <w:r>
        <w:lastRenderedPageBreak/>
        <w:t xml:space="preserve">Appendix C: </w:t>
      </w:r>
      <w:r w:rsidR="00572682">
        <w:t>Sample Forms</w:t>
      </w:r>
      <w:bookmarkEnd w:id="82"/>
      <w:bookmarkEnd w:id="83"/>
    </w:p>
    <w:p w:rsidR="00367DC5" w:rsidRPr="003F7386" w:rsidRDefault="007065BC" w:rsidP="002E652A">
      <w:pPr>
        <w:pStyle w:val="Heading2"/>
      </w:pPr>
      <w:bookmarkStart w:id="84" w:name="_Toc242263783"/>
      <w:bookmarkStart w:id="85" w:name="_Toc244318330"/>
      <w:r>
        <w:t xml:space="preserve">Sample </w:t>
      </w:r>
      <w:r w:rsidR="00367DC5" w:rsidRPr="003F7386">
        <w:t>Invitation Letter</w:t>
      </w:r>
      <w:bookmarkEnd w:id="84"/>
      <w:bookmarkEnd w:id="85"/>
    </w:p>
    <w:p w:rsidR="00367DC5" w:rsidRPr="00CF1352" w:rsidRDefault="00367DC5" w:rsidP="002E652A">
      <w:pPr>
        <w:pStyle w:val="BodyText"/>
        <w:ind w:left="1080" w:hanging="1080"/>
        <w:rPr>
          <w:rStyle w:val="ODPParaInd2Char"/>
          <w:rFonts w:ascii="Times New Roman" w:hAnsi="Times New Roman"/>
        </w:rPr>
      </w:pPr>
      <w:r w:rsidRPr="00CF1352">
        <w:rPr>
          <w:b/>
        </w:rPr>
        <w:t>To:</w:t>
      </w:r>
      <w:r w:rsidRPr="00CF1352">
        <w:rPr>
          <w:rStyle w:val="ODPParaInd2Char"/>
          <w:rFonts w:ascii="Times New Roman" w:hAnsi="Times New Roman"/>
        </w:rPr>
        <w:tab/>
        <w:t>Homeland Security Exercise and Evaluation Program (HSEEP) Stakeholders</w:t>
      </w:r>
    </w:p>
    <w:p w:rsidR="00367DC5" w:rsidRPr="00CF1352" w:rsidRDefault="00367DC5" w:rsidP="002E652A">
      <w:pPr>
        <w:pStyle w:val="BodyText"/>
        <w:ind w:left="1080" w:hanging="1080"/>
      </w:pPr>
      <w:r w:rsidRPr="00CF1352">
        <w:rPr>
          <w:b/>
        </w:rPr>
        <w:t>From:</w:t>
      </w:r>
      <w:r w:rsidRPr="00CF1352">
        <w:tab/>
      </w:r>
      <w:r w:rsidR="009C7F69" w:rsidRPr="00CF1352">
        <w:fldChar w:fldCharType="begin">
          <w:ffData>
            <w:name w:val="Text5"/>
            <w:enabled/>
            <w:calcOnExit w:val="0"/>
            <w:textInput>
              <w:default w:val="[State Representative (i.e., State Administrative Agency or Exercise Point of Contact[POC])]"/>
            </w:textInput>
          </w:ffData>
        </w:fldChar>
      </w:r>
      <w:bookmarkStart w:id="86" w:name="Text5"/>
      <w:r w:rsidRPr="00CF1352">
        <w:instrText xml:space="preserve"> FORMTEXT </w:instrText>
      </w:r>
      <w:r w:rsidR="009C7F69" w:rsidRPr="00CF1352">
        <w:fldChar w:fldCharType="separate"/>
      </w:r>
      <w:r w:rsidR="006814E0" w:rsidRPr="00CF1352">
        <w:rPr>
          <w:noProof/>
        </w:rPr>
        <w:t>[</w:t>
      </w:r>
      <w:r w:rsidR="001A7ABB">
        <w:t>Jurisdiction</w:t>
      </w:r>
      <w:r w:rsidR="00A242F7">
        <w:t xml:space="preserve"> or </w:t>
      </w:r>
      <w:r w:rsidR="00100CA2">
        <w:t>A</w:t>
      </w:r>
      <w:r w:rsidR="001A7ABB">
        <w:t xml:space="preserve">gency </w:t>
      </w:r>
      <w:r w:rsidR="006814E0" w:rsidRPr="00CF1352">
        <w:rPr>
          <w:noProof/>
        </w:rPr>
        <w:t>Representative (e.</w:t>
      </w:r>
      <w:r w:rsidR="00100CA2">
        <w:rPr>
          <w:noProof/>
        </w:rPr>
        <w:t>g.</w:t>
      </w:r>
      <w:r w:rsidR="006814E0" w:rsidRPr="00CF1352">
        <w:rPr>
          <w:noProof/>
        </w:rPr>
        <w:t xml:space="preserve">, State Administrative Agency </w:t>
      </w:r>
      <w:r w:rsidR="00492675" w:rsidRPr="00CF1352">
        <w:rPr>
          <w:noProof/>
        </w:rPr>
        <w:t xml:space="preserve">[SAA] </w:t>
      </w:r>
      <w:r w:rsidR="006814E0" w:rsidRPr="00CF1352">
        <w:rPr>
          <w:noProof/>
        </w:rPr>
        <w:t>or Exercise Point of Contact</w:t>
      </w:r>
      <w:r w:rsidR="007065BC">
        <w:rPr>
          <w:noProof/>
        </w:rPr>
        <w:t xml:space="preserve"> </w:t>
      </w:r>
      <w:r w:rsidR="006814E0" w:rsidRPr="00CF1352">
        <w:rPr>
          <w:noProof/>
        </w:rPr>
        <w:t>[POC])]</w:t>
      </w:r>
      <w:r w:rsidR="009C7F69" w:rsidRPr="00CF1352">
        <w:fldChar w:fldCharType="end"/>
      </w:r>
      <w:bookmarkEnd w:id="86"/>
    </w:p>
    <w:p w:rsidR="00367DC5" w:rsidRPr="00CF1352" w:rsidRDefault="00367DC5" w:rsidP="002E652A">
      <w:pPr>
        <w:pStyle w:val="BodyText"/>
        <w:ind w:left="1080" w:hanging="1080"/>
      </w:pPr>
      <w:r w:rsidRPr="00CF1352">
        <w:rPr>
          <w:b/>
        </w:rPr>
        <w:t>Date:</w:t>
      </w:r>
      <w:r w:rsidRPr="00CF1352">
        <w:tab/>
      </w:r>
      <w:r w:rsidR="009C7F69" w:rsidRPr="00CF1352">
        <w:rPr>
          <w:szCs w:val="26"/>
        </w:rPr>
        <w:fldChar w:fldCharType="begin">
          <w:ffData>
            <w:name w:val="Text1"/>
            <w:enabled/>
            <w:calcOnExit w:val="0"/>
            <w:textInput>
              <w:default w:val="[Date]"/>
            </w:textInput>
          </w:ffData>
        </w:fldChar>
      </w:r>
      <w:r w:rsidRPr="00CF1352">
        <w:rPr>
          <w:szCs w:val="26"/>
        </w:rPr>
        <w:instrText xml:space="preserve"> FORMTEXT </w:instrText>
      </w:r>
      <w:r w:rsidR="009C7F69" w:rsidRPr="00CF1352">
        <w:rPr>
          <w:szCs w:val="26"/>
        </w:rPr>
      </w:r>
      <w:r w:rsidR="009C7F69" w:rsidRPr="00CF1352">
        <w:rPr>
          <w:szCs w:val="26"/>
        </w:rPr>
        <w:fldChar w:fldCharType="separate"/>
      </w:r>
      <w:r w:rsidR="006814E0" w:rsidRPr="00CF1352">
        <w:rPr>
          <w:noProof/>
          <w:szCs w:val="26"/>
        </w:rPr>
        <w:t>[Date]</w:t>
      </w:r>
      <w:r w:rsidR="009C7F69" w:rsidRPr="00CF1352">
        <w:rPr>
          <w:szCs w:val="26"/>
        </w:rPr>
        <w:fldChar w:fldCharType="end"/>
      </w:r>
    </w:p>
    <w:p w:rsidR="00367DC5" w:rsidRPr="00CF1352" w:rsidRDefault="00367DC5" w:rsidP="002E652A">
      <w:pPr>
        <w:pStyle w:val="BodyText"/>
        <w:ind w:left="1080" w:hanging="1080"/>
      </w:pPr>
      <w:r w:rsidRPr="00CF1352">
        <w:rPr>
          <w:b/>
        </w:rPr>
        <w:t>Subject:</w:t>
      </w:r>
      <w:r w:rsidRPr="00CF1352">
        <w:tab/>
        <w:t xml:space="preserve">Training and </w:t>
      </w:r>
      <w:r w:rsidR="00E6704A">
        <w:rPr>
          <w:szCs w:val="26"/>
        </w:rPr>
        <w:t>Exercise Plan</w:t>
      </w:r>
      <w:r w:rsidR="007065BC">
        <w:rPr>
          <w:szCs w:val="26"/>
        </w:rPr>
        <w:t>ning</w:t>
      </w:r>
      <w:r w:rsidR="00E6704A">
        <w:rPr>
          <w:szCs w:val="26"/>
        </w:rPr>
        <w:t xml:space="preserve"> Workshop (T</w:t>
      </w:r>
      <w:r w:rsidRPr="00CF1352">
        <w:rPr>
          <w:szCs w:val="26"/>
        </w:rPr>
        <w:t>EPW)</w:t>
      </w:r>
    </w:p>
    <w:p w:rsidR="00780CD0" w:rsidRPr="00CF1352" w:rsidRDefault="00780CD0" w:rsidP="002E652A">
      <w:pPr>
        <w:pStyle w:val="BodyText"/>
      </w:pPr>
      <w:r w:rsidRPr="00CF1352">
        <w:t xml:space="preserve">The </w:t>
      </w:r>
      <w:r w:rsidR="00CF1352">
        <w:rPr>
          <w:highlight w:val="lightGray"/>
        </w:rPr>
        <w:t>[</w:t>
      </w:r>
      <w:r w:rsidRPr="00CF1352">
        <w:rPr>
          <w:highlight w:val="lightGray"/>
        </w:rPr>
        <w:t>jurisdiction</w:t>
      </w:r>
      <w:r w:rsidR="00A242F7">
        <w:rPr>
          <w:highlight w:val="lightGray"/>
        </w:rPr>
        <w:t xml:space="preserve"> or </w:t>
      </w:r>
      <w:r w:rsidRPr="00CF1352">
        <w:rPr>
          <w:highlight w:val="lightGray"/>
        </w:rPr>
        <w:t>agency</w:t>
      </w:r>
      <w:r w:rsidR="00CF1352" w:rsidRPr="00CF1352">
        <w:rPr>
          <w:highlight w:val="lightGray"/>
        </w:rPr>
        <w:t>]</w:t>
      </w:r>
      <w:r w:rsidRPr="00CF1352">
        <w:t xml:space="preserve"> invites you to attend the </w:t>
      </w:r>
      <w:r w:rsidR="00CF1352">
        <w:rPr>
          <w:highlight w:val="lightGray"/>
        </w:rPr>
        <w:t>[</w:t>
      </w:r>
      <w:r w:rsidRPr="00CF1352">
        <w:rPr>
          <w:highlight w:val="lightGray"/>
        </w:rPr>
        <w:t>jurisdiction</w:t>
      </w:r>
      <w:r w:rsidR="00A242F7">
        <w:rPr>
          <w:highlight w:val="lightGray"/>
        </w:rPr>
        <w:t xml:space="preserve"> or </w:t>
      </w:r>
      <w:r w:rsidRPr="00CF1352">
        <w:rPr>
          <w:highlight w:val="lightGray"/>
        </w:rPr>
        <w:t>agency’s</w:t>
      </w:r>
      <w:r w:rsidR="00CF1352" w:rsidRPr="00CF1352">
        <w:rPr>
          <w:highlight w:val="lightGray"/>
        </w:rPr>
        <w:t>]</w:t>
      </w:r>
      <w:r w:rsidRPr="00CF1352">
        <w:t xml:space="preserve"> Training and Exercise Planning Workshop (TEPW) on </w:t>
      </w:r>
      <w:r w:rsidRPr="00CF1352">
        <w:rPr>
          <w:highlight w:val="lightGray"/>
        </w:rPr>
        <w:t>[</w:t>
      </w:r>
      <w:r w:rsidR="007065BC" w:rsidRPr="00CF1352">
        <w:rPr>
          <w:highlight w:val="lightGray"/>
        </w:rPr>
        <w:t>date</w:t>
      </w:r>
      <w:r w:rsidRPr="00CF1352">
        <w:rPr>
          <w:highlight w:val="lightGray"/>
        </w:rPr>
        <w:t>]</w:t>
      </w:r>
      <w:r w:rsidRPr="00CF1352">
        <w:t xml:space="preserve"> at </w:t>
      </w:r>
      <w:r w:rsidRPr="00CF1352">
        <w:rPr>
          <w:highlight w:val="lightGray"/>
        </w:rPr>
        <w:t>[</w:t>
      </w:r>
      <w:r w:rsidR="007065BC" w:rsidRPr="00CF1352">
        <w:rPr>
          <w:highlight w:val="lightGray"/>
        </w:rPr>
        <w:t>location</w:t>
      </w:r>
      <w:r w:rsidRPr="00CF1352">
        <w:rPr>
          <w:highlight w:val="lightGray"/>
        </w:rPr>
        <w:t>]</w:t>
      </w:r>
      <w:r w:rsidRPr="00CF1352">
        <w:t xml:space="preserve">. </w:t>
      </w:r>
      <w:hyperlink w:tgtFrame="_parent" w:tooltip="outbind://90/" w:history="1"/>
      <w:r w:rsidRPr="00CF1352">
        <w:t xml:space="preserve">The workshop will begin at </w:t>
      </w:r>
      <w:r w:rsidRPr="007065BC">
        <w:rPr>
          <w:highlight w:val="lightGray"/>
        </w:rPr>
        <w:t>[</w:t>
      </w:r>
      <w:r w:rsidR="007065BC" w:rsidRPr="007065BC">
        <w:rPr>
          <w:highlight w:val="lightGray"/>
        </w:rPr>
        <w:t>t</w:t>
      </w:r>
      <w:r w:rsidRPr="007065BC">
        <w:rPr>
          <w:highlight w:val="lightGray"/>
        </w:rPr>
        <w:t>ime]</w:t>
      </w:r>
      <w:r w:rsidRPr="00CF1352">
        <w:t xml:space="preserve"> and conclude at </w:t>
      </w:r>
      <w:r w:rsidRPr="00CF1352">
        <w:rPr>
          <w:highlight w:val="lightGray"/>
        </w:rPr>
        <w:t>[</w:t>
      </w:r>
      <w:r w:rsidR="007065BC" w:rsidRPr="00CF1352">
        <w:rPr>
          <w:highlight w:val="lightGray"/>
        </w:rPr>
        <w:t>time</w:t>
      </w:r>
      <w:r w:rsidRPr="00CF1352">
        <w:rPr>
          <w:highlight w:val="lightGray"/>
        </w:rPr>
        <w:t>]</w:t>
      </w:r>
      <w:r w:rsidRPr="00CF1352">
        <w:t xml:space="preserve">; attendee registration will begin at </w:t>
      </w:r>
      <w:r w:rsidRPr="00CF1352">
        <w:rPr>
          <w:highlight w:val="lightGray"/>
        </w:rPr>
        <w:t>[</w:t>
      </w:r>
      <w:r w:rsidR="007065BC" w:rsidRPr="00CF1352">
        <w:rPr>
          <w:highlight w:val="lightGray"/>
        </w:rPr>
        <w:t>time</w:t>
      </w:r>
      <w:r w:rsidRPr="00CF1352">
        <w:rPr>
          <w:highlight w:val="lightGray"/>
        </w:rPr>
        <w:t>]</w:t>
      </w:r>
      <w:r w:rsidRPr="00CF1352">
        <w:t>.</w:t>
      </w:r>
    </w:p>
    <w:p w:rsidR="00780CD0" w:rsidRPr="00CF1352" w:rsidRDefault="00780CD0" w:rsidP="002E652A">
      <w:pPr>
        <w:pStyle w:val="BodyText"/>
      </w:pPr>
      <w:r w:rsidRPr="00CF1352">
        <w:t xml:space="preserve">The TEPW provides the opportunity to update the Multi-Year Training and Exercise Plan and incorporate the target capabilities established at the Improvement Planning Workshop (IPW). The focus of the TEPW is to coordinate all training and exercise activities throughout the </w:t>
      </w:r>
      <w:r w:rsidR="00CF1352">
        <w:rPr>
          <w:highlight w:val="lightGray"/>
        </w:rPr>
        <w:t>[</w:t>
      </w:r>
      <w:r w:rsidR="00CF1352" w:rsidRPr="00CF1352">
        <w:rPr>
          <w:highlight w:val="lightGray"/>
        </w:rPr>
        <w:t>jurisdiction</w:t>
      </w:r>
      <w:r w:rsidR="00A242F7">
        <w:rPr>
          <w:highlight w:val="lightGray"/>
        </w:rPr>
        <w:t xml:space="preserve"> or </w:t>
      </w:r>
      <w:r w:rsidR="00CF1352" w:rsidRPr="00CF1352">
        <w:rPr>
          <w:highlight w:val="lightGray"/>
        </w:rPr>
        <w:t>agency]</w:t>
      </w:r>
      <w:r w:rsidRPr="00CF1352">
        <w:t>, including activities sponsored by Federal agencies, States, Urban Area Security Initiative (UASI)</w:t>
      </w:r>
      <w:r w:rsidR="001A7ABB">
        <w:t>, and tribal</w:t>
      </w:r>
      <w:r w:rsidRPr="00CF1352">
        <w:t xml:space="preserve"> entities. The </w:t>
      </w:r>
      <w:r w:rsidR="00CF1352">
        <w:rPr>
          <w:highlight w:val="lightGray"/>
        </w:rPr>
        <w:t>[</w:t>
      </w:r>
      <w:r w:rsidR="00CF1352" w:rsidRPr="00CF1352">
        <w:rPr>
          <w:highlight w:val="lightGray"/>
        </w:rPr>
        <w:t>jurisdiction</w:t>
      </w:r>
      <w:r w:rsidR="00A242F7">
        <w:rPr>
          <w:highlight w:val="lightGray"/>
        </w:rPr>
        <w:t xml:space="preserve"> or </w:t>
      </w:r>
      <w:r w:rsidR="00CF1352" w:rsidRPr="00CF1352">
        <w:rPr>
          <w:highlight w:val="lightGray"/>
        </w:rPr>
        <w:t>agency]</w:t>
      </w:r>
      <w:r w:rsidRPr="00CF1352">
        <w:t xml:space="preserve"> should ensure that training and exercise schedules are coordinated to prevent duplication of efforts and overextension of resources. The attached agenda and read-ahead material will provide you an overview of the workshop.</w:t>
      </w:r>
    </w:p>
    <w:p w:rsidR="00780CD0" w:rsidRPr="00CF1352" w:rsidRDefault="00780CD0" w:rsidP="002E652A">
      <w:pPr>
        <w:pStyle w:val="BodyText"/>
      </w:pPr>
      <w:r w:rsidRPr="00CF1352">
        <w:t xml:space="preserve">To prepare for the TEPW, please review </w:t>
      </w:r>
      <w:r w:rsidR="007065BC">
        <w:t>the following:</w:t>
      </w:r>
    </w:p>
    <w:p w:rsidR="007065BC" w:rsidRPr="003F7386" w:rsidRDefault="007065BC" w:rsidP="002E652A">
      <w:pPr>
        <w:pStyle w:val="ListBullet"/>
      </w:pPr>
      <w:r>
        <w:t>P</w:t>
      </w:r>
      <w:r w:rsidRPr="00C5585C">
        <w:t xml:space="preserve">riority target capabilities and areas for improvement identified during the </w:t>
      </w:r>
      <w:r>
        <w:t>IPW</w:t>
      </w:r>
    </w:p>
    <w:p w:rsidR="007065BC" w:rsidRDefault="007065BC" w:rsidP="002E652A">
      <w:pPr>
        <w:pStyle w:val="ListBullet"/>
      </w:pPr>
      <w:r>
        <w:t>J</w:t>
      </w:r>
      <w:r w:rsidRPr="003F7386">
        <w:t>urisdiction</w:t>
      </w:r>
      <w:r w:rsidR="00A242F7">
        <w:t xml:space="preserve"> or </w:t>
      </w:r>
      <w:r w:rsidR="00100CA2" w:rsidRPr="003F7386">
        <w:t xml:space="preserve">Agency’s </w:t>
      </w:r>
      <w:r w:rsidRPr="003F7386">
        <w:t>Multi-Year Training and Exercise Plan</w:t>
      </w:r>
    </w:p>
    <w:p w:rsidR="007065BC" w:rsidRPr="00C5585C" w:rsidRDefault="007065BC" w:rsidP="002E652A">
      <w:pPr>
        <w:pStyle w:val="ListBullet2"/>
        <w:spacing w:after="120"/>
      </w:pPr>
      <w:r w:rsidRPr="003F7386">
        <w:t>Identify and prepare to discuss exerci</w:t>
      </w:r>
      <w:r w:rsidRPr="00C5585C">
        <w:t xml:space="preserve">ses that </w:t>
      </w:r>
      <w:proofErr w:type="gramStart"/>
      <w:r w:rsidRPr="00C5585C">
        <w:t>can be nominated</w:t>
      </w:r>
      <w:proofErr w:type="gramEnd"/>
      <w:r w:rsidRPr="00C5585C">
        <w:t xml:space="preserve"> for the exercise calendar and training opportunities that align to the areas for improvement identified during the IPW.</w:t>
      </w:r>
    </w:p>
    <w:p w:rsidR="00780CD0" w:rsidRPr="00CF1352" w:rsidRDefault="00780CD0" w:rsidP="002E652A">
      <w:pPr>
        <w:pStyle w:val="BodyText"/>
      </w:pPr>
      <w:r w:rsidRPr="00CF1352">
        <w:t xml:space="preserve">We realize the importance in making preparedness planning decisions and therefore ask that requests for attendees other than yourself or an alternate representative </w:t>
      </w:r>
      <w:proofErr w:type="gramStart"/>
      <w:r w:rsidRPr="00CF1352">
        <w:t>be made</w:t>
      </w:r>
      <w:proofErr w:type="gramEnd"/>
      <w:r w:rsidRPr="00CF1352">
        <w:t xml:space="preserve"> through the </w:t>
      </w:r>
      <w:r w:rsidR="00CF1352">
        <w:rPr>
          <w:highlight w:val="lightGray"/>
        </w:rPr>
        <w:t>[</w:t>
      </w:r>
      <w:r w:rsidR="00CF1352" w:rsidRPr="00CF1352">
        <w:rPr>
          <w:highlight w:val="lightGray"/>
        </w:rPr>
        <w:t>jurisdiction</w:t>
      </w:r>
      <w:r w:rsidR="00A242F7">
        <w:rPr>
          <w:highlight w:val="lightGray"/>
        </w:rPr>
        <w:t xml:space="preserve"> or </w:t>
      </w:r>
      <w:r w:rsidR="00CF1352" w:rsidRPr="00CF1352">
        <w:rPr>
          <w:highlight w:val="lightGray"/>
        </w:rPr>
        <w:t>agency]</w:t>
      </w:r>
      <w:r w:rsidRPr="00CF1352">
        <w:t xml:space="preserve">.  </w:t>
      </w:r>
    </w:p>
    <w:p w:rsidR="00780CD0" w:rsidRPr="00CF1352" w:rsidRDefault="00780CD0" w:rsidP="002E652A">
      <w:pPr>
        <w:pStyle w:val="BodyText"/>
      </w:pPr>
      <w:r w:rsidRPr="00CF1352">
        <w:t xml:space="preserve">We look forward to your participation in this </w:t>
      </w:r>
      <w:r w:rsidR="00552E00">
        <w:t>workshop</w:t>
      </w:r>
      <w:r w:rsidRPr="00CF1352">
        <w:t>.</w:t>
      </w:r>
    </w:p>
    <w:p w:rsidR="00367DC5" w:rsidRPr="00CF1352" w:rsidRDefault="00CF1352" w:rsidP="002E652A">
      <w:pPr>
        <w:pStyle w:val="BodyText"/>
      </w:pPr>
      <w:r>
        <w:t>Attachments:</w:t>
      </w:r>
    </w:p>
    <w:p w:rsidR="00367DC5" w:rsidRDefault="00367DC5" w:rsidP="002E652A">
      <w:pPr>
        <w:pStyle w:val="BodyText"/>
      </w:pPr>
      <w:r w:rsidRPr="00CF1352">
        <w:t>Registration Form</w:t>
      </w:r>
      <w:r w:rsidR="007065BC">
        <w:br/>
      </w:r>
      <w:r w:rsidRPr="00CF1352">
        <w:t>Agenda</w:t>
      </w:r>
    </w:p>
    <w:p w:rsidR="003F7386" w:rsidRPr="00CF1352" w:rsidRDefault="003F7386" w:rsidP="002E652A">
      <w:pPr>
        <w:pStyle w:val="BodyText"/>
      </w:pPr>
    </w:p>
    <w:p w:rsidR="00367DC5" w:rsidRPr="003F7386" w:rsidRDefault="00572682" w:rsidP="002E652A">
      <w:pPr>
        <w:pStyle w:val="Heading2"/>
      </w:pPr>
      <w:r w:rsidRPr="003F7386">
        <w:br w:type="page"/>
      </w:r>
      <w:bookmarkStart w:id="87" w:name="_Toc242263784"/>
      <w:bookmarkStart w:id="88" w:name="_Toc244318331"/>
      <w:r w:rsidR="00920A14" w:rsidRPr="003F7386">
        <w:lastRenderedPageBreak/>
        <w:t>Sample TEPW Agenda</w:t>
      </w:r>
      <w:bookmarkEnd w:id="87"/>
      <w:bookmarkEnd w:id="88"/>
    </w:p>
    <w:p w:rsidR="00920A14" w:rsidRPr="005670EB" w:rsidRDefault="00920A14" w:rsidP="002E652A">
      <w:pPr>
        <w:pStyle w:val="BodyText"/>
      </w:pPr>
      <w:proofErr w:type="gramStart"/>
      <w:r w:rsidRPr="005670EB">
        <w:t>8:30 a.m.</w:t>
      </w:r>
      <w:proofErr w:type="gramEnd"/>
      <w:r w:rsidRPr="005670EB">
        <w:tab/>
      </w:r>
      <w:r w:rsidRPr="005670EB">
        <w:tab/>
        <w:t>Registration</w:t>
      </w:r>
    </w:p>
    <w:p w:rsidR="00920A14" w:rsidRPr="005670EB" w:rsidRDefault="00920A14" w:rsidP="002E652A">
      <w:pPr>
        <w:pStyle w:val="BodyText"/>
      </w:pPr>
      <w:proofErr w:type="gramStart"/>
      <w:r w:rsidRPr="005670EB">
        <w:t>9:00 a.m.</w:t>
      </w:r>
      <w:proofErr w:type="gramEnd"/>
      <w:r w:rsidRPr="005670EB">
        <w:tab/>
      </w:r>
      <w:r w:rsidRPr="005670EB">
        <w:tab/>
        <w:t>Welcome and Introductions</w:t>
      </w:r>
    </w:p>
    <w:p w:rsidR="00920A14" w:rsidRPr="005670EB" w:rsidRDefault="00920A14" w:rsidP="002E652A">
      <w:pPr>
        <w:pStyle w:val="BodyText"/>
      </w:pPr>
      <w:proofErr w:type="gramStart"/>
      <w:r w:rsidRPr="005670EB">
        <w:t>9:15 a.m.</w:t>
      </w:r>
      <w:proofErr w:type="gramEnd"/>
      <w:r w:rsidRPr="005670EB">
        <w:tab/>
      </w:r>
      <w:r w:rsidRPr="005670EB">
        <w:tab/>
        <w:t>Training and Exercise Planning Workshop (TEPW) Overview</w:t>
      </w:r>
    </w:p>
    <w:p w:rsidR="00920A14" w:rsidRPr="005670EB" w:rsidRDefault="00920A14" w:rsidP="002E652A">
      <w:pPr>
        <w:pStyle w:val="BodyText"/>
      </w:pPr>
      <w:proofErr w:type="gramStart"/>
      <w:r w:rsidRPr="005670EB">
        <w:t>9:30 a.m.</w:t>
      </w:r>
      <w:proofErr w:type="gramEnd"/>
      <w:r w:rsidRPr="005670EB">
        <w:tab/>
      </w:r>
      <w:r w:rsidRPr="005670EB">
        <w:tab/>
        <w:t>Review of Improvement Planning Workshop (IPW) Priorities</w:t>
      </w:r>
    </w:p>
    <w:p w:rsidR="00920A14" w:rsidRPr="005670EB" w:rsidRDefault="00920A14" w:rsidP="002E652A">
      <w:pPr>
        <w:pStyle w:val="BodyText"/>
      </w:pPr>
      <w:proofErr w:type="gramStart"/>
      <w:r w:rsidRPr="005670EB">
        <w:t>9:45 a.m.</w:t>
      </w:r>
      <w:proofErr w:type="gramEnd"/>
      <w:r w:rsidRPr="005670EB">
        <w:tab/>
      </w:r>
      <w:r w:rsidRPr="005670EB">
        <w:tab/>
        <w:t>Training and Exercise Plan Briefs</w:t>
      </w:r>
    </w:p>
    <w:p w:rsidR="00920A14" w:rsidRPr="005670EB" w:rsidRDefault="00920A14" w:rsidP="002E652A">
      <w:pPr>
        <w:pStyle w:val="BodyText"/>
      </w:pPr>
      <w:proofErr w:type="gramStart"/>
      <w:r w:rsidRPr="005670EB">
        <w:t>11:00 a.m.</w:t>
      </w:r>
      <w:proofErr w:type="gramEnd"/>
      <w:r w:rsidRPr="005670EB">
        <w:tab/>
      </w:r>
      <w:r w:rsidRPr="005670EB">
        <w:tab/>
        <w:t>Break</w:t>
      </w:r>
    </w:p>
    <w:p w:rsidR="00920A14" w:rsidRPr="005670EB" w:rsidRDefault="00920A14" w:rsidP="002E652A">
      <w:pPr>
        <w:pStyle w:val="BodyText"/>
      </w:pPr>
      <w:proofErr w:type="gramStart"/>
      <w:r w:rsidRPr="005670EB">
        <w:t>11:15 a.m.</w:t>
      </w:r>
      <w:proofErr w:type="gramEnd"/>
      <w:r w:rsidRPr="005670EB">
        <w:tab/>
      </w:r>
      <w:r w:rsidRPr="005670EB">
        <w:tab/>
        <w:t>Activity 1: Identify Training Opportunities</w:t>
      </w:r>
    </w:p>
    <w:p w:rsidR="00920A14" w:rsidRPr="005670EB" w:rsidRDefault="00920A14" w:rsidP="002E652A">
      <w:pPr>
        <w:pStyle w:val="BodyText"/>
      </w:pPr>
      <w:proofErr w:type="gramStart"/>
      <w:r w:rsidRPr="005670EB">
        <w:t>12:45 p.m.</w:t>
      </w:r>
      <w:proofErr w:type="gramEnd"/>
      <w:r w:rsidRPr="005670EB">
        <w:tab/>
      </w:r>
      <w:r w:rsidRPr="005670EB">
        <w:tab/>
        <w:t>Lunch</w:t>
      </w:r>
    </w:p>
    <w:p w:rsidR="00920A14" w:rsidRPr="005670EB" w:rsidRDefault="00920A14" w:rsidP="002E652A">
      <w:pPr>
        <w:pStyle w:val="BodyText"/>
      </w:pPr>
      <w:proofErr w:type="gramStart"/>
      <w:r w:rsidRPr="005670EB">
        <w:t>1:45 p.m.</w:t>
      </w:r>
      <w:proofErr w:type="gramEnd"/>
      <w:r w:rsidRPr="005670EB">
        <w:tab/>
      </w:r>
      <w:r w:rsidRPr="005670EB">
        <w:tab/>
        <w:t>Activity 2: Link Priority Target Capabilities to Fiscal Years</w:t>
      </w:r>
    </w:p>
    <w:p w:rsidR="00920A14" w:rsidRPr="005670EB" w:rsidRDefault="00920A14" w:rsidP="002E652A">
      <w:pPr>
        <w:pStyle w:val="BodyText"/>
      </w:pPr>
      <w:proofErr w:type="gramStart"/>
      <w:r w:rsidRPr="005670EB">
        <w:t>2:15 p.m.</w:t>
      </w:r>
      <w:proofErr w:type="gramEnd"/>
      <w:r w:rsidRPr="005670EB">
        <w:tab/>
      </w:r>
      <w:r w:rsidRPr="005670EB">
        <w:tab/>
        <w:t>Break</w:t>
      </w:r>
    </w:p>
    <w:p w:rsidR="00920A14" w:rsidRPr="005670EB" w:rsidRDefault="00920A14" w:rsidP="002E652A">
      <w:pPr>
        <w:pStyle w:val="BodyText"/>
      </w:pPr>
      <w:proofErr w:type="gramStart"/>
      <w:r w:rsidRPr="005670EB">
        <w:t>2:30 p.m.</w:t>
      </w:r>
      <w:proofErr w:type="gramEnd"/>
      <w:r w:rsidRPr="005670EB">
        <w:tab/>
      </w:r>
      <w:r w:rsidRPr="005670EB">
        <w:tab/>
        <w:t>Activity 3: Update Exercise Schedule</w:t>
      </w:r>
    </w:p>
    <w:p w:rsidR="00920A14" w:rsidRPr="005670EB" w:rsidRDefault="00920A14" w:rsidP="002E652A">
      <w:pPr>
        <w:pStyle w:val="BodyText"/>
      </w:pPr>
      <w:proofErr w:type="gramStart"/>
      <w:r w:rsidRPr="005670EB">
        <w:t>4:00 p.m.</w:t>
      </w:r>
      <w:proofErr w:type="gramEnd"/>
      <w:r w:rsidRPr="005670EB">
        <w:tab/>
      </w:r>
      <w:r w:rsidRPr="005670EB">
        <w:tab/>
      </w:r>
      <w:r>
        <w:t>Activity 4: Identify Exercise Training Opportunities</w:t>
      </w:r>
    </w:p>
    <w:p w:rsidR="00920A14" w:rsidRPr="005670EB" w:rsidRDefault="00920A14" w:rsidP="002E652A">
      <w:pPr>
        <w:pStyle w:val="BodyText"/>
      </w:pPr>
      <w:proofErr w:type="gramStart"/>
      <w:r>
        <w:t>5</w:t>
      </w:r>
      <w:r w:rsidRPr="005670EB">
        <w:t>:00 p.m.</w:t>
      </w:r>
      <w:proofErr w:type="gramEnd"/>
      <w:r w:rsidRPr="005670EB">
        <w:tab/>
      </w:r>
      <w:r w:rsidRPr="005670EB">
        <w:tab/>
        <w:t>Hot Wash</w:t>
      </w:r>
    </w:p>
    <w:p w:rsidR="00920A14" w:rsidRPr="005670EB" w:rsidRDefault="00920A14" w:rsidP="002E652A">
      <w:pPr>
        <w:pStyle w:val="BodyText"/>
      </w:pPr>
      <w:proofErr w:type="gramStart"/>
      <w:r>
        <w:t>5</w:t>
      </w:r>
      <w:r w:rsidRPr="005670EB">
        <w:t>:15 p.m.</w:t>
      </w:r>
      <w:proofErr w:type="gramEnd"/>
      <w:r w:rsidRPr="005670EB">
        <w:tab/>
      </w:r>
      <w:r w:rsidRPr="005670EB">
        <w:tab/>
        <w:t>Adjourn</w:t>
      </w:r>
    </w:p>
    <w:p w:rsidR="00367DC5" w:rsidRPr="003F7386" w:rsidRDefault="007E5E29" w:rsidP="002E652A">
      <w:pPr>
        <w:pStyle w:val="Heading2"/>
      </w:pPr>
      <w:r w:rsidRPr="003F7386">
        <w:br w:type="page"/>
      </w:r>
      <w:bookmarkStart w:id="89" w:name="_Toc242263785"/>
      <w:bookmarkStart w:id="90" w:name="_Toc244318332"/>
      <w:r w:rsidR="007065BC">
        <w:lastRenderedPageBreak/>
        <w:t xml:space="preserve">Sample </w:t>
      </w:r>
      <w:r w:rsidR="00367DC5" w:rsidRPr="003F7386">
        <w:t>Participant List</w:t>
      </w:r>
      <w:bookmarkEnd w:id="89"/>
      <w:bookmarkEnd w:id="90"/>
    </w:p>
    <w:p w:rsidR="00367DC5" w:rsidRPr="007E5E29" w:rsidRDefault="00367DC5" w:rsidP="002E652A">
      <w:pPr>
        <w:pStyle w:val="Heading3"/>
      </w:pPr>
      <w:r w:rsidRPr="007E5E29">
        <w:t>State and Local Representatives</w:t>
      </w:r>
    </w:p>
    <w:p w:rsidR="00367DC5" w:rsidRPr="003F7386" w:rsidRDefault="00367DC5" w:rsidP="002E652A">
      <w:pPr>
        <w:pStyle w:val="ListBullet"/>
        <w:spacing w:after="0"/>
      </w:pPr>
      <w:r w:rsidRPr="003F7386">
        <w:t xml:space="preserve">Airport </w:t>
      </w:r>
      <w:r w:rsidR="007065BC" w:rsidRPr="003F7386">
        <w:t>operations represen</w:t>
      </w:r>
      <w:r w:rsidRPr="003F7386">
        <w:t>tative</w:t>
      </w:r>
    </w:p>
    <w:p w:rsidR="00367DC5" w:rsidRPr="003F7386" w:rsidRDefault="00367DC5" w:rsidP="002E652A">
      <w:pPr>
        <w:pStyle w:val="ListBullet"/>
        <w:spacing w:after="0"/>
      </w:pPr>
      <w:r w:rsidRPr="003F7386">
        <w:t xml:space="preserve">Board of </w:t>
      </w:r>
      <w:r w:rsidR="007065BC" w:rsidRPr="003F7386">
        <w:t>animal he</w:t>
      </w:r>
      <w:r w:rsidRPr="003F7386">
        <w:t>alth</w:t>
      </w:r>
    </w:p>
    <w:p w:rsidR="00367DC5" w:rsidRPr="003F7386" w:rsidRDefault="00367DC5" w:rsidP="002E652A">
      <w:pPr>
        <w:pStyle w:val="ListBullet"/>
        <w:spacing w:after="0"/>
      </w:pPr>
      <w:r w:rsidRPr="003F7386">
        <w:t xml:space="preserve">Citizen </w:t>
      </w:r>
      <w:r w:rsidR="007065BC" w:rsidRPr="003F7386">
        <w:t>corps</w:t>
      </w:r>
    </w:p>
    <w:p w:rsidR="00367DC5" w:rsidRPr="003F7386" w:rsidRDefault="00367DC5" w:rsidP="002E652A">
      <w:pPr>
        <w:pStyle w:val="ListBullet"/>
        <w:spacing w:after="0"/>
      </w:pPr>
      <w:r w:rsidRPr="003F7386">
        <w:t xml:space="preserve">Emergency </w:t>
      </w:r>
      <w:r w:rsidR="007065BC" w:rsidRPr="003F7386">
        <w:t>management</w:t>
      </w:r>
    </w:p>
    <w:p w:rsidR="00367DC5" w:rsidRPr="003F7386" w:rsidRDefault="00367DC5" w:rsidP="002E652A">
      <w:pPr>
        <w:pStyle w:val="ListBullet"/>
        <w:spacing w:after="0"/>
      </w:pPr>
      <w:r w:rsidRPr="003F7386">
        <w:t xml:space="preserve">Local or </w:t>
      </w:r>
      <w:r w:rsidR="007065BC" w:rsidRPr="003F7386">
        <w:t>regional training and exercise coordi</w:t>
      </w:r>
      <w:r w:rsidRPr="003F7386">
        <w:t>nator(s)</w:t>
      </w:r>
    </w:p>
    <w:p w:rsidR="00367DC5" w:rsidRPr="003F7386" w:rsidRDefault="00367DC5" w:rsidP="002E652A">
      <w:pPr>
        <w:pStyle w:val="ListBullet"/>
        <w:spacing w:after="0"/>
      </w:pPr>
      <w:r w:rsidRPr="003F7386">
        <w:t>Medical/</w:t>
      </w:r>
      <w:r w:rsidR="007065BC" w:rsidRPr="003F7386">
        <w:t>hospitals</w:t>
      </w:r>
    </w:p>
    <w:p w:rsidR="00367DC5" w:rsidRPr="003F7386" w:rsidRDefault="00367DC5" w:rsidP="002E652A">
      <w:pPr>
        <w:pStyle w:val="ListBullet"/>
        <w:spacing w:after="0"/>
      </w:pPr>
      <w:r w:rsidRPr="003F7386">
        <w:t>National Guard</w:t>
      </w:r>
    </w:p>
    <w:p w:rsidR="00367DC5" w:rsidRPr="003F7386" w:rsidRDefault="00367DC5" w:rsidP="002E652A">
      <w:pPr>
        <w:pStyle w:val="ListBullet"/>
        <w:spacing w:after="0"/>
      </w:pPr>
      <w:r w:rsidRPr="003F7386">
        <w:t xml:space="preserve">Ports </w:t>
      </w:r>
      <w:r w:rsidR="007065BC" w:rsidRPr="003F7386">
        <w:t>authority</w:t>
      </w:r>
    </w:p>
    <w:p w:rsidR="00367DC5" w:rsidRPr="003F7386" w:rsidRDefault="00367DC5" w:rsidP="002E652A">
      <w:pPr>
        <w:pStyle w:val="ListBullet"/>
        <w:spacing w:after="0"/>
      </w:pPr>
      <w:r w:rsidRPr="003F7386">
        <w:t xml:space="preserve">Private </w:t>
      </w:r>
      <w:r w:rsidR="007065BC" w:rsidRPr="003F7386">
        <w:t xml:space="preserve">sector </w:t>
      </w:r>
      <w:r w:rsidRPr="003F7386">
        <w:t>(e.g., utilities, plants, and industry)</w:t>
      </w:r>
    </w:p>
    <w:p w:rsidR="00367DC5" w:rsidRPr="003F7386" w:rsidRDefault="00367DC5" w:rsidP="002E652A">
      <w:pPr>
        <w:pStyle w:val="ListBullet"/>
        <w:spacing w:after="0"/>
      </w:pPr>
      <w:r w:rsidRPr="003F7386">
        <w:t xml:space="preserve">Public </w:t>
      </w:r>
      <w:r w:rsidR="007065BC" w:rsidRPr="003F7386">
        <w:t>health</w:t>
      </w:r>
    </w:p>
    <w:p w:rsidR="00367DC5" w:rsidRPr="003F7386" w:rsidRDefault="00367DC5" w:rsidP="002E652A">
      <w:pPr>
        <w:pStyle w:val="ListBullet"/>
        <w:spacing w:after="0"/>
      </w:pPr>
      <w:r w:rsidRPr="003F7386">
        <w:t xml:space="preserve">Public </w:t>
      </w:r>
      <w:r w:rsidR="007065BC" w:rsidRPr="003F7386">
        <w:t xml:space="preserve">safety </w:t>
      </w:r>
      <w:r w:rsidRPr="003F7386">
        <w:t xml:space="preserve">(e.g., law enforcement, fire, </w:t>
      </w:r>
      <w:r w:rsidR="007065BC" w:rsidRPr="003F7386">
        <w:t>emergency medical ser</w:t>
      </w:r>
      <w:r w:rsidRPr="003F7386">
        <w:t xml:space="preserve">vices [EMS], </w:t>
      </w:r>
      <w:r w:rsidR="007065BC" w:rsidRPr="003F7386">
        <w:t>medical examiner’s office</w:t>
      </w:r>
      <w:r w:rsidRPr="003F7386">
        <w:t>)</w:t>
      </w:r>
    </w:p>
    <w:p w:rsidR="00367DC5" w:rsidRPr="003F7386" w:rsidRDefault="00367DC5" w:rsidP="002E652A">
      <w:pPr>
        <w:pStyle w:val="ListBullet"/>
        <w:spacing w:after="0"/>
      </w:pPr>
      <w:r w:rsidRPr="003F7386">
        <w:t xml:space="preserve">Public </w:t>
      </w:r>
      <w:r w:rsidR="007065BC" w:rsidRPr="003F7386">
        <w:t>works</w:t>
      </w:r>
    </w:p>
    <w:p w:rsidR="00367DC5" w:rsidRPr="003F7386" w:rsidRDefault="00367DC5" w:rsidP="002E652A">
      <w:pPr>
        <w:pStyle w:val="ListBullet"/>
        <w:spacing w:after="0"/>
      </w:pPr>
      <w:r w:rsidRPr="003F7386">
        <w:t xml:space="preserve">School </w:t>
      </w:r>
      <w:r w:rsidR="007065BC" w:rsidRPr="003F7386">
        <w:t>district representa</w:t>
      </w:r>
      <w:r w:rsidRPr="003F7386">
        <w:t>tive</w:t>
      </w:r>
    </w:p>
    <w:p w:rsidR="00367DC5" w:rsidRPr="003F7386" w:rsidRDefault="00367DC5" w:rsidP="002E652A">
      <w:pPr>
        <w:pStyle w:val="ListBullet"/>
        <w:spacing w:after="0"/>
      </w:pPr>
      <w:r w:rsidRPr="003F7386">
        <w:t>State Administrative Agency (SAA)</w:t>
      </w:r>
    </w:p>
    <w:p w:rsidR="00367DC5" w:rsidRPr="003F7386" w:rsidRDefault="00367DC5" w:rsidP="002E652A">
      <w:pPr>
        <w:pStyle w:val="ListBullet"/>
        <w:spacing w:after="0"/>
      </w:pPr>
      <w:r w:rsidRPr="003F7386">
        <w:t xml:space="preserve">State </w:t>
      </w:r>
      <w:r w:rsidR="007065BC" w:rsidRPr="003F7386">
        <w:t>homeland security</w:t>
      </w:r>
    </w:p>
    <w:p w:rsidR="00367DC5" w:rsidRPr="003F7386" w:rsidRDefault="00367DC5" w:rsidP="002E652A">
      <w:pPr>
        <w:pStyle w:val="ListBullet"/>
        <w:spacing w:after="0"/>
      </w:pPr>
      <w:r w:rsidRPr="003F7386">
        <w:t>State-</w:t>
      </w:r>
      <w:r w:rsidR="007065BC" w:rsidRPr="003F7386">
        <w:t xml:space="preserve">appointed exercise point of contact </w:t>
      </w:r>
      <w:r w:rsidRPr="003F7386">
        <w:t>(POC)</w:t>
      </w:r>
    </w:p>
    <w:p w:rsidR="00367DC5" w:rsidRPr="003F7386" w:rsidRDefault="00367DC5" w:rsidP="002E652A">
      <w:pPr>
        <w:pStyle w:val="ListBullet"/>
        <w:spacing w:after="0"/>
      </w:pPr>
      <w:r w:rsidRPr="003F7386">
        <w:t>State-</w:t>
      </w:r>
      <w:r w:rsidR="007065BC" w:rsidRPr="003F7386">
        <w:t>appointed traini</w:t>
      </w:r>
      <w:r w:rsidRPr="003F7386">
        <w:t>ng POC</w:t>
      </w:r>
    </w:p>
    <w:p w:rsidR="00367DC5" w:rsidRPr="003F7386" w:rsidRDefault="00367DC5" w:rsidP="002E652A">
      <w:pPr>
        <w:pStyle w:val="ListBullet"/>
        <w:spacing w:after="0"/>
      </w:pPr>
      <w:r w:rsidRPr="003F7386">
        <w:t xml:space="preserve">Transit </w:t>
      </w:r>
      <w:r w:rsidR="007065BC" w:rsidRPr="003F7386">
        <w:t>authority</w:t>
      </w:r>
    </w:p>
    <w:p w:rsidR="00367DC5" w:rsidRPr="003F7386" w:rsidRDefault="00367DC5" w:rsidP="002E652A">
      <w:pPr>
        <w:pStyle w:val="ListBullet"/>
        <w:spacing w:after="0"/>
      </w:pPr>
      <w:r w:rsidRPr="003F7386">
        <w:t xml:space="preserve">Tribal </w:t>
      </w:r>
      <w:r w:rsidR="007065BC" w:rsidRPr="003F7386">
        <w:t>liaison</w:t>
      </w:r>
    </w:p>
    <w:p w:rsidR="00367DC5" w:rsidRPr="007E5E29" w:rsidRDefault="007065BC" w:rsidP="002E652A">
      <w:pPr>
        <w:pStyle w:val="ListBullet"/>
      </w:pPr>
      <w:r>
        <w:t>Urban Area Security Initiative (</w:t>
      </w:r>
      <w:r w:rsidR="00367DC5" w:rsidRPr="003F7386">
        <w:t>UASI</w:t>
      </w:r>
      <w:r>
        <w:t>)</w:t>
      </w:r>
      <w:r w:rsidR="00367DC5" w:rsidRPr="003F7386">
        <w:t xml:space="preserve"> representativ</w:t>
      </w:r>
      <w:r w:rsidR="00367DC5" w:rsidRPr="007E5E29">
        <w:t>e</w:t>
      </w:r>
    </w:p>
    <w:p w:rsidR="00367DC5" w:rsidRPr="007E5E29" w:rsidRDefault="00367DC5" w:rsidP="002E652A">
      <w:pPr>
        <w:pStyle w:val="Heading3"/>
      </w:pPr>
      <w:r w:rsidRPr="007E5E29">
        <w:t>Federal Partners</w:t>
      </w:r>
    </w:p>
    <w:p w:rsidR="00367DC5" w:rsidRPr="003F7386" w:rsidRDefault="00367DC5" w:rsidP="002E652A">
      <w:pPr>
        <w:pStyle w:val="ListBullet"/>
        <w:spacing w:after="0"/>
      </w:pPr>
      <w:r w:rsidRPr="003F7386">
        <w:t>Centers for Disease Control and Prevention (CDC)</w:t>
      </w:r>
    </w:p>
    <w:p w:rsidR="00367DC5" w:rsidRPr="003F7386" w:rsidRDefault="00367DC5" w:rsidP="002E652A">
      <w:pPr>
        <w:pStyle w:val="ListBullet"/>
        <w:spacing w:after="0"/>
      </w:pPr>
      <w:r w:rsidRPr="003F7386">
        <w:t>Environmental Protection Agency (EPA)</w:t>
      </w:r>
    </w:p>
    <w:p w:rsidR="00367DC5" w:rsidRPr="003F7386" w:rsidRDefault="00367DC5" w:rsidP="002E652A">
      <w:pPr>
        <w:pStyle w:val="ListBullet"/>
        <w:spacing w:after="0"/>
      </w:pPr>
      <w:r w:rsidRPr="003F7386">
        <w:t xml:space="preserve">Federal Aviation Administration (FAA) </w:t>
      </w:r>
      <w:r w:rsidR="007065BC" w:rsidRPr="003F7386">
        <w:t>regional re</w:t>
      </w:r>
      <w:r w:rsidRPr="003F7386">
        <w:t>presentative</w:t>
      </w:r>
    </w:p>
    <w:p w:rsidR="00367DC5" w:rsidRPr="003F7386" w:rsidRDefault="00367DC5" w:rsidP="002E652A">
      <w:pPr>
        <w:pStyle w:val="ListBullet"/>
        <w:spacing w:after="0"/>
      </w:pPr>
      <w:r w:rsidRPr="003F7386">
        <w:t>Federal Bureau of Investigation (FBI)</w:t>
      </w:r>
    </w:p>
    <w:p w:rsidR="00367DC5" w:rsidRPr="003F7386" w:rsidRDefault="00367DC5" w:rsidP="002E652A">
      <w:pPr>
        <w:pStyle w:val="ListBullet"/>
        <w:spacing w:after="0"/>
      </w:pPr>
      <w:r w:rsidRPr="003F7386">
        <w:t xml:space="preserve">Federal Emergency Management Agency (FEMA) </w:t>
      </w:r>
      <w:r w:rsidR="007065BC" w:rsidRPr="003F7386">
        <w:t>regional re</w:t>
      </w:r>
      <w:r w:rsidRPr="003F7386">
        <w:t>presentative</w:t>
      </w:r>
    </w:p>
    <w:p w:rsidR="00367DC5" w:rsidRPr="003F7386" w:rsidRDefault="00367DC5" w:rsidP="002E652A">
      <w:pPr>
        <w:pStyle w:val="ListBullet"/>
        <w:spacing w:after="0"/>
      </w:pPr>
      <w:r w:rsidRPr="003F7386">
        <w:t>Protective Security Advisor – Infrastructure Protection</w:t>
      </w:r>
    </w:p>
    <w:p w:rsidR="00367DC5" w:rsidRPr="003F7386" w:rsidRDefault="00367DC5" w:rsidP="002E652A">
      <w:pPr>
        <w:pStyle w:val="ListBullet"/>
        <w:spacing w:after="0"/>
      </w:pPr>
      <w:r w:rsidRPr="003F7386">
        <w:t>Transportation Security Administration (TSA) Transportation Readiness Division</w:t>
      </w:r>
    </w:p>
    <w:p w:rsidR="00367DC5" w:rsidRDefault="00367DC5" w:rsidP="002E652A">
      <w:pPr>
        <w:pStyle w:val="ListBullet"/>
        <w:spacing w:after="0"/>
      </w:pPr>
      <w:r w:rsidRPr="003F7386">
        <w:t>U.S. Coast Guard</w:t>
      </w:r>
      <w:r w:rsidRPr="007E5E29">
        <w:t xml:space="preserve"> (USCG)</w:t>
      </w:r>
    </w:p>
    <w:p w:rsidR="007065BC" w:rsidRPr="003F7386" w:rsidRDefault="007065BC" w:rsidP="002E652A">
      <w:pPr>
        <w:pStyle w:val="ListBullet"/>
        <w:spacing w:after="0"/>
      </w:pPr>
      <w:r w:rsidRPr="003F7386">
        <w:t>U.S. Department of Agriculture</w:t>
      </w:r>
    </w:p>
    <w:p w:rsidR="007065BC" w:rsidRPr="003F7386" w:rsidRDefault="007065BC" w:rsidP="002E652A">
      <w:pPr>
        <w:pStyle w:val="ListBullet"/>
        <w:spacing w:after="0"/>
      </w:pPr>
      <w:r w:rsidRPr="003F7386">
        <w:t>U.S. Department of Defense</w:t>
      </w:r>
    </w:p>
    <w:p w:rsidR="007065BC" w:rsidRDefault="007065BC" w:rsidP="002E652A">
      <w:pPr>
        <w:pStyle w:val="ListBullet"/>
        <w:spacing w:after="0"/>
      </w:pPr>
      <w:r w:rsidRPr="003F7386">
        <w:t>U.S. Department of Energy</w:t>
      </w:r>
    </w:p>
    <w:p w:rsidR="007065BC" w:rsidRPr="003F7386" w:rsidRDefault="007065BC" w:rsidP="002E652A">
      <w:pPr>
        <w:pStyle w:val="ListBullet"/>
        <w:spacing w:after="0"/>
      </w:pPr>
      <w:r w:rsidRPr="003F7386">
        <w:t xml:space="preserve">U.S. </w:t>
      </w:r>
      <w:r>
        <w:t xml:space="preserve">Department of </w:t>
      </w:r>
      <w:r w:rsidRPr="003F7386">
        <w:t>Health and Human Services (HHS) regional emergency coordinator</w:t>
      </w:r>
    </w:p>
    <w:p w:rsidR="007065BC" w:rsidRPr="003F7386" w:rsidRDefault="007065BC" w:rsidP="002E652A">
      <w:pPr>
        <w:pStyle w:val="ListBullet"/>
        <w:spacing w:after="0"/>
      </w:pPr>
      <w:r w:rsidRPr="003F7386">
        <w:t>U.S. Department of Transportation (DOT)</w:t>
      </w:r>
    </w:p>
    <w:sectPr w:rsidR="007065BC" w:rsidRPr="003F7386" w:rsidSect="00325781">
      <w:footerReference w:type="default" r:id="rId19"/>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648" w:rsidRDefault="00FC5648">
      <w:r>
        <w:separator/>
      </w:r>
    </w:p>
  </w:endnote>
  <w:endnote w:type="continuationSeparator" w:id="0">
    <w:p w:rsidR="00FC5648" w:rsidRDefault="00FC5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one Sans Bold">
    <w:panose1 w:val="00000000000000000000"/>
    <w:charset w:val="00"/>
    <w:family w:val="swiss"/>
    <w:notTrueType/>
    <w:pitch w:val="variable"/>
    <w:sig w:usb0="00000003" w:usb1="00000000" w:usb2="00000000" w:usb3="00000000" w:csb0="00000001" w:csb1="00000000"/>
  </w:font>
  <w:font w:name="Joanna MT">
    <w:altName w:val="Century"/>
    <w:charset w:val="00"/>
    <w:family w:val="roman"/>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charset w:val="00"/>
    <w:family w:val="swiss"/>
    <w:pitch w:val="variable"/>
    <w:sig w:usb0="00000007" w:usb1="00000000" w:usb2="00000000" w:usb3="00000000" w:csb0="00000093" w:csb1="00000000"/>
  </w:font>
  <w:font w:name="Stone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Johanna MT">
    <w:altName w:val="Times New Roman"/>
    <w:panose1 w:val="00000000000000000000"/>
    <w:charset w:val="4D"/>
    <w:family w:val="roman"/>
    <w:notTrueType/>
    <w:pitch w:val="default"/>
    <w:sig w:usb0="BFFFC9A0" w:usb1="00000000" w:usb2="9316D080" w:usb3="9328A160" w:csb0="BFFFC990" w:csb1="88042042"/>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Pr="00A13E71" w:rsidRDefault="009C7F69" w:rsidP="00325781">
    <w:pPr>
      <w:pStyle w:val="Draft"/>
      <w:pBdr>
        <w:top w:val="single" w:sz="12" w:space="1" w:color="000080"/>
      </w:pBdr>
      <w:tabs>
        <w:tab w:val="clear" w:pos="4680"/>
        <w:tab w:val="center" w:pos="4320"/>
      </w:tabs>
    </w:pPr>
    <w:r w:rsidRPr="005A5FCB">
      <w:rPr>
        <w:rStyle w:val="PageNumber"/>
        <w:rFonts w:ascii="Times New Roman" w:hAnsi="Times New Roman" w:cs="Times New Roman"/>
        <w:caps w:val="0"/>
        <w:color w:val="000080"/>
        <w:szCs w:val="24"/>
      </w:rPr>
      <w:fldChar w:fldCharType="begin"/>
    </w:r>
    <w:r w:rsidR="00543C37" w:rsidRPr="005A5FCB">
      <w:rPr>
        <w:rStyle w:val="PageNumber"/>
        <w:rFonts w:ascii="Times New Roman" w:hAnsi="Times New Roman" w:cs="Times New Roman"/>
        <w:caps w:val="0"/>
        <w:color w:val="000080"/>
        <w:szCs w:val="24"/>
      </w:rPr>
      <w:instrText xml:space="preserve"> PAGE </w:instrText>
    </w:r>
    <w:r w:rsidRPr="005A5FCB">
      <w:rPr>
        <w:rStyle w:val="PageNumber"/>
        <w:rFonts w:ascii="Times New Roman" w:hAnsi="Times New Roman" w:cs="Times New Roman"/>
        <w:caps w:val="0"/>
        <w:color w:val="000080"/>
        <w:szCs w:val="24"/>
      </w:rPr>
      <w:fldChar w:fldCharType="separate"/>
    </w:r>
    <w:r w:rsidR="00BB6344">
      <w:rPr>
        <w:rStyle w:val="PageNumber"/>
        <w:rFonts w:ascii="Times New Roman" w:hAnsi="Times New Roman" w:cs="Times New Roman"/>
        <w:caps w:val="0"/>
        <w:noProof/>
        <w:color w:val="000080"/>
        <w:szCs w:val="24"/>
      </w:rPr>
      <w:t>ii</w:t>
    </w:r>
    <w:r w:rsidRPr="005A5FCB">
      <w:rPr>
        <w:rStyle w:val="PageNumber"/>
        <w:rFonts w:ascii="Times New Roman" w:hAnsi="Times New Roman" w:cs="Times New Roman"/>
        <w:caps w:val="0"/>
        <w:color w:val="00008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Default="009C7F69">
    <w:pPr>
      <w:pStyle w:val="ODPPageNumber"/>
      <w:rPr>
        <w:rStyle w:val="PageNumber"/>
        <w:iCs w:val="0"/>
      </w:rPr>
    </w:pPr>
    <w:r>
      <w:rPr>
        <w:rStyle w:val="PageNumber"/>
        <w:iCs w:val="0"/>
      </w:rPr>
      <w:fldChar w:fldCharType="begin"/>
    </w:r>
    <w:r w:rsidR="00543C37">
      <w:rPr>
        <w:rStyle w:val="PageNumber"/>
        <w:iCs w:val="0"/>
      </w:rPr>
      <w:instrText xml:space="preserve"> PAGE </w:instrText>
    </w:r>
    <w:r>
      <w:rPr>
        <w:rStyle w:val="PageNumber"/>
        <w:iCs w:val="0"/>
      </w:rPr>
      <w:fldChar w:fldCharType="separate"/>
    </w:r>
    <w:r w:rsidR="00543C37">
      <w:rPr>
        <w:rStyle w:val="PageNumber"/>
        <w:iCs w:val="0"/>
        <w:noProof/>
      </w:rPr>
      <w:t>i</w:t>
    </w:r>
    <w:r>
      <w:rPr>
        <w:rStyle w:val="PageNumber"/>
        <w:iCs w:val="0"/>
      </w:rPr>
      <w:fldChar w:fldCharType="end"/>
    </w:r>
  </w:p>
  <w:p w:rsidR="00543C37" w:rsidRDefault="00543C37">
    <w:pPr>
      <w:pStyle w:val="ODPChapterName"/>
    </w:pPr>
    <w:r>
      <w:t>DHS G&amp;T</w:t>
    </w:r>
    <w:r>
      <w:tab/>
      <w:t xml:space="preserve">Multi-Year Training and </w:t>
    </w:r>
    <w:r>
      <w:rPr>
        <w:color w:val="auto"/>
      </w:rPr>
      <w:t>Exercise Plan</w:t>
    </w:r>
    <w:r>
      <w:rPr>
        <w:color w:val="auto"/>
      </w:rPr>
      <w:br/>
    </w:r>
    <w:r>
      <w:tab/>
      <w:t>Preface</w:t>
    </w:r>
  </w:p>
  <w:p w:rsidR="00543C37" w:rsidRDefault="00543C37">
    <w:pPr>
      <w:pStyle w:val="ODPHeader"/>
      <w:spacing w:before="120" w:after="0"/>
      <w:rPr>
        <w:shd w:val="thinDiagStripe" w:color="C0C0C0" w:fill="auto"/>
      </w:rPr>
    </w:pPr>
    <w:r>
      <w:t> Limited Distribution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Pr="00A13E71" w:rsidRDefault="009C7F69" w:rsidP="00325781">
    <w:pPr>
      <w:pStyle w:val="Draft"/>
      <w:pBdr>
        <w:top w:val="single" w:sz="12" w:space="1" w:color="000080"/>
      </w:pBdr>
      <w:tabs>
        <w:tab w:val="clear" w:pos="4680"/>
        <w:tab w:val="center" w:pos="4320"/>
      </w:tabs>
    </w:pPr>
    <w:r w:rsidRPr="005A5FCB">
      <w:rPr>
        <w:rStyle w:val="PageNumber"/>
        <w:rFonts w:ascii="Times New Roman" w:hAnsi="Times New Roman" w:cs="Times New Roman"/>
        <w:caps w:val="0"/>
        <w:color w:val="000080"/>
        <w:szCs w:val="24"/>
      </w:rPr>
      <w:fldChar w:fldCharType="begin"/>
    </w:r>
    <w:r w:rsidR="00543C37" w:rsidRPr="005A5FCB">
      <w:rPr>
        <w:rStyle w:val="PageNumber"/>
        <w:rFonts w:ascii="Times New Roman" w:hAnsi="Times New Roman" w:cs="Times New Roman"/>
        <w:caps w:val="0"/>
        <w:color w:val="000080"/>
        <w:szCs w:val="24"/>
      </w:rPr>
      <w:instrText xml:space="preserve"> PAGE </w:instrText>
    </w:r>
    <w:r w:rsidRPr="005A5FCB">
      <w:rPr>
        <w:rStyle w:val="PageNumber"/>
        <w:rFonts w:ascii="Times New Roman" w:hAnsi="Times New Roman" w:cs="Times New Roman"/>
        <w:caps w:val="0"/>
        <w:color w:val="000080"/>
        <w:szCs w:val="24"/>
      </w:rPr>
      <w:fldChar w:fldCharType="separate"/>
    </w:r>
    <w:r w:rsidR="00BB6344">
      <w:rPr>
        <w:rStyle w:val="PageNumber"/>
        <w:rFonts w:ascii="Times New Roman" w:hAnsi="Times New Roman" w:cs="Times New Roman"/>
        <w:caps w:val="0"/>
        <w:noProof/>
        <w:color w:val="000080"/>
        <w:szCs w:val="24"/>
      </w:rPr>
      <w:t>8</w:t>
    </w:r>
    <w:r w:rsidRPr="005A5FCB">
      <w:rPr>
        <w:rStyle w:val="PageNumber"/>
        <w:rFonts w:ascii="Times New Roman" w:hAnsi="Times New Roman" w:cs="Times New Roman"/>
        <w:caps w:val="0"/>
        <w:color w:val="000080"/>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Default="009C7F69">
    <w:pPr>
      <w:pStyle w:val="ODPPageNumber"/>
      <w:rPr>
        <w:rStyle w:val="PageNumber"/>
        <w:iCs w:val="0"/>
      </w:rPr>
    </w:pPr>
    <w:r>
      <w:rPr>
        <w:rStyle w:val="PageNumber"/>
        <w:iCs w:val="0"/>
      </w:rPr>
      <w:fldChar w:fldCharType="begin"/>
    </w:r>
    <w:r w:rsidR="00543C37">
      <w:rPr>
        <w:rStyle w:val="PageNumber"/>
        <w:iCs w:val="0"/>
      </w:rPr>
      <w:instrText xml:space="preserve"> PAGE </w:instrText>
    </w:r>
    <w:r>
      <w:rPr>
        <w:rStyle w:val="PageNumber"/>
        <w:iCs w:val="0"/>
      </w:rPr>
      <w:fldChar w:fldCharType="separate"/>
    </w:r>
    <w:r w:rsidR="00543C37">
      <w:rPr>
        <w:rStyle w:val="PageNumber"/>
        <w:iCs w:val="0"/>
        <w:noProof/>
      </w:rPr>
      <w:t>i</w:t>
    </w:r>
    <w:r>
      <w:rPr>
        <w:rStyle w:val="PageNumber"/>
        <w:iCs w:val="0"/>
      </w:rPr>
      <w:fldChar w:fldCharType="end"/>
    </w:r>
  </w:p>
  <w:p w:rsidR="00543C37" w:rsidRDefault="00543C37">
    <w:pPr>
      <w:pStyle w:val="ODPChapterName"/>
    </w:pPr>
    <w:r>
      <w:t>DHS G&amp;T</w:t>
    </w:r>
    <w:r>
      <w:tab/>
      <w:t xml:space="preserve">Multi-Year Training and </w:t>
    </w:r>
    <w:r>
      <w:rPr>
        <w:color w:val="auto"/>
      </w:rPr>
      <w:t>Exercise Plan</w:t>
    </w:r>
    <w:r>
      <w:rPr>
        <w:color w:val="auto"/>
      </w:rPr>
      <w:br/>
    </w:r>
    <w:r>
      <w:tab/>
      <w:t>Table of Contents</w:t>
    </w:r>
  </w:p>
  <w:p w:rsidR="00543C37" w:rsidRDefault="00543C37">
    <w:pPr>
      <w:pStyle w:val="ODPHeader"/>
      <w:spacing w:before="120" w:after="0"/>
      <w:rPr>
        <w:shd w:val="thinDiagStripe" w:color="C0C0C0" w:fill="auto"/>
      </w:rPr>
    </w:pPr>
    <w:r>
      <w:t> Limited Distribution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Pr="00A13E71" w:rsidRDefault="00543C37" w:rsidP="00325781">
    <w:pPr>
      <w:pStyle w:val="Draft"/>
      <w:pBdr>
        <w:top w:val="single" w:sz="12" w:space="1" w:color="000080"/>
      </w:pBdr>
      <w:tabs>
        <w:tab w:val="clear" w:pos="4680"/>
        <w:tab w:val="center" w:pos="4320"/>
      </w:tabs>
    </w:pPr>
    <w:r>
      <w:rPr>
        <w:rStyle w:val="PageNumber"/>
        <w:rFonts w:ascii="Times New Roman" w:hAnsi="Times New Roman" w:cs="Times New Roman"/>
        <w:caps w:val="0"/>
        <w:color w:val="000080"/>
        <w:szCs w:val="24"/>
      </w:rPr>
      <w:t>A-</w:t>
    </w:r>
    <w:r w:rsidR="009C7F69" w:rsidRPr="005A5FCB">
      <w:rPr>
        <w:rStyle w:val="PageNumber"/>
        <w:rFonts w:ascii="Times New Roman" w:hAnsi="Times New Roman" w:cs="Times New Roman"/>
        <w:caps w:val="0"/>
        <w:color w:val="000080"/>
        <w:szCs w:val="24"/>
      </w:rPr>
      <w:fldChar w:fldCharType="begin"/>
    </w:r>
    <w:r w:rsidRPr="005A5FCB">
      <w:rPr>
        <w:rStyle w:val="PageNumber"/>
        <w:rFonts w:ascii="Times New Roman" w:hAnsi="Times New Roman" w:cs="Times New Roman"/>
        <w:caps w:val="0"/>
        <w:color w:val="000080"/>
        <w:szCs w:val="24"/>
      </w:rPr>
      <w:instrText xml:space="preserve"> PAGE </w:instrText>
    </w:r>
    <w:r w:rsidR="009C7F69" w:rsidRPr="005A5FCB">
      <w:rPr>
        <w:rStyle w:val="PageNumber"/>
        <w:rFonts w:ascii="Times New Roman" w:hAnsi="Times New Roman" w:cs="Times New Roman"/>
        <w:caps w:val="0"/>
        <w:color w:val="000080"/>
        <w:szCs w:val="24"/>
      </w:rPr>
      <w:fldChar w:fldCharType="separate"/>
    </w:r>
    <w:r w:rsidR="00BB6344">
      <w:rPr>
        <w:rStyle w:val="PageNumber"/>
        <w:rFonts w:ascii="Times New Roman" w:hAnsi="Times New Roman" w:cs="Times New Roman"/>
        <w:caps w:val="0"/>
        <w:noProof/>
        <w:color w:val="000080"/>
        <w:szCs w:val="24"/>
      </w:rPr>
      <w:t>8</w:t>
    </w:r>
    <w:r w:rsidR="009C7F69" w:rsidRPr="005A5FCB">
      <w:rPr>
        <w:rStyle w:val="PageNumber"/>
        <w:rFonts w:ascii="Times New Roman" w:hAnsi="Times New Roman" w:cs="Times New Roman"/>
        <w:caps w:val="0"/>
        <w:color w:val="000080"/>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Pr="00A13E71" w:rsidRDefault="00543C37" w:rsidP="00325781">
    <w:pPr>
      <w:pStyle w:val="Draft"/>
      <w:pBdr>
        <w:top w:val="single" w:sz="12" w:space="1" w:color="000080"/>
      </w:pBdr>
      <w:tabs>
        <w:tab w:val="clear" w:pos="4680"/>
        <w:tab w:val="center" w:pos="4320"/>
      </w:tabs>
    </w:pPr>
    <w:r>
      <w:rPr>
        <w:rStyle w:val="PageNumber"/>
        <w:rFonts w:ascii="Times New Roman" w:hAnsi="Times New Roman" w:cs="Times New Roman"/>
        <w:caps w:val="0"/>
        <w:color w:val="000080"/>
        <w:szCs w:val="24"/>
      </w:rPr>
      <w:t>B-</w:t>
    </w:r>
    <w:r w:rsidR="009C7F69" w:rsidRPr="005A5FCB">
      <w:rPr>
        <w:rStyle w:val="PageNumber"/>
        <w:rFonts w:ascii="Times New Roman" w:hAnsi="Times New Roman" w:cs="Times New Roman"/>
        <w:caps w:val="0"/>
        <w:color w:val="000080"/>
        <w:szCs w:val="24"/>
      </w:rPr>
      <w:fldChar w:fldCharType="begin"/>
    </w:r>
    <w:r w:rsidRPr="005A5FCB">
      <w:rPr>
        <w:rStyle w:val="PageNumber"/>
        <w:rFonts w:ascii="Times New Roman" w:hAnsi="Times New Roman" w:cs="Times New Roman"/>
        <w:caps w:val="0"/>
        <w:color w:val="000080"/>
        <w:szCs w:val="24"/>
      </w:rPr>
      <w:instrText xml:space="preserve"> PAGE </w:instrText>
    </w:r>
    <w:r w:rsidR="009C7F69" w:rsidRPr="005A5FCB">
      <w:rPr>
        <w:rStyle w:val="PageNumber"/>
        <w:rFonts w:ascii="Times New Roman" w:hAnsi="Times New Roman" w:cs="Times New Roman"/>
        <w:caps w:val="0"/>
        <w:color w:val="000080"/>
        <w:szCs w:val="24"/>
      </w:rPr>
      <w:fldChar w:fldCharType="separate"/>
    </w:r>
    <w:r w:rsidR="00BB6344">
      <w:rPr>
        <w:rStyle w:val="PageNumber"/>
        <w:rFonts w:ascii="Times New Roman" w:hAnsi="Times New Roman" w:cs="Times New Roman"/>
        <w:caps w:val="0"/>
        <w:noProof/>
        <w:color w:val="000080"/>
        <w:szCs w:val="24"/>
      </w:rPr>
      <w:t>4</w:t>
    </w:r>
    <w:r w:rsidR="009C7F69" w:rsidRPr="005A5FCB">
      <w:rPr>
        <w:rStyle w:val="PageNumber"/>
        <w:rFonts w:ascii="Times New Roman" w:hAnsi="Times New Roman" w:cs="Times New Roman"/>
        <w:caps w:val="0"/>
        <w:color w:val="000080"/>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Pr="00A13E71" w:rsidRDefault="00543C37" w:rsidP="00325781">
    <w:pPr>
      <w:pStyle w:val="Draft"/>
      <w:pBdr>
        <w:top w:val="single" w:sz="12" w:space="1" w:color="000080"/>
      </w:pBdr>
      <w:tabs>
        <w:tab w:val="clear" w:pos="4680"/>
        <w:tab w:val="center" w:pos="4320"/>
      </w:tabs>
    </w:pPr>
    <w:r>
      <w:rPr>
        <w:rStyle w:val="PageNumber"/>
        <w:rFonts w:ascii="Times New Roman" w:hAnsi="Times New Roman" w:cs="Times New Roman"/>
        <w:caps w:val="0"/>
        <w:color w:val="000080"/>
        <w:szCs w:val="24"/>
      </w:rPr>
      <w:t>C-</w:t>
    </w:r>
    <w:r w:rsidR="009C7F69" w:rsidRPr="005A5FCB">
      <w:rPr>
        <w:rStyle w:val="PageNumber"/>
        <w:rFonts w:ascii="Times New Roman" w:hAnsi="Times New Roman" w:cs="Times New Roman"/>
        <w:caps w:val="0"/>
        <w:color w:val="000080"/>
        <w:szCs w:val="24"/>
      </w:rPr>
      <w:fldChar w:fldCharType="begin"/>
    </w:r>
    <w:r w:rsidRPr="005A5FCB">
      <w:rPr>
        <w:rStyle w:val="PageNumber"/>
        <w:rFonts w:ascii="Times New Roman" w:hAnsi="Times New Roman" w:cs="Times New Roman"/>
        <w:caps w:val="0"/>
        <w:color w:val="000080"/>
        <w:szCs w:val="24"/>
      </w:rPr>
      <w:instrText xml:space="preserve"> PAGE </w:instrText>
    </w:r>
    <w:r w:rsidR="009C7F69" w:rsidRPr="005A5FCB">
      <w:rPr>
        <w:rStyle w:val="PageNumber"/>
        <w:rFonts w:ascii="Times New Roman" w:hAnsi="Times New Roman" w:cs="Times New Roman"/>
        <w:caps w:val="0"/>
        <w:color w:val="000080"/>
        <w:szCs w:val="24"/>
      </w:rPr>
      <w:fldChar w:fldCharType="separate"/>
    </w:r>
    <w:r w:rsidR="00BB6344">
      <w:rPr>
        <w:rStyle w:val="PageNumber"/>
        <w:rFonts w:ascii="Times New Roman" w:hAnsi="Times New Roman" w:cs="Times New Roman"/>
        <w:caps w:val="0"/>
        <w:noProof/>
        <w:color w:val="000080"/>
        <w:szCs w:val="24"/>
      </w:rPr>
      <w:t>3</w:t>
    </w:r>
    <w:r w:rsidR="009C7F69" w:rsidRPr="005A5FCB">
      <w:rPr>
        <w:rStyle w:val="PageNumber"/>
        <w:rFonts w:ascii="Times New Roman" w:hAnsi="Times New Roman" w:cs="Times New Roman"/>
        <w:caps w:val="0"/>
        <w:color w:val="000080"/>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648" w:rsidRDefault="00FC5648">
      <w:r>
        <w:separator/>
      </w:r>
    </w:p>
  </w:footnote>
  <w:footnote w:type="continuationSeparator" w:id="0">
    <w:p w:rsidR="00FC5648" w:rsidRDefault="00FC5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Default="009C7F69">
    <w:pPr>
      <w:pStyle w:val="Header"/>
    </w:pPr>
    <w:r w:rsidRPr="009C7F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63"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37" w:rsidRDefault="00885AE9" w:rsidP="00325781">
    <w:pPr>
      <w:spacing w:before="120" w:after="80"/>
      <w:ind w:left="2880"/>
      <w:rPr>
        <w:b/>
        <w:bCs/>
      </w:rPr>
    </w:pPr>
    <w:r>
      <w:rPr>
        <w:b/>
        <w:bCs/>
        <w:noProof/>
      </w:rPr>
      <w:drawing>
        <wp:anchor distT="0" distB="0" distL="114300" distR="114300" simplePos="0" relativeHeight="251657216" behindDoc="0" locked="0" layoutInCell="1" allowOverlap="1">
          <wp:simplePos x="0" y="0"/>
          <wp:positionH relativeFrom="column">
            <wp:posOffset>-38100</wp:posOffset>
          </wp:positionH>
          <wp:positionV relativeFrom="paragraph">
            <wp:posOffset>-19050</wp:posOffset>
          </wp:positionV>
          <wp:extent cx="1662430" cy="518160"/>
          <wp:effectExtent l="19050" t="0" r="0" b="0"/>
          <wp:wrapNone/>
          <wp:docPr id="88" name="Picture 88" descr="DHS_for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HS_for_ppt"/>
                  <pic:cNvPicPr>
                    <a:picLocks noChangeAspect="1" noChangeArrowheads="1"/>
                  </pic:cNvPicPr>
                </pic:nvPicPr>
                <pic:blipFill>
                  <a:blip r:embed="rId1"/>
                  <a:srcRect/>
                  <a:stretch>
                    <a:fillRect/>
                  </a:stretch>
                </pic:blipFill>
                <pic:spPr bwMode="auto">
                  <a:xfrm>
                    <a:off x="0" y="0"/>
                    <a:ext cx="1662430" cy="518160"/>
                  </a:xfrm>
                  <a:prstGeom prst="rect">
                    <a:avLst/>
                  </a:prstGeom>
                  <a:noFill/>
                </pic:spPr>
              </pic:pic>
            </a:graphicData>
          </a:graphic>
        </wp:anchor>
      </w:drawing>
    </w:r>
    <w:r w:rsidR="00543C37">
      <w:rPr>
        <w:b/>
        <w:bCs/>
        <w:noProof/>
      </w:rPr>
      <w:t>Training and Exercise</w:t>
    </w:r>
    <w:r w:rsidR="00543C37" w:rsidRPr="002C5DD5">
      <w:rPr>
        <w:b/>
        <w:bCs/>
        <w:noProof/>
      </w:rPr>
      <w:t xml:space="preserve"> Planning Workshop (</w:t>
    </w:r>
    <w:r w:rsidR="00543C37">
      <w:rPr>
        <w:b/>
        <w:bCs/>
        <w:noProof/>
      </w:rPr>
      <w:t>TE</w:t>
    </w:r>
    <w:r w:rsidR="00543C37" w:rsidRPr="002C5DD5">
      <w:rPr>
        <w:b/>
        <w:bCs/>
        <w:noProof/>
      </w:rPr>
      <w:t xml:space="preserve">PW) </w:t>
    </w:r>
    <w:r w:rsidR="00543C37">
      <w:rPr>
        <w:b/>
        <w:bCs/>
        <w:noProof/>
      </w:rPr>
      <w:t>User </w:t>
    </w:r>
    <w:r w:rsidR="00543C37" w:rsidRPr="002C5DD5">
      <w:rPr>
        <w:b/>
        <w:bCs/>
        <w:noProof/>
      </w:rPr>
      <w:t>Handbook</w:t>
    </w:r>
  </w:p>
  <w:p w:rsidR="00543C37" w:rsidRPr="00156582" w:rsidRDefault="00543C37" w:rsidP="00325781">
    <w:pPr>
      <w:pBdr>
        <w:bottom w:val="single" w:sz="12" w:space="1" w:color="CC0033"/>
      </w:pBdr>
      <w:rPr>
        <w:b/>
        <w:bCs/>
      </w:rPr>
    </w:pPr>
  </w:p>
  <w:p w:rsidR="00543C37" w:rsidRDefault="00543C37" w:rsidP="003257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086B6C"/>
    <w:lvl w:ilvl="0">
      <w:start w:val="1"/>
      <w:numFmt w:val="decimal"/>
      <w:lvlText w:val="%1."/>
      <w:lvlJc w:val="left"/>
      <w:pPr>
        <w:tabs>
          <w:tab w:val="num" w:pos="1800"/>
        </w:tabs>
        <w:ind w:left="1800" w:hanging="360"/>
      </w:pPr>
    </w:lvl>
  </w:abstractNum>
  <w:abstractNum w:abstractNumId="1">
    <w:nsid w:val="FFFFFF7D"/>
    <w:multiLevelType w:val="singleLevel"/>
    <w:tmpl w:val="73F874FE"/>
    <w:lvl w:ilvl="0">
      <w:start w:val="1"/>
      <w:numFmt w:val="decimal"/>
      <w:lvlText w:val="%1."/>
      <w:lvlJc w:val="left"/>
      <w:pPr>
        <w:tabs>
          <w:tab w:val="num" w:pos="1440"/>
        </w:tabs>
        <w:ind w:left="1440" w:hanging="360"/>
      </w:pPr>
    </w:lvl>
  </w:abstractNum>
  <w:abstractNum w:abstractNumId="2">
    <w:nsid w:val="FFFFFF7E"/>
    <w:multiLevelType w:val="singleLevel"/>
    <w:tmpl w:val="AC387038"/>
    <w:lvl w:ilvl="0">
      <w:start w:val="1"/>
      <w:numFmt w:val="decimal"/>
      <w:lvlText w:val="%1."/>
      <w:lvlJc w:val="left"/>
      <w:pPr>
        <w:tabs>
          <w:tab w:val="num" w:pos="1080"/>
        </w:tabs>
        <w:ind w:left="1080" w:hanging="360"/>
      </w:pPr>
    </w:lvl>
  </w:abstractNum>
  <w:abstractNum w:abstractNumId="3">
    <w:nsid w:val="FFFFFF7F"/>
    <w:multiLevelType w:val="singleLevel"/>
    <w:tmpl w:val="C8A4B1A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7B222F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C211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3E4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665AE8"/>
    <w:lvl w:ilvl="0">
      <w:start w:val="1"/>
      <w:numFmt w:val="bullet"/>
      <w:pStyle w:val="ListBullet2"/>
      <w:lvlText w:val="–"/>
      <w:lvlJc w:val="left"/>
      <w:pPr>
        <w:tabs>
          <w:tab w:val="num" w:pos="1080"/>
        </w:tabs>
        <w:ind w:left="1080" w:hanging="360"/>
      </w:pPr>
      <w:rPr>
        <w:rFonts w:ascii="Times New Roman" w:hAnsi="Times New Roman" w:cs="Times New Roman" w:hint="default"/>
      </w:rPr>
    </w:lvl>
  </w:abstractNum>
  <w:abstractNum w:abstractNumId="8">
    <w:nsid w:val="FFFFFF88"/>
    <w:multiLevelType w:val="singleLevel"/>
    <w:tmpl w:val="EB5A631C"/>
    <w:lvl w:ilvl="0">
      <w:start w:val="1"/>
      <w:numFmt w:val="decimal"/>
      <w:pStyle w:val="ListNumber"/>
      <w:lvlText w:val="%1."/>
      <w:lvlJc w:val="left"/>
      <w:pPr>
        <w:tabs>
          <w:tab w:val="num" w:pos="360"/>
        </w:tabs>
        <w:ind w:left="360" w:hanging="360"/>
      </w:pPr>
    </w:lvl>
  </w:abstractNum>
  <w:abstractNum w:abstractNumId="9">
    <w:nsid w:val="FFFFFF89"/>
    <w:multiLevelType w:val="singleLevel"/>
    <w:tmpl w:val="6480DBA4"/>
    <w:lvl w:ilvl="0">
      <w:start w:val="1"/>
      <w:numFmt w:val="bullet"/>
      <w:pStyle w:val="ListBullet"/>
      <w:lvlText w:val=""/>
      <w:lvlJc w:val="left"/>
      <w:pPr>
        <w:tabs>
          <w:tab w:val="num" w:pos="720"/>
        </w:tabs>
        <w:ind w:left="720" w:hanging="360"/>
      </w:pPr>
      <w:rPr>
        <w:rFonts w:ascii="Wingdings" w:hAnsi="Wingdings" w:hint="default"/>
        <w:color w:val="auto"/>
      </w:rPr>
    </w:lvl>
  </w:abstractNum>
  <w:abstractNum w:abstractNumId="10">
    <w:nsid w:val="096753C9"/>
    <w:multiLevelType w:val="hybridMultilevel"/>
    <w:tmpl w:val="12F6EF8A"/>
    <w:lvl w:ilvl="0" w:tplc="4F0276FC">
      <w:start w:val="1"/>
      <w:numFmt w:val="bullet"/>
      <w:pStyle w:val="ODPBulletSingle"/>
      <w:lvlText w:val=""/>
      <w:lvlJc w:val="left"/>
      <w:pPr>
        <w:tabs>
          <w:tab w:val="num" w:pos="1080"/>
        </w:tabs>
        <w:ind w:left="1080" w:hanging="360"/>
      </w:pPr>
      <w:rPr>
        <w:rFonts w:ascii="Wingdings 2" w:hAnsi="Wingdings 2" w:hint="default"/>
        <w:color w:val="auto"/>
        <w:sz w:val="24"/>
      </w:rPr>
    </w:lvl>
    <w:lvl w:ilvl="1" w:tplc="D4E29476" w:tentative="1">
      <w:start w:val="1"/>
      <w:numFmt w:val="bullet"/>
      <w:lvlText w:val="o"/>
      <w:lvlJc w:val="left"/>
      <w:pPr>
        <w:tabs>
          <w:tab w:val="num" w:pos="1440"/>
        </w:tabs>
        <w:ind w:left="1440" w:hanging="360"/>
      </w:pPr>
      <w:rPr>
        <w:rFonts w:ascii="Courier New" w:hAnsi="Courier New" w:hint="default"/>
      </w:rPr>
    </w:lvl>
    <w:lvl w:ilvl="2" w:tplc="F26A92D6" w:tentative="1">
      <w:start w:val="1"/>
      <w:numFmt w:val="bullet"/>
      <w:lvlText w:val=""/>
      <w:lvlJc w:val="left"/>
      <w:pPr>
        <w:tabs>
          <w:tab w:val="num" w:pos="2160"/>
        </w:tabs>
        <w:ind w:left="2160" w:hanging="360"/>
      </w:pPr>
      <w:rPr>
        <w:rFonts w:ascii="Wingdings" w:hAnsi="Wingdings" w:hint="default"/>
      </w:rPr>
    </w:lvl>
    <w:lvl w:ilvl="3" w:tplc="B4861BA4" w:tentative="1">
      <w:start w:val="1"/>
      <w:numFmt w:val="bullet"/>
      <w:lvlText w:val=""/>
      <w:lvlJc w:val="left"/>
      <w:pPr>
        <w:tabs>
          <w:tab w:val="num" w:pos="2880"/>
        </w:tabs>
        <w:ind w:left="2880" w:hanging="360"/>
      </w:pPr>
      <w:rPr>
        <w:rFonts w:ascii="Symbol" w:hAnsi="Symbol" w:hint="default"/>
      </w:rPr>
    </w:lvl>
    <w:lvl w:ilvl="4" w:tplc="C804F674" w:tentative="1">
      <w:start w:val="1"/>
      <w:numFmt w:val="bullet"/>
      <w:lvlText w:val="o"/>
      <w:lvlJc w:val="left"/>
      <w:pPr>
        <w:tabs>
          <w:tab w:val="num" w:pos="3600"/>
        </w:tabs>
        <w:ind w:left="3600" w:hanging="360"/>
      </w:pPr>
      <w:rPr>
        <w:rFonts w:ascii="Courier New" w:hAnsi="Courier New" w:hint="default"/>
      </w:rPr>
    </w:lvl>
    <w:lvl w:ilvl="5" w:tplc="527E3404" w:tentative="1">
      <w:start w:val="1"/>
      <w:numFmt w:val="bullet"/>
      <w:lvlText w:val=""/>
      <w:lvlJc w:val="left"/>
      <w:pPr>
        <w:tabs>
          <w:tab w:val="num" w:pos="4320"/>
        </w:tabs>
        <w:ind w:left="4320" w:hanging="360"/>
      </w:pPr>
      <w:rPr>
        <w:rFonts w:ascii="Wingdings" w:hAnsi="Wingdings" w:hint="default"/>
      </w:rPr>
    </w:lvl>
    <w:lvl w:ilvl="6" w:tplc="C3DC822A" w:tentative="1">
      <w:start w:val="1"/>
      <w:numFmt w:val="bullet"/>
      <w:lvlText w:val=""/>
      <w:lvlJc w:val="left"/>
      <w:pPr>
        <w:tabs>
          <w:tab w:val="num" w:pos="5040"/>
        </w:tabs>
        <w:ind w:left="5040" w:hanging="360"/>
      </w:pPr>
      <w:rPr>
        <w:rFonts w:ascii="Symbol" w:hAnsi="Symbol" w:hint="default"/>
      </w:rPr>
    </w:lvl>
    <w:lvl w:ilvl="7" w:tplc="F676B920" w:tentative="1">
      <w:start w:val="1"/>
      <w:numFmt w:val="bullet"/>
      <w:lvlText w:val="o"/>
      <w:lvlJc w:val="left"/>
      <w:pPr>
        <w:tabs>
          <w:tab w:val="num" w:pos="5760"/>
        </w:tabs>
        <w:ind w:left="5760" w:hanging="360"/>
      </w:pPr>
      <w:rPr>
        <w:rFonts w:ascii="Courier New" w:hAnsi="Courier New" w:hint="default"/>
      </w:rPr>
    </w:lvl>
    <w:lvl w:ilvl="8" w:tplc="B73E369C" w:tentative="1">
      <w:start w:val="1"/>
      <w:numFmt w:val="bullet"/>
      <w:lvlText w:val=""/>
      <w:lvlJc w:val="left"/>
      <w:pPr>
        <w:tabs>
          <w:tab w:val="num" w:pos="6480"/>
        </w:tabs>
        <w:ind w:left="6480" w:hanging="360"/>
      </w:pPr>
      <w:rPr>
        <w:rFonts w:ascii="Wingdings" w:hAnsi="Wingdings" w:hint="default"/>
      </w:rPr>
    </w:lvl>
  </w:abstractNum>
  <w:abstractNum w:abstractNumId="11">
    <w:nsid w:val="190C1C2F"/>
    <w:multiLevelType w:val="hybridMultilevel"/>
    <w:tmpl w:val="D2BC1B58"/>
    <w:lvl w:ilvl="0" w:tplc="169A9046">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Stone Sans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741A8F"/>
    <w:multiLevelType w:val="hybridMultilevel"/>
    <w:tmpl w:val="B4943334"/>
    <w:lvl w:ilvl="0" w:tplc="CD6E92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Stone Sans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E02DC9"/>
    <w:multiLevelType w:val="hybridMultilevel"/>
    <w:tmpl w:val="C34CF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27565B"/>
    <w:multiLevelType w:val="hybridMultilevel"/>
    <w:tmpl w:val="654CA732"/>
    <w:lvl w:ilvl="0" w:tplc="8E9A4EB8">
      <w:start w:val="1"/>
      <w:numFmt w:val="bullet"/>
      <w:lvlText w:val=""/>
      <w:lvlJc w:val="left"/>
      <w:pPr>
        <w:tabs>
          <w:tab w:val="num" w:pos="720"/>
        </w:tabs>
        <w:ind w:left="72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A87644"/>
    <w:multiLevelType w:val="hybridMultilevel"/>
    <w:tmpl w:val="EA266244"/>
    <w:lvl w:ilvl="0" w:tplc="CF3CD6FA">
      <w:start w:val="1"/>
      <w:numFmt w:val="decimal"/>
      <w:pStyle w:val="ODPList"/>
      <w:lvlText w:val="%1."/>
      <w:lvlJc w:val="left"/>
      <w:pPr>
        <w:tabs>
          <w:tab w:val="num" w:pos="1224"/>
        </w:tabs>
        <w:ind w:left="1224" w:hanging="1224"/>
      </w:pPr>
      <w:rPr>
        <w:rFonts w:ascii="Joanna MT" w:hAnsi="Joanna MT" w:cs="Times New Roman" w:hint="default"/>
        <w:b w:val="0"/>
        <w:i w:val="0"/>
        <w:sz w:val="24"/>
        <w:szCs w:val="24"/>
      </w:rPr>
    </w:lvl>
    <w:lvl w:ilvl="1" w:tplc="04090003">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6">
    <w:nsid w:val="333A66CB"/>
    <w:multiLevelType w:val="hybridMultilevel"/>
    <w:tmpl w:val="9CE469D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557C96"/>
    <w:multiLevelType w:val="hybridMultilevel"/>
    <w:tmpl w:val="AFF25646"/>
    <w:lvl w:ilvl="0" w:tplc="169A9046">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3610F"/>
    <w:multiLevelType w:val="hybridMultilevel"/>
    <w:tmpl w:val="39CA81C0"/>
    <w:lvl w:ilvl="0" w:tplc="3A96F15A">
      <w:start w:val="1"/>
      <w:numFmt w:val="bullet"/>
      <w:pStyle w:val="Checklist"/>
      <w:lvlText w:val=""/>
      <w:lvlJc w:val="left"/>
      <w:pPr>
        <w:tabs>
          <w:tab w:val="num" w:pos="720"/>
        </w:tabs>
        <w:ind w:left="720" w:hanging="360"/>
      </w:pPr>
      <w:rPr>
        <w:rFonts w:ascii="Wingdings" w:hAnsi="Wingdings" w:hint="default"/>
        <w:sz w:val="28"/>
        <w:szCs w:val="28"/>
      </w:rPr>
    </w:lvl>
    <w:lvl w:ilvl="1" w:tplc="BA2C9BC4">
      <w:start w:val="1"/>
      <w:numFmt w:val="bullet"/>
      <w:lvlText w:val="o"/>
      <w:lvlJc w:val="left"/>
      <w:pPr>
        <w:tabs>
          <w:tab w:val="num" w:pos="1440"/>
        </w:tabs>
        <w:ind w:left="1440" w:hanging="360"/>
      </w:pPr>
      <w:rPr>
        <w:rFonts w:ascii="Courier New" w:hAnsi="Courier New" w:cs="Stone Sans Bold" w:hint="default"/>
        <w:sz w:val="32"/>
        <w:szCs w:val="32"/>
      </w:rPr>
    </w:lvl>
    <w:lvl w:ilvl="2" w:tplc="29C01470">
      <w:start w:val="1"/>
      <w:numFmt w:val="bullet"/>
      <w:lvlText w:val=""/>
      <w:lvlJc w:val="left"/>
      <w:pPr>
        <w:tabs>
          <w:tab w:val="num" w:pos="2160"/>
        </w:tabs>
        <w:ind w:left="2160" w:hanging="360"/>
      </w:pPr>
      <w:rPr>
        <w:rFonts w:ascii="Wingdings" w:hAnsi="Wingdings" w:hint="default"/>
        <w:sz w:val="32"/>
        <w:szCs w:val="32"/>
      </w:rPr>
    </w:lvl>
    <w:lvl w:ilvl="3" w:tplc="52840282" w:tentative="1">
      <w:start w:val="1"/>
      <w:numFmt w:val="bullet"/>
      <w:lvlText w:val=""/>
      <w:lvlJc w:val="left"/>
      <w:pPr>
        <w:tabs>
          <w:tab w:val="num" w:pos="2880"/>
        </w:tabs>
        <w:ind w:left="2880" w:hanging="360"/>
      </w:pPr>
      <w:rPr>
        <w:rFonts w:ascii="Symbol" w:hAnsi="Symbol" w:hint="default"/>
      </w:rPr>
    </w:lvl>
    <w:lvl w:ilvl="4" w:tplc="A46C6726" w:tentative="1">
      <w:start w:val="1"/>
      <w:numFmt w:val="bullet"/>
      <w:lvlText w:val="o"/>
      <w:lvlJc w:val="left"/>
      <w:pPr>
        <w:tabs>
          <w:tab w:val="num" w:pos="3600"/>
        </w:tabs>
        <w:ind w:left="3600" w:hanging="360"/>
      </w:pPr>
      <w:rPr>
        <w:rFonts w:ascii="Courier New" w:hAnsi="Courier New" w:cs="Stone Sans Bold" w:hint="default"/>
      </w:rPr>
    </w:lvl>
    <w:lvl w:ilvl="5" w:tplc="AE7C3B40" w:tentative="1">
      <w:start w:val="1"/>
      <w:numFmt w:val="bullet"/>
      <w:lvlText w:val=""/>
      <w:lvlJc w:val="left"/>
      <w:pPr>
        <w:tabs>
          <w:tab w:val="num" w:pos="4320"/>
        </w:tabs>
        <w:ind w:left="4320" w:hanging="360"/>
      </w:pPr>
      <w:rPr>
        <w:rFonts w:ascii="Wingdings" w:hAnsi="Wingdings" w:hint="default"/>
      </w:rPr>
    </w:lvl>
    <w:lvl w:ilvl="6" w:tplc="5E02CF74" w:tentative="1">
      <w:start w:val="1"/>
      <w:numFmt w:val="bullet"/>
      <w:lvlText w:val=""/>
      <w:lvlJc w:val="left"/>
      <w:pPr>
        <w:tabs>
          <w:tab w:val="num" w:pos="5040"/>
        </w:tabs>
        <w:ind w:left="5040" w:hanging="360"/>
      </w:pPr>
      <w:rPr>
        <w:rFonts w:ascii="Symbol" w:hAnsi="Symbol" w:hint="default"/>
      </w:rPr>
    </w:lvl>
    <w:lvl w:ilvl="7" w:tplc="23EEDE48" w:tentative="1">
      <w:start w:val="1"/>
      <w:numFmt w:val="bullet"/>
      <w:lvlText w:val="o"/>
      <w:lvlJc w:val="left"/>
      <w:pPr>
        <w:tabs>
          <w:tab w:val="num" w:pos="5760"/>
        </w:tabs>
        <w:ind w:left="5760" w:hanging="360"/>
      </w:pPr>
      <w:rPr>
        <w:rFonts w:ascii="Courier New" w:hAnsi="Courier New" w:cs="Stone Sans Bold" w:hint="default"/>
      </w:rPr>
    </w:lvl>
    <w:lvl w:ilvl="8" w:tplc="07EE71C8" w:tentative="1">
      <w:start w:val="1"/>
      <w:numFmt w:val="bullet"/>
      <w:lvlText w:val=""/>
      <w:lvlJc w:val="left"/>
      <w:pPr>
        <w:tabs>
          <w:tab w:val="num" w:pos="6480"/>
        </w:tabs>
        <w:ind w:left="6480" w:hanging="360"/>
      </w:pPr>
      <w:rPr>
        <w:rFonts w:ascii="Wingdings" w:hAnsi="Wingdings" w:hint="default"/>
      </w:rPr>
    </w:lvl>
  </w:abstractNum>
  <w:abstractNum w:abstractNumId="19">
    <w:nsid w:val="48A05B85"/>
    <w:multiLevelType w:val="hybridMultilevel"/>
    <w:tmpl w:val="92E4ADE8"/>
    <w:lvl w:ilvl="0" w:tplc="8FA8CC26">
      <w:start w:val="1"/>
      <w:numFmt w:val="bullet"/>
      <w:pStyle w:val="ODPBulletDouble"/>
      <w:lvlText w:val=""/>
      <w:lvlJc w:val="left"/>
      <w:pPr>
        <w:tabs>
          <w:tab w:val="num" w:pos="1080"/>
        </w:tabs>
        <w:ind w:left="1080" w:hanging="360"/>
      </w:pPr>
      <w:rPr>
        <w:rFonts w:ascii="Wingdings 2" w:hAnsi="Wingdings 2"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8F04EC"/>
    <w:multiLevelType w:val="hybridMultilevel"/>
    <w:tmpl w:val="C2D2A9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3513AA"/>
    <w:multiLevelType w:val="hybridMultilevel"/>
    <w:tmpl w:val="7E5AE274"/>
    <w:lvl w:ilvl="0" w:tplc="A74E0AE0">
      <w:numFmt w:val="bullet"/>
      <w:pStyle w:val="Style21"/>
      <w:lvlText w:val=""/>
      <w:lvlJc w:val="left"/>
      <w:pPr>
        <w:tabs>
          <w:tab w:val="num" w:pos="0"/>
        </w:tabs>
        <w:ind w:left="2160" w:hanging="720"/>
      </w:pPr>
      <w:rPr>
        <w:rFonts w:ascii="Wingdings" w:hAnsi="Wingdings" w:hint="default"/>
        <w:color w:val="003366"/>
        <w:sz w:val="28"/>
        <w:szCs w:val="28"/>
        <w:u w:val="none" w:color="969696"/>
      </w:rPr>
    </w:lvl>
    <w:lvl w:ilvl="1" w:tplc="04090003">
      <w:numFmt w:val="bullet"/>
      <w:lvlText w:val=""/>
      <w:lvlJc w:val="left"/>
      <w:pPr>
        <w:tabs>
          <w:tab w:val="num" w:pos="-360"/>
        </w:tabs>
        <w:ind w:left="1800" w:hanging="720"/>
      </w:pPr>
      <w:rPr>
        <w:rFonts w:ascii="Wingdings" w:hAnsi="Wingdings" w:hint="default"/>
        <w:color w:val="003366"/>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132418"/>
    <w:multiLevelType w:val="hybridMultilevel"/>
    <w:tmpl w:val="E804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9C64D9"/>
    <w:multiLevelType w:val="hybridMultilevel"/>
    <w:tmpl w:val="C2B2B14C"/>
    <w:lvl w:ilvl="0" w:tplc="7EDC45A4">
      <w:start w:val="1"/>
      <w:numFmt w:val="bullet"/>
      <w:lvlText w:val=""/>
      <w:lvlJc w:val="left"/>
      <w:pPr>
        <w:tabs>
          <w:tab w:val="num" w:pos="720"/>
        </w:tabs>
        <w:ind w:left="720" w:hanging="360"/>
      </w:pPr>
      <w:rPr>
        <w:rFonts w:ascii="Wingdings" w:hAnsi="Wingdings" w:hint="default"/>
        <w:sz w:val="32"/>
        <w:szCs w:val="32"/>
      </w:rPr>
    </w:lvl>
    <w:lvl w:ilvl="1" w:tplc="04090003">
      <w:start w:val="1"/>
      <w:numFmt w:val="bullet"/>
      <w:pStyle w:val="Dash"/>
      <w:lvlText w:val="–"/>
      <w:lvlJc w:val="left"/>
      <w:pPr>
        <w:tabs>
          <w:tab w:val="num" w:pos="1440"/>
        </w:tabs>
        <w:ind w:left="1440" w:hanging="360"/>
      </w:pPr>
      <w:rPr>
        <w:rFonts w:ascii="Times New Roman" w:hAnsi="Times New Roman" w:cs="Times New Roman"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sz w:val="32"/>
        <w:szCs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one Sans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one Sans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C153AC"/>
    <w:multiLevelType w:val="hybridMultilevel"/>
    <w:tmpl w:val="6A745308"/>
    <w:lvl w:ilvl="0" w:tplc="169A9046">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D73529"/>
    <w:multiLevelType w:val="hybridMultilevel"/>
    <w:tmpl w:val="5A46CCE4"/>
    <w:lvl w:ilvl="0" w:tplc="7708C8F0">
      <w:start w:val="1"/>
      <w:numFmt w:val="bullet"/>
      <w:pStyle w:val="BulletDouble"/>
      <w:lvlText w:val="•"/>
      <w:lvlJc w:val="left"/>
      <w:pPr>
        <w:tabs>
          <w:tab w:val="num" w:pos="360"/>
        </w:tabs>
        <w:ind w:left="360" w:hanging="360"/>
      </w:pPr>
      <w:rPr>
        <w:rFonts w:ascii="Times New Roman" w:hAnsi="Times New Roman" w:cs="Times New Roman" w:hint="default"/>
        <w:b w:val="0"/>
        <w:i w:val="0"/>
        <w:sz w:val="24"/>
        <w:szCs w:val="24"/>
      </w:rPr>
    </w:lvl>
    <w:lvl w:ilvl="1" w:tplc="8AA2FE84">
      <w:start w:val="1"/>
      <w:numFmt w:val="bullet"/>
      <w:lvlText w:val="o"/>
      <w:lvlJc w:val="left"/>
      <w:pPr>
        <w:tabs>
          <w:tab w:val="num" w:pos="1440"/>
        </w:tabs>
        <w:ind w:left="1440" w:hanging="360"/>
      </w:pPr>
      <w:rPr>
        <w:rFonts w:ascii="Courier New" w:hAnsi="Courier New" w:cs="Stone Sans Bold"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tone Sans Bold"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tone Sans Bold"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8"/>
  </w:num>
  <w:num w:numId="4">
    <w:abstractNumId w:val="23"/>
  </w:num>
  <w:num w:numId="5">
    <w:abstractNumId w:val="25"/>
  </w:num>
  <w:num w:numId="6">
    <w:abstractNumId w:val="15"/>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3"/>
  </w:num>
  <w:num w:numId="11">
    <w:abstractNumId w:val="16"/>
  </w:num>
  <w:num w:numId="12">
    <w:abstractNumId w:val="20"/>
  </w:num>
  <w:num w:numId="13">
    <w:abstractNumId w:val="22"/>
  </w:num>
  <w:num w:numId="14">
    <w:abstractNumId w:val="19"/>
  </w:num>
  <w:num w:numId="15">
    <w:abstractNumId w:val="10"/>
  </w:num>
  <w:num w:numId="16">
    <w:abstractNumId w:val="9"/>
  </w:num>
  <w:num w:numId="17">
    <w:abstractNumId w:val="11"/>
  </w:num>
  <w:num w:numId="18">
    <w:abstractNumId w:val="17"/>
  </w:num>
  <w:num w:numId="19">
    <w:abstractNumId w:val="9"/>
  </w:num>
  <w:num w:numId="20">
    <w:abstractNumId w:val="9"/>
  </w:num>
  <w:num w:numId="21">
    <w:abstractNumId w:val="14"/>
  </w:num>
  <w:num w:numId="22">
    <w:abstractNumId w:val="14"/>
  </w:num>
  <w:num w:numId="23">
    <w:abstractNumId w:val="8"/>
  </w:num>
  <w:num w:numId="24">
    <w:abstractNumId w:val="8"/>
  </w:num>
  <w:num w:numId="25">
    <w:abstractNumId w:val="3"/>
  </w:num>
  <w:num w:numId="26">
    <w:abstractNumId w:val="3"/>
  </w:num>
  <w:num w:numId="27">
    <w:abstractNumId w:val="10"/>
  </w:num>
  <w:num w:numId="28">
    <w:abstractNumId w:val="7"/>
  </w:num>
  <w:num w:numId="29">
    <w:abstractNumId w:val="6"/>
  </w:num>
  <w:num w:numId="30">
    <w:abstractNumId w:val="5"/>
  </w:num>
  <w:num w:numId="31">
    <w:abstractNumId w:val="4"/>
  </w:num>
  <w:num w:numId="32">
    <w:abstractNumId w:val="2"/>
  </w:num>
  <w:num w:numId="33">
    <w:abstractNumId w:val="1"/>
  </w:num>
  <w:num w:numId="34">
    <w:abstractNumId w:val="0"/>
  </w:num>
  <w:num w:numId="35">
    <w:abstractNumId w:val="24"/>
  </w:num>
  <w:num w:numId="36">
    <w:abstractNumId w:val="9"/>
  </w:num>
  <w:num w:numId="37">
    <w:abstractNumId w:val="7"/>
  </w:num>
  <w:num w:numId="38">
    <w:abstractNumId w:val="8"/>
  </w:num>
  <w:num w:numId="39">
    <w:abstractNumId w:val="3"/>
  </w:num>
  <w:num w:numId="40">
    <w:abstractNumId w:val="10"/>
  </w:num>
  <w:num w:numId="41">
    <w:abstractNumId w:val="9"/>
  </w:num>
  <w:num w:numId="42">
    <w:abstractNumId w:val="7"/>
  </w:num>
  <w:num w:numId="43">
    <w:abstractNumId w:val="8"/>
  </w:num>
  <w:num w:numId="44">
    <w:abstractNumId w:val="3"/>
  </w:num>
  <w:num w:numId="45">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GrammaticalErrors/>
  <w:activeWritingStyle w:appName="MSWord" w:lang="en-US" w:vendorID="64" w:dllVersion="131078" w:nlCheck="1" w:checkStyle="0"/>
  <w:activeWritingStyle w:appName="MSWord" w:lang="fr-FR" w:vendorID="64" w:dllVersion="131078" w:nlCheck="1" w:checkStyle="1"/>
  <w:proofState w:spelling="clean" w:grammar="clean"/>
  <w:stylePaneFormatFilter w:val="3F01"/>
  <w:documentProtection w:edit="forms" w:enforcement="0"/>
  <w:defaultTabStop w:val="720"/>
  <w:characterSpacingControl w:val="doNotCompress"/>
  <w:hdrShapeDefaults>
    <o:shapedefaults v:ext="edit" spidmax="2064">
      <o:colormru v:ext="edit" colors="#b2b2b2,#c00,#b9dcff"/>
      <o:colormenu v:ext="edit" fillcolor="none" strokecolor="black"/>
    </o:shapedefaults>
    <o:shapelayout v:ext="edit">
      <o:idmap v:ext="edit" data="2"/>
    </o:shapelayout>
  </w:hdrShapeDefaults>
  <w:footnotePr>
    <w:footnote w:id="-1"/>
    <w:footnote w:id="0"/>
  </w:footnotePr>
  <w:endnotePr>
    <w:endnote w:id="-1"/>
    <w:endnote w:id="0"/>
  </w:endnotePr>
  <w:compat/>
  <w:rsids>
    <w:rsidRoot w:val="006D7C4F"/>
    <w:rsid w:val="000324CD"/>
    <w:rsid w:val="0007705B"/>
    <w:rsid w:val="0009524C"/>
    <w:rsid w:val="00100CA2"/>
    <w:rsid w:val="00111EFD"/>
    <w:rsid w:val="00134073"/>
    <w:rsid w:val="00140A1C"/>
    <w:rsid w:val="001520ED"/>
    <w:rsid w:val="00186B3E"/>
    <w:rsid w:val="001A7ABB"/>
    <w:rsid w:val="001E25D6"/>
    <w:rsid w:val="001F05FC"/>
    <w:rsid w:val="002038D9"/>
    <w:rsid w:val="00297E66"/>
    <w:rsid w:val="002E652A"/>
    <w:rsid w:val="002F4006"/>
    <w:rsid w:val="00325781"/>
    <w:rsid w:val="00367DC5"/>
    <w:rsid w:val="0037382E"/>
    <w:rsid w:val="003F7386"/>
    <w:rsid w:val="00401CB3"/>
    <w:rsid w:val="00473CD7"/>
    <w:rsid w:val="0048006C"/>
    <w:rsid w:val="00492675"/>
    <w:rsid w:val="00497299"/>
    <w:rsid w:val="004E35BE"/>
    <w:rsid w:val="00527FB0"/>
    <w:rsid w:val="00543C37"/>
    <w:rsid w:val="00545326"/>
    <w:rsid w:val="00552E00"/>
    <w:rsid w:val="00572682"/>
    <w:rsid w:val="005F1C64"/>
    <w:rsid w:val="00605BEF"/>
    <w:rsid w:val="006754B4"/>
    <w:rsid w:val="006814E0"/>
    <w:rsid w:val="006D7C4F"/>
    <w:rsid w:val="006E6F1B"/>
    <w:rsid w:val="007065BC"/>
    <w:rsid w:val="00780CD0"/>
    <w:rsid w:val="007B08C5"/>
    <w:rsid w:val="007D13CA"/>
    <w:rsid w:val="007E5E29"/>
    <w:rsid w:val="00800535"/>
    <w:rsid w:val="00824CDD"/>
    <w:rsid w:val="00833F7B"/>
    <w:rsid w:val="00867851"/>
    <w:rsid w:val="00885AE9"/>
    <w:rsid w:val="008E149B"/>
    <w:rsid w:val="008F7C6C"/>
    <w:rsid w:val="00920A14"/>
    <w:rsid w:val="009670DF"/>
    <w:rsid w:val="009C7F69"/>
    <w:rsid w:val="009F0F5E"/>
    <w:rsid w:val="009F6CF3"/>
    <w:rsid w:val="00A1346C"/>
    <w:rsid w:val="00A242F7"/>
    <w:rsid w:val="00A40127"/>
    <w:rsid w:val="00A56A11"/>
    <w:rsid w:val="00A72C4A"/>
    <w:rsid w:val="00A86B27"/>
    <w:rsid w:val="00AB3AC3"/>
    <w:rsid w:val="00AC2F9B"/>
    <w:rsid w:val="00B041B7"/>
    <w:rsid w:val="00B21C62"/>
    <w:rsid w:val="00B26ECA"/>
    <w:rsid w:val="00B40BC0"/>
    <w:rsid w:val="00B47110"/>
    <w:rsid w:val="00BB6344"/>
    <w:rsid w:val="00BD28CA"/>
    <w:rsid w:val="00C10C80"/>
    <w:rsid w:val="00C10EC6"/>
    <w:rsid w:val="00C26A74"/>
    <w:rsid w:val="00C54FDA"/>
    <w:rsid w:val="00C5585C"/>
    <w:rsid w:val="00C84A92"/>
    <w:rsid w:val="00CC4325"/>
    <w:rsid w:val="00CF1352"/>
    <w:rsid w:val="00D137C8"/>
    <w:rsid w:val="00D2012E"/>
    <w:rsid w:val="00D52541"/>
    <w:rsid w:val="00D5279B"/>
    <w:rsid w:val="00D53EE1"/>
    <w:rsid w:val="00D86E4B"/>
    <w:rsid w:val="00D97424"/>
    <w:rsid w:val="00DD3F62"/>
    <w:rsid w:val="00DE0346"/>
    <w:rsid w:val="00E2456E"/>
    <w:rsid w:val="00E278D5"/>
    <w:rsid w:val="00E6704A"/>
    <w:rsid w:val="00EC07F6"/>
    <w:rsid w:val="00ED4A0A"/>
    <w:rsid w:val="00F669AC"/>
    <w:rsid w:val="00F84677"/>
    <w:rsid w:val="00F87387"/>
    <w:rsid w:val="00F929BE"/>
    <w:rsid w:val="00FC5648"/>
    <w:rsid w:val="00FC5EB2"/>
    <w:rsid w:val="00FD7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b2b2b2,#c00,#b9dcff"/>
      <o:colormenu v:ext="edit" fillcolor="none" strokecolor="black"/>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781"/>
    <w:rPr>
      <w:sz w:val="24"/>
      <w:szCs w:val="24"/>
    </w:rPr>
  </w:style>
  <w:style w:type="paragraph" w:styleId="Heading1">
    <w:name w:val="heading 1"/>
    <w:basedOn w:val="Normal"/>
    <w:next w:val="Normal"/>
    <w:qFormat/>
    <w:rsid w:val="00325781"/>
    <w:pPr>
      <w:keepNext/>
      <w:pageBreakBefore/>
      <w:spacing w:before="240" w:after="160"/>
      <w:jc w:val="center"/>
      <w:outlineLvl w:val="0"/>
    </w:pPr>
    <w:rPr>
      <w:rFonts w:ascii="Arial Bold" w:hAnsi="Arial Bold"/>
      <w:b/>
      <w:bCs/>
      <w:smallCaps/>
      <w:sz w:val="32"/>
      <w:szCs w:val="28"/>
    </w:rPr>
  </w:style>
  <w:style w:type="paragraph" w:styleId="Heading2">
    <w:name w:val="heading 2"/>
    <w:basedOn w:val="Normal"/>
    <w:next w:val="BodyTextIndent"/>
    <w:link w:val="Heading2Char"/>
    <w:qFormat/>
    <w:rsid w:val="00EC07F6"/>
    <w:pPr>
      <w:keepNext/>
      <w:spacing w:before="120" w:after="120"/>
      <w:ind w:left="547" w:hanging="547"/>
      <w:outlineLvl w:val="1"/>
    </w:pPr>
    <w:rPr>
      <w:rFonts w:ascii="Arial" w:hAnsi="Arial"/>
      <w:b/>
      <w:sz w:val="26"/>
    </w:rPr>
  </w:style>
  <w:style w:type="paragraph" w:styleId="Heading3">
    <w:name w:val="heading 3"/>
    <w:basedOn w:val="Normal"/>
    <w:next w:val="Normal"/>
    <w:link w:val="Heading3Char"/>
    <w:qFormat/>
    <w:rsid w:val="00EC07F6"/>
    <w:pPr>
      <w:spacing w:before="120" w:after="120"/>
      <w:outlineLvl w:val="2"/>
    </w:pPr>
    <w:rPr>
      <w:rFonts w:ascii="Arial" w:hAnsi="Arial"/>
      <w:b/>
      <w:bCs/>
      <w:i/>
      <w:sz w:val="22"/>
      <w:szCs w:val="22"/>
    </w:rPr>
  </w:style>
  <w:style w:type="paragraph" w:styleId="Heading4">
    <w:name w:val="heading 4"/>
    <w:basedOn w:val="Normal"/>
    <w:next w:val="Normal"/>
    <w:qFormat/>
    <w:rsid w:val="00A72C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C4A"/>
    <w:pPr>
      <w:autoSpaceDE w:val="0"/>
      <w:autoSpaceDN w:val="0"/>
      <w:adjustRightInd w:val="0"/>
    </w:pPr>
    <w:rPr>
      <w:rFonts w:ascii="Univers" w:hAnsi="Univers" w:cs="Univers"/>
      <w:color w:val="000000"/>
      <w:sz w:val="24"/>
      <w:szCs w:val="24"/>
    </w:rPr>
  </w:style>
  <w:style w:type="paragraph" w:customStyle="1" w:styleId="CM50">
    <w:name w:val="CM50"/>
    <w:basedOn w:val="Default"/>
    <w:next w:val="Default"/>
    <w:rsid w:val="00A72C4A"/>
    <w:pPr>
      <w:spacing w:after="115"/>
    </w:pPr>
    <w:rPr>
      <w:rFonts w:cs="Times New Roman"/>
      <w:color w:val="auto"/>
    </w:rPr>
  </w:style>
  <w:style w:type="paragraph" w:styleId="BodyText">
    <w:name w:val="Body Text"/>
    <w:basedOn w:val="Normal"/>
    <w:link w:val="BodyTextChar1"/>
    <w:rsid w:val="00EC07F6"/>
    <w:pPr>
      <w:spacing w:after="120"/>
    </w:pPr>
  </w:style>
  <w:style w:type="paragraph" w:styleId="Header">
    <w:name w:val="header"/>
    <w:basedOn w:val="Normal"/>
    <w:link w:val="HeaderChar"/>
    <w:rsid w:val="00325781"/>
    <w:pPr>
      <w:shd w:val="thinHorzStripe" w:color="C0C0C0" w:fill="auto"/>
      <w:spacing w:before="60" w:after="240"/>
      <w:jc w:val="center"/>
    </w:pPr>
    <w:rPr>
      <w:rFonts w:ascii="Stone Sans" w:hAnsi="Stone Sans"/>
      <w:b/>
      <w:color w:val="808080"/>
      <w:szCs w:val="20"/>
      <w:shd w:val="clear" w:color="C0C0C0" w:fill="auto"/>
    </w:rPr>
  </w:style>
  <w:style w:type="character" w:customStyle="1" w:styleId="HeaderChar">
    <w:name w:val="Header Char"/>
    <w:basedOn w:val="DefaultParagraphFont"/>
    <w:link w:val="Header"/>
    <w:rsid w:val="00A72C4A"/>
    <w:rPr>
      <w:rFonts w:ascii="Stone Sans" w:hAnsi="Stone Sans"/>
      <w:b/>
      <w:color w:val="808080"/>
      <w:sz w:val="24"/>
      <w:shd w:val="clear" w:color="C0C0C0" w:fill="auto"/>
      <w:lang w:val="en-US" w:eastAsia="en-US" w:bidi="ar-SA"/>
    </w:rPr>
  </w:style>
  <w:style w:type="paragraph" w:styleId="Footer">
    <w:name w:val="footer"/>
    <w:basedOn w:val="Normal"/>
    <w:rsid w:val="00325781"/>
    <w:pPr>
      <w:tabs>
        <w:tab w:val="center" w:pos="4320"/>
        <w:tab w:val="right" w:pos="8640"/>
      </w:tabs>
    </w:pPr>
  </w:style>
  <w:style w:type="character" w:styleId="PageNumber">
    <w:name w:val="page number"/>
    <w:basedOn w:val="DefaultParagraphFont"/>
    <w:rsid w:val="00325781"/>
    <w:rPr>
      <w:rFonts w:ascii="Stone Sans" w:hAnsi="Stone Sans"/>
      <w:sz w:val="22"/>
    </w:rPr>
  </w:style>
  <w:style w:type="paragraph" w:styleId="FootnoteText">
    <w:name w:val="footnote text"/>
    <w:basedOn w:val="Normal"/>
    <w:semiHidden/>
    <w:rsid w:val="00325781"/>
    <w:rPr>
      <w:sz w:val="20"/>
      <w:szCs w:val="20"/>
    </w:rPr>
  </w:style>
  <w:style w:type="paragraph" w:customStyle="1" w:styleId="BulletSingle">
    <w:name w:val="Bullet Single"/>
    <w:basedOn w:val="Normal"/>
    <w:rsid w:val="00A72C4A"/>
    <w:pPr>
      <w:numPr>
        <w:numId w:val="1"/>
      </w:numPr>
      <w:tabs>
        <w:tab w:val="clear" w:pos="720"/>
      </w:tabs>
      <w:jc w:val="both"/>
    </w:pPr>
  </w:style>
  <w:style w:type="paragraph" w:customStyle="1" w:styleId="Graphic">
    <w:name w:val="Graphic"/>
    <w:basedOn w:val="BodyText"/>
    <w:rsid w:val="00A72C4A"/>
    <w:pPr>
      <w:jc w:val="center"/>
    </w:pPr>
  </w:style>
  <w:style w:type="paragraph" w:customStyle="1" w:styleId="SubheadingBold">
    <w:name w:val="Subheading Bold"/>
    <w:basedOn w:val="Normal"/>
    <w:link w:val="SubheadingBoldChar"/>
    <w:rsid w:val="00A72C4A"/>
    <w:pPr>
      <w:keepNext/>
      <w:spacing w:after="240"/>
    </w:pPr>
    <w:rPr>
      <w:b/>
      <w:color w:val="000000"/>
    </w:rPr>
  </w:style>
  <w:style w:type="table" w:styleId="TableGrid">
    <w:name w:val="Table Grid"/>
    <w:basedOn w:val="TableNormal"/>
    <w:rsid w:val="00325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5781"/>
    <w:rPr>
      <w:rFonts w:ascii="Tahoma" w:hAnsi="Tahoma" w:cs="Tahoma"/>
      <w:sz w:val="16"/>
      <w:szCs w:val="16"/>
    </w:rPr>
  </w:style>
  <w:style w:type="character" w:customStyle="1" w:styleId="Heading3Char">
    <w:name w:val="Heading 3 Char"/>
    <w:basedOn w:val="DefaultParagraphFont"/>
    <w:link w:val="Heading3"/>
    <w:rsid w:val="00EC07F6"/>
    <w:rPr>
      <w:rFonts w:ascii="Arial" w:hAnsi="Arial"/>
      <w:b/>
      <w:bCs/>
      <w:i/>
      <w:sz w:val="22"/>
      <w:szCs w:val="22"/>
    </w:rPr>
  </w:style>
  <w:style w:type="paragraph" w:customStyle="1" w:styleId="StyleStyleStyleStyleStyleStyleStyleArial16ptBoldCustomC">
    <w:name w:val="Style Style Style Style Style Style Style Arial 16 pt Bold Custom C..."/>
    <w:basedOn w:val="Normal"/>
    <w:rsid w:val="00A72C4A"/>
    <w:pPr>
      <w:shd w:val="clear" w:color="auto" w:fill="CCCCCC"/>
      <w:spacing w:before="100"/>
    </w:pPr>
    <w:rPr>
      <w:rFonts w:ascii="Arial" w:hAnsi="Arial" w:cs="Arial"/>
      <w:b/>
      <w:bCs/>
      <w:color w:val="008000"/>
      <w:kern w:val="28"/>
      <w:vertAlign w:val="superscript"/>
    </w:rPr>
  </w:style>
  <w:style w:type="character" w:customStyle="1" w:styleId="Style15">
    <w:name w:val="Style15"/>
    <w:basedOn w:val="Hyperlink"/>
    <w:rsid w:val="00A72C4A"/>
    <w:rPr>
      <w:color w:val="008000"/>
      <w:sz w:val="24"/>
      <w:szCs w:val="24"/>
      <w:u w:color="339900"/>
      <w:vertAlign w:val="baseline"/>
    </w:rPr>
  </w:style>
  <w:style w:type="character" w:styleId="Hyperlink">
    <w:name w:val="Hyperlink"/>
    <w:basedOn w:val="DefaultParagraphFont"/>
    <w:rsid w:val="00325781"/>
    <w:rPr>
      <w:color w:val="0000FF"/>
      <w:u w:val="single"/>
    </w:rPr>
  </w:style>
  <w:style w:type="character" w:styleId="FollowedHyperlink">
    <w:name w:val="FollowedHyperlink"/>
    <w:basedOn w:val="DefaultParagraphFont"/>
    <w:rsid w:val="00325781"/>
    <w:rPr>
      <w:color w:val="800080"/>
      <w:u w:val="single"/>
    </w:rPr>
  </w:style>
  <w:style w:type="paragraph" w:customStyle="1" w:styleId="StyleStyle2Right">
    <w:name w:val="Style Style2 + Right"/>
    <w:basedOn w:val="Normal"/>
    <w:rsid w:val="00A72C4A"/>
    <w:pPr>
      <w:widowControl w:val="0"/>
      <w:spacing w:line="266" w:lineRule="auto"/>
      <w:jc w:val="right"/>
    </w:pPr>
    <w:rPr>
      <w:rFonts w:ascii="Arial" w:hAnsi="Arial"/>
      <w:smallCaps/>
      <w:color w:val="008000"/>
      <w:kern w:val="28"/>
      <w:u w:val="thick" w:color="008000"/>
    </w:rPr>
  </w:style>
  <w:style w:type="character" w:customStyle="1" w:styleId="Style6">
    <w:name w:val="Style6"/>
    <w:basedOn w:val="FollowedHyperlink"/>
    <w:rsid w:val="00A72C4A"/>
    <w:rPr>
      <w:rFonts w:ascii="Times New Roman Bold" w:hAnsi="Times New Roman Bold"/>
      <w:sz w:val="32"/>
      <w:szCs w:val="32"/>
    </w:rPr>
  </w:style>
  <w:style w:type="paragraph" w:customStyle="1" w:styleId="Style12ptGreenNounderline">
    <w:name w:val="Style 12 pt Green No underline +"/>
    <w:basedOn w:val="Normal"/>
    <w:rsid w:val="00A72C4A"/>
    <w:pPr>
      <w:spacing w:before="100"/>
    </w:pPr>
    <w:rPr>
      <w:rFonts w:ascii="Arial" w:hAnsi="Arial" w:cs="Arial"/>
      <w:b/>
      <w:bCs/>
      <w:color w:val="008000"/>
      <w:kern w:val="28"/>
      <w:vertAlign w:val="superscript"/>
    </w:rPr>
  </w:style>
  <w:style w:type="paragraph" w:customStyle="1" w:styleId="Style21">
    <w:name w:val="Style21"/>
    <w:basedOn w:val="Normal"/>
    <w:rsid w:val="00A72C4A"/>
    <w:pPr>
      <w:numPr>
        <w:numId w:val="2"/>
      </w:numPr>
      <w:shd w:val="clear" w:color="auto" w:fill="CCCCCC"/>
      <w:tabs>
        <w:tab w:val="left" w:pos="1800"/>
      </w:tabs>
      <w:spacing w:line="360" w:lineRule="auto"/>
      <w:ind w:right="885"/>
    </w:pPr>
    <w:rPr>
      <w:rFonts w:ascii="Arial" w:hAnsi="Arial" w:cs="Arial"/>
      <w:bCs/>
      <w:color w:val="0F0868"/>
      <w:kern w:val="28"/>
      <w:sz w:val="28"/>
      <w:szCs w:val="28"/>
    </w:rPr>
  </w:style>
  <w:style w:type="paragraph" w:customStyle="1" w:styleId="StyleArial14ptDarkTealRight59pxLinespacing15li">
    <w:name w:val="Style Arial 14 pt Dark Teal Right:  59 px Line spacing:  1.5 li..."/>
    <w:basedOn w:val="Normal"/>
    <w:rsid w:val="00325781"/>
    <w:pPr>
      <w:shd w:val="clear" w:color="auto" w:fill="999999"/>
      <w:spacing w:line="360" w:lineRule="auto"/>
      <w:ind w:right="885"/>
    </w:pPr>
    <w:rPr>
      <w:rFonts w:ascii="Arial" w:hAnsi="Arial"/>
      <w:color w:val="003366"/>
      <w:kern w:val="28"/>
      <w:sz w:val="28"/>
      <w:szCs w:val="28"/>
    </w:rPr>
  </w:style>
  <w:style w:type="paragraph" w:customStyle="1" w:styleId="StyleStyleArial16ptBoldCustomCTimesNewRomanCustomCol1">
    <w:name w:val="Style Style Arial 16 pt Bold Custom C + Times New Roman Custom Col...1"/>
    <w:next w:val="Normal"/>
    <w:rsid w:val="00A72C4A"/>
    <w:pPr>
      <w:shd w:val="clear" w:color="auto" w:fill="999999"/>
      <w:spacing w:before="105"/>
      <w:ind w:left="900" w:right="885"/>
    </w:pPr>
    <w:rPr>
      <w:rFonts w:ascii="Times New Roman Bold" w:hAnsi="Times New Roman Bold"/>
      <w:b/>
      <w:bCs/>
      <w:color w:val="CC0033"/>
      <w:kern w:val="28"/>
      <w:sz w:val="32"/>
      <w:szCs w:val="32"/>
      <w:u w:val="thick" w:color="CC0000"/>
    </w:rPr>
  </w:style>
  <w:style w:type="paragraph" w:customStyle="1" w:styleId="StyleArial14ptBoldDarkTealJustifiedLeft60pxRight">
    <w:name w:val="Style Arial 14 pt Bold Dark Teal Justified Left:  60 px Right..."/>
    <w:basedOn w:val="Normal"/>
    <w:rsid w:val="00A72C4A"/>
    <w:pPr>
      <w:ind w:left="900" w:right="885"/>
      <w:jc w:val="both"/>
    </w:pPr>
    <w:rPr>
      <w:rFonts w:ascii="Arial" w:hAnsi="Arial"/>
      <w:bCs/>
      <w:color w:val="003366"/>
      <w:kern w:val="28"/>
      <w:sz w:val="28"/>
      <w:szCs w:val="28"/>
    </w:rPr>
  </w:style>
  <w:style w:type="paragraph" w:customStyle="1" w:styleId="StyleStyle21DarkTeal">
    <w:name w:val="Style Style21 + Dark Teal"/>
    <w:basedOn w:val="Style21"/>
    <w:rsid w:val="00A72C4A"/>
    <w:pPr>
      <w:numPr>
        <w:numId w:val="0"/>
      </w:numPr>
      <w:shd w:val="clear" w:color="auto" w:fill="999999"/>
    </w:pPr>
    <w:rPr>
      <w:rFonts w:cs="Times New Roman"/>
      <w:bCs w:val="0"/>
      <w:color w:val="003366"/>
    </w:rPr>
  </w:style>
  <w:style w:type="character" w:customStyle="1" w:styleId="Style1">
    <w:name w:val="Style1"/>
    <w:basedOn w:val="DefaultParagraphFont"/>
    <w:rsid w:val="00A72C4A"/>
    <w:rPr>
      <w:rFonts w:ascii="Times New Roman Bold" w:hAnsi="Times New Roman Bold" w:cs="Arial"/>
      <w:b/>
      <w:bCs/>
      <w:color w:val="CC0033"/>
      <w:sz w:val="32"/>
      <w:szCs w:val="28"/>
      <w:u w:val="thick" w:color="CC0033"/>
    </w:rPr>
  </w:style>
  <w:style w:type="paragraph" w:customStyle="1" w:styleId="Style2">
    <w:name w:val="Style2"/>
    <w:basedOn w:val="StyleStyle21DarkTeal"/>
    <w:rsid w:val="00A72C4A"/>
    <w:pPr>
      <w:tabs>
        <w:tab w:val="left" w:pos="705"/>
        <w:tab w:val="left" w:pos="11315"/>
      </w:tabs>
      <w:ind w:right="660"/>
    </w:pPr>
    <w:rPr>
      <w:rFonts w:ascii="Wingdings" w:hAnsi="Wingdings"/>
      <w:u w:color="969696"/>
    </w:rPr>
  </w:style>
  <w:style w:type="character" w:customStyle="1" w:styleId="Style3">
    <w:name w:val="Style3"/>
    <w:basedOn w:val="DefaultParagraphFont"/>
    <w:rsid w:val="00A72C4A"/>
    <w:rPr>
      <w:rFonts w:ascii="Times New Roman" w:hAnsi="Times New Roman"/>
      <w:b/>
      <w:bCs/>
      <w:color w:val="CC003A"/>
      <w:sz w:val="32"/>
      <w:szCs w:val="32"/>
      <w:u w:val="thick" w:color="CC0000"/>
      <w:shd w:val="clear" w:color="auto" w:fill="999999"/>
    </w:rPr>
  </w:style>
  <w:style w:type="paragraph" w:customStyle="1" w:styleId="StyleStyle12CustomColorRGB511530CustomColorRGB5115">
    <w:name w:val="Style Style12 + Custom Color(RGB(511530)) Custom Color(RGB(5115..."/>
    <w:basedOn w:val="Normal"/>
    <w:rsid w:val="00A72C4A"/>
    <w:pPr>
      <w:ind w:left="900" w:right="660"/>
      <w:jc w:val="right"/>
    </w:pPr>
    <w:rPr>
      <w:rFonts w:ascii="Arial" w:hAnsi="Arial"/>
      <w:b/>
      <w:bCs/>
      <w:smallCaps/>
      <w:color w:val="339900"/>
      <w:kern w:val="28"/>
      <w:u w:val="thick" w:color="339900"/>
    </w:rPr>
  </w:style>
  <w:style w:type="paragraph" w:customStyle="1" w:styleId="Level1">
    <w:name w:val="Level 1"/>
    <w:basedOn w:val="Normal"/>
    <w:rsid w:val="00A72C4A"/>
    <w:pPr>
      <w:widowControl w:val="0"/>
      <w:autoSpaceDE w:val="0"/>
      <w:autoSpaceDN w:val="0"/>
      <w:adjustRightInd w:val="0"/>
      <w:ind w:left="2160" w:hanging="720"/>
    </w:pPr>
  </w:style>
  <w:style w:type="paragraph" w:styleId="BodyTextIndent2">
    <w:name w:val="Body Text Indent 2"/>
    <w:basedOn w:val="Normal"/>
    <w:rsid w:val="00A72C4A"/>
    <w:pPr>
      <w:spacing w:after="120" w:line="480" w:lineRule="auto"/>
      <w:ind w:left="360"/>
    </w:pPr>
  </w:style>
  <w:style w:type="paragraph" w:styleId="Title">
    <w:name w:val="Title"/>
    <w:basedOn w:val="Normal"/>
    <w:qFormat/>
    <w:rsid w:val="00325781"/>
    <w:pPr>
      <w:pBdr>
        <w:bottom w:val="dashSmallGap" w:sz="6" w:space="1" w:color="auto"/>
      </w:pBdr>
      <w:jc w:val="center"/>
    </w:pPr>
    <w:rPr>
      <w:rFonts w:ascii="Stone Sans Bold" w:hAnsi="Stone Sans Bold"/>
      <w:bCs/>
      <w:smallCaps/>
      <w:sz w:val="32"/>
      <w:szCs w:val="20"/>
    </w:rPr>
  </w:style>
  <w:style w:type="paragraph" w:styleId="CommentText">
    <w:name w:val="annotation text"/>
    <w:basedOn w:val="Normal"/>
    <w:semiHidden/>
    <w:rsid w:val="00325781"/>
    <w:rPr>
      <w:sz w:val="20"/>
      <w:szCs w:val="20"/>
    </w:rPr>
  </w:style>
  <w:style w:type="paragraph" w:styleId="BodyTextIndent">
    <w:name w:val="Body Text Indent"/>
    <w:basedOn w:val="Normal"/>
    <w:rsid w:val="00325781"/>
    <w:pPr>
      <w:spacing w:before="60" w:after="180"/>
      <w:ind w:left="540"/>
      <w:jc w:val="both"/>
    </w:pPr>
    <w:rPr>
      <w:rFonts w:ascii="Joanna MT" w:hAnsi="Joanna MT"/>
    </w:rPr>
  </w:style>
  <w:style w:type="paragraph" w:customStyle="1" w:styleId="CM51">
    <w:name w:val="CM51"/>
    <w:basedOn w:val="Default"/>
    <w:next w:val="Default"/>
    <w:rsid w:val="00A72C4A"/>
    <w:pPr>
      <w:spacing w:after="483"/>
    </w:pPr>
    <w:rPr>
      <w:rFonts w:cs="Times New Roman"/>
      <w:color w:val="auto"/>
    </w:rPr>
  </w:style>
  <w:style w:type="character" w:customStyle="1" w:styleId="Heading2Char">
    <w:name w:val="Heading 2 Char"/>
    <w:basedOn w:val="DefaultParagraphFont"/>
    <w:link w:val="Heading2"/>
    <w:rsid w:val="00EC07F6"/>
    <w:rPr>
      <w:rFonts w:ascii="Arial" w:hAnsi="Arial"/>
      <w:b/>
      <w:sz w:val="26"/>
      <w:szCs w:val="24"/>
    </w:rPr>
  </w:style>
  <w:style w:type="paragraph" w:styleId="CommentSubject">
    <w:name w:val="annotation subject"/>
    <w:basedOn w:val="CommentText"/>
    <w:next w:val="CommentText"/>
    <w:semiHidden/>
    <w:rsid w:val="00325781"/>
    <w:rPr>
      <w:b/>
      <w:bCs/>
    </w:rPr>
  </w:style>
  <w:style w:type="paragraph" w:customStyle="1" w:styleId="BulletDouble">
    <w:name w:val="Bullet Double"/>
    <w:basedOn w:val="BulletSingle"/>
    <w:rsid w:val="00A72C4A"/>
    <w:pPr>
      <w:numPr>
        <w:numId w:val="5"/>
      </w:numPr>
      <w:spacing w:after="180"/>
    </w:pPr>
  </w:style>
  <w:style w:type="paragraph" w:customStyle="1" w:styleId="BulletLast">
    <w:name w:val="Bullet Last"/>
    <w:basedOn w:val="BulletDouble"/>
    <w:rsid w:val="00A72C4A"/>
    <w:pPr>
      <w:spacing w:after="240"/>
    </w:pPr>
  </w:style>
  <w:style w:type="paragraph" w:customStyle="1" w:styleId="Checklist">
    <w:name w:val="Checklist"/>
    <w:basedOn w:val="Normal"/>
    <w:rsid w:val="00A72C4A"/>
    <w:pPr>
      <w:numPr>
        <w:numId w:val="3"/>
      </w:numPr>
      <w:tabs>
        <w:tab w:val="clear" w:pos="720"/>
        <w:tab w:val="num" w:pos="360"/>
      </w:tabs>
      <w:spacing w:after="180"/>
      <w:ind w:left="0" w:firstLine="0"/>
      <w:jc w:val="both"/>
    </w:pPr>
    <w:rPr>
      <w:color w:val="000000"/>
    </w:rPr>
  </w:style>
  <w:style w:type="paragraph" w:customStyle="1" w:styleId="Dash">
    <w:name w:val="Dash"/>
    <w:basedOn w:val="Normal"/>
    <w:rsid w:val="00A72C4A"/>
    <w:pPr>
      <w:numPr>
        <w:ilvl w:val="1"/>
        <w:numId w:val="4"/>
      </w:numPr>
      <w:tabs>
        <w:tab w:val="clear" w:pos="1440"/>
      </w:tabs>
      <w:ind w:left="1080"/>
    </w:pPr>
    <w:rPr>
      <w:color w:val="000000"/>
    </w:rPr>
  </w:style>
  <w:style w:type="paragraph" w:customStyle="1" w:styleId="FigureTitle">
    <w:name w:val="Figure Title"/>
    <w:basedOn w:val="Normal"/>
    <w:rsid w:val="00A72C4A"/>
    <w:pPr>
      <w:keepNext/>
      <w:spacing w:after="240"/>
      <w:jc w:val="center"/>
    </w:pPr>
    <w:rPr>
      <w:b/>
      <w:color w:val="000000"/>
    </w:rPr>
  </w:style>
  <w:style w:type="paragraph" w:customStyle="1" w:styleId="NumberedSubheading">
    <w:name w:val="Numbered Subheading"/>
    <w:basedOn w:val="Normal"/>
    <w:rsid w:val="00A72C4A"/>
    <w:pPr>
      <w:keepNext/>
      <w:spacing w:after="120"/>
    </w:pPr>
    <w:rPr>
      <w:b/>
      <w:color w:val="000000"/>
    </w:rPr>
  </w:style>
  <w:style w:type="paragraph" w:customStyle="1" w:styleId="Subheadinig">
    <w:name w:val="Subheadinig"/>
    <w:basedOn w:val="Normal"/>
    <w:rsid w:val="00A72C4A"/>
    <w:pPr>
      <w:keepNext/>
    </w:pPr>
    <w:rPr>
      <w:i/>
      <w:color w:val="000000"/>
    </w:rPr>
  </w:style>
  <w:style w:type="paragraph" w:customStyle="1" w:styleId="TableHeading">
    <w:name w:val="Table Heading"/>
    <w:basedOn w:val="Normal"/>
    <w:rsid w:val="00A72C4A"/>
    <w:pPr>
      <w:keepNext/>
      <w:spacing w:before="60" w:after="60"/>
      <w:jc w:val="center"/>
    </w:pPr>
    <w:rPr>
      <w:rFonts w:ascii="Arial" w:hAnsi="Arial" w:cs="Arial"/>
      <w:b/>
      <w:color w:val="000000"/>
      <w:sz w:val="20"/>
    </w:rPr>
  </w:style>
  <w:style w:type="paragraph" w:customStyle="1" w:styleId="TableText">
    <w:name w:val="Table Text"/>
    <w:basedOn w:val="BodyTextIndent"/>
    <w:rsid w:val="00325781"/>
    <w:pPr>
      <w:spacing w:before="40" w:after="40"/>
      <w:ind w:left="0"/>
      <w:jc w:val="left"/>
    </w:pPr>
    <w:rPr>
      <w:rFonts w:ascii="Arial" w:hAnsi="Arial"/>
      <w:sz w:val="20"/>
    </w:rPr>
  </w:style>
  <w:style w:type="paragraph" w:customStyle="1" w:styleId="Task">
    <w:name w:val="Task"/>
    <w:basedOn w:val="Normal"/>
    <w:rsid w:val="00A72C4A"/>
    <w:pPr>
      <w:keepNext/>
      <w:spacing w:after="180"/>
    </w:pPr>
    <w:rPr>
      <w:b/>
      <w:color w:val="000000"/>
    </w:rPr>
  </w:style>
  <w:style w:type="paragraph" w:styleId="TOC1">
    <w:name w:val="toc 1"/>
    <w:basedOn w:val="Normal"/>
    <w:next w:val="Normal"/>
    <w:autoRedefine/>
    <w:rsid w:val="00325781"/>
    <w:pPr>
      <w:tabs>
        <w:tab w:val="right" w:leader="dot" w:pos="9350"/>
      </w:tabs>
      <w:spacing w:before="120" w:after="60"/>
    </w:pPr>
    <w:rPr>
      <w:rFonts w:ascii="Stone Sans" w:hAnsi="Stone Sans"/>
      <w:b/>
      <w:sz w:val="22"/>
    </w:rPr>
  </w:style>
  <w:style w:type="paragraph" w:styleId="TOC2">
    <w:name w:val="toc 2"/>
    <w:basedOn w:val="Normal"/>
    <w:next w:val="Normal"/>
    <w:rsid w:val="00325781"/>
    <w:pPr>
      <w:tabs>
        <w:tab w:val="right" w:leader="dot" w:pos="9360"/>
      </w:tabs>
      <w:ind w:left="360"/>
    </w:pPr>
    <w:rPr>
      <w:rFonts w:ascii="Stone Sans" w:hAnsi="Stone Sans"/>
      <w:noProof/>
      <w:sz w:val="22"/>
    </w:rPr>
  </w:style>
  <w:style w:type="paragraph" w:styleId="TOC3">
    <w:name w:val="toc 3"/>
    <w:basedOn w:val="Normal"/>
    <w:next w:val="Normal"/>
    <w:autoRedefine/>
    <w:semiHidden/>
    <w:rsid w:val="00325781"/>
    <w:pPr>
      <w:tabs>
        <w:tab w:val="right" w:leader="dot" w:pos="10430"/>
      </w:tabs>
      <w:ind w:left="1260" w:hanging="360"/>
    </w:pPr>
    <w:rPr>
      <w:rFonts w:ascii="Stone Sans" w:hAnsi="Stone Sans"/>
      <w:sz w:val="22"/>
    </w:rPr>
  </w:style>
  <w:style w:type="character" w:customStyle="1" w:styleId="BulletLastChar">
    <w:name w:val="Bullet Last Char"/>
    <w:basedOn w:val="DefaultParagraphFont"/>
    <w:rsid w:val="00A72C4A"/>
    <w:rPr>
      <w:sz w:val="24"/>
      <w:szCs w:val="24"/>
      <w:lang w:val="en-US" w:eastAsia="en-US" w:bidi="ar-SA"/>
    </w:rPr>
  </w:style>
  <w:style w:type="character" w:styleId="CommentReference">
    <w:name w:val="annotation reference"/>
    <w:basedOn w:val="DefaultParagraphFont"/>
    <w:semiHidden/>
    <w:rsid w:val="00325781"/>
    <w:rPr>
      <w:sz w:val="16"/>
      <w:szCs w:val="16"/>
    </w:rPr>
  </w:style>
  <w:style w:type="character" w:customStyle="1" w:styleId="SubheadingBoldChar">
    <w:name w:val="Subheading Bold Char"/>
    <w:basedOn w:val="DefaultParagraphFont"/>
    <w:link w:val="SubheadingBold"/>
    <w:rsid w:val="00A72C4A"/>
    <w:rPr>
      <w:b/>
      <w:color w:val="000000"/>
      <w:sz w:val="24"/>
      <w:szCs w:val="24"/>
      <w:lang w:val="en-US" w:eastAsia="en-US" w:bidi="ar-SA"/>
    </w:rPr>
  </w:style>
  <w:style w:type="paragraph" w:customStyle="1" w:styleId="ODPTOC1">
    <w:name w:val="ODP:  TOC 1"/>
    <w:rsid w:val="00A72C4A"/>
    <w:pPr>
      <w:tabs>
        <w:tab w:val="right" w:leader="dot" w:pos="10440"/>
      </w:tabs>
      <w:spacing w:before="120" w:after="60"/>
    </w:pPr>
    <w:rPr>
      <w:rFonts w:ascii="Stone Sans" w:hAnsi="Stone Sans"/>
      <w:b/>
      <w:bCs/>
      <w:sz w:val="22"/>
    </w:rPr>
  </w:style>
  <w:style w:type="paragraph" w:customStyle="1" w:styleId="ODPTOC2">
    <w:name w:val="ODP:  TOC 2"/>
    <w:rsid w:val="00A72C4A"/>
    <w:pPr>
      <w:tabs>
        <w:tab w:val="right" w:leader="dot" w:pos="10440"/>
      </w:tabs>
      <w:ind w:left="1170" w:hanging="630"/>
    </w:pPr>
    <w:rPr>
      <w:rFonts w:ascii="Stone Sans" w:hAnsi="Stone Sans"/>
      <w:sz w:val="22"/>
    </w:rPr>
  </w:style>
  <w:style w:type="paragraph" w:customStyle="1" w:styleId="ODPSubject">
    <w:name w:val="ODP:  Subject"/>
    <w:rsid w:val="00325781"/>
    <w:pPr>
      <w:spacing w:before="120" w:after="180"/>
      <w:jc w:val="center"/>
    </w:pPr>
    <w:rPr>
      <w:rFonts w:ascii="Stone Sans" w:hAnsi="Stone Sans"/>
      <w:b/>
      <w:bCs/>
      <w:sz w:val="28"/>
    </w:rPr>
  </w:style>
  <w:style w:type="paragraph" w:customStyle="1" w:styleId="ODPSubjectList">
    <w:name w:val="ODP:  Subject List"/>
    <w:rsid w:val="00A72C4A"/>
    <w:pPr>
      <w:keepNext/>
      <w:shd w:val="clear" w:color="C0C0C0" w:fill="FFFFFF"/>
      <w:spacing w:before="120" w:after="60"/>
    </w:pPr>
    <w:rPr>
      <w:rFonts w:ascii="Stone Sans Bold" w:hAnsi="Stone Sans Bold" w:cs="Tahoma"/>
      <w:sz w:val="24"/>
      <w:lang w:val="fr-FR"/>
    </w:rPr>
  </w:style>
  <w:style w:type="paragraph" w:customStyle="1" w:styleId="ODPList">
    <w:name w:val="ODP:  List"/>
    <w:rsid w:val="00A72C4A"/>
    <w:pPr>
      <w:numPr>
        <w:numId w:val="6"/>
      </w:numPr>
      <w:spacing w:before="60" w:after="180"/>
    </w:pPr>
    <w:rPr>
      <w:rFonts w:ascii="Joanna MT" w:hAnsi="Joanna MT"/>
      <w:color w:val="000000"/>
      <w:sz w:val="24"/>
    </w:rPr>
  </w:style>
  <w:style w:type="paragraph" w:customStyle="1" w:styleId="ODPParaIndent">
    <w:name w:val="ODP:  Para Indent"/>
    <w:link w:val="ODPParaIndentChar"/>
    <w:rsid w:val="00325781"/>
    <w:pPr>
      <w:spacing w:before="60" w:after="180"/>
      <w:ind w:left="720"/>
      <w:jc w:val="both"/>
    </w:pPr>
    <w:rPr>
      <w:rFonts w:ascii="Joanna MT" w:hAnsi="Joanna MT"/>
      <w:sz w:val="24"/>
    </w:rPr>
  </w:style>
  <w:style w:type="paragraph" w:customStyle="1" w:styleId="ODPBulletDouble">
    <w:name w:val="ODP:  Bullet Double"/>
    <w:rsid w:val="00A72C4A"/>
    <w:pPr>
      <w:numPr>
        <w:numId w:val="14"/>
      </w:numPr>
      <w:spacing w:after="120"/>
      <w:jc w:val="both"/>
    </w:pPr>
    <w:rPr>
      <w:rFonts w:ascii="Joanna MT" w:hAnsi="Joanna MT"/>
      <w:color w:val="000000"/>
      <w:sz w:val="24"/>
    </w:rPr>
  </w:style>
  <w:style w:type="paragraph" w:customStyle="1" w:styleId="ODPHeader">
    <w:name w:val="ODP: Header"/>
    <w:rsid w:val="00A72C4A"/>
    <w:pPr>
      <w:shd w:val="thinHorzStripe" w:color="C0C0C0" w:fill="auto"/>
      <w:spacing w:before="60" w:after="240"/>
      <w:jc w:val="center"/>
    </w:pPr>
    <w:rPr>
      <w:rFonts w:ascii="Stone Sans" w:hAnsi="Stone Sans"/>
      <w:b/>
      <w:color w:val="808080"/>
      <w:sz w:val="24"/>
      <w:shd w:val="clear" w:color="C0C0C0" w:fill="auto"/>
    </w:rPr>
  </w:style>
  <w:style w:type="paragraph" w:customStyle="1" w:styleId="ODPTitle1">
    <w:name w:val="ODP:  Title 1"/>
    <w:link w:val="ODPTitle1Char"/>
    <w:rsid w:val="00A72C4A"/>
    <w:pPr>
      <w:pBdr>
        <w:bottom w:val="dashSmallGap" w:sz="6" w:space="1" w:color="auto"/>
      </w:pBdr>
      <w:jc w:val="center"/>
    </w:pPr>
    <w:rPr>
      <w:rFonts w:ascii="Stone Sans Bold" w:hAnsi="Stone Sans Bold"/>
      <w:bCs/>
      <w:smallCaps/>
      <w:sz w:val="32"/>
    </w:rPr>
  </w:style>
  <w:style w:type="character" w:customStyle="1" w:styleId="ODPTitle1Char">
    <w:name w:val="ODP:  Title 1 Char"/>
    <w:basedOn w:val="DefaultParagraphFont"/>
    <w:link w:val="ODPTitle1"/>
    <w:rsid w:val="00A72C4A"/>
    <w:rPr>
      <w:rFonts w:ascii="Stone Sans Bold" w:hAnsi="Stone Sans Bold"/>
      <w:bCs/>
      <w:smallCaps/>
      <w:sz w:val="32"/>
      <w:lang w:val="en-US" w:eastAsia="en-US" w:bidi="ar-SA"/>
    </w:rPr>
  </w:style>
  <w:style w:type="paragraph" w:customStyle="1" w:styleId="ODPIndent">
    <w:name w:val="ODP:  Indent"/>
    <w:rsid w:val="00A72C4A"/>
    <w:pPr>
      <w:tabs>
        <w:tab w:val="left" w:pos="720"/>
      </w:tabs>
      <w:ind w:left="1080"/>
    </w:pPr>
    <w:rPr>
      <w:rFonts w:ascii="Joanna MT" w:hAnsi="Joanna MT"/>
      <w:snapToGrid w:val="0"/>
      <w:sz w:val="24"/>
    </w:rPr>
  </w:style>
  <w:style w:type="paragraph" w:customStyle="1" w:styleId="ODPChapterName">
    <w:name w:val="ODP:  Chapter Name"/>
    <w:rsid w:val="00A72C4A"/>
    <w:pPr>
      <w:tabs>
        <w:tab w:val="right" w:pos="10440"/>
      </w:tabs>
    </w:pPr>
    <w:rPr>
      <w:rFonts w:ascii="Stone Sans" w:hAnsi="Stone Sans"/>
      <w:i/>
      <w:iCs/>
      <w:color w:val="000000"/>
    </w:rPr>
  </w:style>
  <w:style w:type="character" w:customStyle="1" w:styleId="ODPIDChar">
    <w:name w:val="ODP:  ID Char"/>
    <w:basedOn w:val="DefaultParagraphFont"/>
    <w:rsid w:val="00A72C4A"/>
    <w:rPr>
      <w:rFonts w:ascii="Joanna MT" w:hAnsi="Joanna MT"/>
      <w:sz w:val="12"/>
      <w:lang w:val="en-US" w:eastAsia="en-US" w:bidi="ar-SA"/>
    </w:rPr>
  </w:style>
  <w:style w:type="paragraph" w:customStyle="1" w:styleId="ODPPara">
    <w:name w:val="ODP:  Para"/>
    <w:link w:val="ODPParaChar"/>
    <w:rsid w:val="00325781"/>
    <w:pPr>
      <w:spacing w:before="60" w:after="180"/>
      <w:jc w:val="both"/>
    </w:pPr>
    <w:rPr>
      <w:rFonts w:ascii="Joanna MT" w:hAnsi="Joanna MT"/>
      <w:sz w:val="24"/>
    </w:rPr>
  </w:style>
  <w:style w:type="paragraph" w:customStyle="1" w:styleId="ODPPageNumber">
    <w:name w:val="ODP:  Page Number"/>
    <w:rsid w:val="00A72C4A"/>
    <w:pPr>
      <w:spacing w:before="120"/>
      <w:jc w:val="center"/>
    </w:pPr>
    <w:rPr>
      <w:rFonts w:ascii="Stone Sans" w:hAnsi="Stone Sans"/>
      <w:iCs/>
      <w:sz w:val="24"/>
    </w:rPr>
  </w:style>
  <w:style w:type="paragraph" w:customStyle="1" w:styleId="ODPID">
    <w:name w:val="ODP:  ID"/>
    <w:rsid w:val="00A72C4A"/>
    <w:rPr>
      <w:rFonts w:ascii="Joanna MT" w:hAnsi="Joanna MT"/>
      <w:sz w:val="12"/>
    </w:rPr>
  </w:style>
  <w:style w:type="paragraph" w:customStyle="1" w:styleId="ODPBulletSingle">
    <w:name w:val="ODP:  Bullet Single"/>
    <w:rsid w:val="00325781"/>
    <w:pPr>
      <w:numPr>
        <w:numId w:val="45"/>
      </w:numPr>
    </w:pPr>
    <w:rPr>
      <w:rFonts w:ascii="Joanna MT" w:hAnsi="Joanna MT"/>
      <w:bCs/>
      <w:sz w:val="24"/>
    </w:rPr>
  </w:style>
  <w:style w:type="paragraph" w:customStyle="1" w:styleId="InsideAddressName">
    <w:name w:val="Inside Address Name"/>
    <w:basedOn w:val="Normal"/>
    <w:next w:val="Normal"/>
    <w:rsid w:val="00A72C4A"/>
    <w:pPr>
      <w:spacing w:before="220" w:line="220" w:lineRule="atLeast"/>
      <w:jc w:val="both"/>
    </w:pPr>
    <w:rPr>
      <w:rFonts w:ascii="Arial" w:hAnsi="Arial"/>
      <w:spacing w:val="-5"/>
      <w:sz w:val="20"/>
    </w:rPr>
  </w:style>
  <w:style w:type="paragraph" w:customStyle="1" w:styleId="ODPTableText">
    <w:name w:val="ODP:  Table Text"/>
    <w:link w:val="ODPTableTextChar"/>
    <w:rsid w:val="00325781"/>
    <w:pPr>
      <w:spacing w:before="20" w:after="40"/>
      <w:ind w:left="158"/>
    </w:pPr>
    <w:rPr>
      <w:rFonts w:ascii="Stone Sans" w:hAnsi="Stone Sans"/>
    </w:rPr>
  </w:style>
  <w:style w:type="paragraph" w:customStyle="1" w:styleId="ODPTableTitle">
    <w:name w:val="ODP:  Table Title"/>
    <w:rsid w:val="00A72C4A"/>
    <w:pPr>
      <w:spacing w:before="20" w:after="40"/>
      <w:ind w:left="-115" w:right="-115" w:firstLine="14"/>
      <w:jc w:val="center"/>
    </w:pPr>
    <w:rPr>
      <w:rFonts w:ascii="Stone Sans" w:hAnsi="Stone Sans"/>
      <w:b/>
      <w:bCs/>
      <w:color w:val="FFFFFF"/>
      <w:sz w:val="22"/>
    </w:rPr>
  </w:style>
  <w:style w:type="paragraph" w:customStyle="1" w:styleId="ODPTitle2">
    <w:name w:val="ODP:  Title 2"/>
    <w:rsid w:val="00A72C4A"/>
    <w:pPr>
      <w:spacing w:after="240"/>
      <w:jc w:val="center"/>
    </w:pPr>
    <w:rPr>
      <w:rFonts w:ascii="Stone Sans" w:hAnsi="Stone Sans"/>
      <w:spacing w:val="-10"/>
      <w:sz w:val="24"/>
    </w:rPr>
  </w:style>
  <w:style w:type="paragraph" w:customStyle="1" w:styleId="StyleODPSubjectListCentered">
    <w:name w:val="Style ODP:  Subject List + Centered"/>
    <w:basedOn w:val="ODPSubjectList"/>
    <w:rsid w:val="00A72C4A"/>
    <w:pPr>
      <w:spacing w:before="60" w:after="180"/>
      <w:jc w:val="both"/>
    </w:pPr>
    <w:rPr>
      <w:rFonts w:ascii="Joanna MT" w:hAnsi="Joanna MT" w:cs="Times New Roman"/>
      <w:b/>
      <w:sz w:val="28"/>
    </w:rPr>
  </w:style>
  <w:style w:type="paragraph" w:customStyle="1" w:styleId="StyleODPPara14ptBold">
    <w:name w:val="Style ODP: Para + 14 pt Bold"/>
    <w:basedOn w:val="ODPPara"/>
    <w:rsid w:val="00A72C4A"/>
    <w:rPr>
      <w:b/>
      <w:sz w:val="28"/>
    </w:rPr>
  </w:style>
  <w:style w:type="paragraph" w:customStyle="1" w:styleId="ODPParaIndent0">
    <w:name w:val="ODP: Para Indent"/>
    <w:basedOn w:val="ODPParaIndent"/>
    <w:rsid w:val="00A72C4A"/>
    <w:pPr>
      <w:ind w:left="360"/>
    </w:pPr>
    <w:rPr>
      <w:b/>
    </w:rPr>
  </w:style>
  <w:style w:type="paragraph" w:customStyle="1" w:styleId="StyleODPBulletDoubleAfter9pt">
    <w:name w:val="Style ODP:  Bullet Double + After:  9 pt"/>
    <w:basedOn w:val="ODPBulletDouble"/>
    <w:rsid w:val="00A72C4A"/>
    <w:pPr>
      <w:spacing w:after="180"/>
      <w:contextualSpacing/>
    </w:pPr>
  </w:style>
  <w:style w:type="character" w:customStyle="1" w:styleId="ODPParaIndentChar">
    <w:name w:val="ODP:  Para Indent Char"/>
    <w:basedOn w:val="DefaultParagraphFont"/>
    <w:link w:val="ODPParaIndent"/>
    <w:rsid w:val="00325781"/>
    <w:rPr>
      <w:rFonts w:ascii="Joanna MT" w:hAnsi="Joanna MT"/>
      <w:sz w:val="24"/>
      <w:lang w:val="en-US" w:eastAsia="en-US" w:bidi="ar-SA"/>
    </w:rPr>
  </w:style>
  <w:style w:type="paragraph" w:customStyle="1" w:styleId="StyleODPBulletDoubleAfter0pt">
    <w:name w:val="Style ODP:  Bullet Double + After:  0 pt"/>
    <w:basedOn w:val="ODPBulletDouble"/>
    <w:rsid w:val="00A72C4A"/>
    <w:pPr>
      <w:spacing w:after="60"/>
    </w:pPr>
  </w:style>
  <w:style w:type="paragraph" w:customStyle="1" w:styleId="ODPTableText0">
    <w:name w:val="ODP: Table Text"/>
    <w:basedOn w:val="ODPPara"/>
    <w:rsid w:val="00A72C4A"/>
    <w:pPr>
      <w:jc w:val="center"/>
    </w:pPr>
    <w:rPr>
      <w:sz w:val="16"/>
      <w:szCs w:val="16"/>
    </w:rPr>
  </w:style>
  <w:style w:type="paragraph" w:customStyle="1" w:styleId="ODPParaInd2">
    <w:name w:val="ODP: Para Ind2"/>
    <w:basedOn w:val="ODPParaIndent"/>
    <w:link w:val="ODPParaInd2Char"/>
    <w:rsid w:val="00325781"/>
    <w:rPr>
      <w:bCs/>
    </w:rPr>
  </w:style>
  <w:style w:type="paragraph" w:styleId="NormalWeb">
    <w:name w:val="Normal (Web)"/>
    <w:basedOn w:val="Normal"/>
    <w:link w:val="NormalWebChar"/>
    <w:rsid w:val="00A72C4A"/>
    <w:pPr>
      <w:spacing w:before="100" w:beforeAutospacing="1" w:after="100" w:afterAutospacing="1"/>
    </w:pPr>
  </w:style>
  <w:style w:type="character" w:styleId="Emphasis">
    <w:name w:val="Emphasis"/>
    <w:basedOn w:val="DefaultParagraphFont"/>
    <w:qFormat/>
    <w:rsid w:val="00A72C4A"/>
    <w:rPr>
      <w:i/>
      <w:iCs/>
    </w:rPr>
  </w:style>
  <w:style w:type="character" w:customStyle="1" w:styleId="ODPParaInd2Char">
    <w:name w:val="ODP: Para Ind2 Char"/>
    <w:basedOn w:val="ODPParaIndentChar"/>
    <w:link w:val="ODPParaInd2"/>
    <w:rsid w:val="00325781"/>
    <w:rPr>
      <w:bCs/>
    </w:rPr>
  </w:style>
  <w:style w:type="character" w:customStyle="1" w:styleId="NormalWebChar">
    <w:name w:val="Normal (Web) Char"/>
    <w:basedOn w:val="DefaultParagraphFont"/>
    <w:link w:val="NormalWeb"/>
    <w:rsid w:val="00A72C4A"/>
    <w:rPr>
      <w:sz w:val="24"/>
      <w:szCs w:val="24"/>
      <w:lang w:val="en-US" w:eastAsia="en-US" w:bidi="ar-SA"/>
    </w:rPr>
  </w:style>
  <w:style w:type="character" w:customStyle="1" w:styleId="ODPParaChar">
    <w:name w:val="ODP:  Para Char"/>
    <w:basedOn w:val="DefaultParagraphFont"/>
    <w:link w:val="ODPPara"/>
    <w:rsid w:val="00325781"/>
    <w:rPr>
      <w:rFonts w:ascii="Joanna MT" w:hAnsi="Joanna MT"/>
      <w:sz w:val="24"/>
      <w:lang w:val="en-US" w:eastAsia="en-US" w:bidi="ar-SA"/>
    </w:rPr>
  </w:style>
  <w:style w:type="paragraph" w:styleId="ListBullet">
    <w:name w:val="List Bullet"/>
    <w:basedOn w:val="Normal"/>
    <w:link w:val="ListBulletChar1"/>
    <w:rsid w:val="00325781"/>
    <w:pPr>
      <w:numPr>
        <w:numId w:val="41"/>
      </w:numPr>
      <w:spacing w:after="120"/>
    </w:pPr>
  </w:style>
  <w:style w:type="character" w:customStyle="1" w:styleId="ODPTableTextChar">
    <w:name w:val="ODP:  Table Text Char"/>
    <w:basedOn w:val="DefaultParagraphFont"/>
    <w:link w:val="ODPTableText"/>
    <w:rsid w:val="00325781"/>
    <w:rPr>
      <w:rFonts w:ascii="Stone Sans" w:hAnsi="Stone Sans"/>
      <w:lang w:val="en-US" w:eastAsia="en-US" w:bidi="ar-SA"/>
    </w:rPr>
  </w:style>
  <w:style w:type="paragraph" w:styleId="Caption">
    <w:name w:val="caption"/>
    <w:basedOn w:val="Normal"/>
    <w:next w:val="Normal"/>
    <w:qFormat/>
    <w:rsid w:val="00325781"/>
    <w:pPr>
      <w:spacing w:after="120"/>
      <w:jc w:val="center"/>
    </w:pPr>
    <w:rPr>
      <w:b/>
      <w:bCs/>
      <w:szCs w:val="20"/>
    </w:rPr>
  </w:style>
  <w:style w:type="paragraph" w:styleId="NoSpacing">
    <w:name w:val="No Spacing"/>
    <w:qFormat/>
    <w:rsid w:val="00325781"/>
    <w:rPr>
      <w:rFonts w:ascii="Calibri" w:eastAsia="Calibri" w:hAnsi="Calibri"/>
      <w:sz w:val="22"/>
      <w:szCs w:val="22"/>
    </w:rPr>
  </w:style>
  <w:style w:type="paragraph" w:customStyle="1" w:styleId="Appendix">
    <w:name w:val="Appendix"/>
    <w:basedOn w:val="Title"/>
    <w:rsid w:val="00325781"/>
  </w:style>
  <w:style w:type="paragraph" w:customStyle="1" w:styleId="AppendixHead">
    <w:name w:val="Appendix Head"/>
    <w:basedOn w:val="Heading2"/>
    <w:rsid w:val="00325781"/>
  </w:style>
  <w:style w:type="paragraph" w:customStyle="1" w:styleId="Chapter">
    <w:name w:val="Chapter"/>
    <w:basedOn w:val="Normal"/>
    <w:rsid w:val="00325781"/>
    <w:rPr>
      <w:rFonts w:ascii="Stone Sans" w:hAnsi="Stone Sans"/>
      <w:i/>
      <w:sz w:val="20"/>
    </w:rPr>
  </w:style>
  <w:style w:type="paragraph" w:customStyle="1" w:styleId="Contents">
    <w:name w:val="Contents"/>
    <w:basedOn w:val="Subject"/>
    <w:rsid w:val="00325781"/>
    <w:pPr>
      <w:jc w:val="center"/>
    </w:pPr>
    <w:rPr>
      <w:rFonts w:ascii="Arial Bold" w:hAnsi="Arial Bold"/>
      <w:smallCaps/>
      <w:sz w:val="32"/>
    </w:rPr>
  </w:style>
  <w:style w:type="paragraph" w:customStyle="1" w:styleId="FooterFOUO">
    <w:name w:val="FooterFOUO"/>
    <w:basedOn w:val="Normal"/>
    <w:rsid w:val="00325781"/>
    <w:pPr>
      <w:jc w:val="center"/>
    </w:pPr>
    <w:rPr>
      <w:rFonts w:ascii="Stone Sans" w:hAnsi="Stone Sans"/>
      <w:b/>
    </w:rPr>
  </w:style>
  <w:style w:type="paragraph" w:customStyle="1" w:styleId="ListBulletLast">
    <w:name w:val="List Bullet Last"/>
    <w:basedOn w:val="ListBullet"/>
    <w:rsid w:val="00325781"/>
    <w:pPr>
      <w:numPr>
        <w:numId w:val="0"/>
      </w:numPr>
    </w:pPr>
  </w:style>
  <w:style w:type="paragraph" w:styleId="ListNumber">
    <w:name w:val="List Number"/>
    <w:basedOn w:val="Normal"/>
    <w:rsid w:val="00325781"/>
    <w:pPr>
      <w:numPr>
        <w:numId w:val="43"/>
      </w:numPr>
      <w:spacing w:before="60" w:after="120"/>
    </w:pPr>
    <w:rPr>
      <w:rFonts w:ascii="Joanna MT" w:hAnsi="Joanna MT"/>
    </w:rPr>
  </w:style>
  <w:style w:type="paragraph" w:styleId="ListNumber2">
    <w:name w:val="List Number 2"/>
    <w:basedOn w:val="Normal"/>
    <w:rsid w:val="00325781"/>
    <w:pPr>
      <w:numPr>
        <w:numId w:val="44"/>
      </w:numPr>
      <w:spacing w:before="60" w:after="120"/>
    </w:pPr>
    <w:rPr>
      <w:rFonts w:ascii="Joanna MT" w:hAnsi="Joanna MT"/>
    </w:rPr>
  </w:style>
  <w:style w:type="paragraph" w:customStyle="1" w:styleId="Location">
    <w:name w:val="Location"/>
    <w:basedOn w:val="Normal"/>
    <w:rsid w:val="00325781"/>
    <w:rPr>
      <w:rFonts w:ascii="Joanna MT" w:hAnsi="Joanna MT"/>
      <w:sz w:val="12"/>
    </w:rPr>
  </w:style>
  <w:style w:type="paragraph" w:customStyle="1" w:styleId="ReportTitle">
    <w:name w:val="Report Title"/>
    <w:basedOn w:val="Heading1"/>
    <w:rsid w:val="00325781"/>
    <w:pPr>
      <w:pBdr>
        <w:bottom w:val="single" w:sz="4" w:space="1" w:color="auto"/>
      </w:pBdr>
    </w:pPr>
    <w:rPr>
      <w:rFonts w:ascii="Stone Sans Bold" w:hAnsi="Stone Sans Bold"/>
      <w:sz w:val="52"/>
      <w:szCs w:val="52"/>
    </w:rPr>
  </w:style>
  <w:style w:type="paragraph" w:customStyle="1" w:styleId="SecondBodyTextIndent">
    <w:name w:val="Second Body Text Indent"/>
    <w:basedOn w:val="BodyTextIndent"/>
    <w:rsid w:val="00325781"/>
    <w:pPr>
      <w:ind w:left="1080"/>
    </w:pPr>
  </w:style>
  <w:style w:type="paragraph" w:customStyle="1" w:styleId="Subject">
    <w:name w:val="Subject"/>
    <w:basedOn w:val="Normal"/>
    <w:rsid w:val="00325781"/>
    <w:pPr>
      <w:keepNext/>
      <w:spacing w:before="120" w:after="180"/>
    </w:pPr>
    <w:rPr>
      <w:rFonts w:ascii="Stone Sans" w:hAnsi="Stone Sans"/>
      <w:b/>
      <w:bCs/>
      <w:sz w:val="22"/>
      <w:szCs w:val="22"/>
    </w:rPr>
  </w:style>
  <w:style w:type="paragraph" w:styleId="Subtitle">
    <w:name w:val="Subtitle"/>
    <w:basedOn w:val="Normal"/>
    <w:qFormat/>
    <w:rsid w:val="00325781"/>
    <w:pPr>
      <w:spacing w:after="240"/>
      <w:jc w:val="center"/>
    </w:pPr>
    <w:rPr>
      <w:rFonts w:ascii="Stone Sans" w:hAnsi="Stone Sans"/>
      <w:spacing w:val="-10"/>
      <w:szCs w:val="20"/>
    </w:rPr>
  </w:style>
  <w:style w:type="table" w:customStyle="1" w:styleId="Table">
    <w:name w:val="Table"/>
    <w:basedOn w:val="TableNormal"/>
    <w:rsid w:val="00325781"/>
    <w:rPr>
      <w:rFonts w:ascii="Stone Sans" w:hAnsi="Stone Sans"/>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FFFFFF"/>
      </w:rPr>
      <w:tblPr/>
      <w:tcPr>
        <w:tcBorders>
          <w:insideH w:val="single" w:sz="4" w:space="0" w:color="FFFFFF"/>
          <w:insideV w:val="single" w:sz="4" w:space="0" w:color="FFFFFF"/>
        </w:tcBorders>
        <w:shd w:val="clear" w:color="auto" w:fill="000000"/>
      </w:tcPr>
    </w:tblStylePr>
  </w:style>
  <w:style w:type="paragraph" w:customStyle="1" w:styleId="TableHead">
    <w:name w:val="TableHead"/>
    <w:basedOn w:val="BodyTextIndent"/>
    <w:rsid w:val="00325781"/>
    <w:pPr>
      <w:spacing w:before="20" w:after="20"/>
      <w:ind w:left="0"/>
      <w:jc w:val="center"/>
    </w:pPr>
    <w:rPr>
      <w:rFonts w:ascii="Stone Sans" w:hAnsi="Stone Sans"/>
      <w:b/>
      <w:color w:val="FFFFFF"/>
      <w:sz w:val="22"/>
    </w:rPr>
  </w:style>
  <w:style w:type="paragraph" w:customStyle="1" w:styleId="Theme">
    <w:name w:val="Theme"/>
    <w:next w:val="BodyTextIndent"/>
    <w:rsid w:val="00325781"/>
    <w:pPr>
      <w:shd w:val="clear" w:color="auto" w:fill="000000"/>
      <w:spacing w:before="120" w:after="120"/>
      <w:ind w:left="547"/>
      <w:jc w:val="center"/>
    </w:pPr>
    <w:rPr>
      <w:rFonts w:ascii="Stone Sans Bold" w:hAnsi="Stone Sans Bold"/>
      <w:color w:val="FFFFFF"/>
      <w:sz w:val="26"/>
      <w:szCs w:val="26"/>
    </w:rPr>
  </w:style>
  <w:style w:type="paragraph" w:styleId="ListBullet2">
    <w:name w:val="List Bullet 2"/>
    <w:basedOn w:val="Normal"/>
    <w:rsid w:val="00325781"/>
    <w:pPr>
      <w:numPr>
        <w:numId w:val="42"/>
      </w:numPr>
    </w:pPr>
  </w:style>
  <w:style w:type="character" w:customStyle="1" w:styleId="BodyTextChar1">
    <w:name w:val="Body Text Char1"/>
    <w:basedOn w:val="DefaultParagraphFont"/>
    <w:link w:val="BodyText"/>
    <w:rsid w:val="00EC07F6"/>
    <w:rPr>
      <w:sz w:val="24"/>
      <w:szCs w:val="24"/>
    </w:rPr>
  </w:style>
  <w:style w:type="paragraph" w:customStyle="1" w:styleId="Draft">
    <w:name w:val="Draft"/>
    <w:basedOn w:val="Header"/>
    <w:link w:val="DraftChar"/>
    <w:rsid w:val="00325781"/>
    <w:pPr>
      <w:shd w:val="clear" w:color="auto" w:fill="auto"/>
      <w:tabs>
        <w:tab w:val="center" w:pos="4680"/>
        <w:tab w:val="right" w:pos="9360"/>
      </w:tabs>
      <w:spacing w:before="0" w:after="0"/>
    </w:pPr>
    <w:rPr>
      <w:rFonts w:ascii="Verdana" w:hAnsi="Verdana" w:cs="Arial"/>
      <w:b w:val="0"/>
      <w:caps/>
      <w:color w:val="2E368F"/>
      <w:sz w:val="18"/>
      <w:szCs w:val="18"/>
      <w:shd w:val="clear" w:color="auto" w:fill="auto"/>
    </w:rPr>
  </w:style>
  <w:style w:type="character" w:customStyle="1" w:styleId="DraftChar">
    <w:name w:val="Draft Char"/>
    <w:basedOn w:val="DefaultParagraphFont"/>
    <w:link w:val="Draft"/>
    <w:rsid w:val="00325781"/>
    <w:rPr>
      <w:rFonts w:ascii="Verdana" w:hAnsi="Verdana" w:cs="Arial"/>
      <w:caps/>
      <w:color w:val="2E368F"/>
      <w:sz w:val="18"/>
      <w:szCs w:val="18"/>
      <w:lang w:val="en-US" w:eastAsia="en-US" w:bidi="ar-SA"/>
    </w:rPr>
  </w:style>
  <w:style w:type="character" w:styleId="FootnoteReference">
    <w:name w:val="footnote reference"/>
    <w:basedOn w:val="DefaultParagraphFont"/>
    <w:semiHidden/>
    <w:rsid w:val="00325781"/>
    <w:rPr>
      <w:vertAlign w:val="superscript"/>
    </w:rPr>
  </w:style>
  <w:style w:type="paragraph" w:customStyle="1" w:styleId="HeadNoNum">
    <w:name w:val="HeadNoNum"/>
    <w:basedOn w:val="BodyText"/>
    <w:link w:val="HeadNoNumChar"/>
    <w:rsid w:val="00325781"/>
    <w:pPr>
      <w:keepNext/>
    </w:pPr>
    <w:rPr>
      <w:b/>
    </w:rPr>
  </w:style>
  <w:style w:type="character" w:customStyle="1" w:styleId="HeadNoNumChar">
    <w:name w:val="HeadNoNum Char"/>
    <w:basedOn w:val="BodyTextChar1"/>
    <w:link w:val="HeadNoNum"/>
    <w:rsid w:val="00325781"/>
    <w:rPr>
      <w:b/>
    </w:rPr>
  </w:style>
  <w:style w:type="character" w:customStyle="1" w:styleId="ListBulletChar">
    <w:name w:val="List Bullet Char"/>
    <w:basedOn w:val="DefaultParagraphFont"/>
    <w:rsid w:val="00325781"/>
    <w:rPr>
      <w:sz w:val="24"/>
      <w:szCs w:val="24"/>
      <w:lang w:val="en-US" w:eastAsia="en-US" w:bidi="ar-SA"/>
    </w:rPr>
  </w:style>
  <w:style w:type="character" w:customStyle="1" w:styleId="ListBulletChar1">
    <w:name w:val="List Bullet Char1"/>
    <w:basedOn w:val="DefaultParagraphFont"/>
    <w:link w:val="ListBullet"/>
    <w:rsid w:val="00325781"/>
    <w:rPr>
      <w:sz w:val="24"/>
      <w:szCs w:val="24"/>
      <w:lang w:val="en-US" w:eastAsia="en-US" w:bidi="ar-SA"/>
    </w:rPr>
  </w:style>
  <w:style w:type="paragraph" w:styleId="PlainText">
    <w:name w:val="Plain Text"/>
    <w:basedOn w:val="Normal"/>
    <w:link w:val="PlainTextChar"/>
    <w:rsid w:val="00325781"/>
    <w:rPr>
      <w:rFonts w:ascii="Consolas" w:hAnsi="Consolas"/>
      <w:sz w:val="20"/>
      <w:szCs w:val="20"/>
    </w:rPr>
  </w:style>
  <w:style w:type="character" w:customStyle="1" w:styleId="PlainTextChar">
    <w:name w:val="Plain Text Char"/>
    <w:basedOn w:val="DefaultParagraphFont"/>
    <w:link w:val="PlainText"/>
    <w:rsid w:val="00325781"/>
    <w:rPr>
      <w:rFonts w:ascii="Consolas" w:hAnsi="Consolas"/>
      <w:lang w:bidi="ar-SA"/>
    </w:rPr>
  </w:style>
  <w:style w:type="paragraph" w:customStyle="1" w:styleId="SampleHead">
    <w:name w:val="Sample Head"/>
    <w:basedOn w:val="Heading2"/>
    <w:rsid w:val="00325781"/>
  </w:style>
  <w:style w:type="paragraph" w:customStyle="1" w:styleId="Tabletext0">
    <w:name w:val="Table text"/>
    <w:basedOn w:val="Normal"/>
    <w:rsid w:val="00325781"/>
    <w:pPr>
      <w:spacing w:before="40" w:after="40"/>
    </w:pPr>
    <w:rPr>
      <w:rFonts w:ascii="Arial" w:hAnsi="Arial" w:cs="Arial"/>
      <w:bCs/>
      <w:sz w:val="20"/>
      <w:szCs w:val="20"/>
    </w:rPr>
  </w:style>
  <w:style w:type="character" w:customStyle="1" w:styleId="BodyTextChar">
    <w:name w:val="Body Text Char"/>
    <w:basedOn w:val="DefaultParagraphFont"/>
    <w:rsid w:val="00473CD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hseep.dhs.gov/pages/1001_Toolk.aspx"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8095</Words>
  <Characters>51113</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59090</CharactersWithSpaces>
  <SharedDoc>false</SharedDoc>
  <HLinks>
    <vt:vector size="144" baseType="variant">
      <vt:variant>
        <vt:i4>6553695</vt:i4>
      </vt:variant>
      <vt:variant>
        <vt:i4>141</vt:i4>
      </vt:variant>
      <vt:variant>
        <vt:i4>0</vt:i4>
      </vt:variant>
      <vt:variant>
        <vt:i4>5</vt:i4>
      </vt:variant>
      <vt:variant>
        <vt:lpwstr>https://hseep.dhs.gov/pages/1001_Toolk.aspx</vt:lpwstr>
      </vt:variant>
      <vt:variant>
        <vt:lpwstr/>
      </vt:variant>
      <vt:variant>
        <vt:i4>1769524</vt:i4>
      </vt:variant>
      <vt:variant>
        <vt:i4>134</vt:i4>
      </vt:variant>
      <vt:variant>
        <vt:i4>0</vt:i4>
      </vt:variant>
      <vt:variant>
        <vt:i4>5</vt:i4>
      </vt:variant>
      <vt:variant>
        <vt:lpwstr/>
      </vt:variant>
      <vt:variant>
        <vt:lpwstr>_Toc244318332</vt:lpwstr>
      </vt:variant>
      <vt:variant>
        <vt:i4>1769524</vt:i4>
      </vt:variant>
      <vt:variant>
        <vt:i4>128</vt:i4>
      </vt:variant>
      <vt:variant>
        <vt:i4>0</vt:i4>
      </vt:variant>
      <vt:variant>
        <vt:i4>5</vt:i4>
      </vt:variant>
      <vt:variant>
        <vt:lpwstr/>
      </vt:variant>
      <vt:variant>
        <vt:lpwstr>_Toc244318331</vt:lpwstr>
      </vt:variant>
      <vt:variant>
        <vt:i4>1769524</vt:i4>
      </vt:variant>
      <vt:variant>
        <vt:i4>122</vt:i4>
      </vt:variant>
      <vt:variant>
        <vt:i4>0</vt:i4>
      </vt:variant>
      <vt:variant>
        <vt:i4>5</vt:i4>
      </vt:variant>
      <vt:variant>
        <vt:lpwstr/>
      </vt:variant>
      <vt:variant>
        <vt:lpwstr>_Toc244318330</vt:lpwstr>
      </vt:variant>
      <vt:variant>
        <vt:i4>1703988</vt:i4>
      </vt:variant>
      <vt:variant>
        <vt:i4>116</vt:i4>
      </vt:variant>
      <vt:variant>
        <vt:i4>0</vt:i4>
      </vt:variant>
      <vt:variant>
        <vt:i4>5</vt:i4>
      </vt:variant>
      <vt:variant>
        <vt:lpwstr/>
      </vt:variant>
      <vt:variant>
        <vt:lpwstr>_Toc244318329</vt:lpwstr>
      </vt:variant>
      <vt:variant>
        <vt:i4>1703988</vt:i4>
      </vt:variant>
      <vt:variant>
        <vt:i4>110</vt:i4>
      </vt:variant>
      <vt:variant>
        <vt:i4>0</vt:i4>
      </vt:variant>
      <vt:variant>
        <vt:i4>5</vt:i4>
      </vt:variant>
      <vt:variant>
        <vt:lpwstr/>
      </vt:variant>
      <vt:variant>
        <vt:lpwstr>_Toc244318328</vt:lpwstr>
      </vt:variant>
      <vt:variant>
        <vt:i4>1703988</vt:i4>
      </vt:variant>
      <vt:variant>
        <vt:i4>104</vt:i4>
      </vt:variant>
      <vt:variant>
        <vt:i4>0</vt:i4>
      </vt:variant>
      <vt:variant>
        <vt:i4>5</vt:i4>
      </vt:variant>
      <vt:variant>
        <vt:lpwstr/>
      </vt:variant>
      <vt:variant>
        <vt:lpwstr>_Toc244318327</vt:lpwstr>
      </vt:variant>
      <vt:variant>
        <vt:i4>1703988</vt:i4>
      </vt:variant>
      <vt:variant>
        <vt:i4>98</vt:i4>
      </vt:variant>
      <vt:variant>
        <vt:i4>0</vt:i4>
      </vt:variant>
      <vt:variant>
        <vt:i4>5</vt:i4>
      </vt:variant>
      <vt:variant>
        <vt:lpwstr/>
      </vt:variant>
      <vt:variant>
        <vt:lpwstr>_Toc244318326</vt:lpwstr>
      </vt:variant>
      <vt:variant>
        <vt:i4>1703988</vt:i4>
      </vt:variant>
      <vt:variant>
        <vt:i4>92</vt:i4>
      </vt:variant>
      <vt:variant>
        <vt:i4>0</vt:i4>
      </vt:variant>
      <vt:variant>
        <vt:i4>5</vt:i4>
      </vt:variant>
      <vt:variant>
        <vt:lpwstr/>
      </vt:variant>
      <vt:variant>
        <vt:lpwstr>_Toc244318325</vt:lpwstr>
      </vt:variant>
      <vt:variant>
        <vt:i4>1703988</vt:i4>
      </vt:variant>
      <vt:variant>
        <vt:i4>86</vt:i4>
      </vt:variant>
      <vt:variant>
        <vt:i4>0</vt:i4>
      </vt:variant>
      <vt:variant>
        <vt:i4>5</vt:i4>
      </vt:variant>
      <vt:variant>
        <vt:lpwstr/>
      </vt:variant>
      <vt:variant>
        <vt:lpwstr>_Toc244318324</vt:lpwstr>
      </vt:variant>
      <vt:variant>
        <vt:i4>1703988</vt:i4>
      </vt:variant>
      <vt:variant>
        <vt:i4>80</vt:i4>
      </vt:variant>
      <vt:variant>
        <vt:i4>0</vt:i4>
      </vt:variant>
      <vt:variant>
        <vt:i4>5</vt:i4>
      </vt:variant>
      <vt:variant>
        <vt:lpwstr/>
      </vt:variant>
      <vt:variant>
        <vt:lpwstr>_Toc244318323</vt:lpwstr>
      </vt:variant>
      <vt:variant>
        <vt:i4>1703988</vt:i4>
      </vt:variant>
      <vt:variant>
        <vt:i4>74</vt:i4>
      </vt:variant>
      <vt:variant>
        <vt:i4>0</vt:i4>
      </vt:variant>
      <vt:variant>
        <vt:i4>5</vt:i4>
      </vt:variant>
      <vt:variant>
        <vt:lpwstr/>
      </vt:variant>
      <vt:variant>
        <vt:lpwstr>_Toc244318322</vt:lpwstr>
      </vt:variant>
      <vt:variant>
        <vt:i4>1703988</vt:i4>
      </vt:variant>
      <vt:variant>
        <vt:i4>68</vt:i4>
      </vt:variant>
      <vt:variant>
        <vt:i4>0</vt:i4>
      </vt:variant>
      <vt:variant>
        <vt:i4>5</vt:i4>
      </vt:variant>
      <vt:variant>
        <vt:lpwstr/>
      </vt:variant>
      <vt:variant>
        <vt:lpwstr>_Toc244318321</vt:lpwstr>
      </vt:variant>
      <vt:variant>
        <vt:i4>1703988</vt:i4>
      </vt:variant>
      <vt:variant>
        <vt:i4>62</vt:i4>
      </vt:variant>
      <vt:variant>
        <vt:i4>0</vt:i4>
      </vt:variant>
      <vt:variant>
        <vt:i4>5</vt:i4>
      </vt:variant>
      <vt:variant>
        <vt:lpwstr/>
      </vt:variant>
      <vt:variant>
        <vt:lpwstr>_Toc244318320</vt:lpwstr>
      </vt:variant>
      <vt:variant>
        <vt:i4>1638452</vt:i4>
      </vt:variant>
      <vt:variant>
        <vt:i4>56</vt:i4>
      </vt:variant>
      <vt:variant>
        <vt:i4>0</vt:i4>
      </vt:variant>
      <vt:variant>
        <vt:i4>5</vt:i4>
      </vt:variant>
      <vt:variant>
        <vt:lpwstr/>
      </vt:variant>
      <vt:variant>
        <vt:lpwstr>_Toc244318319</vt:lpwstr>
      </vt:variant>
      <vt:variant>
        <vt:i4>1638452</vt:i4>
      </vt:variant>
      <vt:variant>
        <vt:i4>50</vt:i4>
      </vt:variant>
      <vt:variant>
        <vt:i4>0</vt:i4>
      </vt:variant>
      <vt:variant>
        <vt:i4>5</vt:i4>
      </vt:variant>
      <vt:variant>
        <vt:lpwstr/>
      </vt:variant>
      <vt:variant>
        <vt:lpwstr>_Toc244318318</vt:lpwstr>
      </vt:variant>
      <vt:variant>
        <vt:i4>1638452</vt:i4>
      </vt:variant>
      <vt:variant>
        <vt:i4>44</vt:i4>
      </vt:variant>
      <vt:variant>
        <vt:i4>0</vt:i4>
      </vt:variant>
      <vt:variant>
        <vt:i4>5</vt:i4>
      </vt:variant>
      <vt:variant>
        <vt:lpwstr/>
      </vt:variant>
      <vt:variant>
        <vt:lpwstr>_Toc244318317</vt:lpwstr>
      </vt:variant>
      <vt:variant>
        <vt:i4>1638452</vt:i4>
      </vt:variant>
      <vt:variant>
        <vt:i4>38</vt:i4>
      </vt:variant>
      <vt:variant>
        <vt:i4>0</vt:i4>
      </vt:variant>
      <vt:variant>
        <vt:i4>5</vt:i4>
      </vt:variant>
      <vt:variant>
        <vt:lpwstr/>
      </vt:variant>
      <vt:variant>
        <vt:lpwstr>_Toc244318316</vt:lpwstr>
      </vt:variant>
      <vt:variant>
        <vt:i4>1638452</vt:i4>
      </vt:variant>
      <vt:variant>
        <vt:i4>32</vt:i4>
      </vt:variant>
      <vt:variant>
        <vt:i4>0</vt:i4>
      </vt:variant>
      <vt:variant>
        <vt:i4>5</vt:i4>
      </vt:variant>
      <vt:variant>
        <vt:lpwstr/>
      </vt:variant>
      <vt:variant>
        <vt:lpwstr>_Toc244318315</vt:lpwstr>
      </vt:variant>
      <vt:variant>
        <vt:i4>1638452</vt:i4>
      </vt:variant>
      <vt:variant>
        <vt:i4>26</vt:i4>
      </vt:variant>
      <vt:variant>
        <vt:i4>0</vt:i4>
      </vt:variant>
      <vt:variant>
        <vt:i4>5</vt:i4>
      </vt:variant>
      <vt:variant>
        <vt:lpwstr/>
      </vt:variant>
      <vt:variant>
        <vt:lpwstr>_Toc244318314</vt:lpwstr>
      </vt:variant>
      <vt:variant>
        <vt:i4>1638452</vt:i4>
      </vt:variant>
      <vt:variant>
        <vt:i4>20</vt:i4>
      </vt:variant>
      <vt:variant>
        <vt:i4>0</vt:i4>
      </vt:variant>
      <vt:variant>
        <vt:i4>5</vt:i4>
      </vt:variant>
      <vt:variant>
        <vt:lpwstr/>
      </vt:variant>
      <vt:variant>
        <vt:lpwstr>_Toc244318313</vt:lpwstr>
      </vt:variant>
      <vt:variant>
        <vt:i4>1638452</vt:i4>
      </vt:variant>
      <vt:variant>
        <vt:i4>14</vt:i4>
      </vt:variant>
      <vt:variant>
        <vt:i4>0</vt:i4>
      </vt:variant>
      <vt:variant>
        <vt:i4>5</vt:i4>
      </vt:variant>
      <vt:variant>
        <vt:lpwstr/>
      </vt:variant>
      <vt:variant>
        <vt:lpwstr>_Toc244318312</vt:lpwstr>
      </vt:variant>
      <vt:variant>
        <vt:i4>1638452</vt:i4>
      </vt:variant>
      <vt:variant>
        <vt:i4>8</vt:i4>
      </vt:variant>
      <vt:variant>
        <vt:i4>0</vt:i4>
      </vt:variant>
      <vt:variant>
        <vt:i4>5</vt:i4>
      </vt:variant>
      <vt:variant>
        <vt:lpwstr/>
      </vt:variant>
      <vt:variant>
        <vt:lpwstr>_Toc244318311</vt:lpwstr>
      </vt:variant>
      <vt:variant>
        <vt:i4>1638452</vt:i4>
      </vt:variant>
      <vt:variant>
        <vt:i4>2</vt:i4>
      </vt:variant>
      <vt:variant>
        <vt:i4>0</vt:i4>
      </vt:variant>
      <vt:variant>
        <vt:i4>5</vt:i4>
      </vt:variant>
      <vt:variant>
        <vt:lpwstr/>
      </vt:variant>
      <vt:variant>
        <vt:lpwstr>_Toc244318310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2009-10-02T19:40:00Z</cp:lastPrinted>
  <dcterms:created xsi:type="dcterms:W3CDTF">2010-04-13T13:07:00Z</dcterms:created>
  <dcterms:modified xsi:type="dcterms:W3CDTF">2010-04-13T13:36:00Z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