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9FD" w:rsidRPr="00C716B2" w:rsidRDefault="00D319FD">
      <w:pPr>
        <w:jc w:val="center"/>
        <w:rPr>
          <w:rFonts w:ascii="Times" w:hAnsi="Times"/>
          <w:b/>
          <w:bCs/>
          <w:szCs w:val="24"/>
        </w:rPr>
      </w:pPr>
      <w:r w:rsidRPr="00C716B2">
        <w:rPr>
          <w:rFonts w:ascii="Times" w:hAnsi="Times"/>
          <w:b/>
          <w:bCs/>
          <w:szCs w:val="24"/>
        </w:rPr>
        <w:t xml:space="preserve">Supporting Statement for the </w:t>
      </w:r>
    </w:p>
    <w:p w:rsidR="00D319FD" w:rsidRPr="00C716B2" w:rsidRDefault="00D319FD">
      <w:pPr>
        <w:jc w:val="center"/>
        <w:rPr>
          <w:rFonts w:ascii="Times" w:hAnsi="Times"/>
          <w:b/>
          <w:bCs/>
          <w:szCs w:val="24"/>
        </w:rPr>
      </w:pPr>
      <w:r w:rsidRPr="00C716B2">
        <w:rPr>
          <w:rFonts w:ascii="Times" w:hAnsi="Times"/>
          <w:b/>
          <w:bCs/>
          <w:szCs w:val="24"/>
        </w:rPr>
        <w:t>Transfer Agent Registration and Amendment Form</w:t>
      </w:r>
    </w:p>
    <w:p w:rsidR="00D319FD" w:rsidRPr="00C716B2" w:rsidRDefault="00D319FD">
      <w:pPr>
        <w:jc w:val="center"/>
        <w:rPr>
          <w:rFonts w:ascii="Times" w:hAnsi="Times"/>
          <w:szCs w:val="24"/>
        </w:rPr>
      </w:pPr>
      <w:r w:rsidRPr="00C716B2">
        <w:rPr>
          <w:rFonts w:ascii="Times" w:hAnsi="Times"/>
          <w:b/>
          <w:bCs/>
          <w:szCs w:val="24"/>
        </w:rPr>
        <w:t xml:space="preserve"> (FR TA-1; OMB No. 7100</w:t>
      </w:r>
      <w:r w:rsidRPr="00C716B2">
        <w:rPr>
          <w:rFonts w:ascii="Times" w:hAnsi="Times"/>
          <w:b/>
          <w:bCs/>
          <w:szCs w:val="24"/>
        </w:rPr>
        <w:noBreakHyphen/>
        <w:t>0099)</w:t>
      </w:r>
    </w:p>
    <w:p w:rsidR="00D319FD" w:rsidRPr="00C716B2" w:rsidRDefault="00D319FD">
      <w:pPr>
        <w:jc w:val="both"/>
        <w:rPr>
          <w:rFonts w:ascii="Times" w:hAnsi="Times"/>
          <w:szCs w:val="24"/>
        </w:rPr>
      </w:pPr>
    </w:p>
    <w:p w:rsidR="00D319FD" w:rsidRPr="00C716B2" w:rsidRDefault="00D319FD">
      <w:pPr>
        <w:jc w:val="both"/>
        <w:rPr>
          <w:rFonts w:ascii="Times" w:hAnsi="Times"/>
          <w:szCs w:val="24"/>
        </w:rPr>
      </w:pPr>
      <w:r w:rsidRPr="00C716B2">
        <w:rPr>
          <w:rFonts w:ascii="Times" w:hAnsi="Times"/>
          <w:b/>
          <w:bCs/>
          <w:szCs w:val="24"/>
        </w:rPr>
        <w:t>Summary</w:t>
      </w:r>
    </w:p>
    <w:p w:rsidR="00D319FD" w:rsidRPr="00C716B2" w:rsidRDefault="00D319FD">
      <w:pPr>
        <w:jc w:val="both"/>
        <w:rPr>
          <w:rFonts w:ascii="Times" w:hAnsi="Times"/>
          <w:szCs w:val="24"/>
        </w:rPr>
      </w:pPr>
    </w:p>
    <w:p w:rsidR="00986A47" w:rsidRDefault="00D319FD" w:rsidP="00986A47">
      <w:pPr>
        <w:pStyle w:val="Header"/>
        <w:tabs>
          <w:tab w:val="clear" w:pos="4320"/>
          <w:tab w:val="clear" w:pos="8640"/>
          <w:tab w:val="left" w:pos="360"/>
        </w:tabs>
        <w:ind w:firstLine="720"/>
        <w:rPr>
          <w:rFonts w:ascii="Times New Roman" w:hAnsi="Times New Roman"/>
        </w:rPr>
      </w:pPr>
      <w:r w:rsidRPr="00136A4E">
        <w:rPr>
          <w:rFonts w:ascii="Times New Roman" w:hAnsi="Times New Roman"/>
        </w:rPr>
        <w:t xml:space="preserve">The Board of Governors of the Federal Reserve System, under delegated authority from the Office of Management and Budget (OMB), </w:t>
      </w:r>
      <w:r w:rsidR="00986A47" w:rsidRPr="00FE3ED0">
        <w:rPr>
          <w:rFonts w:ascii="Times" w:hAnsi="Times"/>
        </w:rPr>
        <w:t>proposes to extend for three years, with</w:t>
      </w:r>
      <w:r w:rsidR="00986A47">
        <w:rPr>
          <w:rFonts w:ascii="Times" w:hAnsi="Times"/>
        </w:rPr>
        <w:t>out</w:t>
      </w:r>
      <w:r w:rsidR="00986A47" w:rsidRPr="00FE3ED0">
        <w:rPr>
          <w:rFonts w:ascii="Times" w:hAnsi="Times"/>
        </w:rPr>
        <w:t xml:space="preserve"> revision, the uniform interagency Transfer Agent Registration and Amendment Form (FR TA-1; OMB No. 7100-0099).</w:t>
      </w:r>
      <w:r w:rsidR="00986A47">
        <w:rPr>
          <w:rFonts w:ascii="Times" w:hAnsi="Times"/>
        </w:rPr>
        <w:t xml:space="preserve">  </w:t>
      </w:r>
      <w:r w:rsidR="00986A47" w:rsidRPr="00FE3ED0">
        <w:rPr>
          <w:rFonts w:ascii="Times" w:hAnsi="Times"/>
        </w:rPr>
        <w:t>The Securi</w:t>
      </w:r>
      <w:r w:rsidR="00986A47">
        <w:rPr>
          <w:rFonts w:ascii="Times" w:hAnsi="Times"/>
        </w:rPr>
        <w:t xml:space="preserve">ties Exchange Act of 1934 (the </w:t>
      </w:r>
      <w:r w:rsidR="00986A47" w:rsidRPr="00FE3ED0">
        <w:rPr>
          <w:rFonts w:ascii="Times" w:hAnsi="Times"/>
        </w:rPr>
        <w:t>Act) requires any person acting as a transfer agent to register as such and to amend registration information when it changes.</w:t>
      </w:r>
      <w:r w:rsidR="00986A47">
        <w:rPr>
          <w:rFonts w:ascii="Times" w:hAnsi="Times"/>
        </w:rPr>
        <w:t xml:space="preserve">  </w:t>
      </w:r>
      <w:r w:rsidR="00986A47" w:rsidRPr="00FE3ED0">
        <w:rPr>
          <w:rFonts w:ascii="Times" w:hAnsi="Times"/>
        </w:rPr>
        <w:t xml:space="preserve">State member banks </w:t>
      </w:r>
      <w:r w:rsidR="00986A47">
        <w:rPr>
          <w:rFonts w:ascii="Times" w:hAnsi="Times"/>
        </w:rPr>
        <w:t xml:space="preserve">(SMBs) </w:t>
      </w:r>
      <w:r w:rsidR="00986A47" w:rsidRPr="00FE3ED0">
        <w:rPr>
          <w:rFonts w:ascii="Times" w:hAnsi="Times"/>
        </w:rPr>
        <w:t>and their subsidiaries, bank holding companies</w:t>
      </w:r>
      <w:r w:rsidR="00986A47">
        <w:rPr>
          <w:rFonts w:ascii="Times" w:hAnsi="Times"/>
        </w:rPr>
        <w:t xml:space="preserve"> (BHCs)</w:t>
      </w:r>
      <w:r w:rsidR="00986A47" w:rsidRPr="00FE3ED0">
        <w:rPr>
          <w:rFonts w:ascii="Times" w:hAnsi="Times"/>
        </w:rPr>
        <w:t xml:space="preserve">, and certain </w:t>
      </w:r>
      <w:proofErr w:type="spellStart"/>
      <w:r w:rsidR="00986A47" w:rsidRPr="00FE3ED0">
        <w:rPr>
          <w:rFonts w:ascii="Times" w:hAnsi="Times"/>
        </w:rPr>
        <w:t>nondeposit</w:t>
      </w:r>
      <w:proofErr w:type="spellEnd"/>
      <w:r w:rsidR="00986A47" w:rsidRPr="00FE3ED0">
        <w:rPr>
          <w:rFonts w:ascii="Times" w:hAnsi="Times"/>
        </w:rPr>
        <w:t xml:space="preserve"> trust company subsidiaries of </w:t>
      </w:r>
      <w:r w:rsidR="00986A47">
        <w:rPr>
          <w:rFonts w:ascii="Times" w:hAnsi="Times"/>
        </w:rPr>
        <w:t>BHC</w:t>
      </w:r>
      <w:r w:rsidR="00986A47" w:rsidRPr="00FE3ED0">
        <w:rPr>
          <w:rFonts w:ascii="Times" w:hAnsi="Times"/>
        </w:rPr>
        <w:t xml:space="preserve">s register with the Federal Reserve System by submitting Form TA-1.  The information collected is available to the public upon request and includes the company name, all business addresses, and several questions about the registrant’s proposed activities as a transfer agent.  The Federal Reserve uses the information to act upon registration applications and to aid in performing its supervisory duties. </w:t>
      </w:r>
      <w:r w:rsidR="00986A47">
        <w:rPr>
          <w:rFonts w:ascii="Times" w:hAnsi="Times"/>
        </w:rPr>
        <w:t xml:space="preserve"> </w:t>
      </w:r>
      <w:r w:rsidR="00986A47" w:rsidRPr="00FE3ED0">
        <w:rPr>
          <w:rFonts w:ascii="Times" w:hAnsi="Times"/>
        </w:rPr>
        <w:t xml:space="preserve">Similar data are not available from any other source.  The Federal Reserve expects to receive </w:t>
      </w:r>
      <w:r w:rsidR="00986A47">
        <w:rPr>
          <w:rFonts w:ascii="Times" w:hAnsi="Times"/>
        </w:rPr>
        <w:t>15</w:t>
      </w:r>
      <w:r w:rsidR="00986A47" w:rsidRPr="00FE3ED0">
        <w:rPr>
          <w:rFonts w:ascii="Times" w:hAnsi="Times"/>
        </w:rPr>
        <w:t xml:space="preserve"> registrations and amendments per year, for an annual burden of </w:t>
      </w:r>
      <w:r w:rsidR="00986A47">
        <w:rPr>
          <w:rFonts w:ascii="Times" w:hAnsi="Times"/>
        </w:rPr>
        <w:t>eight</w:t>
      </w:r>
      <w:r w:rsidR="00986A47" w:rsidRPr="00FE3ED0">
        <w:rPr>
          <w:rFonts w:ascii="Times" w:hAnsi="Times"/>
        </w:rPr>
        <w:t xml:space="preserve"> hours</w:t>
      </w:r>
      <w:r w:rsidR="00986A47" w:rsidRPr="000B4E2A">
        <w:rPr>
          <w:rFonts w:ascii="Times New Roman" w:hAnsi="Times New Roman"/>
        </w:rPr>
        <w:t xml:space="preserve">.  </w:t>
      </w:r>
    </w:p>
    <w:p w:rsidR="00986A47" w:rsidRDefault="00986A47" w:rsidP="00986A47">
      <w:pPr>
        <w:pStyle w:val="Header"/>
        <w:tabs>
          <w:tab w:val="clear" w:pos="4320"/>
          <w:tab w:val="clear" w:pos="8640"/>
          <w:tab w:val="left" w:pos="360"/>
        </w:tabs>
        <w:ind w:firstLine="720"/>
        <w:rPr>
          <w:rFonts w:ascii="Times New Roman" w:hAnsi="Times New Roman"/>
        </w:rPr>
      </w:pPr>
    </w:p>
    <w:p w:rsidR="00986A47" w:rsidRPr="00FE3ED0" w:rsidRDefault="00986A47" w:rsidP="00986A47">
      <w:pPr>
        <w:pStyle w:val="Header"/>
        <w:tabs>
          <w:tab w:val="clear" w:pos="4320"/>
          <w:tab w:val="clear" w:pos="8640"/>
          <w:tab w:val="left" w:pos="360"/>
        </w:tabs>
        <w:rPr>
          <w:rFonts w:ascii="Times" w:hAnsi="Times"/>
          <w:b/>
          <w:bCs/>
        </w:rPr>
      </w:pPr>
      <w:r w:rsidRPr="00FE3ED0">
        <w:rPr>
          <w:rFonts w:ascii="Times" w:hAnsi="Times"/>
          <w:b/>
          <w:bCs/>
        </w:rPr>
        <w:t>Background and Justification</w:t>
      </w:r>
    </w:p>
    <w:p w:rsidR="00986A47" w:rsidRPr="00FE3ED0" w:rsidRDefault="00986A47" w:rsidP="00986A47">
      <w:pPr>
        <w:pStyle w:val="Header"/>
        <w:tabs>
          <w:tab w:val="clear" w:pos="4320"/>
          <w:tab w:val="clear" w:pos="8640"/>
          <w:tab w:val="left" w:pos="360"/>
        </w:tabs>
        <w:rPr>
          <w:rFonts w:ascii="Times" w:hAnsi="Times"/>
        </w:rPr>
      </w:pPr>
    </w:p>
    <w:p w:rsidR="00986A47" w:rsidRPr="00FE3ED0" w:rsidRDefault="00986A47" w:rsidP="00986A47">
      <w:pPr>
        <w:pStyle w:val="Header"/>
        <w:tabs>
          <w:tab w:val="clear" w:pos="4320"/>
          <w:tab w:val="clear" w:pos="8640"/>
          <w:tab w:val="left" w:pos="360"/>
        </w:tabs>
        <w:ind w:firstLine="720"/>
        <w:rPr>
          <w:rFonts w:ascii="Times" w:hAnsi="Times"/>
        </w:rPr>
      </w:pPr>
      <w:r w:rsidRPr="00FE3ED0">
        <w:rPr>
          <w:rFonts w:ascii="Times" w:hAnsi="Times"/>
        </w:rPr>
        <w:t>By the late</w:t>
      </w:r>
      <w:r>
        <w:rPr>
          <w:rFonts w:ascii="Times" w:hAnsi="Times"/>
        </w:rPr>
        <w:t xml:space="preserve"> </w:t>
      </w:r>
      <w:r w:rsidRPr="00FE3ED0">
        <w:rPr>
          <w:rFonts w:ascii="Times" w:hAnsi="Times"/>
        </w:rPr>
        <w:t>1960s, the volume of paper-intensive securities transactions was overwhelming brokers and transfer agents, causing errors and delays in handling investor assets.  Partly as a result of this problem, the Congress, in the Securities Acts Amendments of 1975, required that transfer agents register with their appropriate regulatory agency</w:t>
      </w:r>
      <w:r>
        <w:rPr>
          <w:rFonts w:ascii="Times" w:hAnsi="Times"/>
        </w:rPr>
        <w:t xml:space="preserve"> (</w:t>
      </w:r>
      <w:smartTag w:uri="urn:schemas-microsoft-com:office:smarttags" w:element="stockticker">
        <w:r>
          <w:rPr>
            <w:rFonts w:ascii="Times" w:hAnsi="Times"/>
          </w:rPr>
          <w:t>ARA</w:t>
        </w:r>
      </w:smartTag>
      <w:r>
        <w:rPr>
          <w:rFonts w:ascii="Times" w:hAnsi="Times"/>
        </w:rPr>
        <w:t>)</w:t>
      </w:r>
      <w:r w:rsidRPr="00FE3ED0">
        <w:rPr>
          <w:rFonts w:ascii="Times" w:hAnsi="Times"/>
        </w:rPr>
        <w:t xml:space="preserve">.  Section 17A(c) of the Securities Exchange Act of 1934, as amended in 1975, requires all transfer agents for securities registered under section 12 of the Act to register “by filing with the appropriate regulatory agency . . . an application for registration in such form and containing such information and documents . . . as such appropriate regulatory agency may prescribe as necessary or appropriate in furtherance of the purposes of this section.”  In general, </w:t>
      </w:r>
      <w:r>
        <w:rPr>
          <w:rFonts w:ascii="Times" w:hAnsi="Times"/>
        </w:rPr>
        <w:t xml:space="preserve">an entity performing transfer agent functions for a security is required to register if the security is registered on a national securities exchange and if the issuer has total assets of $10 million and a class of equity security held of record by 500 or more persons.  </w:t>
      </w:r>
      <w:r w:rsidRPr="00FE3ED0">
        <w:rPr>
          <w:rFonts w:ascii="Times" w:hAnsi="Times"/>
        </w:rPr>
        <w:t>The Federal Reserve’s Regulation H (section 208.31(a)</w:t>
      </w:r>
      <w:r>
        <w:rPr>
          <w:rFonts w:ascii="Times" w:hAnsi="Times"/>
        </w:rPr>
        <w:t>)</w:t>
      </w:r>
      <w:r w:rsidRPr="00FE3ED0">
        <w:rPr>
          <w:rFonts w:ascii="Times" w:hAnsi="Times"/>
        </w:rPr>
        <w:t xml:space="preserve"> and Regulation Y (section 225.4(d)) implement the provisions of the Act.</w:t>
      </w:r>
    </w:p>
    <w:p w:rsidR="00986A47" w:rsidRPr="00FE3ED0" w:rsidRDefault="00986A47" w:rsidP="00986A47">
      <w:pPr>
        <w:pStyle w:val="Header"/>
        <w:tabs>
          <w:tab w:val="clear" w:pos="4320"/>
          <w:tab w:val="clear" w:pos="8640"/>
          <w:tab w:val="left" w:pos="360"/>
        </w:tabs>
        <w:rPr>
          <w:rFonts w:ascii="Times" w:hAnsi="Times"/>
        </w:rPr>
      </w:pPr>
    </w:p>
    <w:p w:rsidR="00986A47" w:rsidRPr="00FE3ED0" w:rsidRDefault="00986A47" w:rsidP="00986A47">
      <w:pPr>
        <w:pStyle w:val="Header"/>
        <w:tabs>
          <w:tab w:val="clear" w:pos="4320"/>
          <w:tab w:val="clear" w:pos="8640"/>
          <w:tab w:val="left" w:pos="360"/>
        </w:tabs>
        <w:ind w:firstLine="720"/>
        <w:rPr>
          <w:rFonts w:ascii="Times" w:hAnsi="Times"/>
        </w:rPr>
      </w:pPr>
      <w:r w:rsidRPr="00FE3ED0">
        <w:rPr>
          <w:rFonts w:ascii="Times" w:hAnsi="Times"/>
        </w:rPr>
        <w:t>To accomplish the registration of transfer agents, Form TA-1 was developed in 1975 as an interagency effort by the Securities and Exchange Commission (</w:t>
      </w:r>
      <w:smartTag w:uri="urn:schemas-microsoft-com:office:smarttags" w:element="stockticker">
        <w:r w:rsidRPr="00FE3ED0">
          <w:rPr>
            <w:rFonts w:ascii="Times" w:hAnsi="Times"/>
          </w:rPr>
          <w:t>SEC</w:t>
        </w:r>
      </w:smartTag>
      <w:r w:rsidRPr="00FE3ED0">
        <w:rPr>
          <w:rFonts w:ascii="Times" w:hAnsi="Times"/>
        </w:rPr>
        <w:t>) and the federal bank regulatory agencies, namely the Board of Governors of the Federal Reserve System, the Office of the Comptroller of the Currency (OCC), and the Federal Deposit Insurance Corporation (FDIC)</w:t>
      </w:r>
      <w:r>
        <w:rPr>
          <w:rFonts w:ascii="Times" w:hAnsi="Times"/>
        </w:rPr>
        <w:t xml:space="preserve"> (the agencies)</w:t>
      </w:r>
      <w:r w:rsidRPr="00FE3ED0">
        <w:rPr>
          <w:rFonts w:ascii="Times" w:hAnsi="Times"/>
        </w:rPr>
        <w:t xml:space="preserve">.  The Federal Reserve primarily uses the data collected on Form TA-1 to determine whether an application for registration should be approved, denied, accelerated or postponed.  The </w:t>
      </w:r>
      <w:r w:rsidR="00F365E6">
        <w:rPr>
          <w:rFonts w:ascii="Times" w:hAnsi="Times"/>
        </w:rPr>
        <w:t>Federal</w:t>
      </w:r>
      <w:r w:rsidRPr="00FE3ED0">
        <w:rPr>
          <w:rFonts w:ascii="Times" w:hAnsi="Times"/>
        </w:rPr>
        <w:t xml:space="preserve"> Reserve use</w:t>
      </w:r>
      <w:r w:rsidR="00F365E6">
        <w:rPr>
          <w:rFonts w:ascii="Times" w:hAnsi="Times"/>
        </w:rPr>
        <w:t>s</w:t>
      </w:r>
      <w:r w:rsidRPr="00FE3ED0">
        <w:rPr>
          <w:rFonts w:ascii="Times" w:hAnsi="Times"/>
        </w:rPr>
        <w:t xml:space="preserve"> the data in connection with </w:t>
      </w:r>
      <w:r w:rsidR="00F365E6">
        <w:rPr>
          <w:rFonts w:ascii="Times" w:hAnsi="Times"/>
        </w:rPr>
        <w:t>its</w:t>
      </w:r>
      <w:r w:rsidRPr="00FE3ED0">
        <w:rPr>
          <w:rFonts w:ascii="Times" w:hAnsi="Times"/>
        </w:rPr>
        <w:t xml:space="preserve"> supervisory </w:t>
      </w:r>
      <w:r>
        <w:rPr>
          <w:rFonts w:ascii="Times" w:hAnsi="Times"/>
        </w:rPr>
        <w:t>r</w:t>
      </w:r>
      <w:r w:rsidRPr="00FE3ED0">
        <w:rPr>
          <w:rFonts w:ascii="Times" w:hAnsi="Times"/>
        </w:rPr>
        <w:t xml:space="preserve">esponsibilities.  </w:t>
      </w:r>
    </w:p>
    <w:p w:rsidR="00986A47" w:rsidRDefault="00986A47" w:rsidP="00986A47">
      <w:pPr>
        <w:pStyle w:val="Header"/>
        <w:tabs>
          <w:tab w:val="clear" w:pos="4320"/>
          <w:tab w:val="clear" w:pos="8640"/>
          <w:tab w:val="left" w:pos="360"/>
        </w:tabs>
        <w:rPr>
          <w:rFonts w:ascii="Times" w:hAnsi="Times"/>
          <w:b/>
          <w:bCs/>
        </w:rPr>
      </w:pPr>
    </w:p>
    <w:p w:rsidR="00F365E6" w:rsidRDefault="00F365E6" w:rsidP="00986A47">
      <w:pPr>
        <w:pStyle w:val="Header"/>
        <w:tabs>
          <w:tab w:val="clear" w:pos="4320"/>
          <w:tab w:val="clear" w:pos="8640"/>
          <w:tab w:val="left" w:pos="360"/>
        </w:tabs>
        <w:rPr>
          <w:rFonts w:ascii="Times" w:hAnsi="Times"/>
          <w:b/>
          <w:bCs/>
        </w:rPr>
      </w:pPr>
    </w:p>
    <w:p w:rsidR="00986A47" w:rsidRPr="00FE3ED0" w:rsidRDefault="00986A47" w:rsidP="00986A47">
      <w:pPr>
        <w:pStyle w:val="Header"/>
        <w:tabs>
          <w:tab w:val="clear" w:pos="4320"/>
          <w:tab w:val="clear" w:pos="8640"/>
          <w:tab w:val="left" w:pos="360"/>
        </w:tabs>
        <w:rPr>
          <w:rFonts w:ascii="Times" w:hAnsi="Times"/>
          <w:b/>
          <w:bCs/>
        </w:rPr>
      </w:pPr>
      <w:r w:rsidRPr="00FE3ED0">
        <w:rPr>
          <w:rFonts w:ascii="Times" w:hAnsi="Times"/>
          <w:b/>
          <w:bCs/>
        </w:rPr>
        <w:lastRenderedPageBreak/>
        <w:t>Description of Information Collected</w:t>
      </w:r>
    </w:p>
    <w:p w:rsidR="00986A47" w:rsidRPr="00FE3ED0" w:rsidRDefault="00986A47" w:rsidP="00986A47">
      <w:pPr>
        <w:pStyle w:val="Header"/>
        <w:tabs>
          <w:tab w:val="clear" w:pos="4320"/>
          <w:tab w:val="clear" w:pos="8640"/>
          <w:tab w:val="left" w:pos="360"/>
        </w:tabs>
        <w:rPr>
          <w:rFonts w:ascii="Times" w:hAnsi="Times"/>
        </w:rPr>
      </w:pPr>
    </w:p>
    <w:p w:rsidR="00986A47" w:rsidRPr="00407742" w:rsidRDefault="00986A47" w:rsidP="00986A47">
      <w:pPr>
        <w:pStyle w:val="Header"/>
        <w:tabs>
          <w:tab w:val="clear" w:pos="4320"/>
          <w:tab w:val="clear" w:pos="8640"/>
          <w:tab w:val="left" w:pos="360"/>
        </w:tabs>
        <w:ind w:firstLine="720"/>
        <w:rPr>
          <w:rFonts w:ascii="Times" w:hAnsi="Times"/>
        </w:rPr>
      </w:pPr>
      <w:r w:rsidRPr="00FE3ED0">
        <w:rPr>
          <w:rFonts w:ascii="Times" w:hAnsi="Times"/>
        </w:rPr>
        <w:t xml:space="preserve">Currently, </w:t>
      </w:r>
      <w:r>
        <w:rPr>
          <w:rFonts w:ascii="Times" w:hAnsi="Times"/>
        </w:rPr>
        <w:t>48</w:t>
      </w:r>
      <w:r w:rsidRPr="00FE3ED0">
        <w:rPr>
          <w:rFonts w:ascii="Times" w:hAnsi="Times"/>
        </w:rPr>
        <w:t xml:space="preserve"> transfer agents are registered with the Federal Reserve, the majority of which are state member banks.  To register, registrants must submit an original and two copies of Form TA-1 to their </w:t>
      </w:r>
      <w:smartTag w:uri="urn:schemas-microsoft-com:office:smarttags" w:element="stockticker">
        <w:r>
          <w:rPr>
            <w:rFonts w:ascii="Times" w:hAnsi="Times"/>
          </w:rPr>
          <w:t>ARA</w:t>
        </w:r>
      </w:smartTag>
      <w:r w:rsidRPr="00FE3ED0">
        <w:rPr>
          <w:rFonts w:ascii="Times" w:hAnsi="Times"/>
        </w:rPr>
        <w:t xml:space="preserve">.  In addition to the corporate name and all business addresses, registrants also report their Financial Industry Number Standard (FINS) number and </w:t>
      </w:r>
      <w:r>
        <w:rPr>
          <w:rFonts w:ascii="Times" w:hAnsi="Times"/>
        </w:rPr>
        <w:t xml:space="preserve">answer </w:t>
      </w:r>
      <w:r w:rsidRPr="00FE3ED0">
        <w:rPr>
          <w:rFonts w:ascii="Times" w:hAnsi="Times"/>
        </w:rPr>
        <w:t xml:space="preserve">three </w:t>
      </w:r>
      <w:r>
        <w:rPr>
          <w:rFonts w:ascii="Times" w:hAnsi="Times"/>
        </w:rPr>
        <w:t xml:space="preserve">questions </w:t>
      </w:r>
      <w:r w:rsidRPr="00FE3ED0">
        <w:rPr>
          <w:rFonts w:ascii="Times" w:hAnsi="Times"/>
        </w:rPr>
        <w:t xml:space="preserve">detailing their transfer agent activities.  </w:t>
      </w:r>
      <w:r w:rsidR="00F365E6">
        <w:rPr>
          <w:rFonts w:ascii="Times" w:hAnsi="Times"/>
        </w:rPr>
        <w:t>The Federal Reserve</w:t>
      </w:r>
      <w:r w:rsidRPr="00FE3ED0">
        <w:rPr>
          <w:rFonts w:ascii="Times" w:hAnsi="Times"/>
        </w:rPr>
        <w:t xml:space="preserve"> processes the data manually, reviewing each form for completeness and accuracy, and may contact registrants directly to verify data</w:t>
      </w:r>
      <w:r w:rsidRPr="000B4E2A">
        <w:rPr>
          <w:rFonts w:ascii="Times" w:hAnsi="Times"/>
        </w:rPr>
        <w:t xml:space="preserve">.  </w:t>
      </w:r>
      <w:r w:rsidR="00F365E6">
        <w:rPr>
          <w:rFonts w:ascii="Times" w:hAnsi="Times"/>
        </w:rPr>
        <w:t>The Federal Reserve</w:t>
      </w:r>
      <w:r w:rsidR="00F365E6" w:rsidRPr="00FE3ED0">
        <w:rPr>
          <w:rFonts w:ascii="Times" w:hAnsi="Times"/>
        </w:rPr>
        <w:t xml:space="preserve"> </w:t>
      </w:r>
      <w:r w:rsidRPr="000B4E2A">
        <w:rPr>
          <w:rFonts w:ascii="Times" w:hAnsi="Times"/>
        </w:rPr>
        <w:t xml:space="preserve">notifies registrants of their registration status by letter and sends them copies of transfer agent rules and regulations.  </w:t>
      </w:r>
      <w:proofErr w:type="gramStart"/>
      <w:r w:rsidR="00F365E6">
        <w:rPr>
          <w:rFonts w:ascii="Times" w:hAnsi="Times"/>
        </w:rPr>
        <w:t>The Federal Reserve</w:t>
      </w:r>
      <w:r w:rsidR="00F365E6" w:rsidRPr="00FE3ED0">
        <w:rPr>
          <w:rFonts w:ascii="Times" w:hAnsi="Times"/>
        </w:rPr>
        <w:t xml:space="preserve"> </w:t>
      </w:r>
      <w:r w:rsidRPr="000B4E2A">
        <w:rPr>
          <w:rFonts w:ascii="Times" w:hAnsi="Times"/>
        </w:rPr>
        <w:t xml:space="preserve">forwards copies of completed registration forms and notification letters to the </w:t>
      </w:r>
      <w:smartTag w:uri="urn:schemas-microsoft-com:office:smarttags" w:element="stockticker">
        <w:r w:rsidRPr="000B4E2A">
          <w:rPr>
            <w:rFonts w:ascii="Times" w:hAnsi="Times"/>
          </w:rPr>
          <w:t>SEC</w:t>
        </w:r>
      </w:smartTag>
      <w:r w:rsidRPr="000B4E2A">
        <w:rPr>
          <w:rFonts w:ascii="Times" w:hAnsi="Times"/>
        </w:rPr>
        <w:t xml:space="preserve"> and to the appropriate </w:t>
      </w:r>
      <w:r w:rsidR="00F365E6">
        <w:rPr>
          <w:rFonts w:ascii="Times" w:hAnsi="Times"/>
        </w:rPr>
        <w:t xml:space="preserve">Federal </w:t>
      </w:r>
      <w:r w:rsidRPr="000B4E2A">
        <w:rPr>
          <w:rFonts w:ascii="Times" w:hAnsi="Times"/>
        </w:rPr>
        <w:t>Reserve Bank.</w:t>
      </w:r>
      <w:proofErr w:type="gramEnd"/>
      <w:r w:rsidRPr="000B4E2A">
        <w:rPr>
          <w:rFonts w:ascii="Times" w:hAnsi="Times"/>
        </w:rPr>
        <w:t xml:space="preserve">  An acknowledgement letter is sent to any registrant who files a subsequent Form TA-1 to amend their registration data. </w:t>
      </w:r>
    </w:p>
    <w:p w:rsidR="00986A47" w:rsidRPr="00FE3ED0" w:rsidRDefault="00986A47" w:rsidP="00986A47">
      <w:pPr>
        <w:pStyle w:val="Header"/>
        <w:tabs>
          <w:tab w:val="clear" w:pos="4320"/>
          <w:tab w:val="clear" w:pos="8640"/>
          <w:tab w:val="left" w:pos="360"/>
        </w:tabs>
        <w:ind w:firstLine="720"/>
        <w:rPr>
          <w:rFonts w:ascii="Times" w:hAnsi="Times"/>
        </w:rPr>
      </w:pPr>
    </w:p>
    <w:p w:rsidR="00986A47" w:rsidRDefault="00986A47" w:rsidP="00986A47">
      <w:pPr>
        <w:pStyle w:val="Header"/>
        <w:tabs>
          <w:tab w:val="clear" w:pos="4320"/>
          <w:tab w:val="clear" w:pos="8640"/>
          <w:tab w:val="left" w:pos="360"/>
        </w:tabs>
        <w:ind w:firstLine="720"/>
        <w:rPr>
          <w:rFonts w:ascii="Times" w:hAnsi="Times"/>
        </w:rPr>
      </w:pPr>
      <w:r w:rsidRPr="00A076F7">
        <w:rPr>
          <w:rFonts w:ascii="Times New Roman" w:hAnsi="Times New Roman"/>
        </w:rPr>
        <w:t xml:space="preserve">Transfer agents deregister </w:t>
      </w:r>
      <w:r w:rsidRPr="000B4E2A">
        <w:rPr>
          <w:rFonts w:ascii="Times New Roman" w:hAnsi="Times New Roman"/>
        </w:rPr>
        <w:t xml:space="preserve">by submitting either a letter or the </w:t>
      </w:r>
      <w:smartTag w:uri="urn:schemas-microsoft-com:office:smarttags" w:element="stockticker">
        <w:r w:rsidRPr="000B4E2A">
          <w:rPr>
            <w:rFonts w:ascii="Times New Roman" w:hAnsi="Times New Roman"/>
          </w:rPr>
          <w:t>SEC</w:t>
        </w:r>
      </w:smartTag>
      <w:r w:rsidRPr="000B4E2A">
        <w:rPr>
          <w:rFonts w:ascii="Times New Roman" w:hAnsi="Times New Roman"/>
        </w:rPr>
        <w:t xml:space="preserve">’s </w:t>
      </w:r>
      <w:r>
        <w:rPr>
          <w:rFonts w:ascii="Times New Roman" w:hAnsi="Times New Roman"/>
        </w:rPr>
        <w:t>Notice of Withdrawal from Registration as Transfer Agent (</w:t>
      </w:r>
      <w:r w:rsidRPr="000B4E2A">
        <w:rPr>
          <w:rFonts w:ascii="Times New Roman" w:hAnsi="Times New Roman"/>
        </w:rPr>
        <w:t>Form TA-W</w:t>
      </w:r>
      <w:r>
        <w:rPr>
          <w:rFonts w:ascii="Times New Roman" w:hAnsi="Times New Roman"/>
        </w:rPr>
        <w:t xml:space="preserve">; OMB No. 3235-0151) </w:t>
      </w:r>
      <w:r w:rsidRPr="000B4E2A">
        <w:rPr>
          <w:rFonts w:ascii="Times New Roman" w:hAnsi="Times New Roman"/>
        </w:rPr>
        <w:t>to</w:t>
      </w:r>
      <w:r w:rsidRPr="00FE3ED0">
        <w:rPr>
          <w:rFonts w:ascii="Times" w:hAnsi="Times"/>
        </w:rPr>
        <w:t xml:space="preserve"> the Federal Reserve.  If the</w:t>
      </w:r>
      <w:r w:rsidR="00F365E6">
        <w:rPr>
          <w:rFonts w:ascii="Times" w:hAnsi="Times"/>
        </w:rPr>
        <w:t xml:space="preserve"> Federal Reserve</w:t>
      </w:r>
      <w:r w:rsidR="00F365E6" w:rsidRPr="00FE3ED0">
        <w:rPr>
          <w:rFonts w:ascii="Times" w:hAnsi="Times"/>
        </w:rPr>
        <w:t xml:space="preserve"> </w:t>
      </w:r>
      <w:r w:rsidRPr="00FE3ED0">
        <w:rPr>
          <w:rFonts w:ascii="Times" w:hAnsi="Times"/>
        </w:rPr>
        <w:t>finds that a registrant has ceased doing business as a transfer agent, the</w:t>
      </w:r>
      <w:r w:rsidR="00F365E6">
        <w:rPr>
          <w:rFonts w:ascii="Times" w:hAnsi="Times"/>
        </w:rPr>
        <w:t xml:space="preserve"> Federal Reserve</w:t>
      </w:r>
      <w:r w:rsidR="00F365E6" w:rsidRPr="00FE3ED0">
        <w:rPr>
          <w:rFonts w:ascii="Times" w:hAnsi="Times"/>
        </w:rPr>
        <w:t xml:space="preserve"> </w:t>
      </w:r>
      <w:r w:rsidRPr="00FE3ED0">
        <w:rPr>
          <w:rFonts w:ascii="Times" w:hAnsi="Times"/>
        </w:rPr>
        <w:t xml:space="preserve">may initiate deregistration of the transfer agent. </w:t>
      </w:r>
    </w:p>
    <w:p w:rsidR="00986A47" w:rsidRDefault="00986A47" w:rsidP="00986A47">
      <w:pPr>
        <w:pStyle w:val="Header"/>
        <w:tabs>
          <w:tab w:val="clear" w:pos="4320"/>
          <w:tab w:val="clear" w:pos="8640"/>
          <w:tab w:val="left" w:pos="360"/>
        </w:tabs>
        <w:ind w:firstLine="720"/>
        <w:rPr>
          <w:rFonts w:ascii="Times" w:hAnsi="Times"/>
        </w:rPr>
      </w:pPr>
    </w:p>
    <w:p w:rsidR="00986A47" w:rsidRPr="00FE3ED0" w:rsidRDefault="00986A47" w:rsidP="00986A47">
      <w:pPr>
        <w:pStyle w:val="Header"/>
        <w:tabs>
          <w:tab w:val="clear" w:pos="4320"/>
          <w:tab w:val="clear" w:pos="8640"/>
          <w:tab w:val="left" w:pos="360"/>
        </w:tabs>
        <w:rPr>
          <w:rFonts w:ascii="Times" w:hAnsi="Times"/>
          <w:b/>
          <w:bCs/>
        </w:rPr>
      </w:pPr>
      <w:r w:rsidRPr="00FE3ED0">
        <w:rPr>
          <w:rFonts w:ascii="Times" w:hAnsi="Times"/>
          <w:b/>
          <w:bCs/>
        </w:rPr>
        <w:t>Time Schedule for Information Collection</w:t>
      </w:r>
    </w:p>
    <w:p w:rsidR="00986A47" w:rsidRPr="00FE3ED0" w:rsidRDefault="00986A47" w:rsidP="00986A47">
      <w:pPr>
        <w:pStyle w:val="Header"/>
        <w:tabs>
          <w:tab w:val="clear" w:pos="4320"/>
          <w:tab w:val="clear" w:pos="8640"/>
          <w:tab w:val="left" w:pos="360"/>
        </w:tabs>
        <w:rPr>
          <w:rFonts w:ascii="Times" w:hAnsi="Times"/>
        </w:rPr>
      </w:pPr>
    </w:p>
    <w:p w:rsidR="00986A47" w:rsidRPr="00FE3ED0" w:rsidRDefault="00986A47" w:rsidP="00986A47">
      <w:pPr>
        <w:pStyle w:val="Header"/>
        <w:tabs>
          <w:tab w:val="clear" w:pos="4320"/>
          <w:tab w:val="clear" w:pos="8640"/>
          <w:tab w:val="left" w:pos="360"/>
        </w:tabs>
        <w:ind w:firstLine="720"/>
        <w:rPr>
          <w:rFonts w:ascii="Times" w:hAnsi="Times"/>
        </w:rPr>
      </w:pPr>
      <w:r w:rsidRPr="00FE3ED0">
        <w:rPr>
          <w:rFonts w:ascii="Times" w:hAnsi="Times"/>
        </w:rPr>
        <w:t xml:space="preserve">Pursuant to the Act, registrants use Form TA-1 to register as a transfer agent prior to performing transfer agent functions (examples of which are found in the General Instructions) and to amend registration information as necessary.  Registration becomes effective </w:t>
      </w:r>
      <w:r>
        <w:rPr>
          <w:rFonts w:ascii="Times" w:hAnsi="Times"/>
        </w:rPr>
        <w:t>30</w:t>
      </w:r>
      <w:r w:rsidRPr="00FE3ED0">
        <w:rPr>
          <w:rFonts w:ascii="Times" w:hAnsi="Times"/>
        </w:rPr>
        <w:t xml:space="preserve"> days after receipt of an acceptable Form TA-1, unless the Federal Reserve takes action to accelerate, postpone, or deny registration</w:t>
      </w:r>
      <w:r>
        <w:rPr>
          <w:rFonts w:ascii="Times" w:hAnsi="Times"/>
        </w:rPr>
        <w:t>.</w:t>
      </w:r>
      <w:r w:rsidRPr="00FE3ED0">
        <w:rPr>
          <w:rFonts w:ascii="Times" w:hAnsi="Times"/>
        </w:rPr>
        <w:t xml:space="preserve"> </w:t>
      </w:r>
      <w:r>
        <w:rPr>
          <w:rFonts w:ascii="Times" w:hAnsi="Times"/>
        </w:rPr>
        <w:t xml:space="preserve"> </w:t>
      </w:r>
      <w:r w:rsidRPr="00FE3ED0">
        <w:rPr>
          <w:rFonts w:ascii="Times" w:hAnsi="Times"/>
        </w:rPr>
        <w:t xml:space="preserve">Registered transfer agents must file amendments within </w:t>
      </w:r>
      <w:r>
        <w:rPr>
          <w:rFonts w:ascii="Times" w:hAnsi="Times"/>
        </w:rPr>
        <w:t>60</w:t>
      </w:r>
      <w:r w:rsidRPr="00FE3ED0">
        <w:rPr>
          <w:rFonts w:ascii="Times" w:hAnsi="Times"/>
        </w:rPr>
        <w:t xml:space="preserve"> days of the date on which the information reported in previous filings has become inaccurate, incomplete, or misleading</w:t>
      </w:r>
      <w:r>
        <w:rPr>
          <w:rFonts w:ascii="Times" w:hAnsi="Times"/>
        </w:rPr>
        <w:t>.</w:t>
      </w:r>
    </w:p>
    <w:p w:rsidR="00986A47" w:rsidRDefault="00986A47" w:rsidP="00986A47">
      <w:pPr>
        <w:pStyle w:val="Header"/>
        <w:tabs>
          <w:tab w:val="clear" w:pos="4320"/>
          <w:tab w:val="clear" w:pos="8640"/>
          <w:tab w:val="left" w:pos="360"/>
        </w:tabs>
        <w:rPr>
          <w:rFonts w:ascii="Times" w:hAnsi="Times"/>
          <w:b/>
          <w:bCs/>
        </w:rPr>
      </w:pPr>
    </w:p>
    <w:p w:rsidR="00986A47" w:rsidRPr="00FE3ED0" w:rsidRDefault="00986A47" w:rsidP="00986A47">
      <w:pPr>
        <w:pStyle w:val="Header"/>
        <w:tabs>
          <w:tab w:val="clear" w:pos="4320"/>
          <w:tab w:val="clear" w:pos="8640"/>
          <w:tab w:val="left" w:pos="360"/>
        </w:tabs>
        <w:rPr>
          <w:rFonts w:ascii="Times" w:hAnsi="Times"/>
        </w:rPr>
      </w:pPr>
      <w:r w:rsidRPr="00FE3ED0">
        <w:rPr>
          <w:rFonts w:ascii="Times" w:hAnsi="Times"/>
          <w:b/>
          <w:bCs/>
        </w:rPr>
        <w:t>Legal Status</w:t>
      </w:r>
    </w:p>
    <w:p w:rsidR="00986A47" w:rsidRPr="00FE3ED0" w:rsidRDefault="00986A47" w:rsidP="00986A47">
      <w:pPr>
        <w:pStyle w:val="Header"/>
        <w:tabs>
          <w:tab w:val="clear" w:pos="4320"/>
          <w:tab w:val="clear" w:pos="8640"/>
          <w:tab w:val="left" w:pos="360"/>
        </w:tabs>
        <w:rPr>
          <w:rFonts w:ascii="Times" w:hAnsi="Times"/>
        </w:rPr>
      </w:pPr>
    </w:p>
    <w:p w:rsidR="00986A47" w:rsidRPr="0058143F" w:rsidRDefault="00986A47" w:rsidP="00986A47">
      <w:pPr>
        <w:pStyle w:val="Header"/>
        <w:tabs>
          <w:tab w:val="clear" w:pos="4320"/>
          <w:tab w:val="clear" w:pos="8640"/>
          <w:tab w:val="left" w:pos="360"/>
        </w:tabs>
        <w:ind w:firstLine="720"/>
        <w:rPr>
          <w:rFonts w:ascii="Times" w:hAnsi="Times"/>
          <w:strike/>
        </w:rPr>
      </w:pPr>
      <w:r w:rsidRPr="00FE3ED0">
        <w:rPr>
          <w:rFonts w:ascii="Times" w:hAnsi="Times"/>
        </w:rPr>
        <w:t>The Federal Reserve Board’s Legal Division has determined that the FR TA-1 is mandatory and that its collection is authorized by sections 17A(c), 17(a)</w:t>
      </w:r>
      <w:r>
        <w:rPr>
          <w:rFonts w:ascii="Times" w:hAnsi="Times"/>
        </w:rPr>
        <w:t>(3)</w:t>
      </w:r>
      <w:r w:rsidRPr="00FE3ED0">
        <w:rPr>
          <w:rFonts w:ascii="Times" w:hAnsi="Times"/>
        </w:rPr>
        <w:t>, and 23(a)</w:t>
      </w:r>
      <w:r>
        <w:rPr>
          <w:rFonts w:ascii="Times" w:hAnsi="Times"/>
        </w:rPr>
        <w:t>(1)</w:t>
      </w:r>
      <w:r w:rsidRPr="00FE3ED0">
        <w:rPr>
          <w:rFonts w:ascii="Times" w:hAnsi="Times"/>
        </w:rPr>
        <w:t xml:space="preserve"> of the Act, as amended (15 U</w:t>
      </w:r>
      <w:r>
        <w:rPr>
          <w:rFonts w:ascii="Times" w:hAnsi="Times"/>
        </w:rPr>
        <w:t>.</w:t>
      </w:r>
      <w:r w:rsidRPr="00FE3ED0">
        <w:rPr>
          <w:rFonts w:ascii="Times" w:hAnsi="Times"/>
        </w:rPr>
        <w:t>S</w:t>
      </w:r>
      <w:r>
        <w:rPr>
          <w:rFonts w:ascii="Times" w:hAnsi="Times"/>
        </w:rPr>
        <w:t>.</w:t>
      </w:r>
      <w:r w:rsidRPr="00FE3ED0">
        <w:rPr>
          <w:rFonts w:ascii="Times" w:hAnsi="Times"/>
        </w:rPr>
        <w:t>C</w:t>
      </w:r>
      <w:r>
        <w:rPr>
          <w:rFonts w:ascii="Times" w:hAnsi="Times"/>
        </w:rPr>
        <w:t>. §§</w:t>
      </w:r>
      <w:r w:rsidRPr="00FE3ED0">
        <w:rPr>
          <w:rFonts w:ascii="Times" w:hAnsi="Times"/>
        </w:rPr>
        <w:t xml:space="preserve"> 78q-1(c), 78q(a)(3), and 78w(a)</w:t>
      </w:r>
      <w:r>
        <w:rPr>
          <w:rFonts w:ascii="Times" w:hAnsi="Times"/>
        </w:rPr>
        <w:t>(1)</w:t>
      </w:r>
      <w:r w:rsidRPr="00FE3ED0">
        <w:rPr>
          <w:rFonts w:ascii="Times" w:hAnsi="Times"/>
        </w:rPr>
        <w:t>).</w:t>
      </w:r>
      <w:r>
        <w:rPr>
          <w:rFonts w:ascii="Times" w:hAnsi="Times"/>
        </w:rPr>
        <w:t xml:space="preserve">  Additionally, Section 3(a)(34)(B)(ii) of the Act (15U.S.C. 78c(a)(34)(B)(ii)) provides that the Board is the ARA for purposes of various filings by SMBs and their subsidiaries, BHCs, and certain </w:t>
      </w:r>
      <w:proofErr w:type="spellStart"/>
      <w:r>
        <w:rPr>
          <w:rFonts w:ascii="Times" w:hAnsi="Times"/>
        </w:rPr>
        <w:t>nondepository</w:t>
      </w:r>
      <w:proofErr w:type="spellEnd"/>
      <w:r>
        <w:rPr>
          <w:rFonts w:ascii="Times" w:hAnsi="Times"/>
        </w:rPr>
        <w:t xml:space="preserve"> trust company subsidiaries of BHCs that act as a clearing agency or transfer agent.  </w:t>
      </w:r>
      <w:r w:rsidRPr="00FE3ED0">
        <w:rPr>
          <w:rFonts w:ascii="Times" w:hAnsi="Times"/>
        </w:rPr>
        <w:t>The registrations are public filings and are not considered confidential</w:t>
      </w:r>
      <w:r>
        <w:rPr>
          <w:rFonts w:ascii="Times" w:hAnsi="Times"/>
        </w:rPr>
        <w:t>.</w:t>
      </w:r>
    </w:p>
    <w:p w:rsidR="00986A47" w:rsidRDefault="00986A47" w:rsidP="00986A47">
      <w:pPr>
        <w:pStyle w:val="Header"/>
        <w:tabs>
          <w:tab w:val="clear" w:pos="4320"/>
          <w:tab w:val="clear" w:pos="8640"/>
          <w:tab w:val="left" w:pos="360"/>
        </w:tabs>
        <w:rPr>
          <w:rFonts w:ascii="Times" w:hAnsi="Times"/>
        </w:rPr>
      </w:pPr>
    </w:p>
    <w:p w:rsidR="00986A47" w:rsidRPr="00FE3ED0" w:rsidRDefault="00986A47" w:rsidP="00986A47">
      <w:pPr>
        <w:pStyle w:val="Header"/>
        <w:tabs>
          <w:tab w:val="clear" w:pos="4320"/>
          <w:tab w:val="clear" w:pos="8640"/>
          <w:tab w:val="left" w:pos="360"/>
        </w:tabs>
        <w:rPr>
          <w:rFonts w:ascii="Times" w:hAnsi="Times"/>
          <w:b/>
          <w:bCs/>
        </w:rPr>
      </w:pPr>
      <w:r w:rsidRPr="00FE3ED0">
        <w:rPr>
          <w:rFonts w:ascii="Times" w:hAnsi="Times"/>
          <w:b/>
          <w:bCs/>
        </w:rPr>
        <w:t xml:space="preserve">Consultation </w:t>
      </w:r>
      <w:proofErr w:type="gramStart"/>
      <w:r w:rsidRPr="00FE3ED0">
        <w:rPr>
          <w:rFonts w:ascii="Times" w:hAnsi="Times"/>
          <w:b/>
          <w:bCs/>
        </w:rPr>
        <w:t>Outside</w:t>
      </w:r>
      <w:proofErr w:type="gramEnd"/>
      <w:r w:rsidRPr="00FE3ED0">
        <w:rPr>
          <w:rFonts w:ascii="Times" w:hAnsi="Times"/>
          <w:b/>
          <w:bCs/>
        </w:rPr>
        <w:t xml:space="preserve"> the Agency</w:t>
      </w:r>
    </w:p>
    <w:p w:rsidR="00986A47" w:rsidRPr="00FE3ED0" w:rsidRDefault="00986A47" w:rsidP="00986A47">
      <w:pPr>
        <w:pStyle w:val="Header"/>
        <w:tabs>
          <w:tab w:val="clear" w:pos="4320"/>
          <w:tab w:val="clear" w:pos="8640"/>
          <w:tab w:val="left" w:pos="360"/>
        </w:tabs>
        <w:rPr>
          <w:rFonts w:ascii="Times" w:hAnsi="Times"/>
        </w:rPr>
      </w:pPr>
    </w:p>
    <w:p w:rsidR="00986A47" w:rsidRPr="008D5BB0" w:rsidRDefault="002F5A89" w:rsidP="00986A47">
      <w:pPr>
        <w:pStyle w:val="Header"/>
        <w:tabs>
          <w:tab w:val="clear" w:pos="4320"/>
          <w:tab w:val="clear" w:pos="8640"/>
          <w:tab w:val="left" w:pos="360"/>
        </w:tabs>
        <w:ind w:firstLine="720"/>
        <w:rPr>
          <w:rFonts w:ascii="Times New Roman" w:hAnsi="Times New Roman"/>
        </w:rPr>
      </w:pPr>
      <w:r w:rsidRPr="008D5BB0">
        <w:rPr>
          <w:rFonts w:ascii="Times New Roman" w:hAnsi="Times New Roman"/>
        </w:rPr>
        <w:t>T</w:t>
      </w:r>
      <w:r w:rsidR="00986A47" w:rsidRPr="008D5BB0">
        <w:rPr>
          <w:rFonts w:ascii="Times New Roman" w:hAnsi="Times New Roman"/>
        </w:rPr>
        <w:t xml:space="preserve">he </w:t>
      </w:r>
      <w:smartTag w:uri="urn:schemas-microsoft-com:office:smarttags" w:element="stockticker">
        <w:r w:rsidR="00986A47" w:rsidRPr="008D5BB0">
          <w:rPr>
            <w:rFonts w:ascii="Times New Roman" w:hAnsi="Times New Roman"/>
          </w:rPr>
          <w:t>SEC</w:t>
        </w:r>
      </w:smartTag>
      <w:r w:rsidR="00986A47" w:rsidRPr="008D5BB0">
        <w:rPr>
          <w:rFonts w:ascii="Times New Roman" w:hAnsi="Times New Roman"/>
        </w:rPr>
        <w:t xml:space="preserve"> and the agencies jointly developed the reporting form and will continue to collaborate on any future revisions.  </w:t>
      </w:r>
      <w:r w:rsidR="00C7785A" w:rsidRPr="008D5BB0">
        <w:rPr>
          <w:rFonts w:ascii="Times New Roman" w:hAnsi="Times New Roman"/>
        </w:rPr>
        <w:t xml:space="preserve">On April 27, 2010, the </w:t>
      </w:r>
      <w:r w:rsidR="00254EFC" w:rsidRPr="008D5BB0">
        <w:rPr>
          <w:rFonts w:ascii="Times New Roman" w:hAnsi="Times New Roman"/>
        </w:rPr>
        <w:t>agencies jointly</w:t>
      </w:r>
      <w:r w:rsidR="00C7785A" w:rsidRPr="008D5BB0">
        <w:rPr>
          <w:rFonts w:ascii="Times New Roman" w:hAnsi="Times New Roman"/>
        </w:rPr>
        <w:t xml:space="preserve"> published a notice in the </w:t>
      </w:r>
      <w:r w:rsidR="00C7785A" w:rsidRPr="008D5BB0">
        <w:rPr>
          <w:rFonts w:ascii="Times New Roman" w:hAnsi="Times New Roman"/>
          <w:i/>
        </w:rPr>
        <w:t>Federal Register</w:t>
      </w:r>
      <w:r w:rsidR="00C7785A" w:rsidRPr="008D5BB0">
        <w:rPr>
          <w:rFonts w:ascii="Times New Roman" w:hAnsi="Times New Roman"/>
        </w:rPr>
        <w:t xml:space="preserve"> (7</w:t>
      </w:r>
      <w:r w:rsidR="00254EFC" w:rsidRPr="008D5BB0">
        <w:rPr>
          <w:rFonts w:ascii="Times New Roman" w:hAnsi="Times New Roman"/>
        </w:rPr>
        <w:t>5</w:t>
      </w:r>
      <w:r w:rsidR="00C7785A" w:rsidRPr="008D5BB0">
        <w:rPr>
          <w:rFonts w:ascii="Times New Roman" w:hAnsi="Times New Roman"/>
        </w:rPr>
        <w:t xml:space="preserve"> FR 22184) requesting public comment for 60 days on the extension, </w:t>
      </w:r>
      <w:r w:rsidR="00C7785A" w:rsidRPr="008D5BB0">
        <w:rPr>
          <w:rFonts w:ascii="Times New Roman" w:hAnsi="Times New Roman"/>
        </w:rPr>
        <w:lastRenderedPageBreak/>
        <w:t>without revision, of the FR TA-1.  The comment period for this notice expire</w:t>
      </w:r>
      <w:r w:rsidR="008D5BB0" w:rsidRPr="008D5BB0">
        <w:rPr>
          <w:rFonts w:ascii="Times New Roman" w:hAnsi="Times New Roman"/>
        </w:rPr>
        <w:t>d</w:t>
      </w:r>
      <w:r w:rsidR="00C7785A" w:rsidRPr="008D5BB0">
        <w:rPr>
          <w:rFonts w:ascii="Times New Roman" w:hAnsi="Times New Roman"/>
        </w:rPr>
        <w:t xml:space="preserve"> on June 28, 2010.  </w:t>
      </w:r>
      <w:r w:rsidR="008D5BB0" w:rsidRPr="008D5BB0">
        <w:rPr>
          <w:rFonts w:ascii="Times New Roman" w:hAnsi="Times New Roman"/>
        </w:rPr>
        <w:t xml:space="preserve">The Federal Reserve did not receive any comments.  On </w:t>
      </w:r>
      <w:r w:rsidR="008D5BB0">
        <w:rPr>
          <w:rFonts w:ascii="Times New Roman" w:hAnsi="Times New Roman"/>
        </w:rPr>
        <w:t>July</w:t>
      </w:r>
      <w:r w:rsidR="008D5BB0" w:rsidRPr="008D5BB0">
        <w:rPr>
          <w:rFonts w:ascii="Times New Roman" w:hAnsi="Times New Roman"/>
        </w:rPr>
        <w:t xml:space="preserve"> 1</w:t>
      </w:r>
      <w:r w:rsidR="008D5BB0">
        <w:rPr>
          <w:rFonts w:ascii="Times New Roman" w:hAnsi="Times New Roman"/>
        </w:rPr>
        <w:t>6</w:t>
      </w:r>
      <w:r w:rsidR="008D5BB0" w:rsidRPr="008D5BB0">
        <w:rPr>
          <w:rFonts w:ascii="Times New Roman" w:hAnsi="Times New Roman"/>
        </w:rPr>
        <w:t xml:space="preserve">, 2010, the </w:t>
      </w:r>
      <w:r w:rsidR="00466963">
        <w:rPr>
          <w:rFonts w:ascii="Times New Roman" w:hAnsi="Times New Roman"/>
        </w:rPr>
        <w:t>agencies</w:t>
      </w:r>
      <w:r w:rsidR="008D5BB0" w:rsidRPr="008D5BB0">
        <w:rPr>
          <w:rFonts w:ascii="Times New Roman" w:hAnsi="Times New Roman"/>
        </w:rPr>
        <w:t xml:space="preserve"> published a final notice in the </w:t>
      </w:r>
      <w:r w:rsidR="008D5BB0" w:rsidRPr="008D5BB0">
        <w:rPr>
          <w:rFonts w:ascii="Times New Roman" w:hAnsi="Times New Roman"/>
          <w:i/>
        </w:rPr>
        <w:t xml:space="preserve">Federal Register </w:t>
      </w:r>
      <w:r w:rsidR="008D5BB0" w:rsidRPr="008D5BB0">
        <w:rPr>
          <w:rFonts w:ascii="Times New Roman" w:hAnsi="Times New Roman"/>
        </w:rPr>
        <w:t xml:space="preserve">(75 FR </w:t>
      </w:r>
      <w:r w:rsidR="008D5BB0">
        <w:rPr>
          <w:rFonts w:ascii="Times New Roman" w:hAnsi="Times New Roman"/>
        </w:rPr>
        <w:t>41573</w:t>
      </w:r>
      <w:r w:rsidR="008D5BB0" w:rsidRPr="008D5BB0">
        <w:rPr>
          <w:rFonts w:ascii="Times New Roman" w:hAnsi="Times New Roman"/>
        </w:rPr>
        <w:t>).</w:t>
      </w:r>
    </w:p>
    <w:p w:rsidR="00986A47" w:rsidRDefault="00986A47" w:rsidP="00986A47">
      <w:pPr>
        <w:rPr>
          <w:rFonts w:ascii="Times" w:hAnsi="Times" w:cs="Times"/>
        </w:rPr>
      </w:pPr>
    </w:p>
    <w:p w:rsidR="00986A47" w:rsidRPr="00FE3ED0" w:rsidRDefault="00986A47" w:rsidP="00986A47">
      <w:pPr>
        <w:pStyle w:val="Header"/>
        <w:tabs>
          <w:tab w:val="clear" w:pos="4320"/>
          <w:tab w:val="clear" w:pos="8640"/>
          <w:tab w:val="left" w:pos="360"/>
        </w:tabs>
        <w:rPr>
          <w:rFonts w:ascii="Times" w:hAnsi="Times"/>
          <w:b/>
          <w:bCs/>
        </w:rPr>
      </w:pPr>
      <w:r w:rsidRPr="00FE3ED0">
        <w:rPr>
          <w:rFonts w:ascii="Times" w:hAnsi="Times"/>
          <w:b/>
          <w:bCs/>
        </w:rPr>
        <w:t>Estimate of Respondent Burden</w:t>
      </w:r>
    </w:p>
    <w:p w:rsidR="00986A47" w:rsidRPr="00FE3ED0" w:rsidRDefault="00986A47" w:rsidP="00986A47">
      <w:pPr>
        <w:pStyle w:val="Header"/>
        <w:tabs>
          <w:tab w:val="clear" w:pos="4320"/>
          <w:tab w:val="clear" w:pos="8640"/>
          <w:tab w:val="left" w:pos="360"/>
        </w:tabs>
        <w:rPr>
          <w:rFonts w:ascii="Times" w:hAnsi="Times"/>
          <w:b/>
          <w:bCs/>
        </w:rPr>
      </w:pPr>
    </w:p>
    <w:p w:rsidR="00986A47" w:rsidRPr="00EC0669" w:rsidRDefault="00986A47" w:rsidP="00986A47">
      <w:pPr>
        <w:pStyle w:val="Header"/>
        <w:tabs>
          <w:tab w:val="clear" w:pos="4320"/>
          <w:tab w:val="clear" w:pos="8640"/>
          <w:tab w:val="left" w:pos="360"/>
        </w:tabs>
        <w:ind w:firstLine="720"/>
        <w:rPr>
          <w:rFonts w:ascii="Times New Roman" w:hAnsi="Times New Roman"/>
        </w:rPr>
      </w:pPr>
      <w:r w:rsidRPr="00FE3ED0">
        <w:rPr>
          <w:rFonts w:ascii="Times" w:hAnsi="Times"/>
        </w:rPr>
        <w:t xml:space="preserve">The current annual reporting burden of Form TA-1, including initial registration and subsequent amendments, is estimated to be </w:t>
      </w:r>
      <w:r>
        <w:rPr>
          <w:rFonts w:ascii="Times" w:hAnsi="Times"/>
        </w:rPr>
        <w:t>8</w:t>
      </w:r>
      <w:r w:rsidRPr="00FE3ED0">
        <w:rPr>
          <w:rFonts w:ascii="Times" w:hAnsi="Times"/>
        </w:rPr>
        <w:t xml:space="preserve"> hours.  Because the forms are event generated, it is not possible to predict exactly how many forms will be filed in a given year.  The burden estimate shown in the table below is based on the average number of responses received during the past three years</w:t>
      </w:r>
      <w:r w:rsidRPr="000B4E2A">
        <w:rPr>
          <w:rFonts w:ascii="Times New Roman" w:hAnsi="Times New Roman"/>
        </w:rPr>
        <w:t xml:space="preserve">.  </w:t>
      </w:r>
      <w:r w:rsidRPr="000B4E2A">
        <w:rPr>
          <w:rFonts w:ascii="Times New Roman" w:hAnsi="Times New Roman"/>
          <w:bCs/>
        </w:rPr>
        <w:t xml:space="preserve">This </w:t>
      </w:r>
      <w:r>
        <w:rPr>
          <w:rFonts w:ascii="Times New Roman" w:hAnsi="Times New Roman"/>
          <w:bCs/>
        </w:rPr>
        <w:t>reporting</w:t>
      </w:r>
      <w:r w:rsidRPr="000B4E2A">
        <w:rPr>
          <w:rFonts w:ascii="Times New Roman" w:hAnsi="Times New Roman"/>
          <w:bCs/>
          <w:color w:val="000000"/>
        </w:rPr>
        <w:t xml:space="preserve"> requirement represents less than 1 percent of total Federal Reserve System paperwork burden.</w:t>
      </w:r>
    </w:p>
    <w:p w:rsidR="00986A47" w:rsidRPr="00FE3ED0" w:rsidRDefault="00986A47" w:rsidP="00986A47">
      <w:pPr>
        <w:pStyle w:val="Header"/>
        <w:tabs>
          <w:tab w:val="clear" w:pos="4320"/>
          <w:tab w:val="clear" w:pos="8640"/>
          <w:tab w:val="left" w:pos="360"/>
        </w:tabs>
        <w:rPr>
          <w:rFonts w:ascii="Times" w:hAnsi="Times"/>
        </w:rPr>
      </w:pPr>
    </w:p>
    <w:tbl>
      <w:tblPr>
        <w:tblW w:w="0" w:type="auto"/>
        <w:jc w:val="center"/>
        <w:tblBorders>
          <w:top w:val="single" w:sz="4" w:space="0" w:color="auto"/>
          <w:bottom w:val="single" w:sz="4" w:space="0" w:color="auto"/>
        </w:tblBorders>
        <w:tblLayout w:type="fixed"/>
        <w:tblLook w:val="0000"/>
      </w:tblPr>
      <w:tblGrid>
        <w:gridCol w:w="1915"/>
        <w:gridCol w:w="1915"/>
        <w:gridCol w:w="1915"/>
        <w:gridCol w:w="1915"/>
        <w:gridCol w:w="1916"/>
      </w:tblGrid>
      <w:tr w:rsidR="00986A47" w:rsidRPr="00667269" w:rsidTr="00986A47">
        <w:trPr>
          <w:jc w:val="center"/>
        </w:trPr>
        <w:tc>
          <w:tcPr>
            <w:tcW w:w="1915" w:type="dxa"/>
            <w:vAlign w:val="center"/>
          </w:tcPr>
          <w:p w:rsidR="00986A47" w:rsidRPr="00667269" w:rsidRDefault="00986A47" w:rsidP="00986A47">
            <w:pPr>
              <w:pStyle w:val="Header"/>
              <w:tabs>
                <w:tab w:val="clear" w:pos="4320"/>
                <w:tab w:val="clear" w:pos="8640"/>
                <w:tab w:val="left" w:pos="360"/>
              </w:tabs>
              <w:jc w:val="center"/>
              <w:rPr>
                <w:rFonts w:ascii="Times" w:hAnsi="Times"/>
              </w:rPr>
            </w:pPr>
          </w:p>
        </w:tc>
        <w:tc>
          <w:tcPr>
            <w:tcW w:w="1915" w:type="dxa"/>
            <w:vAlign w:val="center"/>
          </w:tcPr>
          <w:p w:rsidR="00986A47" w:rsidRPr="00667269" w:rsidRDefault="00986A47" w:rsidP="00986A47">
            <w:pPr>
              <w:pStyle w:val="Header"/>
              <w:tabs>
                <w:tab w:val="clear" w:pos="4320"/>
                <w:tab w:val="clear" w:pos="8640"/>
                <w:tab w:val="left" w:pos="360"/>
              </w:tabs>
              <w:jc w:val="center"/>
              <w:rPr>
                <w:rFonts w:ascii="Times" w:hAnsi="Times"/>
                <w:i/>
                <w:iCs/>
              </w:rPr>
            </w:pPr>
            <w:r w:rsidRPr="00667269">
              <w:rPr>
                <w:rFonts w:ascii="Times" w:hAnsi="Times"/>
                <w:i/>
                <w:iCs/>
              </w:rPr>
              <w:t>Number</w:t>
            </w:r>
          </w:p>
          <w:p w:rsidR="00986A47" w:rsidRPr="00667269" w:rsidRDefault="00986A47" w:rsidP="00986A47">
            <w:pPr>
              <w:pStyle w:val="Header"/>
              <w:tabs>
                <w:tab w:val="clear" w:pos="4320"/>
                <w:tab w:val="clear" w:pos="8640"/>
                <w:tab w:val="left" w:pos="360"/>
              </w:tabs>
              <w:jc w:val="center"/>
              <w:rPr>
                <w:rFonts w:ascii="Times" w:hAnsi="Times"/>
                <w:i/>
                <w:iCs/>
              </w:rPr>
            </w:pPr>
            <w:r>
              <w:rPr>
                <w:rFonts w:ascii="Times" w:hAnsi="Times"/>
                <w:i/>
                <w:iCs/>
              </w:rPr>
              <w:t>o</w:t>
            </w:r>
            <w:r w:rsidRPr="00667269">
              <w:rPr>
                <w:rFonts w:ascii="Times" w:hAnsi="Times"/>
                <w:i/>
                <w:iCs/>
              </w:rPr>
              <w:t>f</w:t>
            </w:r>
          </w:p>
          <w:p w:rsidR="00986A47" w:rsidRPr="00667269" w:rsidRDefault="00986A47" w:rsidP="00986A47">
            <w:pPr>
              <w:pStyle w:val="Header"/>
              <w:tabs>
                <w:tab w:val="clear" w:pos="4320"/>
                <w:tab w:val="clear" w:pos="8640"/>
                <w:tab w:val="left" w:pos="360"/>
              </w:tabs>
              <w:jc w:val="center"/>
              <w:rPr>
                <w:rFonts w:ascii="Times" w:hAnsi="Times"/>
                <w:i/>
                <w:iCs/>
              </w:rPr>
            </w:pPr>
            <w:r w:rsidRPr="00667269">
              <w:rPr>
                <w:rFonts w:ascii="Times" w:hAnsi="Times"/>
                <w:i/>
                <w:iCs/>
              </w:rPr>
              <w:t>respondents</w:t>
            </w:r>
          </w:p>
        </w:tc>
        <w:tc>
          <w:tcPr>
            <w:tcW w:w="1915" w:type="dxa"/>
            <w:vAlign w:val="center"/>
          </w:tcPr>
          <w:p w:rsidR="00986A47" w:rsidRPr="00667269" w:rsidRDefault="00986A47" w:rsidP="00986A47">
            <w:pPr>
              <w:pStyle w:val="Header"/>
              <w:tabs>
                <w:tab w:val="clear" w:pos="4320"/>
                <w:tab w:val="clear" w:pos="8640"/>
                <w:tab w:val="left" w:pos="360"/>
              </w:tabs>
              <w:jc w:val="center"/>
              <w:rPr>
                <w:rFonts w:ascii="Times" w:hAnsi="Times"/>
                <w:i/>
                <w:iCs/>
              </w:rPr>
            </w:pPr>
            <w:r w:rsidRPr="00667269">
              <w:rPr>
                <w:rFonts w:ascii="Times" w:hAnsi="Times"/>
                <w:i/>
                <w:iCs/>
              </w:rPr>
              <w:t>Annual</w:t>
            </w:r>
          </w:p>
          <w:p w:rsidR="00986A47" w:rsidRPr="00667269" w:rsidRDefault="00986A47" w:rsidP="00986A47">
            <w:pPr>
              <w:pStyle w:val="Header"/>
              <w:tabs>
                <w:tab w:val="clear" w:pos="4320"/>
                <w:tab w:val="clear" w:pos="8640"/>
                <w:tab w:val="left" w:pos="360"/>
              </w:tabs>
              <w:jc w:val="center"/>
              <w:rPr>
                <w:rFonts w:ascii="Times" w:hAnsi="Times"/>
                <w:i/>
                <w:iCs/>
              </w:rPr>
            </w:pPr>
            <w:r w:rsidRPr="00667269">
              <w:rPr>
                <w:rFonts w:ascii="Times" w:hAnsi="Times"/>
                <w:i/>
                <w:iCs/>
              </w:rPr>
              <w:t xml:space="preserve"> frequency</w:t>
            </w:r>
          </w:p>
        </w:tc>
        <w:tc>
          <w:tcPr>
            <w:tcW w:w="1915" w:type="dxa"/>
            <w:vAlign w:val="center"/>
          </w:tcPr>
          <w:p w:rsidR="00986A47" w:rsidRPr="00667269" w:rsidRDefault="00986A47" w:rsidP="00986A47">
            <w:pPr>
              <w:pStyle w:val="Header"/>
              <w:tabs>
                <w:tab w:val="clear" w:pos="4320"/>
                <w:tab w:val="clear" w:pos="8640"/>
                <w:tab w:val="left" w:pos="360"/>
              </w:tabs>
              <w:jc w:val="center"/>
              <w:rPr>
                <w:rFonts w:ascii="Times" w:hAnsi="Times"/>
                <w:i/>
                <w:iCs/>
              </w:rPr>
            </w:pPr>
            <w:r w:rsidRPr="00667269">
              <w:rPr>
                <w:rFonts w:ascii="Times" w:hAnsi="Times"/>
                <w:i/>
                <w:iCs/>
              </w:rPr>
              <w:t>Estimated average hours</w:t>
            </w:r>
          </w:p>
          <w:p w:rsidR="00986A47" w:rsidRPr="00667269" w:rsidRDefault="00986A47" w:rsidP="00986A47">
            <w:pPr>
              <w:pStyle w:val="Header"/>
              <w:tabs>
                <w:tab w:val="clear" w:pos="4320"/>
                <w:tab w:val="clear" w:pos="8640"/>
                <w:tab w:val="left" w:pos="360"/>
              </w:tabs>
              <w:jc w:val="center"/>
              <w:rPr>
                <w:rFonts w:ascii="Times" w:hAnsi="Times"/>
                <w:i/>
                <w:iCs/>
              </w:rPr>
            </w:pPr>
            <w:r w:rsidRPr="00667269">
              <w:rPr>
                <w:rFonts w:ascii="Times" w:hAnsi="Times"/>
                <w:i/>
                <w:iCs/>
              </w:rPr>
              <w:t xml:space="preserve"> per response</w:t>
            </w:r>
          </w:p>
        </w:tc>
        <w:tc>
          <w:tcPr>
            <w:tcW w:w="1916" w:type="dxa"/>
            <w:vAlign w:val="center"/>
          </w:tcPr>
          <w:p w:rsidR="00986A47" w:rsidRPr="00667269" w:rsidRDefault="00986A47" w:rsidP="00986A47">
            <w:pPr>
              <w:pStyle w:val="Header"/>
              <w:tabs>
                <w:tab w:val="clear" w:pos="4320"/>
                <w:tab w:val="clear" w:pos="8640"/>
                <w:tab w:val="left" w:pos="360"/>
              </w:tabs>
              <w:jc w:val="center"/>
              <w:rPr>
                <w:rFonts w:ascii="Times" w:hAnsi="Times"/>
                <w:i/>
                <w:iCs/>
              </w:rPr>
            </w:pPr>
            <w:r w:rsidRPr="00667269">
              <w:rPr>
                <w:rFonts w:ascii="Times" w:hAnsi="Times"/>
                <w:i/>
                <w:iCs/>
              </w:rPr>
              <w:t xml:space="preserve">Estimated </w:t>
            </w:r>
          </w:p>
          <w:p w:rsidR="00986A47" w:rsidRPr="00667269" w:rsidRDefault="00986A47" w:rsidP="00986A47">
            <w:pPr>
              <w:pStyle w:val="Header"/>
              <w:tabs>
                <w:tab w:val="clear" w:pos="4320"/>
                <w:tab w:val="clear" w:pos="8640"/>
                <w:tab w:val="left" w:pos="360"/>
              </w:tabs>
              <w:jc w:val="center"/>
              <w:rPr>
                <w:rFonts w:ascii="Times" w:hAnsi="Times"/>
                <w:i/>
                <w:iCs/>
              </w:rPr>
            </w:pPr>
            <w:r w:rsidRPr="00667269">
              <w:rPr>
                <w:rFonts w:ascii="Times" w:hAnsi="Times"/>
                <w:i/>
                <w:iCs/>
              </w:rPr>
              <w:t>total annual burden hours</w:t>
            </w:r>
          </w:p>
        </w:tc>
      </w:tr>
      <w:tr w:rsidR="00986A47" w:rsidRPr="00667269" w:rsidTr="00986A47">
        <w:trPr>
          <w:trHeight w:val="531"/>
          <w:jc w:val="center"/>
        </w:trPr>
        <w:tc>
          <w:tcPr>
            <w:tcW w:w="1915" w:type="dxa"/>
            <w:vAlign w:val="center"/>
          </w:tcPr>
          <w:p w:rsidR="00986A47" w:rsidRPr="00667269" w:rsidRDefault="00986A47" w:rsidP="00986A47">
            <w:pPr>
              <w:pStyle w:val="Header"/>
              <w:tabs>
                <w:tab w:val="clear" w:pos="4320"/>
                <w:tab w:val="clear" w:pos="8640"/>
                <w:tab w:val="left" w:pos="360"/>
              </w:tabs>
              <w:rPr>
                <w:rFonts w:ascii="Times" w:hAnsi="Times"/>
              </w:rPr>
            </w:pPr>
            <w:r w:rsidRPr="00667269">
              <w:rPr>
                <w:rFonts w:ascii="Times" w:hAnsi="Times"/>
              </w:rPr>
              <w:t>Registrations</w:t>
            </w:r>
          </w:p>
        </w:tc>
        <w:tc>
          <w:tcPr>
            <w:tcW w:w="1915" w:type="dxa"/>
            <w:vAlign w:val="center"/>
          </w:tcPr>
          <w:p w:rsidR="00986A47" w:rsidRPr="00667269" w:rsidRDefault="00986A47" w:rsidP="00986A47">
            <w:pPr>
              <w:pStyle w:val="Header"/>
              <w:tabs>
                <w:tab w:val="clear" w:pos="4320"/>
                <w:tab w:val="clear" w:pos="8640"/>
                <w:tab w:val="left" w:pos="360"/>
              </w:tabs>
              <w:jc w:val="center"/>
              <w:rPr>
                <w:rFonts w:ascii="Times" w:hAnsi="Times"/>
              </w:rPr>
            </w:pPr>
            <w:r>
              <w:rPr>
                <w:rFonts w:ascii="Times" w:hAnsi="Times"/>
              </w:rPr>
              <w:t xml:space="preserve"> 5</w:t>
            </w:r>
          </w:p>
        </w:tc>
        <w:tc>
          <w:tcPr>
            <w:tcW w:w="1915" w:type="dxa"/>
            <w:vAlign w:val="center"/>
          </w:tcPr>
          <w:p w:rsidR="00986A47" w:rsidRPr="00667269" w:rsidRDefault="00986A47" w:rsidP="00986A47">
            <w:pPr>
              <w:pStyle w:val="Header"/>
              <w:tabs>
                <w:tab w:val="clear" w:pos="4320"/>
                <w:tab w:val="clear" w:pos="8640"/>
                <w:tab w:val="left" w:pos="360"/>
              </w:tabs>
              <w:jc w:val="center"/>
              <w:rPr>
                <w:rFonts w:ascii="Times" w:hAnsi="Times"/>
              </w:rPr>
            </w:pPr>
            <w:r w:rsidRPr="00667269">
              <w:rPr>
                <w:rFonts w:ascii="Times" w:hAnsi="Times"/>
              </w:rPr>
              <w:t>1</w:t>
            </w:r>
          </w:p>
        </w:tc>
        <w:tc>
          <w:tcPr>
            <w:tcW w:w="1915" w:type="dxa"/>
            <w:vAlign w:val="center"/>
          </w:tcPr>
          <w:p w:rsidR="00986A47" w:rsidRPr="00667269" w:rsidRDefault="00986A47" w:rsidP="00986A47">
            <w:pPr>
              <w:pStyle w:val="Header"/>
              <w:tabs>
                <w:tab w:val="clear" w:pos="4320"/>
                <w:tab w:val="clear" w:pos="8640"/>
                <w:tab w:val="left" w:pos="360"/>
              </w:tabs>
              <w:jc w:val="center"/>
              <w:rPr>
                <w:rFonts w:ascii="Times" w:hAnsi="Times"/>
              </w:rPr>
            </w:pPr>
            <w:r w:rsidRPr="00667269">
              <w:rPr>
                <w:rFonts w:ascii="Times" w:hAnsi="Times"/>
              </w:rPr>
              <w:t>1.</w:t>
            </w:r>
            <w:r>
              <w:rPr>
                <w:rFonts w:ascii="Times" w:hAnsi="Times"/>
              </w:rPr>
              <w:t>2</w:t>
            </w:r>
            <w:r w:rsidRPr="00667269">
              <w:rPr>
                <w:rFonts w:ascii="Times" w:hAnsi="Times"/>
              </w:rPr>
              <w:t>5</w:t>
            </w:r>
            <w:r>
              <w:rPr>
                <w:rFonts w:ascii="Times" w:hAnsi="Times"/>
              </w:rPr>
              <w:t xml:space="preserve"> hours</w:t>
            </w:r>
          </w:p>
        </w:tc>
        <w:tc>
          <w:tcPr>
            <w:tcW w:w="1916" w:type="dxa"/>
            <w:vAlign w:val="center"/>
          </w:tcPr>
          <w:p w:rsidR="00986A47" w:rsidRPr="00667269" w:rsidRDefault="00986A47" w:rsidP="00986A47">
            <w:pPr>
              <w:pStyle w:val="Header"/>
              <w:tabs>
                <w:tab w:val="clear" w:pos="4320"/>
                <w:tab w:val="clear" w:pos="8640"/>
                <w:tab w:val="left" w:pos="360"/>
              </w:tabs>
              <w:jc w:val="center"/>
              <w:rPr>
                <w:rFonts w:ascii="Times" w:hAnsi="Times"/>
              </w:rPr>
            </w:pPr>
            <w:r>
              <w:rPr>
                <w:rFonts w:ascii="Times" w:hAnsi="Times"/>
              </w:rPr>
              <w:t>6</w:t>
            </w:r>
          </w:p>
        </w:tc>
      </w:tr>
      <w:tr w:rsidR="00986A47" w:rsidRPr="00667269" w:rsidTr="00986A47">
        <w:trPr>
          <w:trHeight w:val="513"/>
          <w:jc w:val="center"/>
        </w:trPr>
        <w:tc>
          <w:tcPr>
            <w:tcW w:w="1915" w:type="dxa"/>
            <w:vAlign w:val="center"/>
          </w:tcPr>
          <w:p w:rsidR="00986A47" w:rsidRPr="00667269" w:rsidRDefault="00986A47" w:rsidP="00986A47">
            <w:pPr>
              <w:pStyle w:val="Header"/>
              <w:tabs>
                <w:tab w:val="clear" w:pos="4320"/>
                <w:tab w:val="clear" w:pos="8640"/>
                <w:tab w:val="left" w:pos="360"/>
              </w:tabs>
              <w:rPr>
                <w:rFonts w:ascii="Times" w:hAnsi="Times"/>
              </w:rPr>
            </w:pPr>
            <w:r w:rsidRPr="00667269">
              <w:rPr>
                <w:rFonts w:ascii="Times" w:hAnsi="Times"/>
              </w:rPr>
              <w:t>Amendments</w:t>
            </w:r>
          </w:p>
        </w:tc>
        <w:tc>
          <w:tcPr>
            <w:tcW w:w="1915" w:type="dxa"/>
            <w:vAlign w:val="center"/>
          </w:tcPr>
          <w:p w:rsidR="00986A47" w:rsidRPr="007A6DCD" w:rsidRDefault="00986A47" w:rsidP="00986A47">
            <w:pPr>
              <w:pStyle w:val="Header"/>
              <w:tabs>
                <w:tab w:val="clear" w:pos="4320"/>
                <w:tab w:val="clear" w:pos="8640"/>
                <w:tab w:val="left" w:pos="360"/>
              </w:tabs>
              <w:jc w:val="center"/>
              <w:rPr>
                <w:rFonts w:ascii="Times" w:hAnsi="Times"/>
                <w:u w:val="single"/>
              </w:rPr>
            </w:pPr>
            <w:r>
              <w:rPr>
                <w:rFonts w:ascii="Times" w:hAnsi="Times"/>
                <w:u w:val="single"/>
              </w:rPr>
              <w:t>10</w:t>
            </w:r>
          </w:p>
        </w:tc>
        <w:tc>
          <w:tcPr>
            <w:tcW w:w="1915" w:type="dxa"/>
            <w:vAlign w:val="center"/>
          </w:tcPr>
          <w:p w:rsidR="00986A47" w:rsidRPr="00667269" w:rsidRDefault="00986A47" w:rsidP="00986A47">
            <w:pPr>
              <w:pStyle w:val="Header"/>
              <w:tabs>
                <w:tab w:val="clear" w:pos="4320"/>
                <w:tab w:val="clear" w:pos="8640"/>
                <w:tab w:val="left" w:pos="360"/>
              </w:tabs>
              <w:jc w:val="center"/>
              <w:rPr>
                <w:rFonts w:ascii="Times" w:hAnsi="Times"/>
              </w:rPr>
            </w:pPr>
            <w:r w:rsidRPr="00667269">
              <w:rPr>
                <w:rFonts w:ascii="Times" w:hAnsi="Times"/>
              </w:rPr>
              <w:t>1</w:t>
            </w:r>
          </w:p>
        </w:tc>
        <w:tc>
          <w:tcPr>
            <w:tcW w:w="1915" w:type="dxa"/>
            <w:vAlign w:val="center"/>
          </w:tcPr>
          <w:p w:rsidR="00986A47" w:rsidRPr="00667269" w:rsidRDefault="00986A47" w:rsidP="00986A47">
            <w:pPr>
              <w:pStyle w:val="Header"/>
              <w:tabs>
                <w:tab w:val="clear" w:pos="4320"/>
                <w:tab w:val="clear" w:pos="8640"/>
                <w:tab w:val="left" w:pos="360"/>
              </w:tabs>
              <w:jc w:val="center"/>
              <w:rPr>
                <w:rFonts w:ascii="Times" w:hAnsi="Times"/>
              </w:rPr>
            </w:pPr>
            <w:r>
              <w:rPr>
                <w:rFonts w:ascii="Times" w:hAnsi="Times"/>
              </w:rPr>
              <w:t>10</w:t>
            </w:r>
            <w:r w:rsidRPr="00667269">
              <w:rPr>
                <w:rFonts w:ascii="Times" w:hAnsi="Times"/>
              </w:rPr>
              <w:t xml:space="preserve"> minutes</w:t>
            </w:r>
          </w:p>
        </w:tc>
        <w:tc>
          <w:tcPr>
            <w:tcW w:w="1916" w:type="dxa"/>
            <w:vAlign w:val="center"/>
          </w:tcPr>
          <w:p w:rsidR="00986A47" w:rsidRPr="001E0B7A" w:rsidRDefault="00986A47" w:rsidP="00986A47">
            <w:pPr>
              <w:pStyle w:val="Header"/>
              <w:tabs>
                <w:tab w:val="clear" w:pos="4320"/>
                <w:tab w:val="clear" w:pos="8640"/>
                <w:tab w:val="left" w:pos="360"/>
              </w:tabs>
              <w:jc w:val="center"/>
              <w:rPr>
                <w:rFonts w:ascii="Times" w:hAnsi="Times"/>
                <w:u w:val="single"/>
              </w:rPr>
            </w:pPr>
            <w:r>
              <w:rPr>
                <w:rFonts w:ascii="Times" w:hAnsi="Times"/>
                <w:u w:val="single"/>
              </w:rPr>
              <w:t>2</w:t>
            </w:r>
          </w:p>
        </w:tc>
      </w:tr>
      <w:tr w:rsidR="00986A47" w:rsidRPr="00667269" w:rsidTr="00986A47">
        <w:trPr>
          <w:trHeight w:val="564"/>
          <w:jc w:val="center"/>
        </w:trPr>
        <w:tc>
          <w:tcPr>
            <w:tcW w:w="1915" w:type="dxa"/>
            <w:vAlign w:val="center"/>
          </w:tcPr>
          <w:p w:rsidR="00986A47" w:rsidRPr="008E346D" w:rsidRDefault="00986A47" w:rsidP="00986A47">
            <w:pPr>
              <w:pStyle w:val="Header"/>
              <w:tabs>
                <w:tab w:val="clear" w:pos="4320"/>
                <w:tab w:val="clear" w:pos="8640"/>
                <w:tab w:val="left" w:pos="360"/>
              </w:tabs>
              <w:jc w:val="right"/>
              <w:rPr>
                <w:rFonts w:ascii="Times" w:hAnsi="Times"/>
                <w:i/>
              </w:rPr>
            </w:pPr>
            <w:r w:rsidRPr="008E346D">
              <w:rPr>
                <w:rFonts w:ascii="Times" w:hAnsi="Times"/>
                <w:i/>
              </w:rPr>
              <w:t>Total</w:t>
            </w:r>
          </w:p>
        </w:tc>
        <w:tc>
          <w:tcPr>
            <w:tcW w:w="1915" w:type="dxa"/>
            <w:vAlign w:val="center"/>
          </w:tcPr>
          <w:p w:rsidR="00986A47" w:rsidRPr="00667269" w:rsidRDefault="00986A47" w:rsidP="00986A47">
            <w:pPr>
              <w:pStyle w:val="Header"/>
              <w:tabs>
                <w:tab w:val="clear" w:pos="4320"/>
                <w:tab w:val="clear" w:pos="8640"/>
                <w:tab w:val="left" w:pos="360"/>
              </w:tabs>
              <w:jc w:val="center"/>
              <w:rPr>
                <w:rFonts w:ascii="Times" w:hAnsi="Times"/>
              </w:rPr>
            </w:pPr>
            <w:r>
              <w:rPr>
                <w:rFonts w:ascii="Times" w:hAnsi="Times"/>
              </w:rPr>
              <w:t>15</w:t>
            </w:r>
          </w:p>
        </w:tc>
        <w:tc>
          <w:tcPr>
            <w:tcW w:w="1915" w:type="dxa"/>
            <w:vAlign w:val="center"/>
          </w:tcPr>
          <w:p w:rsidR="00986A47" w:rsidRPr="00667269" w:rsidRDefault="00986A47" w:rsidP="00986A47">
            <w:pPr>
              <w:pStyle w:val="Header"/>
              <w:tabs>
                <w:tab w:val="clear" w:pos="4320"/>
                <w:tab w:val="clear" w:pos="8640"/>
                <w:tab w:val="left" w:pos="360"/>
              </w:tabs>
              <w:jc w:val="center"/>
              <w:rPr>
                <w:rFonts w:ascii="Times" w:hAnsi="Times"/>
              </w:rPr>
            </w:pPr>
          </w:p>
        </w:tc>
        <w:tc>
          <w:tcPr>
            <w:tcW w:w="1915" w:type="dxa"/>
            <w:vAlign w:val="center"/>
          </w:tcPr>
          <w:p w:rsidR="00986A47" w:rsidRPr="00667269" w:rsidRDefault="00986A47" w:rsidP="00986A47">
            <w:pPr>
              <w:pStyle w:val="Header"/>
              <w:tabs>
                <w:tab w:val="clear" w:pos="4320"/>
                <w:tab w:val="clear" w:pos="8640"/>
                <w:tab w:val="left" w:pos="360"/>
              </w:tabs>
              <w:jc w:val="center"/>
              <w:rPr>
                <w:rFonts w:ascii="Times" w:hAnsi="Times"/>
              </w:rPr>
            </w:pPr>
          </w:p>
        </w:tc>
        <w:tc>
          <w:tcPr>
            <w:tcW w:w="1916" w:type="dxa"/>
            <w:vAlign w:val="center"/>
          </w:tcPr>
          <w:p w:rsidR="00986A47" w:rsidRPr="00667269" w:rsidRDefault="00986A47" w:rsidP="00986A47">
            <w:pPr>
              <w:pStyle w:val="Header"/>
              <w:tabs>
                <w:tab w:val="clear" w:pos="4320"/>
                <w:tab w:val="clear" w:pos="8640"/>
                <w:tab w:val="left" w:pos="360"/>
              </w:tabs>
              <w:jc w:val="center"/>
              <w:rPr>
                <w:rFonts w:ascii="Times" w:hAnsi="Times"/>
              </w:rPr>
            </w:pPr>
            <w:r>
              <w:rPr>
                <w:rFonts w:ascii="Times" w:hAnsi="Times"/>
              </w:rPr>
              <w:t>8</w:t>
            </w:r>
          </w:p>
        </w:tc>
      </w:tr>
    </w:tbl>
    <w:p w:rsidR="00986A47" w:rsidRDefault="00986A47" w:rsidP="00986A47">
      <w:pPr>
        <w:pStyle w:val="Header"/>
        <w:tabs>
          <w:tab w:val="clear" w:pos="4320"/>
          <w:tab w:val="clear" w:pos="8640"/>
          <w:tab w:val="left" w:pos="360"/>
        </w:tabs>
        <w:rPr>
          <w:rFonts w:ascii="Times New Roman" w:hAnsi="Times New Roman"/>
          <w:color w:val="000000"/>
        </w:rPr>
      </w:pPr>
    </w:p>
    <w:p w:rsidR="00986A47" w:rsidRDefault="00986A47" w:rsidP="00F365E6">
      <w:pPr>
        <w:pStyle w:val="Header"/>
        <w:tabs>
          <w:tab w:val="clear" w:pos="4320"/>
          <w:tab w:val="clear" w:pos="8640"/>
          <w:tab w:val="left" w:pos="360"/>
        </w:tabs>
        <w:rPr>
          <w:rFonts w:ascii="Times" w:hAnsi="Times" w:cs="Times"/>
        </w:rPr>
      </w:pPr>
      <w:r w:rsidRPr="008E346D">
        <w:rPr>
          <w:rFonts w:ascii="Times New Roman" w:hAnsi="Times New Roman"/>
          <w:color w:val="000000"/>
        </w:rPr>
        <w:t xml:space="preserve">The current </w:t>
      </w:r>
      <w:r>
        <w:rPr>
          <w:rFonts w:ascii="Times New Roman" w:hAnsi="Times New Roman"/>
          <w:color w:val="000000"/>
        </w:rPr>
        <w:t>annual cost to the public of thi</w:t>
      </w:r>
      <w:r w:rsidRPr="008E346D">
        <w:rPr>
          <w:rFonts w:ascii="Times New Roman" w:hAnsi="Times New Roman"/>
          <w:color w:val="000000"/>
        </w:rPr>
        <w:t>s report is estimated to be</w:t>
      </w:r>
      <w:r w:rsidRPr="008E346D">
        <w:rPr>
          <w:rFonts w:ascii="Times New Roman" w:hAnsi="Times New Roman"/>
        </w:rPr>
        <w:t xml:space="preserve"> $</w:t>
      </w:r>
      <w:r>
        <w:rPr>
          <w:rFonts w:ascii="Times New Roman" w:hAnsi="Times New Roman"/>
        </w:rPr>
        <w:t>493</w:t>
      </w:r>
      <w:r w:rsidRPr="008E346D">
        <w:rPr>
          <w:rFonts w:ascii="Times New Roman" w:hAnsi="Times New Roman"/>
        </w:rPr>
        <w:t>.</w:t>
      </w:r>
      <w:r w:rsidRPr="000B4E2A">
        <w:rPr>
          <w:rStyle w:val="FootnoteReference"/>
          <w:rFonts w:ascii="Times New Roman" w:hAnsi="Times New Roman"/>
          <w:vertAlign w:val="superscript"/>
        </w:rPr>
        <w:footnoteReference w:id="1"/>
      </w:r>
      <w:r w:rsidRPr="008E346D">
        <w:rPr>
          <w:rFonts w:ascii="Times New Roman" w:hAnsi="Times New Roman"/>
        </w:rPr>
        <w:t xml:space="preserve">  </w:t>
      </w:r>
    </w:p>
    <w:p w:rsidR="00986A47" w:rsidRDefault="00986A47" w:rsidP="00986A47">
      <w:pPr>
        <w:pStyle w:val="Header"/>
        <w:tabs>
          <w:tab w:val="clear" w:pos="4320"/>
          <w:tab w:val="clear" w:pos="8640"/>
          <w:tab w:val="left" w:pos="360"/>
        </w:tabs>
        <w:rPr>
          <w:rFonts w:ascii="Times" w:hAnsi="Times"/>
          <w:b/>
          <w:bCs/>
        </w:rPr>
      </w:pPr>
    </w:p>
    <w:p w:rsidR="00986A47" w:rsidRPr="00FE3ED0" w:rsidRDefault="00986A47" w:rsidP="00986A47">
      <w:pPr>
        <w:pStyle w:val="Header"/>
        <w:tabs>
          <w:tab w:val="clear" w:pos="4320"/>
          <w:tab w:val="clear" w:pos="8640"/>
          <w:tab w:val="left" w:pos="360"/>
        </w:tabs>
        <w:rPr>
          <w:rFonts w:ascii="Times" w:hAnsi="Times"/>
          <w:b/>
          <w:bCs/>
        </w:rPr>
      </w:pPr>
      <w:r w:rsidRPr="00FE3ED0">
        <w:rPr>
          <w:rFonts w:ascii="Times" w:hAnsi="Times"/>
          <w:b/>
          <w:bCs/>
        </w:rPr>
        <w:t>Sensitive Questions</w:t>
      </w:r>
    </w:p>
    <w:p w:rsidR="00986A47" w:rsidRPr="00FE3ED0" w:rsidRDefault="00986A47" w:rsidP="00986A47">
      <w:pPr>
        <w:pStyle w:val="Header"/>
        <w:tabs>
          <w:tab w:val="clear" w:pos="4320"/>
          <w:tab w:val="clear" w:pos="8640"/>
          <w:tab w:val="left" w:pos="360"/>
        </w:tabs>
        <w:rPr>
          <w:rFonts w:ascii="Times" w:hAnsi="Times"/>
        </w:rPr>
      </w:pPr>
    </w:p>
    <w:p w:rsidR="00986A47" w:rsidRPr="00FE3ED0" w:rsidRDefault="00986A47" w:rsidP="00986A47">
      <w:pPr>
        <w:pStyle w:val="Header"/>
        <w:tabs>
          <w:tab w:val="clear" w:pos="4320"/>
          <w:tab w:val="clear" w:pos="8640"/>
          <w:tab w:val="left" w:pos="360"/>
        </w:tabs>
        <w:ind w:firstLine="720"/>
        <w:rPr>
          <w:rFonts w:ascii="Times" w:hAnsi="Times"/>
        </w:rPr>
      </w:pPr>
      <w:r w:rsidRPr="00FE3ED0">
        <w:rPr>
          <w:rFonts w:ascii="Times" w:hAnsi="Times"/>
        </w:rPr>
        <w:t>This collection of information contains no questions of a sensitive nature, as defined by OMB guidelines.</w:t>
      </w:r>
    </w:p>
    <w:p w:rsidR="00986A47" w:rsidRPr="00FE3ED0" w:rsidRDefault="00986A47" w:rsidP="00986A47">
      <w:pPr>
        <w:pStyle w:val="Header"/>
        <w:tabs>
          <w:tab w:val="clear" w:pos="4320"/>
          <w:tab w:val="clear" w:pos="8640"/>
          <w:tab w:val="left" w:pos="360"/>
        </w:tabs>
        <w:rPr>
          <w:rFonts w:ascii="Times" w:hAnsi="Times"/>
        </w:rPr>
      </w:pPr>
    </w:p>
    <w:p w:rsidR="00986A47" w:rsidRPr="00FE3ED0" w:rsidRDefault="00986A47" w:rsidP="00986A47">
      <w:pPr>
        <w:pStyle w:val="Header"/>
        <w:tabs>
          <w:tab w:val="clear" w:pos="4320"/>
          <w:tab w:val="clear" w:pos="8640"/>
          <w:tab w:val="left" w:pos="360"/>
        </w:tabs>
        <w:rPr>
          <w:rFonts w:ascii="Times" w:hAnsi="Times"/>
          <w:b/>
          <w:bCs/>
        </w:rPr>
      </w:pPr>
      <w:r w:rsidRPr="00FE3ED0">
        <w:rPr>
          <w:rFonts w:ascii="Times" w:hAnsi="Times"/>
          <w:b/>
          <w:bCs/>
        </w:rPr>
        <w:t>Cost to the Federal Reserve System</w:t>
      </w:r>
    </w:p>
    <w:p w:rsidR="00986A47" w:rsidRPr="00FE3ED0" w:rsidRDefault="00986A47" w:rsidP="00986A47">
      <w:pPr>
        <w:pStyle w:val="Header"/>
        <w:tabs>
          <w:tab w:val="clear" w:pos="4320"/>
          <w:tab w:val="clear" w:pos="8640"/>
          <w:tab w:val="left" w:pos="360"/>
        </w:tabs>
        <w:rPr>
          <w:rFonts w:ascii="Times" w:hAnsi="Times"/>
        </w:rPr>
      </w:pPr>
    </w:p>
    <w:p w:rsidR="00986A47" w:rsidRPr="00FE3ED0" w:rsidRDefault="00986A47" w:rsidP="00986A47">
      <w:pPr>
        <w:pStyle w:val="Header"/>
        <w:tabs>
          <w:tab w:val="clear" w:pos="4320"/>
          <w:tab w:val="clear" w:pos="8640"/>
          <w:tab w:val="left" w:pos="360"/>
        </w:tabs>
        <w:ind w:firstLine="720"/>
        <w:rPr>
          <w:rFonts w:ascii="Times" w:hAnsi="Times"/>
        </w:rPr>
      </w:pPr>
      <w:r w:rsidRPr="00FE3ED0">
        <w:rPr>
          <w:rFonts w:ascii="Times" w:hAnsi="Times"/>
        </w:rPr>
        <w:t xml:space="preserve">The annual cost to the Federal Reserve System for printing, mailing and processing Form </w:t>
      </w:r>
    </w:p>
    <w:p w:rsidR="00D319FD" w:rsidRPr="00986A47" w:rsidRDefault="00986A47" w:rsidP="00986A47">
      <w:pPr>
        <w:pStyle w:val="Header"/>
        <w:tabs>
          <w:tab w:val="clear" w:pos="4320"/>
          <w:tab w:val="clear" w:pos="8640"/>
          <w:tab w:val="left" w:pos="360"/>
        </w:tabs>
        <w:rPr>
          <w:rFonts w:ascii="Times" w:hAnsi="Times"/>
        </w:rPr>
      </w:pPr>
      <w:r w:rsidRPr="00702CA4">
        <w:rPr>
          <w:rFonts w:ascii="Times" w:hAnsi="Times"/>
        </w:rPr>
        <w:t>TA–1 is negligible</w:t>
      </w:r>
      <w:r w:rsidRPr="00FE3ED0">
        <w:t>.</w:t>
      </w:r>
    </w:p>
    <w:sectPr w:rsidR="00D319FD" w:rsidRPr="00986A47" w:rsidSect="007D71F4">
      <w:headerReference w:type="default" r:id="rId6"/>
      <w:footerReference w:type="even" r:id="rId7"/>
      <w:footerReference w:type="default" r:id="rId8"/>
      <w:type w:val="continuous"/>
      <w:pgSz w:w="12240" w:h="15840"/>
      <w:pgMar w:top="1440" w:right="1440" w:bottom="1440" w:left="1440" w:header="1440" w:footer="144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6A47" w:rsidRDefault="00986A47">
      <w:r>
        <w:separator/>
      </w:r>
    </w:p>
  </w:endnote>
  <w:endnote w:type="continuationSeparator" w:id="0">
    <w:p w:rsidR="00986A47" w:rsidRDefault="00986A4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00000000" w:usb2="00000000" w:usb3="00000000" w:csb0="000001FF" w:csb1="00000000"/>
  </w:font>
  <w:font w:name="Arial">
    <w:altName w:val="Arial"/>
    <w:panose1 w:val="020B0604020202020204"/>
    <w:charset w:val="00"/>
    <w:family w:val="swiss"/>
    <w:pitch w:val="variable"/>
    <w:sig w:usb0="20002A87" w:usb1="00000000" w:usb2="00000000" w:usb3="00000000" w:csb0="000001FF" w:csb1="00000000"/>
  </w:font>
  <w:font w:name="Times">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A47" w:rsidRDefault="004556D0">
    <w:pPr>
      <w:pStyle w:val="Footer"/>
      <w:framePr w:wrap="around" w:vAnchor="text" w:hAnchor="margin" w:xAlign="center" w:y="1"/>
      <w:rPr>
        <w:rStyle w:val="PageNumber"/>
      </w:rPr>
    </w:pPr>
    <w:r>
      <w:rPr>
        <w:rStyle w:val="PageNumber"/>
      </w:rPr>
      <w:fldChar w:fldCharType="begin"/>
    </w:r>
    <w:r w:rsidR="00986A47">
      <w:rPr>
        <w:rStyle w:val="PageNumber"/>
      </w:rPr>
      <w:instrText xml:space="preserve">PAGE  </w:instrText>
    </w:r>
    <w:r>
      <w:rPr>
        <w:rStyle w:val="PageNumber"/>
      </w:rPr>
      <w:fldChar w:fldCharType="end"/>
    </w:r>
  </w:p>
  <w:p w:rsidR="00986A47" w:rsidRDefault="00986A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A47" w:rsidRDefault="004556D0">
    <w:pPr>
      <w:pStyle w:val="Footer"/>
      <w:framePr w:wrap="around" w:vAnchor="text" w:hAnchor="margin" w:xAlign="center" w:y="1"/>
      <w:rPr>
        <w:rStyle w:val="PageNumber"/>
      </w:rPr>
    </w:pPr>
    <w:r>
      <w:rPr>
        <w:rStyle w:val="PageNumber"/>
      </w:rPr>
      <w:fldChar w:fldCharType="begin"/>
    </w:r>
    <w:r w:rsidR="00986A47">
      <w:rPr>
        <w:rStyle w:val="PageNumber"/>
      </w:rPr>
      <w:instrText xml:space="preserve">PAGE  </w:instrText>
    </w:r>
    <w:r>
      <w:rPr>
        <w:rStyle w:val="PageNumber"/>
      </w:rPr>
      <w:fldChar w:fldCharType="separate"/>
    </w:r>
    <w:r w:rsidR="00466963">
      <w:rPr>
        <w:rStyle w:val="PageNumber"/>
        <w:noProof/>
      </w:rPr>
      <w:t>3</w:t>
    </w:r>
    <w:r>
      <w:rPr>
        <w:rStyle w:val="PageNumber"/>
      </w:rPr>
      <w:fldChar w:fldCharType="end"/>
    </w:r>
  </w:p>
  <w:p w:rsidR="00986A47" w:rsidRDefault="00986A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6A47" w:rsidRDefault="00986A47">
      <w:r>
        <w:separator/>
      </w:r>
    </w:p>
  </w:footnote>
  <w:footnote w:type="continuationSeparator" w:id="0">
    <w:p w:rsidR="00986A47" w:rsidRDefault="00986A47">
      <w:r>
        <w:continuationSeparator/>
      </w:r>
    </w:p>
  </w:footnote>
  <w:footnote w:id="1">
    <w:p w:rsidR="00986A47" w:rsidRPr="00EC0669" w:rsidRDefault="00986A47" w:rsidP="00986A47">
      <w:pPr>
        <w:pStyle w:val="FootnoteText"/>
        <w:rPr>
          <w:rFonts w:ascii="Times New Roman" w:hAnsi="Times New Roman"/>
        </w:rPr>
      </w:pPr>
      <w:r w:rsidRPr="000B4E2A">
        <w:rPr>
          <w:rStyle w:val="FootnoteReference"/>
          <w:rFonts w:ascii="Times New Roman" w:hAnsi="Times New Roman"/>
          <w:vertAlign w:val="superscript"/>
        </w:rPr>
        <w:footnoteRef/>
      </w:r>
      <w:r>
        <w:t xml:space="preserve"> </w:t>
      </w:r>
      <w:r w:rsidRPr="000B4E2A">
        <w:rPr>
          <w:rFonts w:ascii="Times New Roman" w:hAnsi="Times New Roman"/>
        </w:rPr>
        <w:t>Total cost to the public was estimated using the following formula: percent of staff time, multiplied by annual burden hours, multiplied by hourly rate (30% Administrative or Junior Analyst @ $25, 45% Managerial or Technical @ $55, 15% Senior Management @ $100, and 10% Legal Counsel @ $144).  Hourly rate estimates for each occupational group are averages using data from the Bureau of Labor and Statistics (BLS), Occupational Employment and Wages 2007, www.bls.gov/news.release/ocwage.nr0.htm  Occupations are defined using the BLS Occupatio</w:t>
      </w:r>
      <w:r w:rsidR="00F365E6">
        <w:rPr>
          <w:rFonts w:ascii="Times New Roman" w:hAnsi="Times New Roman"/>
        </w:rPr>
        <w:t xml:space="preserve">nal Classification System,  </w:t>
      </w:r>
      <w:r w:rsidRPr="000B4E2A">
        <w:rPr>
          <w:rFonts w:ascii="Times New Roman" w:hAnsi="Times New Roman"/>
        </w:rPr>
        <w:t xml:space="preserve">www.bls.gov/soc/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A47" w:rsidRDefault="00986A47">
    <w:pPr>
      <w:framePr w:w="9361" w:wrap="notBeside" w:vAnchor="text" w:hAnchor="text" w:x="1" w:y="1"/>
      <w:jc w:val="center"/>
      <w:rPr>
        <w:rFonts w:ascii="Times" w:hAnsi="Times"/>
      </w:rPr>
    </w:pPr>
  </w:p>
  <w:p w:rsidR="00986A47" w:rsidRDefault="00986A47"/>
  <w:p w:rsidR="00986A47" w:rsidRDefault="00986A47">
    <w:pPr>
      <w:spacing w:line="240" w:lineRule="exac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695484"/>
    <w:rsid w:val="00002C11"/>
    <w:rsid w:val="000C22E3"/>
    <w:rsid w:val="000E1DB1"/>
    <w:rsid w:val="00136A4E"/>
    <w:rsid w:val="00166D15"/>
    <w:rsid w:val="00254EFC"/>
    <w:rsid w:val="002F5A89"/>
    <w:rsid w:val="00330657"/>
    <w:rsid w:val="00387681"/>
    <w:rsid w:val="003D1CAC"/>
    <w:rsid w:val="004556D0"/>
    <w:rsid w:val="00466963"/>
    <w:rsid w:val="004F3738"/>
    <w:rsid w:val="004F5110"/>
    <w:rsid w:val="005837D3"/>
    <w:rsid w:val="00594365"/>
    <w:rsid w:val="005B4D3F"/>
    <w:rsid w:val="005E5BF7"/>
    <w:rsid w:val="006170B1"/>
    <w:rsid w:val="00695484"/>
    <w:rsid w:val="006F1144"/>
    <w:rsid w:val="00717071"/>
    <w:rsid w:val="00776701"/>
    <w:rsid w:val="007B4DCD"/>
    <w:rsid w:val="007D71F4"/>
    <w:rsid w:val="008A3FD0"/>
    <w:rsid w:val="008D5BB0"/>
    <w:rsid w:val="00957F08"/>
    <w:rsid w:val="0096625D"/>
    <w:rsid w:val="00982E05"/>
    <w:rsid w:val="00986A47"/>
    <w:rsid w:val="009C0BD9"/>
    <w:rsid w:val="00A264CC"/>
    <w:rsid w:val="00A40DC9"/>
    <w:rsid w:val="00A86C60"/>
    <w:rsid w:val="00AB35B6"/>
    <w:rsid w:val="00AB3A1E"/>
    <w:rsid w:val="00B6705D"/>
    <w:rsid w:val="00C716B2"/>
    <w:rsid w:val="00C7785A"/>
    <w:rsid w:val="00D319FD"/>
    <w:rsid w:val="00D35E63"/>
    <w:rsid w:val="00D57B37"/>
    <w:rsid w:val="00DB0C82"/>
    <w:rsid w:val="00DB41EB"/>
    <w:rsid w:val="00DE76C1"/>
    <w:rsid w:val="00F365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1F4"/>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D71F4"/>
    <w:pPr>
      <w:tabs>
        <w:tab w:val="center" w:pos="4320"/>
        <w:tab w:val="right" w:pos="8640"/>
      </w:tabs>
    </w:pPr>
    <w:rPr>
      <w:rFonts w:ascii="Arial" w:hAnsi="Arial"/>
      <w:snapToGrid/>
    </w:rPr>
  </w:style>
  <w:style w:type="paragraph" w:styleId="BodyText">
    <w:name w:val="Body Text"/>
    <w:basedOn w:val="Normal"/>
    <w:rsid w:val="007D71F4"/>
    <w:pPr>
      <w:tabs>
        <w:tab w:val="left" w:pos="360"/>
      </w:tabs>
      <w:jc w:val="both"/>
    </w:pPr>
    <w:rPr>
      <w:rFonts w:ascii="Times" w:hAnsi="Times"/>
    </w:rPr>
  </w:style>
  <w:style w:type="paragraph" w:styleId="Footer">
    <w:name w:val="footer"/>
    <w:basedOn w:val="Normal"/>
    <w:rsid w:val="007D71F4"/>
    <w:pPr>
      <w:tabs>
        <w:tab w:val="center" w:pos="4320"/>
        <w:tab w:val="right" w:pos="8640"/>
      </w:tabs>
    </w:pPr>
  </w:style>
  <w:style w:type="character" w:styleId="PageNumber">
    <w:name w:val="page number"/>
    <w:basedOn w:val="DefaultParagraphFont"/>
    <w:rsid w:val="007D71F4"/>
  </w:style>
  <w:style w:type="character" w:styleId="FootnoteReference">
    <w:name w:val="footnote reference"/>
    <w:semiHidden/>
    <w:rsid w:val="00136A4E"/>
  </w:style>
  <w:style w:type="paragraph" w:styleId="FootnoteText">
    <w:name w:val="footnote text"/>
    <w:basedOn w:val="Normal"/>
    <w:link w:val="FootnoteTextChar"/>
    <w:uiPriority w:val="99"/>
    <w:rsid w:val="00136A4E"/>
    <w:pPr>
      <w:widowControl w:val="0"/>
      <w:autoSpaceDE w:val="0"/>
      <w:autoSpaceDN w:val="0"/>
      <w:adjustRightInd w:val="0"/>
    </w:pPr>
    <w:rPr>
      <w:rFonts w:ascii="Courier" w:hAnsi="Courier"/>
      <w:snapToGrid/>
      <w:sz w:val="20"/>
    </w:rPr>
  </w:style>
  <w:style w:type="character" w:customStyle="1" w:styleId="FootnoteTextChar">
    <w:name w:val="Footnote Text Char"/>
    <w:basedOn w:val="DefaultParagraphFont"/>
    <w:link w:val="FootnoteText"/>
    <w:uiPriority w:val="99"/>
    <w:rsid w:val="00986A47"/>
    <w:rPr>
      <w:rFonts w:ascii="Courier" w:hAnsi="Courie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268</TotalTime>
  <Pages>3</Pages>
  <Words>1132</Words>
  <Characters>6317</Characters>
  <Application>Microsoft Office Word</Application>
  <DocSecurity>0</DocSecurity>
  <Lines>150</Lines>
  <Paragraphs>93</Paragraphs>
  <ScaleCrop>false</ScaleCrop>
  <HeadingPairs>
    <vt:vector size="2" baseType="variant">
      <vt:variant>
        <vt:lpstr>Title</vt:lpstr>
      </vt:variant>
      <vt:variant>
        <vt:i4>1</vt:i4>
      </vt:variant>
    </vt:vector>
  </HeadingPairs>
  <TitlesOfParts>
    <vt:vector size="1" baseType="lpstr">
      <vt:lpstr>Supporting Statement for *** (FR ####; OMB No</vt:lpstr>
    </vt:vector>
  </TitlesOfParts>
  <Company>FRB</Company>
  <LinksUpToDate>false</LinksUpToDate>
  <CharactersWithSpaces>7356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 (FR ####; OMB No</dc:title>
  <dc:subject/>
  <dc:creator>m1mel00</dc:creator>
  <cp:keywords/>
  <dc:description/>
  <cp:lastModifiedBy>Scott William Farmer</cp:lastModifiedBy>
  <cp:revision>8</cp:revision>
  <cp:lastPrinted>2010-04-27T16:46:00Z</cp:lastPrinted>
  <dcterms:created xsi:type="dcterms:W3CDTF">2010-04-20T15:34:00Z</dcterms:created>
  <dcterms:modified xsi:type="dcterms:W3CDTF">2010-07-22T14:32:00Z</dcterms:modified>
</cp:coreProperties>
</file>