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6CC" w:rsidRPr="001B228E" w:rsidRDefault="003A26CC" w:rsidP="003A26CC">
      <w:pPr>
        <w:pStyle w:val="C2-CtrSglSp"/>
      </w:pPr>
    </w:p>
    <w:p w:rsidR="003A26CC" w:rsidRDefault="003A26CC" w:rsidP="003A26CC">
      <w:pPr>
        <w:pStyle w:val="C2-CtrSglSp"/>
      </w:pPr>
    </w:p>
    <w:p w:rsidR="003A26CC" w:rsidRDefault="003A26CC" w:rsidP="003A26CC">
      <w:pPr>
        <w:spacing w:line="360" w:lineRule="auto"/>
        <w:jc w:val="center"/>
        <w:rPr>
          <w:b/>
          <w:sz w:val="32"/>
          <w:szCs w:val="32"/>
        </w:rPr>
      </w:pPr>
    </w:p>
    <w:p w:rsidR="003A26CC" w:rsidRDefault="003A26CC" w:rsidP="003A26CC">
      <w:pPr>
        <w:spacing w:line="360" w:lineRule="auto"/>
        <w:jc w:val="center"/>
        <w:rPr>
          <w:b/>
          <w:sz w:val="32"/>
          <w:szCs w:val="32"/>
        </w:rPr>
      </w:pPr>
    </w:p>
    <w:p w:rsidR="003A26CC" w:rsidRDefault="003A26CC" w:rsidP="003A26CC">
      <w:pPr>
        <w:spacing w:line="360" w:lineRule="auto"/>
        <w:jc w:val="center"/>
        <w:rPr>
          <w:b/>
          <w:sz w:val="32"/>
          <w:szCs w:val="32"/>
        </w:rPr>
      </w:pPr>
    </w:p>
    <w:p w:rsidR="003A26CC" w:rsidRDefault="003A26CC" w:rsidP="003A26CC">
      <w:pPr>
        <w:spacing w:line="360" w:lineRule="auto"/>
        <w:jc w:val="center"/>
        <w:rPr>
          <w:b/>
          <w:sz w:val="32"/>
          <w:szCs w:val="32"/>
        </w:rPr>
      </w:pPr>
    </w:p>
    <w:p w:rsidR="003A26CC" w:rsidRDefault="003A26CC" w:rsidP="003A26CC">
      <w:pPr>
        <w:spacing w:line="360" w:lineRule="auto"/>
        <w:jc w:val="center"/>
        <w:rPr>
          <w:b/>
          <w:sz w:val="32"/>
          <w:szCs w:val="32"/>
        </w:rPr>
      </w:pPr>
    </w:p>
    <w:p w:rsidR="003A26CC" w:rsidRPr="003A26CC" w:rsidRDefault="003A26CC" w:rsidP="003A26CC">
      <w:pPr>
        <w:spacing w:line="360" w:lineRule="auto"/>
        <w:jc w:val="center"/>
        <w:rPr>
          <w:sz w:val="32"/>
          <w:szCs w:val="32"/>
        </w:rPr>
      </w:pPr>
      <w:r w:rsidRPr="003A26CC">
        <w:rPr>
          <w:b/>
          <w:sz w:val="32"/>
          <w:szCs w:val="32"/>
        </w:rPr>
        <w:t>Investigating the Causes of Post Donation Information (PDI): Errors in the Donor Screening Process</w:t>
      </w:r>
    </w:p>
    <w:p w:rsidR="003A26CC" w:rsidRDefault="003A26CC" w:rsidP="003A26CC">
      <w:pPr>
        <w:pStyle w:val="C2-CtrSglSp"/>
      </w:pPr>
    </w:p>
    <w:p w:rsidR="003A26CC" w:rsidRDefault="003A26CC" w:rsidP="003A26CC">
      <w:pPr>
        <w:pStyle w:val="C2-CtrSglSp"/>
      </w:pPr>
    </w:p>
    <w:p w:rsidR="003A26CC" w:rsidRDefault="003A26CC" w:rsidP="003A26CC">
      <w:pPr>
        <w:pStyle w:val="C2-CtrSglSp"/>
      </w:pPr>
    </w:p>
    <w:p w:rsidR="003A26CC" w:rsidRDefault="003A26CC" w:rsidP="003A26CC">
      <w:pPr>
        <w:pStyle w:val="C2-CtrSglSp"/>
      </w:pPr>
    </w:p>
    <w:p w:rsidR="003A26CC" w:rsidRDefault="003A26CC" w:rsidP="003A26CC">
      <w:pPr>
        <w:pStyle w:val="C2-CtrSglSp"/>
      </w:pPr>
    </w:p>
    <w:p w:rsidR="003A26CC" w:rsidRDefault="003A26CC" w:rsidP="003A26CC">
      <w:pPr>
        <w:pStyle w:val="C2-CtrSglSp"/>
      </w:pPr>
    </w:p>
    <w:p w:rsidR="003A26CC" w:rsidRDefault="003A26CC" w:rsidP="003A26CC">
      <w:pPr>
        <w:pStyle w:val="C2-CtrSglSp"/>
      </w:pPr>
    </w:p>
    <w:p w:rsidR="003A26CC" w:rsidRDefault="003A26CC" w:rsidP="003A26CC">
      <w:pPr>
        <w:pStyle w:val="C2-CtrSglSp"/>
      </w:pPr>
    </w:p>
    <w:p w:rsidR="003A26CC" w:rsidRDefault="003A26CC" w:rsidP="003A26CC">
      <w:pPr>
        <w:pStyle w:val="C2-CtrSglSp"/>
      </w:pPr>
    </w:p>
    <w:p w:rsidR="003A26CC" w:rsidRDefault="003A26CC" w:rsidP="003A26CC">
      <w:pPr>
        <w:pStyle w:val="C2-CtrSglSp"/>
      </w:pPr>
    </w:p>
    <w:p w:rsidR="003A26CC" w:rsidRPr="001B228E" w:rsidRDefault="003A26CC" w:rsidP="003A26CC">
      <w:pPr>
        <w:pStyle w:val="C2-CtrSglSp"/>
      </w:pPr>
    </w:p>
    <w:p w:rsidR="003A26CC" w:rsidRDefault="003A26CC" w:rsidP="003A26CC">
      <w:pPr>
        <w:pStyle w:val="C2-CtrSglSp"/>
      </w:pPr>
    </w:p>
    <w:p w:rsidR="001A4D35" w:rsidRDefault="001A4D35" w:rsidP="003A26CC">
      <w:pPr>
        <w:pStyle w:val="C2-CtrSglSp"/>
      </w:pPr>
    </w:p>
    <w:p w:rsidR="001A4D35" w:rsidRDefault="001A4D35" w:rsidP="003A26CC">
      <w:pPr>
        <w:pStyle w:val="C2-CtrSglSp"/>
      </w:pPr>
    </w:p>
    <w:p w:rsidR="001A4D35" w:rsidRDefault="001A4D35" w:rsidP="003A26CC">
      <w:pPr>
        <w:pStyle w:val="C2-CtrSglSp"/>
      </w:pPr>
    </w:p>
    <w:p w:rsidR="001A4D35" w:rsidRDefault="001A4D35" w:rsidP="003A26CC">
      <w:pPr>
        <w:pStyle w:val="C2-CtrSglSp"/>
      </w:pPr>
    </w:p>
    <w:p w:rsidR="003A26CC" w:rsidRPr="001A4D35" w:rsidRDefault="003A26CC" w:rsidP="003A26CC">
      <w:pPr>
        <w:pStyle w:val="C2-CtrSglSp"/>
        <w:rPr>
          <w:sz w:val="24"/>
          <w:szCs w:val="24"/>
        </w:rPr>
      </w:pPr>
      <w:r w:rsidRPr="001A4D35">
        <w:rPr>
          <w:sz w:val="24"/>
          <w:szCs w:val="24"/>
        </w:rPr>
        <w:t xml:space="preserve">For the National Heart, Lung, and Blood Institute </w:t>
      </w:r>
    </w:p>
    <w:p w:rsidR="003A26CC" w:rsidRPr="001A4D35" w:rsidRDefault="003A26CC" w:rsidP="003A26CC">
      <w:pPr>
        <w:pStyle w:val="C2-CtrSglSp"/>
        <w:rPr>
          <w:sz w:val="24"/>
          <w:szCs w:val="24"/>
        </w:rPr>
      </w:pPr>
      <w:r w:rsidRPr="001A4D35">
        <w:rPr>
          <w:sz w:val="24"/>
          <w:szCs w:val="24"/>
        </w:rPr>
        <w:t>Retrovirus Epidemiology Donor Study-II</w:t>
      </w:r>
    </w:p>
    <w:p w:rsidR="003A26CC" w:rsidRDefault="003A26CC" w:rsidP="003A26CC">
      <w:pPr>
        <w:pStyle w:val="C2-CtrSglSp"/>
      </w:pPr>
    </w:p>
    <w:p w:rsidR="003A26CC" w:rsidRDefault="003A26CC">
      <w:pPr>
        <w:spacing w:line="360" w:lineRule="auto"/>
        <w:rPr>
          <w:b/>
          <w:sz w:val="28"/>
          <w:szCs w:val="28"/>
        </w:rPr>
      </w:pPr>
    </w:p>
    <w:p w:rsidR="003A26CC" w:rsidRDefault="003A26CC">
      <w:pPr>
        <w:spacing w:line="360" w:lineRule="auto"/>
        <w:rPr>
          <w:b/>
          <w:sz w:val="28"/>
          <w:szCs w:val="28"/>
        </w:rPr>
      </w:pPr>
    </w:p>
    <w:p w:rsidR="003A26CC" w:rsidRDefault="003A26CC">
      <w:pPr>
        <w:spacing w:line="360" w:lineRule="auto"/>
        <w:rPr>
          <w:b/>
          <w:sz w:val="28"/>
          <w:szCs w:val="28"/>
        </w:rPr>
      </w:pPr>
    </w:p>
    <w:p w:rsidR="003A26CC" w:rsidRDefault="003A26CC">
      <w:pPr>
        <w:spacing w:line="360" w:lineRule="auto"/>
        <w:rPr>
          <w:b/>
          <w:sz w:val="28"/>
          <w:szCs w:val="28"/>
        </w:rPr>
      </w:pPr>
    </w:p>
    <w:p w:rsidR="003A26CC" w:rsidRDefault="003A26CC">
      <w:pPr>
        <w:spacing w:line="360" w:lineRule="auto"/>
        <w:rPr>
          <w:b/>
          <w:sz w:val="28"/>
          <w:szCs w:val="28"/>
        </w:rPr>
      </w:pPr>
    </w:p>
    <w:p w:rsidR="003A26CC" w:rsidRDefault="003A26CC">
      <w:pPr>
        <w:spacing w:line="360" w:lineRule="auto"/>
        <w:rPr>
          <w:b/>
          <w:sz w:val="28"/>
          <w:szCs w:val="28"/>
        </w:rPr>
      </w:pPr>
    </w:p>
    <w:p w:rsidR="003A26CC" w:rsidRDefault="003A26CC">
      <w:pPr>
        <w:spacing w:line="360" w:lineRule="auto"/>
        <w:rPr>
          <w:b/>
          <w:sz w:val="28"/>
          <w:szCs w:val="28"/>
        </w:rPr>
      </w:pPr>
    </w:p>
    <w:p w:rsidR="001A4D35" w:rsidRDefault="001A4D35">
      <w:pPr>
        <w:spacing w:line="360" w:lineRule="auto"/>
        <w:rPr>
          <w:b/>
          <w:sz w:val="28"/>
          <w:szCs w:val="28"/>
        </w:rPr>
        <w:sectPr w:rsidR="001A4D35" w:rsidSect="001A4D35">
          <w:headerReference w:type="default" r:id="rId8"/>
          <w:footerReference w:type="even" r:id="rId9"/>
          <w:pgSz w:w="12240" w:h="15840"/>
          <w:pgMar w:top="1440" w:right="1440" w:bottom="1440" w:left="1440" w:header="720" w:footer="720" w:gutter="0"/>
          <w:pgBorders w:display="firstPage"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pPr>
    </w:p>
    <w:p w:rsidR="003A26CC" w:rsidRDefault="003A26CC" w:rsidP="003A26CC">
      <w:pPr>
        <w:spacing w:line="360" w:lineRule="auto"/>
        <w:jc w:val="center"/>
        <w:rPr>
          <w:b/>
          <w:sz w:val="28"/>
          <w:szCs w:val="28"/>
        </w:rPr>
      </w:pPr>
      <w:r>
        <w:rPr>
          <w:b/>
          <w:sz w:val="28"/>
          <w:szCs w:val="28"/>
        </w:rPr>
        <w:lastRenderedPageBreak/>
        <w:t>TABLE OF CONTENTS</w:t>
      </w:r>
    </w:p>
    <w:p w:rsidR="003A26CC" w:rsidRDefault="003A26CC">
      <w:pPr>
        <w:spacing w:line="360" w:lineRule="auto"/>
        <w:rPr>
          <w:b/>
          <w:sz w:val="28"/>
          <w:szCs w:val="28"/>
        </w:rPr>
      </w:pPr>
    </w:p>
    <w:p w:rsidR="003A26CC" w:rsidRPr="00CB1ECA" w:rsidRDefault="003A26CC" w:rsidP="003A26CC">
      <w:pPr>
        <w:pStyle w:val="T0-ChapPgHd"/>
        <w:rPr>
          <w:sz w:val="24"/>
          <w:szCs w:val="24"/>
        </w:rPr>
      </w:pPr>
      <w:r w:rsidRPr="00CB1ECA">
        <w:rPr>
          <w:sz w:val="24"/>
          <w:szCs w:val="24"/>
        </w:rPr>
        <w:t>Chapter</w:t>
      </w:r>
      <w:r w:rsidRPr="00CB1ECA">
        <w:rPr>
          <w:sz w:val="24"/>
          <w:szCs w:val="24"/>
        </w:rPr>
        <w:tab/>
        <w:t>Page</w:t>
      </w:r>
    </w:p>
    <w:p w:rsidR="003A26CC" w:rsidRPr="00CB1ECA" w:rsidRDefault="003A26CC" w:rsidP="003A26CC">
      <w:pPr>
        <w:rPr>
          <w:b/>
        </w:rPr>
      </w:pPr>
    </w:p>
    <w:p w:rsidR="003A26CC" w:rsidRPr="00CB1ECA" w:rsidRDefault="003A26CC" w:rsidP="003A26CC">
      <w:pPr>
        <w:pStyle w:val="TOC1"/>
        <w:rPr>
          <w:caps w:val="0"/>
          <w:sz w:val="24"/>
          <w:szCs w:val="24"/>
        </w:rPr>
      </w:pPr>
      <w:r w:rsidRPr="00CB1ECA">
        <w:rPr>
          <w:sz w:val="24"/>
          <w:szCs w:val="24"/>
        </w:rPr>
        <w:tab/>
        <w:t>Summary</w:t>
      </w:r>
      <w:r w:rsidRPr="00CB1ECA">
        <w:rPr>
          <w:sz w:val="24"/>
          <w:szCs w:val="24"/>
        </w:rPr>
        <w:tab/>
      </w:r>
      <w:r w:rsidR="00CB1ECA" w:rsidRPr="00CB1ECA">
        <w:rPr>
          <w:sz w:val="24"/>
          <w:szCs w:val="24"/>
        </w:rPr>
        <w:t>1</w:t>
      </w:r>
      <w:r w:rsidRPr="00CB1ECA">
        <w:rPr>
          <w:sz w:val="24"/>
          <w:szCs w:val="24"/>
        </w:rPr>
        <w:tab/>
      </w:r>
    </w:p>
    <w:p w:rsidR="003A26CC" w:rsidRPr="00CB1ECA" w:rsidRDefault="003A26CC" w:rsidP="003A26CC">
      <w:pPr>
        <w:pStyle w:val="TOC1"/>
        <w:rPr>
          <w:sz w:val="24"/>
          <w:szCs w:val="24"/>
        </w:rPr>
      </w:pPr>
    </w:p>
    <w:p w:rsidR="003A26CC" w:rsidRPr="00CB1ECA" w:rsidRDefault="003A26CC" w:rsidP="003A26CC">
      <w:pPr>
        <w:pStyle w:val="TOC1"/>
        <w:rPr>
          <w:sz w:val="24"/>
          <w:szCs w:val="24"/>
        </w:rPr>
      </w:pPr>
      <w:r w:rsidRPr="00CB1ECA">
        <w:rPr>
          <w:sz w:val="24"/>
          <w:szCs w:val="24"/>
        </w:rPr>
        <w:t>A</w:t>
      </w:r>
      <w:r w:rsidRPr="00CB1ECA">
        <w:rPr>
          <w:sz w:val="24"/>
          <w:szCs w:val="24"/>
        </w:rPr>
        <w:tab/>
        <w:t xml:space="preserve">Background </w:t>
      </w:r>
      <w:smartTag w:uri="urn:schemas-microsoft-com:office:smarttags" w:element="stockticker">
        <w:r w:rsidRPr="00CB1ECA">
          <w:rPr>
            <w:sz w:val="24"/>
            <w:szCs w:val="24"/>
          </w:rPr>
          <w:t>and</w:t>
        </w:r>
      </w:smartTag>
      <w:r w:rsidRPr="00CB1ECA">
        <w:rPr>
          <w:sz w:val="24"/>
          <w:szCs w:val="24"/>
        </w:rPr>
        <w:t xml:space="preserve"> Significance</w:t>
      </w:r>
      <w:r w:rsidRPr="00CB1ECA">
        <w:rPr>
          <w:sz w:val="24"/>
          <w:szCs w:val="24"/>
        </w:rPr>
        <w:tab/>
      </w:r>
      <w:r w:rsidR="00CB1ECA" w:rsidRPr="00CB1ECA">
        <w:rPr>
          <w:sz w:val="24"/>
          <w:szCs w:val="24"/>
        </w:rPr>
        <w:t>2</w:t>
      </w:r>
      <w:r w:rsidRPr="00CB1ECA">
        <w:rPr>
          <w:sz w:val="24"/>
          <w:szCs w:val="24"/>
        </w:rPr>
        <w:tab/>
      </w:r>
    </w:p>
    <w:p w:rsidR="003A26CC" w:rsidRPr="00CB1ECA" w:rsidRDefault="003A26CC" w:rsidP="003A26CC">
      <w:pPr>
        <w:pStyle w:val="TOC1"/>
        <w:rPr>
          <w:sz w:val="24"/>
          <w:szCs w:val="24"/>
        </w:rPr>
      </w:pPr>
    </w:p>
    <w:p w:rsidR="00C667D4" w:rsidRPr="00CB1ECA" w:rsidRDefault="003A26CC" w:rsidP="003A26CC">
      <w:pPr>
        <w:pStyle w:val="TOC1"/>
        <w:rPr>
          <w:sz w:val="24"/>
          <w:szCs w:val="24"/>
        </w:rPr>
      </w:pPr>
      <w:r w:rsidRPr="00CB1ECA">
        <w:rPr>
          <w:sz w:val="24"/>
          <w:szCs w:val="24"/>
        </w:rPr>
        <w:t>B</w:t>
      </w:r>
      <w:r w:rsidRPr="00CB1ECA">
        <w:rPr>
          <w:sz w:val="24"/>
          <w:szCs w:val="24"/>
        </w:rPr>
        <w:tab/>
        <w:t>Objectives</w:t>
      </w:r>
      <w:r w:rsidRPr="00CB1ECA">
        <w:rPr>
          <w:sz w:val="24"/>
          <w:szCs w:val="24"/>
        </w:rPr>
        <w:tab/>
      </w:r>
      <w:r w:rsidR="00CB1ECA" w:rsidRPr="00CB1ECA">
        <w:rPr>
          <w:sz w:val="24"/>
          <w:szCs w:val="24"/>
        </w:rPr>
        <w:t>7</w:t>
      </w:r>
      <w:r w:rsidRPr="00CB1ECA">
        <w:rPr>
          <w:sz w:val="24"/>
          <w:szCs w:val="24"/>
        </w:rPr>
        <w:tab/>
      </w:r>
    </w:p>
    <w:p w:rsidR="00C667D4" w:rsidRPr="00CB1ECA" w:rsidRDefault="00C667D4" w:rsidP="003A26CC">
      <w:pPr>
        <w:pStyle w:val="TOC1"/>
        <w:rPr>
          <w:sz w:val="24"/>
          <w:szCs w:val="24"/>
        </w:rPr>
      </w:pPr>
    </w:p>
    <w:p w:rsidR="00C667D4" w:rsidRPr="00CB1ECA" w:rsidRDefault="00C667D4" w:rsidP="003A26CC">
      <w:pPr>
        <w:pStyle w:val="TOC1"/>
        <w:rPr>
          <w:sz w:val="24"/>
          <w:szCs w:val="24"/>
        </w:rPr>
      </w:pPr>
      <w:r w:rsidRPr="00CB1ECA">
        <w:rPr>
          <w:sz w:val="24"/>
          <w:szCs w:val="24"/>
        </w:rPr>
        <w:t>C</w:t>
      </w:r>
      <w:r w:rsidRPr="00CB1ECA">
        <w:rPr>
          <w:sz w:val="24"/>
          <w:szCs w:val="24"/>
        </w:rPr>
        <w:tab/>
        <w:t>Study population</w:t>
      </w:r>
      <w:r w:rsidR="00CB1ECA" w:rsidRPr="00CB1ECA">
        <w:rPr>
          <w:sz w:val="24"/>
          <w:szCs w:val="24"/>
        </w:rPr>
        <w:tab/>
      </w:r>
      <w:r w:rsidR="00C85CDB">
        <w:rPr>
          <w:sz w:val="24"/>
          <w:szCs w:val="24"/>
        </w:rPr>
        <w:t>8</w:t>
      </w:r>
    </w:p>
    <w:p w:rsidR="00C667D4" w:rsidRPr="00CB1ECA" w:rsidRDefault="00C667D4" w:rsidP="003A26CC">
      <w:pPr>
        <w:pStyle w:val="TOC1"/>
        <w:rPr>
          <w:sz w:val="24"/>
          <w:szCs w:val="24"/>
        </w:rPr>
      </w:pPr>
    </w:p>
    <w:p w:rsidR="00C667D4" w:rsidRPr="00CB1ECA" w:rsidRDefault="00C667D4" w:rsidP="003A26CC">
      <w:pPr>
        <w:pStyle w:val="TOC1"/>
        <w:rPr>
          <w:sz w:val="24"/>
          <w:szCs w:val="24"/>
        </w:rPr>
      </w:pPr>
      <w:r w:rsidRPr="00CB1ECA">
        <w:rPr>
          <w:sz w:val="24"/>
          <w:szCs w:val="24"/>
        </w:rPr>
        <w:t>D</w:t>
      </w:r>
      <w:r w:rsidRPr="00CB1ECA">
        <w:rPr>
          <w:sz w:val="24"/>
          <w:szCs w:val="24"/>
        </w:rPr>
        <w:tab/>
        <w:t xml:space="preserve">Study enrollment </w:t>
      </w:r>
      <w:smartTag w:uri="urn:schemas-microsoft-com:office:smarttags" w:element="stockticker">
        <w:r w:rsidRPr="00CB1ECA">
          <w:rPr>
            <w:sz w:val="24"/>
            <w:szCs w:val="24"/>
          </w:rPr>
          <w:t>and</w:t>
        </w:r>
      </w:smartTag>
      <w:r w:rsidRPr="00CB1ECA">
        <w:rPr>
          <w:sz w:val="24"/>
          <w:szCs w:val="24"/>
        </w:rPr>
        <w:t xml:space="preserve"> design</w:t>
      </w:r>
      <w:r w:rsidR="00CB1ECA" w:rsidRPr="00CB1ECA">
        <w:rPr>
          <w:sz w:val="24"/>
          <w:szCs w:val="24"/>
        </w:rPr>
        <w:tab/>
        <w:t>8</w:t>
      </w:r>
    </w:p>
    <w:p w:rsidR="00C667D4" w:rsidRPr="00CB1ECA" w:rsidRDefault="00C667D4" w:rsidP="003A26CC">
      <w:pPr>
        <w:pStyle w:val="TOC1"/>
        <w:rPr>
          <w:sz w:val="24"/>
          <w:szCs w:val="24"/>
        </w:rPr>
      </w:pPr>
    </w:p>
    <w:p w:rsidR="00C667D4" w:rsidRPr="00CB1ECA" w:rsidRDefault="00C667D4" w:rsidP="003A26CC">
      <w:pPr>
        <w:pStyle w:val="TOC1"/>
        <w:rPr>
          <w:sz w:val="24"/>
          <w:szCs w:val="24"/>
        </w:rPr>
      </w:pPr>
      <w:r w:rsidRPr="00CB1ECA">
        <w:rPr>
          <w:sz w:val="24"/>
          <w:szCs w:val="24"/>
        </w:rPr>
        <w:t>E</w:t>
      </w:r>
      <w:r w:rsidRPr="00CB1ECA">
        <w:rPr>
          <w:sz w:val="24"/>
          <w:szCs w:val="24"/>
        </w:rPr>
        <w:tab/>
        <w:t>timeline</w:t>
      </w:r>
      <w:r w:rsidR="00CB1ECA" w:rsidRPr="00CB1ECA">
        <w:rPr>
          <w:sz w:val="24"/>
          <w:szCs w:val="24"/>
        </w:rPr>
        <w:tab/>
      </w:r>
      <w:r w:rsidR="00C85CDB" w:rsidRPr="00CB1ECA">
        <w:rPr>
          <w:sz w:val="24"/>
          <w:szCs w:val="24"/>
        </w:rPr>
        <w:t>1</w:t>
      </w:r>
      <w:r w:rsidR="00C85CDB">
        <w:rPr>
          <w:sz w:val="24"/>
          <w:szCs w:val="24"/>
        </w:rPr>
        <w:t>4</w:t>
      </w:r>
    </w:p>
    <w:p w:rsidR="00C667D4" w:rsidRPr="00CB1ECA" w:rsidRDefault="00C667D4" w:rsidP="003A26CC">
      <w:pPr>
        <w:pStyle w:val="TOC1"/>
        <w:rPr>
          <w:sz w:val="24"/>
          <w:szCs w:val="24"/>
        </w:rPr>
      </w:pPr>
    </w:p>
    <w:p w:rsidR="00C667D4" w:rsidRPr="00CB1ECA" w:rsidRDefault="00C667D4" w:rsidP="003A26CC">
      <w:pPr>
        <w:pStyle w:val="TOC1"/>
        <w:rPr>
          <w:sz w:val="24"/>
          <w:szCs w:val="24"/>
        </w:rPr>
      </w:pPr>
      <w:r w:rsidRPr="00CB1ECA">
        <w:rPr>
          <w:sz w:val="24"/>
          <w:szCs w:val="24"/>
        </w:rPr>
        <w:t>f</w:t>
      </w:r>
      <w:r w:rsidRPr="00CB1ECA">
        <w:rPr>
          <w:sz w:val="24"/>
          <w:szCs w:val="24"/>
        </w:rPr>
        <w:tab/>
      </w:r>
      <w:smartTag w:uri="urn:schemas-microsoft-com:office:smarttags" w:element="stockticker">
        <w:r w:rsidR="00CB1ECA" w:rsidRPr="00CB1ECA">
          <w:rPr>
            <w:sz w:val="24"/>
            <w:szCs w:val="24"/>
          </w:rPr>
          <w:t>Data</w:t>
        </w:r>
      </w:smartTag>
      <w:r w:rsidR="00CB1ECA" w:rsidRPr="00CB1ECA">
        <w:rPr>
          <w:sz w:val="24"/>
          <w:szCs w:val="24"/>
        </w:rPr>
        <w:t xml:space="preserve"> collection</w:t>
      </w:r>
      <w:r w:rsidR="00CB1ECA" w:rsidRPr="00CB1ECA">
        <w:rPr>
          <w:sz w:val="24"/>
          <w:szCs w:val="24"/>
        </w:rPr>
        <w:tab/>
      </w:r>
      <w:r w:rsidR="00C85CDB" w:rsidRPr="00CB1ECA">
        <w:rPr>
          <w:sz w:val="24"/>
          <w:szCs w:val="24"/>
        </w:rPr>
        <w:t>1</w:t>
      </w:r>
      <w:r w:rsidR="00C85CDB">
        <w:rPr>
          <w:sz w:val="24"/>
          <w:szCs w:val="24"/>
        </w:rPr>
        <w:t>4</w:t>
      </w:r>
    </w:p>
    <w:p w:rsidR="00C667D4" w:rsidRPr="00CB1ECA" w:rsidRDefault="00C667D4" w:rsidP="003A26CC">
      <w:pPr>
        <w:pStyle w:val="TOC1"/>
        <w:rPr>
          <w:sz w:val="24"/>
          <w:szCs w:val="24"/>
        </w:rPr>
      </w:pPr>
    </w:p>
    <w:p w:rsidR="00C667D4" w:rsidRPr="00CB1ECA" w:rsidRDefault="00C667D4" w:rsidP="003A26CC">
      <w:pPr>
        <w:pStyle w:val="TOC1"/>
        <w:rPr>
          <w:sz w:val="24"/>
          <w:szCs w:val="24"/>
        </w:rPr>
      </w:pPr>
      <w:r w:rsidRPr="00CB1ECA">
        <w:rPr>
          <w:sz w:val="24"/>
          <w:szCs w:val="24"/>
        </w:rPr>
        <w:t>g</w:t>
      </w:r>
      <w:r w:rsidRPr="00CB1ECA">
        <w:rPr>
          <w:sz w:val="24"/>
          <w:szCs w:val="24"/>
        </w:rPr>
        <w:tab/>
      </w:r>
      <w:smartTag w:uri="urn:schemas-microsoft-com:office:smarttags" w:element="stockticker">
        <w:r w:rsidRPr="00CB1ECA">
          <w:rPr>
            <w:sz w:val="24"/>
            <w:szCs w:val="24"/>
          </w:rPr>
          <w:t>data</w:t>
        </w:r>
      </w:smartTag>
      <w:r w:rsidRPr="00CB1ECA">
        <w:rPr>
          <w:sz w:val="24"/>
          <w:szCs w:val="24"/>
        </w:rPr>
        <w:t xml:space="preserve"> analysis</w:t>
      </w:r>
      <w:r w:rsidR="00CB1ECA" w:rsidRPr="00CB1ECA">
        <w:rPr>
          <w:sz w:val="24"/>
          <w:szCs w:val="24"/>
        </w:rPr>
        <w:tab/>
      </w:r>
      <w:r w:rsidR="00C85CDB" w:rsidRPr="00CB1ECA">
        <w:rPr>
          <w:sz w:val="24"/>
          <w:szCs w:val="24"/>
        </w:rPr>
        <w:t>1</w:t>
      </w:r>
      <w:r w:rsidR="00C85CDB">
        <w:rPr>
          <w:sz w:val="24"/>
          <w:szCs w:val="24"/>
        </w:rPr>
        <w:t>7</w:t>
      </w:r>
    </w:p>
    <w:p w:rsidR="00C667D4" w:rsidRPr="00CB1ECA" w:rsidRDefault="00C667D4" w:rsidP="003A26CC">
      <w:pPr>
        <w:pStyle w:val="TOC1"/>
        <w:rPr>
          <w:sz w:val="24"/>
          <w:szCs w:val="24"/>
        </w:rPr>
      </w:pPr>
    </w:p>
    <w:p w:rsidR="00C667D4" w:rsidRPr="00CB1ECA" w:rsidRDefault="00C667D4" w:rsidP="003A26CC">
      <w:pPr>
        <w:pStyle w:val="TOC1"/>
        <w:rPr>
          <w:b/>
          <w:sz w:val="24"/>
          <w:szCs w:val="24"/>
        </w:rPr>
      </w:pPr>
      <w:r w:rsidRPr="00CB1ECA">
        <w:rPr>
          <w:sz w:val="24"/>
          <w:szCs w:val="24"/>
        </w:rPr>
        <w:t>h</w:t>
      </w:r>
      <w:r w:rsidRPr="00CB1ECA">
        <w:rPr>
          <w:sz w:val="24"/>
          <w:szCs w:val="24"/>
        </w:rPr>
        <w:tab/>
      </w:r>
      <w:r w:rsidR="00C85CDB" w:rsidRPr="00CB1ECA">
        <w:rPr>
          <w:sz w:val="24"/>
          <w:szCs w:val="24"/>
        </w:rPr>
        <w:t xml:space="preserve">irb </w:t>
      </w:r>
      <w:r w:rsidR="00C85CDB">
        <w:rPr>
          <w:sz w:val="24"/>
          <w:szCs w:val="24"/>
        </w:rPr>
        <w:t xml:space="preserve">Considerations </w:t>
      </w:r>
      <w:smartTag w:uri="urn:schemas-microsoft-com:office:smarttags" w:element="stockticker">
        <w:r w:rsidR="00C85CDB" w:rsidRPr="00CB1ECA">
          <w:rPr>
            <w:sz w:val="24"/>
            <w:szCs w:val="24"/>
          </w:rPr>
          <w:t>and</w:t>
        </w:r>
      </w:smartTag>
      <w:r w:rsidR="00C85CDB" w:rsidRPr="00CB1ECA">
        <w:rPr>
          <w:sz w:val="24"/>
          <w:szCs w:val="24"/>
        </w:rPr>
        <w:t xml:space="preserve"> omb</w:t>
      </w:r>
      <w:r w:rsidR="00C85CDB">
        <w:rPr>
          <w:sz w:val="24"/>
          <w:szCs w:val="24"/>
        </w:rPr>
        <w:t xml:space="preserve"> requirements</w:t>
      </w:r>
      <w:r w:rsidR="00CB1ECA" w:rsidRPr="00CB1ECA">
        <w:rPr>
          <w:sz w:val="24"/>
          <w:szCs w:val="24"/>
        </w:rPr>
        <w:tab/>
      </w:r>
      <w:r w:rsidR="00C85CDB" w:rsidRPr="00CB1ECA">
        <w:rPr>
          <w:sz w:val="24"/>
          <w:szCs w:val="24"/>
        </w:rPr>
        <w:t>1</w:t>
      </w:r>
      <w:r w:rsidR="00C85CDB">
        <w:rPr>
          <w:sz w:val="24"/>
          <w:szCs w:val="24"/>
        </w:rPr>
        <w:t>8</w:t>
      </w:r>
    </w:p>
    <w:p w:rsidR="00C667D4" w:rsidRPr="00CB1ECA" w:rsidRDefault="00C667D4" w:rsidP="003A26CC">
      <w:pPr>
        <w:pStyle w:val="TOC1"/>
        <w:rPr>
          <w:sz w:val="24"/>
          <w:szCs w:val="24"/>
        </w:rPr>
      </w:pPr>
    </w:p>
    <w:p w:rsidR="00C667D4" w:rsidRPr="00CB1ECA" w:rsidRDefault="00C667D4" w:rsidP="003A26CC">
      <w:pPr>
        <w:pStyle w:val="TOC1"/>
        <w:rPr>
          <w:sz w:val="24"/>
          <w:szCs w:val="24"/>
        </w:rPr>
      </w:pPr>
      <w:r w:rsidRPr="00CB1ECA">
        <w:rPr>
          <w:sz w:val="24"/>
          <w:szCs w:val="24"/>
        </w:rPr>
        <w:t>i</w:t>
      </w:r>
      <w:r w:rsidRPr="00CB1ECA">
        <w:rPr>
          <w:sz w:val="24"/>
          <w:szCs w:val="24"/>
        </w:rPr>
        <w:tab/>
      </w:r>
      <w:r w:rsidR="00C85CDB">
        <w:rPr>
          <w:sz w:val="24"/>
          <w:szCs w:val="24"/>
        </w:rPr>
        <w:t>estimated budget</w:t>
      </w:r>
      <w:r w:rsidR="00CB1ECA" w:rsidRPr="00CB1ECA">
        <w:rPr>
          <w:sz w:val="24"/>
          <w:szCs w:val="24"/>
        </w:rPr>
        <w:tab/>
        <w:t>18</w:t>
      </w:r>
    </w:p>
    <w:p w:rsidR="00C667D4" w:rsidRPr="00CB1ECA" w:rsidRDefault="00C667D4" w:rsidP="003A26CC">
      <w:pPr>
        <w:pStyle w:val="TOC1"/>
        <w:rPr>
          <w:sz w:val="24"/>
          <w:szCs w:val="24"/>
        </w:rPr>
      </w:pPr>
    </w:p>
    <w:p w:rsidR="000B12F8" w:rsidRDefault="00C667D4" w:rsidP="003A26CC">
      <w:pPr>
        <w:pStyle w:val="TOC1"/>
        <w:rPr>
          <w:sz w:val="24"/>
          <w:szCs w:val="24"/>
        </w:rPr>
      </w:pPr>
      <w:r w:rsidRPr="00CB1ECA">
        <w:rPr>
          <w:sz w:val="24"/>
          <w:szCs w:val="24"/>
        </w:rPr>
        <w:t>j</w:t>
      </w:r>
      <w:r w:rsidRPr="00CB1ECA">
        <w:rPr>
          <w:sz w:val="24"/>
          <w:szCs w:val="24"/>
        </w:rPr>
        <w:tab/>
        <w:t>references</w:t>
      </w:r>
      <w:r w:rsidR="00CB1ECA" w:rsidRPr="00CB1ECA">
        <w:rPr>
          <w:sz w:val="24"/>
          <w:szCs w:val="24"/>
        </w:rPr>
        <w:tab/>
      </w:r>
      <w:r w:rsidR="003F2443">
        <w:rPr>
          <w:sz w:val="24"/>
          <w:szCs w:val="24"/>
        </w:rPr>
        <w:t>20</w:t>
      </w:r>
    </w:p>
    <w:p w:rsidR="00175C16" w:rsidRDefault="00175C16" w:rsidP="003A26CC">
      <w:pPr>
        <w:pStyle w:val="TOC1"/>
        <w:rPr>
          <w:sz w:val="24"/>
          <w:szCs w:val="24"/>
        </w:rPr>
      </w:pPr>
    </w:p>
    <w:p w:rsidR="00175C16" w:rsidRDefault="00175C16" w:rsidP="00175C16">
      <w:pPr>
        <w:pStyle w:val="TOC1"/>
        <w:ind w:left="0"/>
        <w:sectPr w:rsidR="00175C16" w:rsidSect="007C24F1">
          <w:pgSz w:w="12240" w:h="15840"/>
          <w:pgMar w:top="1440" w:right="1440" w:bottom="1440" w:left="1440" w:header="720" w:footer="720" w:gutter="0"/>
          <w:cols w:space="720"/>
          <w:docGrid w:linePitch="360"/>
        </w:sectPr>
      </w:pPr>
      <w:r>
        <w:rPr>
          <w:sz w:val="24"/>
          <w:szCs w:val="24"/>
        </w:rPr>
        <w:tab/>
        <w:t>Appendix A………………………………………………………..21</w:t>
      </w:r>
    </w:p>
    <w:p w:rsidR="001A4D35" w:rsidRPr="001A4D35" w:rsidRDefault="003A26CC" w:rsidP="003A26CC">
      <w:pPr>
        <w:spacing w:line="360" w:lineRule="auto"/>
        <w:jc w:val="center"/>
        <w:rPr>
          <w:b/>
        </w:rPr>
      </w:pPr>
      <w:r w:rsidRPr="001A4D35">
        <w:rPr>
          <w:b/>
        </w:rPr>
        <w:lastRenderedPageBreak/>
        <w:t xml:space="preserve">INVESTIGATING THE CAUSES OF POST DONATION INFORMATION (PDI): </w:t>
      </w:r>
    </w:p>
    <w:p w:rsidR="00C7580C" w:rsidRPr="001A4D35" w:rsidRDefault="003A26CC" w:rsidP="003A26CC">
      <w:pPr>
        <w:spacing w:line="360" w:lineRule="auto"/>
        <w:jc w:val="center"/>
        <w:rPr>
          <w:b/>
        </w:rPr>
      </w:pPr>
      <w:r w:rsidRPr="001A4D35">
        <w:rPr>
          <w:b/>
        </w:rPr>
        <w:t>ERRORS IN THE DONOR SCREENING PROCESS</w:t>
      </w:r>
    </w:p>
    <w:p w:rsidR="003A26CC" w:rsidRDefault="003A26CC" w:rsidP="003A26CC">
      <w:pPr>
        <w:spacing w:line="360" w:lineRule="auto"/>
        <w:jc w:val="center"/>
        <w:rPr>
          <w:b/>
          <w:sz w:val="28"/>
          <w:szCs w:val="28"/>
        </w:rPr>
      </w:pPr>
    </w:p>
    <w:p w:rsidR="003A26CC" w:rsidRPr="003A26CC" w:rsidRDefault="003A26CC" w:rsidP="003A26CC">
      <w:pPr>
        <w:spacing w:line="312" w:lineRule="auto"/>
        <w:jc w:val="center"/>
        <w:rPr>
          <w:b/>
          <w:bCs/>
          <w:sz w:val="22"/>
          <w:szCs w:val="22"/>
        </w:rPr>
      </w:pPr>
      <w:r w:rsidRPr="003A26CC">
        <w:rPr>
          <w:b/>
          <w:bCs/>
          <w:sz w:val="22"/>
          <w:szCs w:val="22"/>
        </w:rPr>
        <w:t>SUMMARY</w:t>
      </w:r>
    </w:p>
    <w:p w:rsidR="003A26CC" w:rsidRDefault="003A26CC">
      <w:pPr>
        <w:spacing w:line="360" w:lineRule="auto"/>
        <w:rPr>
          <w:b/>
        </w:rPr>
      </w:pPr>
    </w:p>
    <w:p w:rsidR="00C7580C" w:rsidRDefault="00C7580C">
      <w:pPr>
        <w:spacing w:line="360" w:lineRule="auto"/>
      </w:pPr>
      <w:r w:rsidRPr="008354BE">
        <w:rPr>
          <w:b/>
        </w:rPr>
        <w:tab/>
      </w:r>
      <w:r w:rsidR="003A26CC">
        <w:rPr>
          <w:b/>
        </w:rPr>
        <w:tab/>
      </w:r>
      <w:r>
        <w:t>O</w:t>
      </w:r>
      <w:r w:rsidRPr="008354BE">
        <w:t>btain</w:t>
      </w:r>
      <w:r>
        <w:t>ing</w:t>
      </w:r>
      <w:r w:rsidRPr="008354BE">
        <w:t xml:space="preserve"> an accurate health-history </w:t>
      </w:r>
      <w:r>
        <w:t>prior</w:t>
      </w:r>
      <w:r w:rsidRPr="008354BE">
        <w:t xml:space="preserve"> to blood donation</w:t>
      </w:r>
      <w:r>
        <w:t xml:space="preserve"> is a </w:t>
      </w:r>
      <w:r w:rsidRPr="008354BE">
        <w:t xml:space="preserve">key step in protecting the </w:t>
      </w:r>
      <w:r>
        <w:t xml:space="preserve">safety of the </w:t>
      </w:r>
      <w:r w:rsidRPr="008354BE">
        <w:t xml:space="preserve">blood supply.  </w:t>
      </w:r>
      <w:r>
        <w:t xml:space="preserve">However, the health history process is known to be </w:t>
      </w:r>
      <w:r w:rsidRPr="008354BE">
        <w:t xml:space="preserve">error-prone and the reasons for those errors are largely unknown </w:t>
      </w:r>
      <w:r>
        <w:t xml:space="preserve">and </w:t>
      </w:r>
      <w:r w:rsidRPr="008354BE">
        <w:t>untested.</w:t>
      </w:r>
      <w:r>
        <w:t xml:space="preserve"> Frequently donors fail to report a risk that would have resulted in deferral, but at a subsequent point, information is learned that results in deferral, consignee notification</w:t>
      </w:r>
      <w:r>
        <w:rPr>
          <w:color w:val="0000FF"/>
        </w:rPr>
        <w:t xml:space="preserve"> </w:t>
      </w:r>
      <w:r>
        <w:t>and product recall.</w:t>
      </w:r>
      <w:r w:rsidRPr="008354BE">
        <w:t xml:space="preserve"> </w:t>
      </w:r>
      <w:r>
        <w:t>P</w:t>
      </w:r>
      <w:r w:rsidRPr="008354BE">
        <w:t xml:space="preserve">ost Donation Information (PDI) events are clear examples of the kind of errors that can occur during the donor health history screening process. </w:t>
      </w:r>
      <w:r>
        <w:t xml:space="preserve"> </w:t>
      </w:r>
      <w:r w:rsidRPr="008354BE">
        <w:t xml:space="preserve">PDI most often represents an occasion where information that should have been provided as part of the health history process is not disclosed </w:t>
      </w:r>
      <w:r>
        <w:t>during the index donation visit</w:t>
      </w:r>
      <w:r w:rsidRPr="008354BE">
        <w:t xml:space="preserve">, but </w:t>
      </w:r>
      <w:r>
        <w:t xml:space="preserve">rather </w:t>
      </w:r>
      <w:r w:rsidRPr="008354BE">
        <w:t>is provided by the donor</w:t>
      </w:r>
      <w:r>
        <w:t>,</w:t>
      </w:r>
      <w:r w:rsidRPr="008354BE">
        <w:t xml:space="preserve"> or other reliable source</w:t>
      </w:r>
      <w:r>
        <w:t>,</w:t>
      </w:r>
      <w:r w:rsidRPr="008354BE">
        <w:t xml:space="preserve"> subsequent to the donation</w:t>
      </w:r>
      <w:r>
        <w:t xml:space="preserve">. Most PDI is discovered at a subsequent donation event when a deferrable history is now disclosed by the donor.  This may be at the next donation event, but many examples of PDI are not disclosed nor discovered until several intervening donation events have occurred.  </w:t>
      </w:r>
      <w:r w:rsidRPr="008354BE">
        <w:t xml:space="preserve">The reasons why donors fail to disclose a deferrable history </w:t>
      </w:r>
      <w:r>
        <w:t xml:space="preserve">at the time of one </w:t>
      </w:r>
      <w:r w:rsidRPr="008354BE">
        <w:t xml:space="preserve">donation but subsequently disclose this information at a later time are unknown and unstudied.  </w:t>
      </w:r>
    </w:p>
    <w:p w:rsidR="00C7580C" w:rsidRDefault="00C7580C">
      <w:pPr>
        <w:spacing w:line="360" w:lineRule="auto"/>
        <w:ind w:firstLine="720"/>
      </w:pPr>
      <w:r>
        <w:t>This protocol is</w:t>
      </w:r>
      <w:r w:rsidRPr="008354BE">
        <w:t xml:space="preserve"> designed to </w:t>
      </w:r>
      <w:r>
        <w:t>ascertain</w:t>
      </w:r>
      <w:r w:rsidRPr="008354BE">
        <w:t xml:space="preserve"> why PDI </w:t>
      </w:r>
      <w:r>
        <w:t xml:space="preserve">error events </w:t>
      </w:r>
      <w:r w:rsidRPr="008354BE">
        <w:t>occur</w:t>
      </w:r>
      <w:r>
        <w:t xml:space="preserve">.  We will investigate PDI events by conducting in-depth individual </w:t>
      </w:r>
      <w:r w:rsidR="00312A37">
        <w:t xml:space="preserve">telephone </w:t>
      </w:r>
      <w:r>
        <w:t xml:space="preserve">interviews with donors involved in PDI. These interviews will provide important information about why PDI occurs – a question that has never been addressed with any scientific rigor. The interviews will </w:t>
      </w:r>
      <w:r w:rsidR="0040708F">
        <w:t xml:space="preserve">ask the identified donors to </w:t>
      </w:r>
      <w:r>
        <w:t>discuss the PDI in question including</w:t>
      </w:r>
      <w:r w:rsidR="0040708F">
        <w:t xml:space="preserve"> why they </w:t>
      </w:r>
      <w:r>
        <w:t xml:space="preserve">failed to disclose the deferrable information at the index donation, general understanding of the donor health history questionnaire, </w:t>
      </w:r>
      <w:proofErr w:type="gramStart"/>
      <w:r>
        <w:t>their</w:t>
      </w:r>
      <w:proofErr w:type="gramEnd"/>
      <w:r>
        <w:t xml:space="preserve"> </w:t>
      </w:r>
      <w:r w:rsidR="00FF06C4">
        <w:t>v</w:t>
      </w:r>
      <w:r>
        <w:t xml:space="preserve">iews on the donor screening process in general, and their opinions about how they were treated at the blood center.  For comparison purposes, representative </w:t>
      </w:r>
      <w:r w:rsidR="00312A37">
        <w:t xml:space="preserve">telephone </w:t>
      </w:r>
      <w:r>
        <w:t xml:space="preserve">interviews will also be done with donors who were properly deferred from donating blood (and are not PDI donors) and donors who were accepted. </w:t>
      </w:r>
    </w:p>
    <w:p w:rsidR="00C7580C" w:rsidRDefault="00C7580C">
      <w:pPr>
        <w:spacing w:line="360" w:lineRule="auto"/>
        <w:ind w:firstLine="720"/>
      </w:pPr>
      <w:r>
        <w:t>We propose this as a</w:t>
      </w:r>
      <w:r w:rsidR="00FF06C4">
        <w:t>n exploratory</w:t>
      </w:r>
      <w:r>
        <w:t xml:space="preserve"> study</w:t>
      </w:r>
      <w:r w:rsidR="00FF06C4">
        <w:t xml:space="preserve"> that</w:t>
      </w:r>
      <w:r>
        <w:t xml:space="preserve"> will allow us to better understand the problems and issues related to the health-history screening process and the roles that donors and </w:t>
      </w:r>
      <w:r>
        <w:lastRenderedPageBreak/>
        <w:t xml:space="preserve">health-historians play.  By gathering </w:t>
      </w:r>
      <w:r w:rsidR="00FF06C4">
        <w:t xml:space="preserve">these initial data </w:t>
      </w:r>
      <w:r>
        <w:t>on PDI donors</w:t>
      </w:r>
      <w:r w:rsidR="00FF06C4">
        <w:t xml:space="preserve"> and the reasons for PDI events</w:t>
      </w:r>
      <w:r>
        <w:t xml:space="preserve">, we lay the ground work </w:t>
      </w:r>
      <w:r w:rsidR="00DE6181">
        <w:t xml:space="preserve">for </w:t>
      </w:r>
      <w:r w:rsidR="00FF06C4">
        <w:t xml:space="preserve">a possible larger </w:t>
      </w:r>
      <w:r w:rsidR="001C7CE4">
        <w:t>scale PDI</w:t>
      </w:r>
      <w:r>
        <w:t xml:space="preserve"> donor survey to </w:t>
      </w:r>
      <w:r w:rsidR="00FF06C4">
        <w:t>further examine these issues.</w:t>
      </w:r>
      <w:r>
        <w:t xml:space="preserve"> This will also allow us to strategize potential interventions as a comprehensive part of a phase two study.  </w:t>
      </w:r>
      <w:r w:rsidR="00FF06C4">
        <w:t xml:space="preserve">Additionally, given the present dearth of information about </w:t>
      </w:r>
      <w:r>
        <w:t>why these errors occur</w:t>
      </w:r>
      <w:r w:rsidR="00147415">
        <w:t xml:space="preserve">, </w:t>
      </w:r>
      <w:r w:rsidR="00312A37">
        <w:t>w</w:t>
      </w:r>
      <w:r>
        <w:t xml:space="preserve">e </w:t>
      </w:r>
      <w:r w:rsidR="00147415">
        <w:t xml:space="preserve">believe </w:t>
      </w:r>
      <w:r>
        <w:t xml:space="preserve">this initial study with interviews of PDI and deferred donors will provide meaningful </w:t>
      </w:r>
      <w:r w:rsidR="00147415">
        <w:t>insight on this problem</w:t>
      </w:r>
      <w:r w:rsidR="00DB424F">
        <w:t xml:space="preserve"> that may be useful in helping reduce the incidence of PDI while also</w:t>
      </w:r>
      <w:r w:rsidR="00147415">
        <w:t xml:space="preserve"> pro</w:t>
      </w:r>
      <w:r w:rsidR="00DB424F">
        <w:t xml:space="preserve">viding </w:t>
      </w:r>
      <w:r>
        <w:t xml:space="preserve">publishable data regarding this problem. </w:t>
      </w:r>
    </w:p>
    <w:p w:rsidR="003A26CC" w:rsidRDefault="003A26CC" w:rsidP="003A26CC">
      <w:pPr>
        <w:spacing w:line="360" w:lineRule="auto"/>
        <w:jc w:val="center"/>
        <w:rPr>
          <w:b/>
          <w:sz w:val="22"/>
          <w:szCs w:val="22"/>
        </w:rPr>
      </w:pPr>
    </w:p>
    <w:p w:rsidR="00C7580C" w:rsidRPr="003A26CC" w:rsidRDefault="003A26CC" w:rsidP="003A26CC">
      <w:pPr>
        <w:spacing w:line="360" w:lineRule="auto"/>
        <w:jc w:val="center"/>
        <w:rPr>
          <w:b/>
          <w:sz w:val="22"/>
          <w:szCs w:val="22"/>
        </w:rPr>
      </w:pPr>
      <w:r w:rsidRPr="003A26CC">
        <w:rPr>
          <w:b/>
          <w:sz w:val="22"/>
          <w:szCs w:val="22"/>
        </w:rPr>
        <w:t>A</w:t>
      </w:r>
      <w:r w:rsidR="00C7580C" w:rsidRPr="003A26CC">
        <w:rPr>
          <w:b/>
          <w:sz w:val="22"/>
          <w:szCs w:val="22"/>
        </w:rPr>
        <w:t xml:space="preserve">.  </w:t>
      </w:r>
      <w:r w:rsidRPr="003A26CC">
        <w:rPr>
          <w:b/>
          <w:sz w:val="22"/>
          <w:szCs w:val="22"/>
        </w:rPr>
        <w:t xml:space="preserve">BACKGROUND </w:t>
      </w:r>
      <w:smartTag w:uri="urn:schemas-microsoft-com:office:smarttags" w:element="stockticker">
        <w:r w:rsidRPr="003A26CC">
          <w:rPr>
            <w:b/>
            <w:sz w:val="22"/>
            <w:szCs w:val="22"/>
          </w:rPr>
          <w:t>AND</w:t>
        </w:r>
      </w:smartTag>
      <w:r w:rsidRPr="003A26CC">
        <w:rPr>
          <w:b/>
          <w:sz w:val="22"/>
          <w:szCs w:val="22"/>
        </w:rPr>
        <w:t xml:space="preserve"> SIGNIFICANCE</w:t>
      </w:r>
    </w:p>
    <w:p w:rsidR="0096331B" w:rsidRDefault="003A26CC">
      <w:pPr>
        <w:spacing w:line="360" w:lineRule="auto"/>
        <w:rPr>
          <w:b/>
        </w:rPr>
      </w:pPr>
      <w:r>
        <w:rPr>
          <w:b/>
        </w:rPr>
        <w:tab/>
      </w:r>
      <w:r w:rsidR="0096331B">
        <w:rPr>
          <w:b/>
        </w:rPr>
        <w:tab/>
      </w:r>
    </w:p>
    <w:p w:rsidR="00C7580C" w:rsidRPr="008354BE" w:rsidRDefault="00C7580C">
      <w:pPr>
        <w:spacing w:line="360" w:lineRule="auto"/>
        <w:rPr>
          <w:b/>
        </w:rPr>
      </w:pPr>
      <w:r w:rsidRPr="008354BE">
        <w:rPr>
          <w:b/>
        </w:rPr>
        <w:t>Background</w:t>
      </w:r>
    </w:p>
    <w:p w:rsidR="00C7580C" w:rsidRPr="008354BE" w:rsidRDefault="0096331B">
      <w:pPr>
        <w:spacing w:line="360" w:lineRule="auto"/>
        <w:ind w:firstLine="720"/>
      </w:pPr>
      <w:r>
        <w:tab/>
      </w:r>
      <w:r w:rsidR="00C7580C" w:rsidRPr="008354BE">
        <w:t xml:space="preserve">The donor health-history taking process is considered one of five levels </w:t>
      </w:r>
      <w:r w:rsidR="00110C1B">
        <w:t xml:space="preserve">of protection designed </w:t>
      </w:r>
      <w:r w:rsidR="00C7580C" w:rsidRPr="008354BE">
        <w:t>to safeguard the blood supply.  Infectious disease testing, deferred donor registry, quarantine procedures, and error/accident reporting to the FDA with corrective action are the other four.  Of concern</w:t>
      </w:r>
      <w:r w:rsidR="00C7580C">
        <w:t xml:space="preserve"> in the health-history process</w:t>
      </w:r>
      <w:r w:rsidR="00C7580C" w:rsidRPr="008354BE">
        <w:t xml:space="preserve"> is obtain</w:t>
      </w:r>
      <w:r w:rsidR="00C7580C">
        <w:t>ing a</w:t>
      </w:r>
      <w:r w:rsidR="00C7580C" w:rsidRPr="008354BE">
        <w:t xml:space="preserve"> complete and accurate histor</w:t>
      </w:r>
      <w:r w:rsidR="00C7580C">
        <w:t>y</w:t>
      </w:r>
      <w:r w:rsidR="00C7580C" w:rsidRPr="008354BE">
        <w:t xml:space="preserve"> from </w:t>
      </w:r>
      <w:r w:rsidR="00C7580C">
        <w:t xml:space="preserve">the </w:t>
      </w:r>
      <w:r w:rsidR="00C7580C" w:rsidRPr="008354BE">
        <w:t xml:space="preserve">donor at the time of donation and </w:t>
      </w:r>
      <w:r w:rsidR="00C7580C">
        <w:t xml:space="preserve">the historians’ ability to elicit this information and </w:t>
      </w:r>
      <w:r w:rsidR="00C7580C" w:rsidRPr="008354BE">
        <w:t>to make correct decisions regarding donor suitability, the most prevalent category and cause for FDA reportable Blood Product Deviations (BPD).</w:t>
      </w:r>
    </w:p>
    <w:p w:rsidR="00C7580C" w:rsidRDefault="0096331B">
      <w:pPr>
        <w:spacing w:line="360" w:lineRule="auto"/>
        <w:ind w:firstLine="720"/>
      </w:pPr>
      <w:r>
        <w:tab/>
      </w:r>
      <w:r w:rsidR="00C7580C" w:rsidRPr="008354BE">
        <w:t>Data from the FDA’s FY0</w:t>
      </w:r>
      <w:r w:rsidR="00B34559">
        <w:t>7</w:t>
      </w:r>
      <w:r w:rsidR="00C7580C" w:rsidRPr="008354BE">
        <w:t xml:space="preserve"> Annual Summary on Blood Product Deviation Reports</w:t>
      </w:r>
      <w:r w:rsidR="00C7580C" w:rsidRPr="008354BE">
        <w:rPr>
          <w:vertAlign w:val="superscript"/>
        </w:rPr>
        <w:t>1</w:t>
      </w:r>
      <w:r w:rsidR="00C7580C" w:rsidRPr="008354BE">
        <w:t xml:space="preserve"> show that errors and accidents related to donor suitability account for the majority of BPD reports - 7</w:t>
      </w:r>
      <w:r w:rsidR="00B34559">
        <w:t>5.4</w:t>
      </w:r>
      <w:r w:rsidR="00C7580C" w:rsidRPr="008354BE">
        <w:t xml:space="preserve">% for a total of </w:t>
      </w:r>
      <w:r w:rsidR="00B34559">
        <w:t xml:space="preserve">32,380 </w:t>
      </w:r>
      <w:r w:rsidR="00C7580C" w:rsidRPr="008354BE">
        <w:t>reports (Table 1).  The majority of the donor suitability BPD reports (</w:t>
      </w:r>
      <w:r w:rsidR="00B34559">
        <w:t>30,033</w:t>
      </w:r>
      <w:r w:rsidR="00C7580C" w:rsidRPr="008354BE">
        <w:t xml:space="preserve">) are due to Post Donation Information (PDI). PDI is commonly defined as information that the donor should have provided at the time of donation. </w:t>
      </w:r>
      <w:r w:rsidR="00C7580C" w:rsidRPr="00ED4ED0">
        <w:t>In FY0</w:t>
      </w:r>
      <w:r w:rsidR="00B34559">
        <w:t>7</w:t>
      </w:r>
      <w:r w:rsidR="00C7580C" w:rsidRPr="00ED4ED0">
        <w:t xml:space="preserve"> most PDI information (</w:t>
      </w:r>
      <w:r w:rsidR="00B34559">
        <w:t>90</w:t>
      </w:r>
      <w:r w:rsidR="00C7580C" w:rsidRPr="00ED4ED0">
        <w:t>%) was known by the donor at the time of the index donation (the donation where the deferrable history was known by the donor and not disclosed) but, for unknown reasons, was not provided.</w:t>
      </w:r>
      <w:r w:rsidR="00C7580C" w:rsidRPr="008354BE">
        <w:t xml:space="preserve">  </w:t>
      </w:r>
      <w:r w:rsidR="00C7580C">
        <w:t xml:space="preserve">Most of the remaining cases of PDI are things not known by the donor at the time of donation but later reported.  This might include </w:t>
      </w:r>
      <w:r w:rsidR="002B0D0D">
        <w:t xml:space="preserve">the </w:t>
      </w:r>
      <w:r w:rsidR="00C7580C">
        <w:t>subsequent diagnosis of a disease</w:t>
      </w:r>
      <w:r w:rsidR="00E13A65">
        <w:t xml:space="preserve"> </w:t>
      </w:r>
      <w:r w:rsidR="00C7580C">
        <w:t>and the donor calls to inform the blood center of this new health information</w:t>
      </w:r>
      <w:r w:rsidR="00E13A65">
        <w:t xml:space="preserve"> that may pose recipient risk</w:t>
      </w:r>
      <w:r w:rsidR="00C7580C">
        <w:t xml:space="preserve">.  </w:t>
      </w:r>
      <w:r w:rsidR="00C7580C" w:rsidRPr="008354BE">
        <w:t>Most of the remaining BPDs (2,0</w:t>
      </w:r>
      <w:r w:rsidR="002B0D0D">
        <w:t>27</w:t>
      </w:r>
      <w:r w:rsidR="00C7580C" w:rsidRPr="008354BE">
        <w:t xml:space="preserve">) related to donor suitability were outright donor screening errors made by the health historians during the screening process and most frequently were related to accepting donors with an overt history that was deferrable.  </w:t>
      </w:r>
      <w:r w:rsidR="00C7580C" w:rsidRPr="008354BE">
        <w:lastRenderedPageBreak/>
        <w:t xml:space="preserve">There has been no change in these data since the FDA began publishing </w:t>
      </w:r>
      <w:r w:rsidR="00C7580C">
        <w:t>them</w:t>
      </w:r>
      <w:r w:rsidR="00C7580C" w:rsidRPr="008354BE">
        <w:t xml:space="preserve"> in FY01.  The donor suitability system and PDI account for the largest number of BPD reports, but there has been almost no research into why these PDI and donor screening errors occur</w:t>
      </w:r>
      <w:r w:rsidR="00C7580C">
        <w:t xml:space="preserve"> or what could be done to prevent or reduce their occurrence</w:t>
      </w:r>
      <w:r w:rsidR="00C7580C" w:rsidRPr="008354BE">
        <w:t xml:space="preserve">.  </w:t>
      </w:r>
    </w:p>
    <w:p w:rsidR="0096331B" w:rsidRDefault="0096331B">
      <w:pPr>
        <w:spacing w:line="360" w:lineRule="auto"/>
        <w:rPr>
          <w:b/>
        </w:rPr>
      </w:pPr>
    </w:p>
    <w:p w:rsidR="00C7580C" w:rsidRPr="00CD2286" w:rsidRDefault="00C7580C">
      <w:pPr>
        <w:spacing w:line="360" w:lineRule="auto"/>
        <w:rPr>
          <w:b/>
        </w:rPr>
      </w:pPr>
      <w:r w:rsidRPr="00CD2286">
        <w:rPr>
          <w:b/>
        </w:rPr>
        <w:t>Table 1 – FY0</w:t>
      </w:r>
      <w:r w:rsidR="00980319">
        <w:rPr>
          <w:b/>
        </w:rPr>
        <w:t>7</w:t>
      </w:r>
      <w:r w:rsidRPr="00CD2286">
        <w:rPr>
          <w:b/>
        </w:rPr>
        <w:t xml:space="preserve"> Blood Product Deviation Data Reported to the FDA from all blood and plasma manufacturers*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75"/>
        <w:gridCol w:w="1080"/>
        <w:gridCol w:w="3533"/>
        <w:gridCol w:w="2340"/>
      </w:tblGrid>
      <w:tr w:rsidR="00C7580C" w:rsidRPr="008354BE">
        <w:tc>
          <w:tcPr>
            <w:tcW w:w="2875" w:type="dxa"/>
          </w:tcPr>
          <w:p w:rsidR="00C7580C" w:rsidRPr="008354BE" w:rsidRDefault="00C7580C" w:rsidP="00DE6181">
            <w:pPr>
              <w:spacing w:line="360" w:lineRule="auto"/>
            </w:pPr>
            <w:r w:rsidRPr="008354BE">
              <w:t>Total Blood Product Deviation Reports (BPD)</w:t>
            </w:r>
          </w:p>
        </w:tc>
        <w:tc>
          <w:tcPr>
            <w:tcW w:w="1080" w:type="dxa"/>
          </w:tcPr>
          <w:p w:rsidR="00C7580C" w:rsidRPr="008354BE" w:rsidRDefault="005E0550" w:rsidP="00DE6181">
            <w:pPr>
              <w:spacing w:line="360" w:lineRule="auto"/>
            </w:pPr>
            <w:r>
              <w:t>42,830</w:t>
            </w:r>
            <w:r w:rsidR="00C7580C" w:rsidRPr="008354BE">
              <w:t xml:space="preserve"> (100%)</w:t>
            </w:r>
          </w:p>
        </w:tc>
        <w:tc>
          <w:tcPr>
            <w:tcW w:w="3533" w:type="dxa"/>
          </w:tcPr>
          <w:p w:rsidR="00C7580C" w:rsidRPr="008354BE" w:rsidRDefault="00C7580C" w:rsidP="00DE6181">
            <w:pPr>
              <w:spacing w:line="360" w:lineRule="auto"/>
            </w:pPr>
          </w:p>
        </w:tc>
        <w:tc>
          <w:tcPr>
            <w:tcW w:w="2340" w:type="dxa"/>
          </w:tcPr>
          <w:p w:rsidR="00C7580C" w:rsidRPr="008354BE" w:rsidRDefault="00C7580C" w:rsidP="00DE6181">
            <w:pPr>
              <w:spacing w:line="360" w:lineRule="auto"/>
            </w:pPr>
          </w:p>
        </w:tc>
      </w:tr>
      <w:tr w:rsidR="00C7580C" w:rsidRPr="008354BE">
        <w:trPr>
          <w:trHeight w:val="370"/>
        </w:trPr>
        <w:tc>
          <w:tcPr>
            <w:tcW w:w="2875" w:type="dxa"/>
            <w:vMerge w:val="restart"/>
          </w:tcPr>
          <w:p w:rsidR="00C7580C" w:rsidRPr="008354BE" w:rsidRDefault="00C7580C" w:rsidP="00DE6181">
            <w:pPr>
              <w:spacing w:line="360" w:lineRule="auto"/>
            </w:pPr>
            <w:r w:rsidRPr="008354BE">
              <w:t>Total BPD Reports related to donor suitability</w:t>
            </w:r>
          </w:p>
        </w:tc>
        <w:tc>
          <w:tcPr>
            <w:tcW w:w="1080" w:type="dxa"/>
            <w:vMerge w:val="restart"/>
          </w:tcPr>
          <w:p w:rsidR="00C7580C" w:rsidRPr="008354BE" w:rsidRDefault="005E0550" w:rsidP="005E0550">
            <w:pPr>
              <w:spacing w:line="360" w:lineRule="auto"/>
            </w:pPr>
            <w:r>
              <w:t>32,280</w:t>
            </w:r>
            <w:r w:rsidR="00C7580C" w:rsidRPr="008354BE">
              <w:t xml:space="preserve"> (</w:t>
            </w:r>
            <w:r>
              <w:t>75.4</w:t>
            </w:r>
            <w:r w:rsidR="00C7580C" w:rsidRPr="008354BE">
              <w:t>%)</w:t>
            </w:r>
          </w:p>
        </w:tc>
        <w:tc>
          <w:tcPr>
            <w:tcW w:w="3533" w:type="dxa"/>
          </w:tcPr>
          <w:p w:rsidR="00C7580C" w:rsidRPr="008354BE" w:rsidRDefault="00C7580C" w:rsidP="00DE6181">
            <w:pPr>
              <w:spacing w:line="360" w:lineRule="auto"/>
            </w:pPr>
            <w:r w:rsidRPr="008354BE">
              <w:t>Post Donation Information (PDI)</w:t>
            </w:r>
          </w:p>
          <w:p w:rsidR="00C7580C" w:rsidRPr="008354BE" w:rsidRDefault="00C7580C" w:rsidP="00DE6181">
            <w:pPr>
              <w:spacing w:line="360" w:lineRule="auto"/>
            </w:pPr>
            <w:r w:rsidRPr="008354BE">
              <w:t>a. Licensed Blood Establishments</w:t>
            </w:r>
          </w:p>
          <w:p w:rsidR="00C7580C" w:rsidRPr="008354BE" w:rsidRDefault="00C7580C" w:rsidP="00DE6181">
            <w:pPr>
              <w:spacing w:line="360" w:lineRule="auto"/>
            </w:pPr>
            <w:r w:rsidRPr="008354BE">
              <w:t>b. Other centers</w:t>
            </w:r>
          </w:p>
        </w:tc>
        <w:tc>
          <w:tcPr>
            <w:tcW w:w="2340" w:type="dxa"/>
            <w:shd w:val="clear" w:color="auto" w:fill="auto"/>
          </w:tcPr>
          <w:p w:rsidR="00C7580C" w:rsidRPr="008354BE" w:rsidRDefault="005E0550" w:rsidP="00DE6181">
            <w:pPr>
              <w:spacing w:line="360" w:lineRule="auto"/>
            </w:pPr>
            <w:r>
              <w:t>30,033</w:t>
            </w:r>
            <w:r w:rsidR="00C7580C" w:rsidRPr="008354BE">
              <w:t xml:space="preserve"> (</w:t>
            </w:r>
            <w:r>
              <w:t>70.1</w:t>
            </w:r>
            <w:r w:rsidR="00C7580C" w:rsidRPr="008354BE">
              <w:t>%)</w:t>
            </w:r>
          </w:p>
          <w:p w:rsidR="00C7580C" w:rsidRDefault="00B849C9" w:rsidP="00DE6181">
            <w:pPr>
              <w:spacing w:line="360" w:lineRule="auto"/>
            </w:pPr>
            <w:r>
              <w:t>22,856</w:t>
            </w:r>
          </w:p>
          <w:p w:rsidR="00B849C9" w:rsidRPr="008354BE" w:rsidRDefault="00B849C9" w:rsidP="00DE6181">
            <w:pPr>
              <w:spacing w:line="360" w:lineRule="auto"/>
            </w:pPr>
            <w:r>
              <w:t>7,177</w:t>
            </w:r>
          </w:p>
        </w:tc>
      </w:tr>
      <w:tr w:rsidR="00C7580C" w:rsidRPr="008354BE">
        <w:trPr>
          <w:trHeight w:val="370"/>
        </w:trPr>
        <w:tc>
          <w:tcPr>
            <w:tcW w:w="2875" w:type="dxa"/>
            <w:vMerge/>
          </w:tcPr>
          <w:p w:rsidR="00C7580C" w:rsidRPr="008354BE" w:rsidRDefault="00C7580C" w:rsidP="00DE6181">
            <w:pPr>
              <w:spacing w:line="360" w:lineRule="auto"/>
            </w:pPr>
          </w:p>
        </w:tc>
        <w:tc>
          <w:tcPr>
            <w:tcW w:w="1080" w:type="dxa"/>
            <w:vMerge/>
          </w:tcPr>
          <w:p w:rsidR="00C7580C" w:rsidRPr="008354BE" w:rsidRDefault="00C7580C" w:rsidP="00DE6181">
            <w:pPr>
              <w:spacing w:line="360" w:lineRule="auto"/>
            </w:pPr>
          </w:p>
        </w:tc>
        <w:tc>
          <w:tcPr>
            <w:tcW w:w="3533" w:type="dxa"/>
          </w:tcPr>
          <w:p w:rsidR="00C7580C" w:rsidRPr="008354BE" w:rsidRDefault="00C7580C" w:rsidP="00DE6181">
            <w:pPr>
              <w:spacing w:line="360" w:lineRule="auto"/>
            </w:pPr>
            <w:r w:rsidRPr="008354BE">
              <w:t>Donor Screening Errors</w:t>
            </w:r>
          </w:p>
        </w:tc>
        <w:tc>
          <w:tcPr>
            <w:tcW w:w="2340" w:type="dxa"/>
            <w:shd w:val="clear" w:color="auto" w:fill="auto"/>
          </w:tcPr>
          <w:p w:rsidR="00C7580C" w:rsidRPr="008354BE" w:rsidRDefault="00B849C9" w:rsidP="00B849C9">
            <w:pPr>
              <w:spacing w:line="360" w:lineRule="auto"/>
            </w:pPr>
            <w:r>
              <w:t>2027</w:t>
            </w:r>
            <w:r w:rsidR="00C7580C" w:rsidRPr="008354BE">
              <w:t xml:space="preserve"> (</w:t>
            </w:r>
            <w:r>
              <w:t>4.7</w:t>
            </w:r>
            <w:r w:rsidR="00C7580C" w:rsidRPr="008354BE">
              <w:t>%)</w:t>
            </w:r>
          </w:p>
        </w:tc>
      </w:tr>
      <w:tr w:rsidR="00C7580C" w:rsidRPr="008354BE">
        <w:trPr>
          <w:trHeight w:val="370"/>
        </w:trPr>
        <w:tc>
          <w:tcPr>
            <w:tcW w:w="2875" w:type="dxa"/>
            <w:vMerge/>
          </w:tcPr>
          <w:p w:rsidR="00C7580C" w:rsidRPr="008354BE" w:rsidRDefault="00C7580C" w:rsidP="00DE6181">
            <w:pPr>
              <w:spacing w:line="360" w:lineRule="auto"/>
            </w:pPr>
          </w:p>
        </w:tc>
        <w:tc>
          <w:tcPr>
            <w:tcW w:w="1080" w:type="dxa"/>
            <w:vMerge/>
          </w:tcPr>
          <w:p w:rsidR="00C7580C" w:rsidRPr="008354BE" w:rsidRDefault="00C7580C" w:rsidP="00DE6181">
            <w:pPr>
              <w:spacing w:line="360" w:lineRule="auto"/>
            </w:pPr>
          </w:p>
        </w:tc>
        <w:tc>
          <w:tcPr>
            <w:tcW w:w="3533" w:type="dxa"/>
          </w:tcPr>
          <w:p w:rsidR="00C7580C" w:rsidRPr="008354BE" w:rsidRDefault="00C7580C" w:rsidP="00DE6181">
            <w:pPr>
              <w:spacing w:line="360" w:lineRule="auto"/>
            </w:pPr>
            <w:r w:rsidRPr="008354BE">
              <w:t>Donor Deferral Errors</w:t>
            </w:r>
          </w:p>
        </w:tc>
        <w:tc>
          <w:tcPr>
            <w:tcW w:w="2340" w:type="dxa"/>
            <w:shd w:val="clear" w:color="auto" w:fill="auto"/>
          </w:tcPr>
          <w:p w:rsidR="00C7580C" w:rsidRPr="008354BE" w:rsidRDefault="00B849C9" w:rsidP="00B849C9">
            <w:pPr>
              <w:spacing w:line="360" w:lineRule="auto"/>
            </w:pPr>
            <w:r>
              <w:t xml:space="preserve">220 </w:t>
            </w:r>
            <w:r w:rsidR="00C7580C" w:rsidRPr="008354BE">
              <w:t>(0.</w:t>
            </w:r>
            <w:r w:rsidRPr="008354BE" w:rsidDel="00B849C9">
              <w:t xml:space="preserve"> </w:t>
            </w:r>
            <w:r>
              <w:t>5</w:t>
            </w:r>
            <w:r w:rsidR="00C7580C" w:rsidRPr="008354BE">
              <w:t>%)</w:t>
            </w:r>
          </w:p>
        </w:tc>
      </w:tr>
      <w:tr w:rsidR="00C7580C" w:rsidRPr="008354BE">
        <w:tc>
          <w:tcPr>
            <w:tcW w:w="2875" w:type="dxa"/>
          </w:tcPr>
          <w:p w:rsidR="00C7580C" w:rsidRPr="008354BE" w:rsidRDefault="00C7580C" w:rsidP="00DE6181">
            <w:pPr>
              <w:spacing w:line="360" w:lineRule="auto"/>
            </w:pPr>
            <w:r w:rsidRPr="008354BE">
              <w:t>Total BPD Reports due to other reasons**</w:t>
            </w:r>
          </w:p>
        </w:tc>
        <w:tc>
          <w:tcPr>
            <w:tcW w:w="1080" w:type="dxa"/>
          </w:tcPr>
          <w:p w:rsidR="00C7580C" w:rsidRPr="008354BE" w:rsidRDefault="00B849C9" w:rsidP="00B849C9">
            <w:pPr>
              <w:spacing w:line="360" w:lineRule="auto"/>
            </w:pPr>
            <w:r>
              <w:t>10,550</w:t>
            </w:r>
            <w:r w:rsidR="00C7580C" w:rsidRPr="008354BE">
              <w:t xml:space="preserve"> (</w:t>
            </w:r>
            <w:r>
              <w:t>24.6</w:t>
            </w:r>
            <w:r w:rsidR="00C7580C" w:rsidRPr="008354BE">
              <w:t>%)</w:t>
            </w:r>
          </w:p>
        </w:tc>
        <w:tc>
          <w:tcPr>
            <w:tcW w:w="3533" w:type="dxa"/>
          </w:tcPr>
          <w:p w:rsidR="00C7580C" w:rsidRPr="008354BE" w:rsidRDefault="00C7580C" w:rsidP="00DE6181">
            <w:pPr>
              <w:spacing w:line="360" w:lineRule="auto"/>
            </w:pPr>
          </w:p>
        </w:tc>
        <w:tc>
          <w:tcPr>
            <w:tcW w:w="2340" w:type="dxa"/>
          </w:tcPr>
          <w:p w:rsidR="00C7580C" w:rsidRPr="008354BE" w:rsidRDefault="00C7580C" w:rsidP="00DE6181">
            <w:pPr>
              <w:spacing w:line="360" w:lineRule="auto"/>
            </w:pPr>
          </w:p>
        </w:tc>
      </w:tr>
    </w:tbl>
    <w:p w:rsidR="00C7580C" w:rsidRPr="008354BE" w:rsidRDefault="00C7580C">
      <w:pPr>
        <w:spacing w:line="360" w:lineRule="auto"/>
      </w:pPr>
      <w:r w:rsidRPr="008354BE">
        <w:t xml:space="preserve">* </w:t>
      </w:r>
      <w:proofErr w:type="gramStart"/>
      <w:r w:rsidRPr="008354BE">
        <w:t>licensed</w:t>
      </w:r>
      <w:proofErr w:type="gramEnd"/>
      <w:r w:rsidRPr="008354BE">
        <w:t xml:space="preserve"> and unlicensed blood establishments, plasma centers and transfusion services</w:t>
      </w:r>
    </w:p>
    <w:p w:rsidR="00C7580C" w:rsidRPr="008354BE" w:rsidRDefault="00C7580C">
      <w:pPr>
        <w:spacing w:line="360" w:lineRule="auto"/>
      </w:pPr>
      <w:r w:rsidRPr="008354BE">
        <w:t>**QC, distribution, labeling, laboratory testing, collections and component preparation</w:t>
      </w:r>
    </w:p>
    <w:p w:rsidR="00C7580C" w:rsidRDefault="00C7580C">
      <w:pPr>
        <w:spacing w:line="360" w:lineRule="auto"/>
        <w:ind w:firstLine="720"/>
      </w:pPr>
    </w:p>
    <w:p w:rsidR="00C7580C" w:rsidRDefault="0096331B">
      <w:pPr>
        <w:spacing w:line="360" w:lineRule="auto"/>
        <w:ind w:firstLine="720"/>
      </w:pPr>
      <w:r>
        <w:tab/>
      </w:r>
      <w:r w:rsidR="00C7580C">
        <w:t>The types of deferrals behind PDI vary but all the reasons for PDI deferral clearly</w:t>
      </w:r>
      <w:r w:rsidR="00110C1B">
        <w:t xml:space="preserve"> pose potential</w:t>
      </w:r>
      <w:r w:rsidR="00C7580C">
        <w:t xml:space="preserve"> recipient safety issues.  Nationwide in FY0</w:t>
      </w:r>
      <w:r w:rsidR="00036510">
        <w:t xml:space="preserve">7 </w:t>
      </w:r>
      <w:r w:rsidR="00C7580C">
        <w:t xml:space="preserve">the majority of PDI were due to a history of travel </w:t>
      </w:r>
      <w:r w:rsidR="00036510">
        <w:t xml:space="preserve">to a malaria area/history of malaria (32.9%) that put the donor (and thus the recipient) at theoretical risk for malaria followed by a history of travel related to a theoretical risk for variant </w:t>
      </w:r>
      <w:proofErr w:type="gramStart"/>
      <w:r w:rsidR="00036510">
        <w:t>Creutzfeldt-Jakob Disease</w:t>
      </w:r>
      <w:proofErr w:type="gramEnd"/>
      <w:r w:rsidR="00036510">
        <w:t xml:space="preserve"> (</w:t>
      </w:r>
      <w:proofErr w:type="spellStart"/>
      <w:r w:rsidR="00036510">
        <w:t>vCJD</w:t>
      </w:r>
      <w:proofErr w:type="spellEnd"/>
      <w:r w:rsidR="00036510">
        <w:t>) (17.4%).</w:t>
      </w:r>
      <w:r w:rsidR="00C7580C">
        <w:t xml:space="preserve"> Other </w:t>
      </w:r>
      <w:r w:rsidR="009E7826">
        <w:t xml:space="preserve">less common but still significant </w:t>
      </w:r>
      <w:r w:rsidR="00C7580C">
        <w:t xml:space="preserve">reasons </w:t>
      </w:r>
      <w:r w:rsidR="009E7826">
        <w:t xml:space="preserve">for </w:t>
      </w:r>
      <w:r w:rsidR="00C7580C">
        <w:t xml:space="preserve">PDI </w:t>
      </w:r>
      <w:r w:rsidR="009E7826">
        <w:t xml:space="preserve">include a </w:t>
      </w:r>
      <w:r w:rsidR="00C7580C">
        <w:t>history of</w:t>
      </w:r>
      <w:r w:rsidR="00036510">
        <w:t xml:space="preserve"> disease or surgery</w:t>
      </w:r>
      <w:r w:rsidR="00C7580C">
        <w:t xml:space="preserve">; tattoo </w:t>
      </w:r>
      <w:r w:rsidR="00036510">
        <w:t xml:space="preserve">or piercings </w:t>
      </w:r>
      <w:r w:rsidR="00C7580C">
        <w:t xml:space="preserve">in the past 12 months; receiving </w:t>
      </w:r>
      <w:proofErr w:type="spellStart"/>
      <w:r w:rsidR="00C7580C">
        <w:t>Proscar</w:t>
      </w:r>
      <w:proofErr w:type="spellEnd"/>
      <w:r w:rsidR="00C7580C">
        <w:t xml:space="preserve">, </w:t>
      </w:r>
      <w:proofErr w:type="spellStart"/>
      <w:r w:rsidR="00C7580C">
        <w:t>Tegison</w:t>
      </w:r>
      <w:proofErr w:type="spellEnd"/>
      <w:r w:rsidR="00C7580C">
        <w:t xml:space="preserve"> or </w:t>
      </w:r>
      <w:proofErr w:type="spellStart"/>
      <w:r w:rsidR="00C7580C">
        <w:t>Accutane</w:t>
      </w:r>
      <w:proofErr w:type="spellEnd"/>
      <w:r w:rsidR="00C7580C">
        <w:t>; taking antibiotics or other medication; male to male sex</w:t>
      </w:r>
      <w:r w:rsidR="00197B95">
        <w:t>;</w:t>
      </w:r>
      <w:r w:rsidR="00C7580C">
        <w:t xml:space="preserve"> IV drug use; and having had a bone graft or transplant </w:t>
      </w:r>
      <w:r w:rsidR="00136DF0">
        <w:t xml:space="preserve">and these </w:t>
      </w:r>
      <w:r w:rsidR="00C7580C">
        <w:t>occur in significant numbers every year. Appendix A contains a table that shows the specific breakdown of PDI for licensed establishments by type in FY0</w:t>
      </w:r>
      <w:r w:rsidR="00197B95">
        <w:t>7</w:t>
      </w:r>
      <w:r w:rsidR="00C7580C">
        <w:t xml:space="preserve">. </w:t>
      </w:r>
    </w:p>
    <w:p w:rsidR="00C7580C" w:rsidRDefault="0096331B">
      <w:pPr>
        <w:spacing w:line="360" w:lineRule="auto"/>
        <w:ind w:firstLine="720"/>
      </w:pPr>
      <w:r>
        <w:tab/>
      </w:r>
      <w:r w:rsidR="00C7580C">
        <w:t xml:space="preserve">PDI is usually provided by the donor subsequent to the index donation, but it may also be provided by a third party.  </w:t>
      </w:r>
      <w:r w:rsidR="00E13A65">
        <w:t xml:space="preserve">Eighty-eight </w:t>
      </w:r>
      <w:r w:rsidR="00C7580C">
        <w:t xml:space="preserve">percent of deferrable PDI histories reported to the </w:t>
      </w:r>
      <w:r w:rsidR="00C7580C">
        <w:lastRenderedPageBreak/>
        <w:t>FDA in FY0</w:t>
      </w:r>
      <w:r w:rsidR="00E13A65">
        <w:t>7</w:t>
      </w:r>
      <w:r w:rsidR="00C7580C">
        <w:t xml:space="preserve"> were disclosed at a subsequent donation by the donor but not necessarily at the next immediate donation.   </w:t>
      </w:r>
      <w:r w:rsidR="009E7826">
        <w:t>Thus, b</w:t>
      </w:r>
      <w:r w:rsidR="00C7580C">
        <w:t xml:space="preserve">lood components manufactured from the index donation and any intervening donations prior to disclosure of a deferrable history would most likely have been transfused by the time a PDI is identified.  While increased testing and new test methodologies have done much to make the blood supply the safest it has ever been, testing has not yet been implemented for </w:t>
      </w:r>
      <w:proofErr w:type="spellStart"/>
      <w:r w:rsidR="00C7580C">
        <w:t>vCJD</w:t>
      </w:r>
      <w:proofErr w:type="spellEnd"/>
      <w:r w:rsidR="00C7580C">
        <w:t xml:space="preserve"> or malaria and the most numerous PDIs are due to a history of travel that puts the donor and recipient at theoretical risk for these two diseases. Furthermore, even for the infectious agents for </w:t>
      </w:r>
      <w:proofErr w:type="gramStart"/>
      <w:r w:rsidR="00C7580C">
        <w:t>which</w:t>
      </w:r>
      <w:proofErr w:type="gramEnd"/>
      <w:r w:rsidR="00C7580C">
        <w:t xml:space="preserve"> tests</w:t>
      </w:r>
      <w:r w:rsidR="009E7826">
        <w:t xml:space="preserve"> e</w:t>
      </w:r>
      <w:r w:rsidR="00CF6C81">
        <w:t>x</w:t>
      </w:r>
      <w:r w:rsidR="009E7826">
        <w:t>ist</w:t>
      </w:r>
      <w:r w:rsidR="00C7580C">
        <w:t>, there is always the chance that an infectious donor may give in the window period before detection is possible.</w:t>
      </w:r>
      <w:r w:rsidR="00C7580C" w:rsidRPr="00B25BA4">
        <w:rPr>
          <w:vertAlign w:val="superscript"/>
        </w:rPr>
        <w:t>2</w:t>
      </w:r>
      <w:r w:rsidR="00AB39EB">
        <w:t xml:space="preserve"> </w:t>
      </w:r>
      <w:r w:rsidR="0096199E">
        <w:t>Many of the</w:t>
      </w:r>
      <w:r w:rsidR="00AB39EB">
        <w:t xml:space="preserve"> behavioral PDI reasons involve donors who could </w:t>
      </w:r>
      <w:r w:rsidR="0096199E">
        <w:t>have window period risk.</w:t>
      </w:r>
      <w:r w:rsidR="00AB39EB">
        <w:rPr>
          <w:vertAlign w:val="superscript"/>
        </w:rPr>
        <w:t xml:space="preserve">    </w:t>
      </w:r>
    </w:p>
    <w:p w:rsidR="00C7580C" w:rsidRDefault="0096331B">
      <w:pPr>
        <w:spacing w:line="360" w:lineRule="auto"/>
        <w:ind w:firstLine="720"/>
      </w:pPr>
      <w:r>
        <w:tab/>
      </w:r>
      <w:r w:rsidR="00C7580C">
        <w:t>In previous REDS studies, two anonymous mail surveys sent to 50,162 and 92,581 US blood donors retrospectively captured the levels of unreported deferrable risks (UDRs) that ranged from 1.7% in 1993</w:t>
      </w:r>
      <w:r w:rsidR="00C7580C">
        <w:rPr>
          <w:vertAlign w:val="superscript"/>
        </w:rPr>
        <w:t>3</w:t>
      </w:r>
      <w:r w:rsidR="00C7580C">
        <w:t xml:space="preserve"> to 2.45% and 3.01% for whole blood and </w:t>
      </w:r>
      <w:proofErr w:type="spellStart"/>
      <w:r w:rsidR="00C7580C">
        <w:t>apheresis</w:t>
      </w:r>
      <w:proofErr w:type="spellEnd"/>
      <w:r w:rsidR="00C7580C">
        <w:t xml:space="preserve"> donors respectively in 1998.</w:t>
      </w:r>
      <w:r w:rsidR="00C7580C">
        <w:rPr>
          <w:vertAlign w:val="superscript"/>
        </w:rPr>
        <w:t>4</w:t>
      </w:r>
      <w:r w:rsidR="00C7580C">
        <w:t xml:space="preserve"> UDRs were defined as behaviors that would have resulted in donor deferral had they been reported (such as being a man who had sex with another man (</w:t>
      </w:r>
      <w:smartTag w:uri="urn:schemas-microsoft-com:office:smarttags" w:element="stockticker">
        <w:r w:rsidR="00C7580C">
          <w:t>MSM</w:t>
        </w:r>
      </w:smartTag>
      <w:r w:rsidR="00C7580C">
        <w:t>) since 1977, injection drug users, etc.)</w:t>
      </w:r>
      <w:r w:rsidR="00F41770">
        <w:t>.</w:t>
      </w:r>
      <w:r w:rsidR="00C7580C">
        <w:t xml:space="preserve"> These UDRs are also reasons for PDI and are clearly associated with the safety of the blood supply. Both PDI and </w:t>
      </w:r>
      <w:smartTag w:uri="urn:schemas-microsoft-com:office:smarttags" w:element="stockticker">
        <w:r w:rsidR="00C7580C">
          <w:t>UDR</w:t>
        </w:r>
      </w:smartTag>
      <w:r w:rsidR="00C7580C">
        <w:t xml:space="preserve"> may relate to a failure of the health history </w:t>
      </w:r>
      <w:r w:rsidR="009E7826">
        <w:t xml:space="preserve">screening </w:t>
      </w:r>
      <w:r w:rsidR="00C7580C">
        <w:t>process to capture risk factor information.</w:t>
      </w:r>
    </w:p>
    <w:p w:rsidR="00C7580C" w:rsidRDefault="0096331B">
      <w:pPr>
        <w:spacing w:line="360" w:lineRule="auto"/>
        <w:ind w:firstLine="720"/>
      </w:pPr>
      <w:r>
        <w:tab/>
      </w:r>
      <w:r w:rsidR="00C7580C">
        <w:t>While there is detailed information available on the breakdown of PDI types and when they are identified, t</w:t>
      </w:r>
      <w:r w:rsidR="00C7580C" w:rsidRPr="008354BE">
        <w:t xml:space="preserve">here is a clear absence of research on why this health history information is not obtained, nor volunteered, at the index donation, but is disclosed subsequently. </w:t>
      </w:r>
      <w:r w:rsidR="00C7580C">
        <w:t>B</w:t>
      </w:r>
      <w:r w:rsidR="00C7580C" w:rsidRPr="008354BE">
        <w:t xml:space="preserve">lood establishments </w:t>
      </w:r>
      <w:r w:rsidR="00C7580C">
        <w:t>generally</w:t>
      </w:r>
      <w:r w:rsidR="00C7580C" w:rsidRPr="008354BE">
        <w:t xml:space="preserve"> believe a PDI event is “caused” by the donor, but</w:t>
      </w:r>
      <w:r w:rsidR="00C7580C">
        <w:t xml:space="preserve"> that is unlikely to be the whole story. We suspect that the reasons behind PDI are likely to be many and varied based on what little information is available in the literature.  </w:t>
      </w:r>
    </w:p>
    <w:p w:rsidR="007D2A0B" w:rsidRDefault="000275C6">
      <w:pPr>
        <w:spacing w:line="360" w:lineRule="auto"/>
        <w:ind w:firstLine="720"/>
      </w:pPr>
      <w:r>
        <w:tab/>
      </w:r>
      <w:r w:rsidR="00C7580C">
        <w:t xml:space="preserve">One of the first things that might influence the occurrence of PDI is </w:t>
      </w:r>
      <w:r w:rsidR="00CF6C81">
        <w:t xml:space="preserve">that the donor does </w:t>
      </w:r>
      <w:r w:rsidR="00C7580C">
        <w:t xml:space="preserve">not read or </w:t>
      </w:r>
      <w:r w:rsidR="00CF6C81">
        <w:t xml:space="preserve">fails to </w:t>
      </w:r>
      <w:r w:rsidR="00C7580C">
        <w:t xml:space="preserve">understand the educational materials accompanying the questionnaire.  </w:t>
      </w:r>
      <w:proofErr w:type="spellStart"/>
      <w:r w:rsidR="00C7580C">
        <w:t>R</w:t>
      </w:r>
      <w:r w:rsidR="00C7580C" w:rsidRPr="00FF38E7">
        <w:t>ugege-Hakiza</w:t>
      </w:r>
      <w:proofErr w:type="spellEnd"/>
      <w:r w:rsidR="00C7580C" w:rsidRPr="00FF38E7">
        <w:t xml:space="preserve"> and colleagues</w:t>
      </w:r>
      <w:r w:rsidR="00C7580C">
        <w:rPr>
          <w:vertAlign w:val="superscript"/>
        </w:rPr>
        <w:t>5</w:t>
      </w:r>
      <w:r w:rsidR="00C7580C" w:rsidRPr="00FF38E7">
        <w:t xml:space="preserve"> reported that among respondents to an anonym</w:t>
      </w:r>
      <w:r w:rsidR="00C7580C">
        <w:t>ous mail survey, those donors</w:t>
      </w:r>
      <w:r w:rsidR="00C7580C" w:rsidRPr="00FF38E7">
        <w:t xml:space="preserve"> </w:t>
      </w:r>
      <w:r w:rsidR="00C7580C">
        <w:t xml:space="preserve">who were less educated, had a reactive screening test or </w:t>
      </w:r>
      <w:smartTag w:uri="urn:schemas-microsoft-com:office:smarttags" w:element="stockticker">
        <w:r w:rsidR="00C7580C">
          <w:t>UDR</w:t>
        </w:r>
      </w:smartTag>
      <w:r w:rsidR="00C7580C">
        <w:t>, or donated to receive an HIV test (HIV test seekers), were</w:t>
      </w:r>
      <w:r w:rsidR="00C7580C" w:rsidRPr="00FF38E7">
        <w:t xml:space="preserve"> more likely to find the </w:t>
      </w:r>
      <w:r w:rsidR="00C7580C">
        <w:t xml:space="preserve">educational </w:t>
      </w:r>
      <w:r w:rsidR="00C7580C" w:rsidRPr="00FF38E7">
        <w:t xml:space="preserve">materials difficult to understand.  </w:t>
      </w:r>
      <w:r w:rsidR="00CF6C81">
        <w:t>Difficulties in c</w:t>
      </w:r>
      <w:r w:rsidR="00C7580C" w:rsidRPr="008354BE">
        <w:t xml:space="preserve">omprehension </w:t>
      </w:r>
      <w:r w:rsidR="00CF6C81">
        <w:t xml:space="preserve">may greatly influence </w:t>
      </w:r>
      <w:r w:rsidR="00C7580C">
        <w:t xml:space="preserve">a donor’s ability to answer </w:t>
      </w:r>
      <w:r w:rsidR="00CF6C81">
        <w:t xml:space="preserve">questions </w:t>
      </w:r>
      <w:r w:rsidR="00C7580C">
        <w:t xml:space="preserve">completely and accurately.  Lack of comprehension may </w:t>
      </w:r>
      <w:r w:rsidR="007D2A0B">
        <w:t xml:space="preserve">also </w:t>
      </w:r>
      <w:r w:rsidR="00C7580C">
        <w:t xml:space="preserve">be due to not using a </w:t>
      </w:r>
      <w:r w:rsidR="00C7580C">
        <w:lastRenderedPageBreak/>
        <w:t xml:space="preserve">donor’s preferred language during the </w:t>
      </w:r>
      <w:r w:rsidR="00C7580C" w:rsidRPr="008354BE">
        <w:t xml:space="preserve">health-history taking process.  Demographic profiles of first-time donors at five </w:t>
      </w:r>
      <w:smartTag w:uri="urn:schemas-microsoft-com:office:smarttags" w:element="country-region">
        <w:smartTag w:uri="urn:schemas-microsoft-com:office:smarttags" w:element="place">
          <w:r w:rsidR="00C7580C" w:rsidRPr="008354BE">
            <w:t>US</w:t>
          </w:r>
        </w:smartTag>
      </w:smartTag>
      <w:r w:rsidR="00C7580C" w:rsidRPr="008354BE">
        <w:t xml:space="preserve"> blood centers over a 5-year period noted an increase in the number of non-US-born donors with a concomitant decrease in the number of US-born donors.</w:t>
      </w:r>
      <w:r w:rsidR="00C7580C">
        <w:rPr>
          <w:vertAlign w:val="superscript"/>
        </w:rPr>
        <w:t>6</w:t>
      </w:r>
      <w:r w:rsidR="00C7580C" w:rsidRPr="008354BE">
        <w:t xml:space="preserve"> </w:t>
      </w:r>
      <w:r w:rsidR="00C7580C">
        <w:t xml:space="preserve">Lack of comprehension may also occur when a donor has less education.  </w:t>
      </w:r>
      <w:r w:rsidR="007D2A0B">
        <w:t>As noted in the study above</w:t>
      </w:r>
      <w:r w:rsidR="001C7CE4">
        <w:t xml:space="preserve">, </w:t>
      </w:r>
      <w:r w:rsidR="001C7CE4" w:rsidRPr="008354BE">
        <w:t>33.5</w:t>
      </w:r>
      <w:r w:rsidR="00C7580C" w:rsidRPr="008354BE">
        <w:t xml:space="preserve">% of donors evaluated had some college education, </w:t>
      </w:r>
      <w:r w:rsidR="007D2A0B">
        <w:t xml:space="preserve">but </w:t>
      </w:r>
      <w:r w:rsidR="00C7580C" w:rsidRPr="008354BE">
        <w:t xml:space="preserve">12.1% of first-time donors from these five centers had less than a high school education.  </w:t>
      </w:r>
    </w:p>
    <w:p w:rsidR="00C7580C" w:rsidRPr="008354BE" w:rsidRDefault="0096331B">
      <w:pPr>
        <w:spacing w:line="360" w:lineRule="auto"/>
        <w:ind w:firstLine="720"/>
      </w:pPr>
      <w:r>
        <w:tab/>
      </w:r>
      <w:r w:rsidR="00C7580C">
        <w:t>Donors may simply not understand the question</w:t>
      </w:r>
      <w:r w:rsidR="007D2A0B">
        <w:t>s</w:t>
      </w:r>
      <w:r w:rsidR="00C7580C">
        <w:t xml:space="preserve"> being asked. </w:t>
      </w:r>
      <w:r w:rsidR="00290C8E">
        <w:t xml:space="preserve"> </w:t>
      </w:r>
      <w:r w:rsidR="00C7580C" w:rsidRPr="008354BE">
        <w:t xml:space="preserve">In a study that evaluated the content and clarity </w:t>
      </w:r>
      <w:r w:rsidR="00C7580C">
        <w:t>of</w:t>
      </w:r>
      <w:r w:rsidR="00C7580C" w:rsidRPr="008354BE">
        <w:t xml:space="preserve"> </w:t>
      </w:r>
      <w:r w:rsidR="00C7580C">
        <w:t>seven</w:t>
      </w:r>
      <w:r w:rsidR="00C7580C" w:rsidRPr="008354BE">
        <w:t xml:space="preserve"> health-history questions from the American Red Cross blood donor questionnaire that were prone to result in PDI, a focus group of donors provided simplified language that became helpful in formulating the AABB Uniform Donor History Questionnaire.</w:t>
      </w:r>
      <w:r w:rsidR="00C7580C">
        <w:rPr>
          <w:vertAlign w:val="superscript"/>
        </w:rPr>
        <w:t>7</w:t>
      </w:r>
      <w:r w:rsidR="00C7580C" w:rsidRPr="008354BE">
        <w:t xml:space="preserve"> </w:t>
      </w:r>
      <w:r w:rsidR="00C7580C">
        <w:t>Further, t</w:t>
      </w:r>
      <w:r w:rsidR="00C7580C" w:rsidRPr="008354BE">
        <w:t xml:space="preserve">he mode of questioning may </w:t>
      </w:r>
      <w:r w:rsidR="00C7580C">
        <w:t>also</w:t>
      </w:r>
      <w:r w:rsidR="00C7580C" w:rsidRPr="008354BE">
        <w:t xml:space="preserve"> influence the donor’s likelihood to provide accurate and complete responses.  While studies have suggested that oral questioning of high-risk behaviors by health historians may result in more responses that are truthful, other data suggest that self-administered questionnaires about sensitive information are more likely to result in truthful responses about behaviors of a personal nature.</w:t>
      </w:r>
      <w:r w:rsidR="00C7580C">
        <w:rPr>
          <w:vertAlign w:val="superscript"/>
        </w:rPr>
        <w:t>8-11</w:t>
      </w:r>
      <w:r w:rsidR="00C7580C" w:rsidRPr="008354BE">
        <w:t xml:space="preserve"> Computer-assisted self-interviewing may also result in the</w:t>
      </w:r>
      <w:r w:rsidR="00C7580C">
        <w:t xml:space="preserve"> </w:t>
      </w:r>
      <w:r w:rsidR="00C7580C" w:rsidRPr="008354BE">
        <w:t xml:space="preserve">disclosure </w:t>
      </w:r>
      <w:r w:rsidR="00C7580C">
        <w:t>of</w:t>
      </w:r>
      <w:r w:rsidR="00C7580C" w:rsidRPr="008354BE">
        <w:t xml:space="preserve"> risk factors associated with personal behaviors.</w:t>
      </w:r>
      <w:r w:rsidR="00C7580C">
        <w:rPr>
          <w:vertAlign w:val="superscript"/>
        </w:rPr>
        <w:t>12</w:t>
      </w:r>
      <w:r w:rsidR="00C7580C" w:rsidRPr="008354BE">
        <w:t xml:space="preserve"> Katz and colleagues</w:t>
      </w:r>
      <w:r w:rsidR="00C7580C">
        <w:rPr>
          <w:vertAlign w:val="superscript"/>
        </w:rPr>
        <w:t>13</w:t>
      </w:r>
      <w:r w:rsidR="00C7580C" w:rsidRPr="008354BE">
        <w:t xml:space="preserve"> reported increased admissions of high-risk behaviors using computer-assisted self-interviewing when compared to paper-and-pencil self-administered questionnaire, but the number of PDI events </w:t>
      </w:r>
      <w:r w:rsidR="00C7580C">
        <w:t xml:space="preserve">did not differ </w:t>
      </w:r>
      <w:r w:rsidR="00C7580C" w:rsidRPr="008354BE">
        <w:t>between the two donor screening</w:t>
      </w:r>
      <w:r w:rsidR="00C7580C">
        <w:t xml:space="preserve"> methodologies.</w:t>
      </w:r>
    </w:p>
    <w:p w:rsidR="00C7580C" w:rsidRDefault="0096331B">
      <w:pPr>
        <w:spacing w:line="360" w:lineRule="auto"/>
        <w:ind w:firstLine="720"/>
      </w:pPr>
      <w:r>
        <w:tab/>
      </w:r>
      <w:r w:rsidR="00C7580C">
        <w:t>It is also highly likely that</w:t>
      </w:r>
      <w:r w:rsidR="00C7580C" w:rsidRPr="008354BE">
        <w:t xml:space="preserve"> the health historian contribute</w:t>
      </w:r>
      <w:r w:rsidR="00C7580C">
        <w:t>s</w:t>
      </w:r>
      <w:r w:rsidR="00C7580C" w:rsidRPr="008354BE">
        <w:t xml:space="preserve"> to </w:t>
      </w:r>
      <w:r w:rsidR="00C7580C">
        <w:t>PDI events either</w:t>
      </w:r>
      <w:r w:rsidR="00C7580C" w:rsidRPr="008354BE">
        <w:t xml:space="preserve"> through failure to use resource materials available to them or failure to use appropriate follow-up or probing questions to elicit a more accurate health history</w:t>
      </w:r>
      <w:r w:rsidR="00C7580C" w:rsidRPr="00715254">
        <w:t>.  The latter was demonstrated by Lee et al. who showed in their study that donors should have been deferred based on their answers to travel and disease history questions.</w:t>
      </w:r>
      <w:r w:rsidR="00C7580C" w:rsidRPr="00715254">
        <w:rPr>
          <w:vertAlign w:val="superscript"/>
        </w:rPr>
        <w:t xml:space="preserve">14 </w:t>
      </w:r>
      <w:r w:rsidR="00C7580C">
        <w:t>Historians</w:t>
      </w:r>
      <w:r w:rsidR="00C7580C" w:rsidRPr="00715254">
        <w:t xml:space="preserve"> may also</w:t>
      </w:r>
      <w:r w:rsidR="00C7580C">
        <w:t xml:space="preserve"> be providing an environment that makes it hard for donors to respond correctly.  </w:t>
      </w:r>
      <w:r w:rsidR="00C7580C" w:rsidRPr="008354BE">
        <w:t>We know that donors are reluctant to stop the health historian to ask clarifying questions, particularly if the health historian is going quickly.</w:t>
      </w:r>
      <w:r w:rsidR="00C7580C">
        <w:rPr>
          <w:vertAlign w:val="superscript"/>
        </w:rPr>
        <w:t>15</w:t>
      </w:r>
      <w:r w:rsidR="00C7580C" w:rsidRPr="008354BE">
        <w:t xml:space="preserve"> </w:t>
      </w:r>
    </w:p>
    <w:p w:rsidR="00C7580C" w:rsidRPr="008354BE" w:rsidRDefault="0096331B">
      <w:pPr>
        <w:spacing w:line="360" w:lineRule="auto"/>
        <w:ind w:firstLine="720"/>
      </w:pPr>
      <w:r>
        <w:tab/>
      </w:r>
      <w:r w:rsidR="00C7580C" w:rsidRPr="008354BE">
        <w:t xml:space="preserve">In addition to these reasons,  we hypothesize that there are many other places where potential error can occur in the health history screening process that have not been investigated.  For example, </w:t>
      </w:r>
      <w:r w:rsidR="00C7580C">
        <w:t>d</w:t>
      </w:r>
      <w:r w:rsidR="00C7580C" w:rsidRPr="008354BE">
        <w:t xml:space="preserve">oes the donor understand why specific questions are asked?  </w:t>
      </w:r>
      <w:r w:rsidR="00BD15F6">
        <w:t>Further, h</w:t>
      </w:r>
      <w:r w:rsidR="00C7580C" w:rsidRPr="008354BE">
        <w:t xml:space="preserve">ow comfortable are donors in disclosing personal health history information that may </w:t>
      </w:r>
      <w:r w:rsidR="00C7580C" w:rsidRPr="008354BE">
        <w:lastRenderedPageBreak/>
        <w:t xml:space="preserve">not be acceptable by all segments of society?  Are donors fearful of being denied the ability to donate if they admit to certain health histories?  </w:t>
      </w:r>
      <w:r w:rsidR="00C7580C">
        <w:t xml:space="preserve">Until a systematic study of PDI errors is done, all we have are </w:t>
      </w:r>
      <w:r w:rsidR="00BD15F6">
        <w:t xml:space="preserve">speculations or educated guesses </w:t>
      </w:r>
      <w:r w:rsidR="00C7580C">
        <w:t xml:space="preserve">as to why </w:t>
      </w:r>
      <w:r w:rsidR="00D65BA1">
        <w:t>these events occur</w:t>
      </w:r>
      <w:r w:rsidR="00C7580C">
        <w:t xml:space="preserve">.  </w:t>
      </w:r>
    </w:p>
    <w:p w:rsidR="00D65BA1" w:rsidRDefault="00D65BA1">
      <w:pPr>
        <w:spacing w:line="360" w:lineRule="auto"/>
        <w:rPr>
          <w:b/>
        </w:rPr>
      </w:pPr>
    </w:p>
    <w:p w:rsidR="00C7580C" w:rsidRPr="008354BE" w:rsidRDefault="00C7580C">
      <w:pPr>
        <w:spacing w:line="360" w:lineRule="auto"/>
        <w:rPr>
          <w:b/>
        </w:rPr>
      </w:pPr>
      <w:r w:rsidRPr="008354BE">
        <w:rPr>
          <w:b/>
        </w:rPr>
        <w:t>Significance</w:t>
      </w:r>
      <w:r>
        <w:rPr>
          <w:b/>
        </w:rPr>
        <w:t xml:space="preserve"> </w:t>
      </w:r>
    </w:p>
    <w:p w:rsidR="00C7580C" w:rsidRDefault="00C7580C">
      <w:pPr>
        <w:spacing w:line="360" w:lineRule="auto"/>
        <w:ind w:firstLine="720"/>
      </w:pPr>
      <w:r w:rsidRPr="008354BE">
        <w:t xml:space="preserve">  </w:t>
      </w:r>
      <w:r w:rsidR="0096331B">
        <w:tab/>
      </w:r>
      <w:r>
        <w:t xml:space="preserve">This study is important for many reasons.  It will be the first study of any kind to address the issue of PDI errors in any </w:t>
      </w:r>
      <w:r w:rsidR="00452BA3">
        <w:t xml:space="preserve">systematic </w:t>
      </w:r>
      <w:r>
        <w:t xml:space="preserve">fashion.  By conducting interviews with donors involved in PDI errors, we will gain important qualitative knowledge about this problem. Information gathered from these interviews will not only elucidate the issue of PDI but will provide insight into donor understanding of the screening process and their feelings about the process and blood donation in general.  </w:t>
      </w:r>
    </w:p>
    <w:p w:rsidR="00C7580C" w:rsidRPr="008354BE" w:rsidRDefault="0096331B">
      <w:pPr>
        <w:spacing w:line="360" w:lineRule="auto"/>
        <w:ind w:firstLine="720"/>
      </w:pPr>
      <w:r>
        <w:tab/>
      </w:r>
      <w:r w:rsidR="00C7580C">
        <w:t xml:space="preserve">Although a critical step in </w:t>
      </w:r>
      <w:r w:rsidR="00C7580C" w:rsidRPr="008354BE">
        <w:t>safe-guard</w:t>
      </w:r>
      <w:r w:rsidR="00C7580C">
        <w:t>ing</w:t>
      </w:r>
      <w:r w:rsidR="00C7580C" w:rsidRPr="008354BE">
        <w:t xml:space="preserve"> the blood supply, the health history screening process is </w:t>
      </w:r>
      <w:r w:rsidR="00C7580C">
        <w:t xml:space="preserve">known to be error </w:t>
      </w:r>
      <w:r w:rsidR="00C7580C" w:rsidRPr="008354BE">
        <w:t xml:space="preserve">prone.  This is evidenced by the volume of donor suitability errors that are reported to the FDA as Blood Product Deviations.  The majority of these deviations </w:t>
      </w:r>
      <w:r w:rsidR="00C7580C">
        <w:t xml:space="preserve">are due to the non-disclosure of information </w:t>
      </w:r>
      <w:r w:rsidR="00C7580C" w:rsidRPr="008354BE">
        <w:t>known by the donor at the time of donation.  These post-donation information</w:t>
      </w:r>
      <w:r w:rsidR="00C7580C">
        <w:t xml:space="preserve"> errors are typically discovered </w:t>
      </w:r>
      <w:r w:rsidR="00C7580C" w:rsidRPr="008354BE">
        <w:t xml:space="preserve">at a subsequent donation, after products from the index donation are likely transfused.  While blood centers </w:t>
      </w:r>
      <w:r w:rsidR="002D340B">
        <w:t xml:space="preserve">may </w:t>
      </w:r>
      <w:r w:rsidR="00C7580C" w:rsidRPr="008354BE">
        <w:t>attribute these types of events to the donor, it is unknown what causes the donor to fail</w:t>
      </w:r>
      <w:r w:rsidR="00C7580C">
        <w:t xml:space="preserve"> at one time</w:t>
      </w:r>
      <w:r w:rsidR="00C7580C" w:rsidRPr="008354BE">
        <w:t xml:space="preserve"> to disclose </w:t>
      </w:r>
      <w:r w:rsidR="00C7580C">
        <w:t xml:space="preserve">certain international </w:t>
      </w:r>
      <w:r w:rsidR="00C7580C" w:rsidRPr="008354BE">
        <w:t>travel</w:t>
      </w:r>
      <w:r w:rsidR="00C7580C">
        <w:t xml:space="preserve"> destinations</w:t>
      </w:r>
      <w:r w:rsidR="00C7580C" w:rsidRPr="008354BE">
        <w:t>, personal health history information</w:t>
      </w:r>
      <w:r w:rsidR="000E6C6F">
        <w:t>,</w:t>
      </w:r>
      <w:r w:rsidR="00C7580C" w:rsidRPr="008354BE">
        <w:t xml:space="preserve"> or high risk behaviors</w:t>
      </w:r>
      <w:r w:rsidR="00C7580C">
        <w:t xml:space="preserve"> like </w:t>
      </w:r>
      <w:smartTag w:uri="urn:schemas-microsoft-com:office:smarttags" w:element="stockticker">
        <w:r w:rsidR="00C7580C">
          <w:t>MSM</w:t>
        </w:r>
      </w:smartTag>
      <w:r w:rsidR="00C7580C">
        <w:t>, but subsequently reveals this information</w:t>
      </w:r>
      <w:r w:rsidR="00C7580C" w:rsidRPr="008354BE">
        <w:t xml:space="preserve">.  Donor behaviors </w:t>
      </w:r>
      <w:r w:rsidR="00C7580C">
        <w:t xml:space="preserve">related to the health history process </w:t>
      </w:r>
      <w:r w:rsidR="00C7580C" w:rsidRPr="008354BE">
        <w:t xml:space="preserve">and the reasons for failure to give an accurate health history have not been studied.  </w:t>
      </w:r>
    </w:p>
    <w:p w:rsidR="00006500" w:rsidRDefault="0096331B">
      <w:pPr>
        <w:spacing w:line="360" w:lineRule="auto"/>
        <w:ind w:firstLine="720"/>
      </w:pPr>
      <w:r>
        <w:tab/>
      </w:r>
      <w:r w:rsidR="00C7580C">
        <w:t>If we can more fully understand how and why PDI errors occur in donors, we will have made an important contribution to the literature using a methodology of data collection that is extremely informative and relatively low cost. At this point</w:t>
      </w:r>
      <w:r w:rsidR="002D340B">
        <w:t xml:space="preserve">, </w:t>
      </w:r>
      <w:r w:rsidR="00C7580C">
        <w:t xml:space="preserve">all we have is theories on why PDI occurs but no </w:t>
      </w:r>
      <w:r w:rsidR="00006500">
        <w:t xml:space="preserve">systematically collected empirical data with which to substantiate them.  Depending on the outcome of this study, there are several possible avenues we can pursue.  If the interviews reveal clear domains of concern, plans can be made to collect information from larger groups of PDI donors using a structured survey </w:t>
      </w:r>
      <w:r w:rsidR="009961B5">
        <w:t xml:space="preserve">that </w:t>
      </w:r>
      <w:r w:rsidR="00006500">
        <w:t xml:space="preserve">could also address problems related to comprehension or interpretation of the questions.  If the interviews elucidate the reasons for PDI occurrences from the donors’ perspective but present no further research questions to address, we </w:t>
      </w:r>
      <w:r w:rsidR="00006500">
        <w:lastRenderedPageBreak/>
        <w:t>can report this in the literature, but also consider designing interventions to help reduce PDI occurrences.</w:t>
      </w:r>
    </w:p>
    <w:p w:rsidR="00B06800" w:rsidRDefault="0096331B" w:rsidP="00B06800">
      <w:pPr>
        <w:spacing w:line="360" w:lineRule="auto"/>
        <w:ind w:firstLine="720"/>
      </w:pPr>
      <w:r>
        <w:tab/>
      </w:r>
      <w:r w:rsidR="00006500">
        <w:t xml:space="preserve">Finally, </w:t>
      </w:r>
      <w:r w:rsidR="00C7580C">
        <w:t xml:space="preserve">learning about PDI </w:t>
      </w:r>
      <w:r w:rsidR="00006500">
        <w:t xml:space="preserve">adds importantly to our knowledge of donor behavior by shedding light on the donor screening process as a whole and the interaction of the donor with the blood center staff.   </w:t>
      </w:r>
      <w:r w:rsidR="00C7580C">
        <w:t xml:space="preserve">We know that </w:t>
      </w:r>
      <w:r w:rsidR="00256818">
        <w:t xml:space="preserve">temporarily </w:t>
      </w:r>
      <w:r w:rsidR="00C7580C">
        <w:t xml:space="preserve">deferred donors are less likely to return to donate, and </w:t>
      </w:r>
      <w:r w:rsidR="00256818">
        <w:t xml:space="preserve">some </w:t>
      </w:r>
      <w:r w:rsidR="00C7580C">
        <w:t xml:space="preserve">PDI donors are </w:t>
      </w:r>
      <w:r w:rsidR="00256818">
        <w:t xml:space="preserve">temporarily </w:t>
      </w:r>
      <w:r w:rsidR="00C7580C">
        <w:t xml:space="preserve">deferred as they attempt to donate.  </w:t>
      </w:r>
      <w:r w:rsidR="0049657C">
        <w:t xml:space="preserve">Therefore, it would also be </w:t>
      </w:r>
      <w:r w:rsidR="00C7580C">
        <w:t xml:space="preserve">of interest to evaluate </w:t>
      </w:r>
      <w:r w:rsidR="0049657C">
        <w:t>the relationship between these donors’ responses and their plans to donate in the future, which could impact blood availability.</w:t>
      </w:r>
      <w:r w:rsidR="0049657C" w:rsidDel="0049657C">
        <w:t xml:space="preserve"> </w:t>
      </w:r>
    </w:p>
    <w:p w:rsidR="0096331B" w:rsidRDefault="0096331B" w:rsidP="00B06800">
      <w:pPr>
        <w:spacing w:line="360" w:lineRule="auto"/>
        <w:rPr>
          <w:sz w:val="28"/>
          <w:szCs w:val="28"/>
        </w:rPr>
      </w:pPr>
    </w:p>
    <w:p w:rsidR="00C7580C" w:rsidRPr="0096331B" w:rsidRDefault="0096331B" w:rsidP="0096331B">
      <w:pPr>
        <w:spacing w:line="360" w:lineRule="auto"/>
        <w:jc w:val="center"/>
        <w:rPr>
          <w:b/>
          <w:sz w:val="22"/>
          <w:szCs w:val="22"/>
        </w:rPr>
      </w:pPr>
      <w:r w:rsidRPr="0096331B">
        <w:rPr>
          <w:b/>
          <w:sz w:val="22"/>
          <w:szCs w:val="22"/>
        </w:rPr>
        <w:t>B. OBJECTIVES</w:t>
      </w:r>
    </w:p>
    <w:p w:rsidR="00C7580C" w:rsidRPr="0096331B" w:rsidRDefault="0096331B">
      <w:pPr>
        <w:spacing w:line="360" w:lineRule="auto"/>
        <w:rPr>
          <w:b/>
          <w:sz w:val="22"/>
          <w:szCs w:val="22"/>
        </w:rPr>
      </w:pPr>
      <w:r w:rsidRPr="0096331B">
        <w:rPr>
          <w:b/>
          <w:sz w:val="22"/>
          <w:szCs w:val="22"/>
        </w:rPr>
        <w:t>B.1</w:t>
      </w:r>
      <w:r w:rsidRPr="0096331B">
        <w:rPr>
          <w:b/>
          <w:sz w:val="22"/>
          <w:szCs w:val="22"/>
        </w:rPr>
        <w:tab/>
      </w:r>
      <w:r w:rsidR="00C7580C" w:rsidRPr="0096331B">
        <w:rPr>
          <w:b/>
          <w:sz w:val="22"/>
          <w:szCs w:val="22"/>
        </w:rPr>
        <w:t>Primary Objectives</w:t>
      </w:r>
    </w:p>
    <w:p w:rsidR="00C7580C" w:rsidRDefault="00C7580C">
      <w:pPr>
        <w:numPr>
          <w:ilvl w:val="0"/>
          <w:numId w:val="5"/>
        </w:numPr>
        <w:spacing w:line="360" w:lineRule="auto"/>
      </w:pPr>
      <w:r>
        <w:t xml:space="preserve">To explore reasons behind errors in the donor screening process when donors initially fail to disclose an accurate and complete health history. </w:t>
      </w:r>
    </w:p>
    <w:p w:rsidR="00C7580C" w:rsidRDefault="00C7580C">
      <w:pPr>
        <w:numPr>
          <w:ilvl w:val="0"/>
          <w:numId w:val="5"/>
        </w:numPr>
        <w:spacing w:line="360" w:lineRule="auto"/>
      </w:pPr>
      <w:r>
        <w:t xml:space="preserve">To explore </w:t>
      </w:r>
      <w:r w:rsidRPr="0008319C">
        <w:t xml:space="preserve">PDI </w:t>
      </w:r>
      <w:r>
        <w:t>donors’ knowledge, attitudes, behaviors and beliefs (KABB) about the health history questionnaire and their experience with the screening process and the center.</w:t>
      </w:r>
    </w:p>
    <w:p w:rsidR="00C7580C" w:rsidRDefault="00C7580C">
      <w:pPr>
        <w:numPr>
          <w:ilvl w:val="0"/>
          <w:numId w:val="5"/>
        </w:numPr>
        <w:spacing w:line="360" w:lineRule="auto"/>
      </w:pPr>
      <w:r>
        <w:t>To compare KABB in PDI donors to deferred (but not PDI)</w:t>
      </w:r>
      <w:r>
        <w:rPr>
          <w:color w:val="0000FF"/>
        </w:rPr>
        <w:t xml:space="preserve"> </w:t>
      </w:r>
      <w:r>
        <w:t>donors and accepted donors.</w:t>
      </w:r>
    </w:p>
    <w:p w:rsidR="00C7580C" w:rsidRPr="008354BE" w:rsidRDefault="00C7580C">
      <w:pPr>
        <w:spacing w:line="360" w:lineRule="auto"/>
      </w:pPr>
      <w:r w:rsidRPr="008354BE">
        <w:t>This study will address the following primary hypothes</w:t>
      </w:r>
      <w:r w:rsidR="0049657C">
        <w:t>i</w:t>
      </w:r>
      <w:r w:rsidRPr="008354BE">
        <w:t>s:</w:t>
      </w:r>
    </w:p>
    <w:p w:rsidR="00C7580C" w:rsidRPr="0096331B" w:rsidRDefault="0096331B" w:rsidP="00D65BA1">
      <w:pPr>
        <w:spacing w:line="360" w:lineRule="auto"/>
        <w:rPr>
          <w:sz w:val="22"/>
          <w:szCs w:val="22"/>
        </w:rPr>
      </w:pPr>
      <w:r w:rsidRPr="0096331B">
        <w:rPr>
          <w:b/>
          <w:sz w:val="22"/>
          <w:szCs w:val="22"/>
        </w:rPr>
        <w:t>B.</w:t>
      </w:r>
      <w:r w:rsidR="001A4D35">
        <w:rPr>
          <w:b/>
          <w:sz w:val="22"/>
          <w:szCs w:val="22"/>
        </w:rPr>
        <w:t>2</w:t>
      </w:r>
      <w:r w:rsidRPr="0096331B">
        <w:rPr>
          <w:b/>
          <w:sz w:val="22"/>
          <w:szCs w:val="22"/>
        </w:rPr>
        <w:tab/>
      </w:r>
      <w:r w:rsidR="00C7580C" w:rsidRPr="0096331B">
        <w:rPr>
          <w:b/>
          <w:sz w:val="22"/>
          <w:szCs w:val="22"/>
        </w:rPr>
        <w:t xml:space="preserve">Primary Hypotheses: </w:t>
      </w:r>
      <w:r w:rsidR="00C7580C" w:rsidRPr="0096331B">
        <w:rPr>
          <w:sz w:val="22"/>
          <w:szCs w:val="22"/>
        </w:rPr>
        <w:t xml:space="preserve"> </w:t>
      </w:r>
    </w:p>
    <w:p w:rsidR="00C7580C" w:rsidRDefault="00C7580C">
      <w:pPr>
        <w:numPr>
          <w:ilvl w:val="0"/>
          <w:numId w:val="18"/>
        </w:numPr>
        <w:spacing w:line="360" w:lineRule="auto"/>
      </w:pPr>
      <w:r>
        <w:t>PDI donors will express that they had more difficulties understanding the donor health history questionnaire than donors who were appropriately deferred or accepted donors.</w:t>
      </w:r>
    </w:p>
    <w:p w:rsidR="00C7580C" w:rsidRDefault="00C7580C">
      <w:pPr>
        <w:numPr>
          <w:ilvl w:val="0"/>
          <w:numId w:val="18"/>
        </w:numPr>
        <w:spacing w:line="360" w:lineRule="auto"/>
      </w:pPr>
      <w:r>
        <w:t xml:space="preserve">PDI donors will report more dissatisfaction with the screening process including concerns that it is too lengthy, that questions are redundant or unnecessary given that all donations are tested for disease. </w:t>
      </w:r>
    </w:p>
    <w:p w:rsidR="00C7580C" w:rsidRDefault="00C7580C">
      <w:pPr>
        <w:numPr>
          <w:ilvl w:val="0"/>
          <w:numId w:val="18"/>
        </w:numPr>
        <w:spacing w:line="360" w:lineRule="auto"/>
      </w:pPr>
      <w:r>
        <w:t>PDI donors will be more likely to express having issues with the blood center staff th</w:t>
      </w:r>
      <w:r w:rsidR="0096331B">
        <w:t>an deferred or accepted donors.</w:t>
      </w:r>
    </w:p>
    <w:p w:rsidR="00BF60D3" w:rsidRDefault="00BF60D3" w:rsidP="0096331B">
      <w:pPr>
        <w:spacing w:line="360" w:lineRule="auto"/>
        <w:jc w:val="center"/>
        <w:rPr>
          <w:b/>
          <w:sz w:val="22"/>
          <w:szCs w:val="22"/>
        </w:rPr>
      </w:pPr>
    </w:p>
    <w:p w:rsidR="00BF60D3" w:rsidRDefault="00BF60D3" w:rsidP="0096331B">
      <w:pPr>
        <w:spacing w:line="360" w:lineRule="auto"/>
        <w:jc w:val="center"/>
        <w:rPr>
          <w:b/>
          <w:sz w:val="22"/>
          <w:szCs w:val="22"/>
        </w:rPr>
      </w:pPr>
    </w:p>
    <w:p w:rsidR="00BF60D3" w:rsidRDefault="00BF60D3" w:rsidP="0096331B">
      <w:pPr>
        <w:spacing w:line="360" w:lineRule="auto"/>
        <w:jc w:val="center"/>
        <w:rPr>
          <w:b/>
          <w:sz w:val="22"/>
          <w:szCs w:val="22"/>
        </w:rPr>
      </w:pPr>
    </w:p>
    <w:p w:rsidR="00BF60D3" w:rsidRDefault="00BF60D3" w:rsidP="0096331B">
      <w:pPr>
        <w:spacing w:line="360" w:lineRule="auto"/>
        <w:jc w:val="center"/>
        <w:rPr>
          <w:b/>
          <w:sz w:val="22"/>
          <w:szCs w:val="22"/>
        </w:rPr>
      </w:pPr>
    </w:p>
    <w:p w:rsidR="00BF60D3" w:rsidRDefault="00BF60D3" w:rsidP="0096331B">
      <w:pPr>
        <w:spacing w:line="360" w:lineRule="auto"/>
        <w:jc w:val="center"/>
        <w:rPr>
          <w:b/>
          <w:sz w:val="22"/>
          <w:szCs w:val="22"/>
        </w:rPr>
      </w:pPr>
    </w:p>
    <w:p w:rsidR="00BF60D3" w:rsidRDefault="00BF60D3" w:rsidP="0096331B">
      <w:pPr>
        <w:spacing w:line="360" w:lineRule="auto"/>
        <w:jc w:val="center"/>
        <w:rPr>
          <w:b/>
          <w:sz w:val="22"/>
          <w:szCs w:val="22"/>
        </w:rPr>
      </w:pPr>
    </w:p>
    <w:p w:rsidR="00C7580C" w:rsidRPr="0096331B" w:rsidRDefault="0096331B" w:rsidP="0096331B">
      <w:pPr>
        <w:spacing w:line="360" w:lineRule="auto"/>
        <w:jc w:val="center"/>
        <w:rPr>
          <w:b/>
          <w:sz w:val="22"/>
          <w:szCs w:val="22"/>
        </w:rPr>
      </w:pPr>
      <w:r w:rsidRPr="0096331B">
        <w:rPr>
          <w:b/>
          <w:sz w:val="22"/>
          <w:szCs w:val="22"/>
        </w:rPr>
        <w:lastRenderedPageBreak/>
        <w:t>C. STUDY POPULATIONS</w:t>
      </w:r>
    </w:p>
    <w:p w:rsidR="000275C6" w:rsidRDefault="000275C6">
      <w:pPr>
        <w:spacing w:line="360" w:lineRule="auto"/>
        <w:rPr>
          <w:b/>
        </w:rPr>
      </w:pPr>
    </w:p>
    <w:p w:rsidR="00A3346D" w:rsidRDefault="000275C6">
      <w:pPr>
        <w:spacing w:line="360" w:lineRule="auto"/>
        <w:rPr>
          <w:b/>
        </w:rPr>
      </w:pPr>
      <w:r>
        <w:rPr>
          <w:b/>
        </w:rPr>
        <w:t>C.1</w:t>
      </w:r>
      <w:r>
        <w:rPr>
          <w:b/>
        </w:rPr>
        <w:tab/>
      </w:r>
      <w:r w:rsidR="00A3346D">
        <w:rPr>
          <w:b/>
        </w:rPr>
        <w:t>Inclusion Criteria:</w:t>
      </w:r>
    </w:p>
    <w:p w:rsidR="00BF60D3" w:rsidRDefault="00BF60D3">
      <w:pPr>
        <w:spacing w:line="360" w:lineRule="auto"/>
        <w:rPr>
          <w:b/>
        </w:rPr>
      </w:pPr>
    </w:p>
    <w:p w:rsidR="00C7580C" w:rsidRDefault="00A3346D">
      <w:pPr>
        <w:spacing w:line="360" w:lineRule="auto"/>
      </w:pPr>
      <w:r>
        <w:rPr>
          <w:b/>
        </w:rPr>
        <w:t>C.1.1</w:t>
      </w:r>
      <w:r>
        <w:rPr>
          <w:b/>
        </w:rPr>
        <w:tab/>
      </w:r>
      <w:r w:rsidR="00C7580C">
        <w:rPr>
          <w:b/>
        </w:rPr>
        <w:t>Donors with a PDI:</w:t>
      </w:r>
      <w:r w:rsidR="00C7580C">
        <w:t xml:space="preserve"> Donors with a PDI </w:t>
      </w:r>
      <w:r w:rsidR="00C7580C">
        <w:rPr>
          <w:b/>
        </w:rPr>
        <w:t>(PDI-donors)</w:t>
      </w:r>
      <w:r w:rsidR="00C7580C">
        <w:t xml:space="preserve"> will be defined as identified donors with an FDA reportable donor suitability BPD classified as PDI </w:t>
      </w:r>
      <w:r w:rsidR="00B035F1">
        <w:t xml:space="preserve">and a temporary or permanent deferral </w:t>
      </w:r>
      <w:r w:rsidR="00C7580C">
        <w:t xml:space="preserve">at the REDS-II centers.  Donors who did not know about their PDI at the time of donation such as donors who were diagnosed </w:t>
      </w:r>
      <w:r w:rsidR="001A3722">
        <w:t xml:space="preserve">with a disease </w:t>
      </w:r>
      <w:r w:rsidR="00C7580C">
        <w:t xml:space="preserve">subsequent to their donation </w:t>
      </w:r>
      <w:r w:rsidR="001A3722">
        <w:t xml:space="preserve">that presents recipient risk </w:t>
      </w:r>
      <w:r w:rsidR="00C7580C">
        <w:t>will not be included.  PDI donors identified from hearsay or third-party sources will likewise be excluded.</w:t>
      </w:r>
    </w:p>
    <w:p w:rsidR="00BF60D3" w:rsidRDefault="00BF60D3">
      <w:pPr>
        <w:spacing w:line="360" w:lineRule="auto"/>
      </w:pPr>
    </w:p>
    <w:p w:rsidR="00C7580C" w:rsidRDefault="000275C6">
      <w:pPr>
        <w:spacing w:line="360" w:lineRule="auto"/>
      </w:pPr>
      <w:r>
        <w:rPr>
          <w:b/>
        </w:rPr>
        <w:t>C.</w:t>
      </w:r>
      <w:r w:rsidR="00A3346D">
        <w:rPr>
          <w:b/>
        </w:rPr>
        <w:t>1.</w:t>
      </w:r>
      <w:r>
        <w:rPr>
          <w:b/>
        </w:rPr>
        <w:t>2</w:t>
      </w:r>
      <w:r>
        <w:rPr>
          <w:b/>
        </w:rPr>
        <w:tab/>
      </w:r>
      <w:r w:rsidR="00C7580C">
        <w:rPr>
          <w:b/>
        </w:rPr>
        <w:t>Deferred donors</w:t>
      </w:r>
      <w:r w:rsidR="00C7580C">
        <w:t>: Donors who attempted to donate but were appropriately deferred at the REDS-II centers. These donors will not be deferred PDI donors.</w:t>
      </w:r>
    </w:p>
    <w:p w:rsidR="00BF60D3" w:rsidRDefault="00BF60D3">
      <w:pPr>
        <w:spacing w:line="360" w:lineRule="auto"/>
      </w:pPr>
    </w:p>
    <w:p w:rsidR="00C7580C" w:rsidRDefault="000275C6">
      <w:pPr>
        <w:spacing w:line="360" w:lineRule="auto"/>
      </w:pPr>
      <w:r>
        <w:rPr>
          <w:b/>
        </w:rPr>
        <w:t>C.</w:t>
      </w:r>
      <w:r w:rsidR="00A3346D">
        <w:rPr>
          <w:b/>
        </w:rPr>
        <w:t>1.</w:t>
      </w:r>
      <w:r>
        <w:rPr>
          <w:b/>
        </w:rPr>
        <w:t>3</w:t>
      </w:r>
      <w:r>
        <w:rPr>
          <w:b/>
        </w:rPr>
        <w:tab/>
      </w:r>
      <w:r w:rsidR="00C7580C">
        <w:rPr>
          <w:b/>
        </w:rPr>
        <w:t>Accepted Donors:</w:t>
      </w:r>
      <w:r w:rsidR="00C7580C">
        <w:t xml:space="preserve"> Donors appropriately accepted for donation at the REDS-II centers</w:t>
      </w:r>
    </w:p>
    <w:p w:rsidR="00A3346D" w:rsidRDefault="00A3346D">
      <w:pPr>
        <w:spacing w:line="360" w:lineRule="auto"/>
      </w:pPr>
    </w:p>
    <w:p w:rsidR="00A3346D" w:rsidRPr="00BF60D3" w:rsidRDefault="00A3346D">
      <w:pPr>
        <w:spacing w:line="360" w:lineRule="auto"/>
        <w:rPr>
          <w:b/>
        </w:rPr>
      </w:pPr>
      <w:r w:rsidRPr="00BF60D3">
        <w:rPr>
          <w:b/>
        </w:rPr>
        <w:t>C.2</w:t>
      </w:r>
      <w:r w:rsidRPr="00BF60D3">
        <w:rPr>
          <w:b/>
        </w:rPr>
        <w:tab/>
        <w:t>Exclusion Criteria:</w:t>
      </w:r>
    </w:p>
    <w:p w:rsidR="00A3346D" w:rsidRDefault="00A3346D">
      <w:pPr>
        <w:spacing w:line="360" w:lineRule="auto"/>
      </w:pPr>
    </w:p>
    <w:p w:rsidR="00A3346D" w:rsidRDefault="00A3346D">
      <w:pPr>
        <w:spacing w:line="360" w:lineRule="auto"/>
      </w:pPr>
      <w:r>
        <w:tab/>
      </w:r>
      <w:r>
        <w:tab/>
        <w:t>Donor who are 18 years and older will be approached to participate in the study. 17 year old donor will not be eligible to participate.</w:t>
      </w:r>
    </w:p>
    <w:p w:rsidR="00BF518F" w:rsidRDefault="00BF518F" w:rsidP="000275C6">
      <w:pPr>
        <w:spacing w:line="360" w:lineRule="auto"/>
        <w:jc w:val="center"/>
        <w:rPr>
          <w:b/>
          <w:sz w:val="22"/>
          <w:szCs w:val="22"/>
        </w:rPr>
      </w:pPr>
    </w:p>
    <w:p w:rsidR="00C7580C" w:rsidRDefault="00A637EA" w:rsidP="000275C6">
      <w:pPr>
        <w:spacing w:line="360" w:lineRule="auto"/>
        <w:jc w:val="center"/>
        <w:rPr>
          <w:b/>
          <w:sz w:val="22"/>
          <w:szCs w:val="22"/>
        </w:rPr>
      </w:pPr>
      <w:r>
        <w:rPr>
          <w:b/>
          <w:sz w:val="22"/>
          <w:szCs w:val="22"/>
        </w:rPr>
        <w:t>D</w:t>
      </w:r>
      <w:r w:rsidR="00C7580C" w:rsidRPr="000275C6">
        <w:rPr>
          <w:b/>
          <w:sz w:val="22"/>
          <w:szCs w:val="22"/>
        </w:rPr>
        <w:t xml:space="preserve">. </w:t>
      </w:r>
      <w:r w:rsidR="000275C6" w:rsidRPr="000275C6">
        <w:rPr>
          <w:b/>
          <w:sz w:val="22"/>
          <w:szCs w:val="22"/>
        </w:rPr>
        <w:t xml:space="preserve">STUDY ENROLLMENT </w:t>
      </w:r>
      <w:smartTag w:uri="urn:schemas-microsoft-com:office:smarttags" w:element="stockticker">
        <w:r w:rsidR="000275C6" w:rsidRPr="000275C6">
          <w:rPr>
            <w:b/>
            <w:sz w:val="22"/>
            <w:szCs w:val="22"/>
          </w:rPr>
          <w:t>AND</w:t>
        </w:r>
      </w:smartTag>
      <w:r w:rsidR="000275C6" w:rsidRPr="000275C6">
        <w:rPr>
          <w:b/>
          <w:sz w:val="22"/>
          <w:szCs w:val="22"/>
        </w:rPr>
        <w:t xml:space="preserve"> DESIGN</w:t>
      </w:r>
    </w:p>
    <w:p w:rsidR="000275C6" w:rsidRPr="000275C6" w:rsidRDefault="000275C6" w:rsidP="000275C6">
      <w:pPr>
        <w:spacing w:line="360" w:lineRule="auto"/>
        <w:jc w:val="center"/>
        <w:rPr>
          <w:b/>
          <w:sz w:val="22"/>
          <w:szCs w:val="22"/>
        </w:rPr>
      </w:pPr>
    </w:p>
    <w:p w:rsidR="00C7580C" w:rsidRDefault="00A637EA">
      <w:pPr>
        <w:spacing w:line="360" w:lineRule="auto"/>
        <w:rPr>
          <w:b/>
        </w:rPr>
      </w:pPr>
      <w:r>
        <w:rPr>
          <w:b/>
        </w:rPr>
        <w:t>D</w:t>
      </w:r>
      <w:r w:rsidR="000275C6">
        <w:rPr>
          <w:b/>
        </w:rPr>
        <w:t>.1</w:t>
      </w:r>
      <w:r w:rsidR="000275C6">
        <w:rPr>
          <w:b/>
        </w:rPr>
        <w:tab/>
      </w:r>
      <w:r w:rsidR="00C7580C">
        <w:rPr>
          <w:b/>
        </w:rPr>
        <w:t xml:space="preserve">Questionnaire and Screening Process </w:t>
      </w:r>
    </w:p>
    <w:p w:rsidR="00AD63D2" w:rsidRDefault="00A637EA">
      <w:pPr>
        <w:spacing w:line="360" w:lineRule="auto"/>
        <w:rPr>
          <w:i/>
        </w:rPr>
      </w:pPr>
      <w:r>
        <w:rPr>
          <w:i/>
        </w:rPr>
        <w:t>D</w:t>
      </w:r>
      <w:r w:rsidR="000275C6">
        <w:rPr>
          <w:i/>
        </w:rPr>
        <w:t>.1.1</w:t>
      </w:r>
      <w:r w:rsidR="000275C6">
        <w:rPr>
          <w:i/>
        </w:rPr>
        <w:tab/>
      </w:r>
      <w:r w:rsidR="00CF67F3" w:rsidRPr="000275C6">
        <w:rPr>
          <w:i/>
        </w:rPr>
        <w:t xml:space="preserve">Responsibilities of </w:t>
      </w:r>
      <w:smartTag w:uri="urn:schemas-microsoft-com:office:smarttags" w:element="place">
        <w:smartTag w:uri="urn:schemas-microsoft-com:office:smarttags" w:element="PlaceName">
          <w:r w:rsidR="00AD63D2" w:rsidRPr="000275C6">
            <w:rPr>
              <w:i/>
            </w:rPr>
            <w:t>Blood</w:t>
          </w:r>
        </w:smartTag>
        <w:r w:rsidR="00AD63D2" w:rsidRPr="000275C6">
          <w:rPr>
            <w:i/>
          </w:rPr>
          <w:t xml:space="preserve"> </w:t>
        </w:r>
        <w:smartTag w:uri="urn:schemas-microsoft-com:office:smarttags" w:element="PlaceType">
          <w:r w:rsidR="00AD63D2" w:rsidRPr="000275C6">
            <w:rPr>
              <w:i/>
            </w:rPr>
            <w:t>Center</w:t>
          </w:r>
        </w:smartTag>
      </w:smartTag>
      <w:r w:rsidR="00CF67F3" w:rsidRPr="000275C6">
        <w:rPr>
          <w:i/>
        </w:rPr>
        <w:t xml:space="preserve"> Research Staff – Recruitment of Subjects for Study</w:t>
      </w:r>
    </w:p>
    <w:p w:rsidR="00BB26B7" w:rsidRDefault="00C7580C" w:rsidP="000275C6">
      <w:pPr>
        <w:spacing w:line="360" w:lineRule="auto"/>
      </w:pPr>
      <w:r>
        <w:rPr>
          <w:i/>
        </w:rPr>
        <w:t xml:space="preserve"> </w:t>
      </w:r>
      <w:r w:rsidR="000275C6">
        <w:rPr>
          <w:i/>
        </w:rPr>
        <w:tab/>
      </w:r>
      <w:r w:rsidR="000275C6">
        <w:rPr>
          <w:i/>
        </w:rPr>
        <w:tab/>
      </w:r>
      <w:r w:rsidR="00BA1964">
        <w:t xml:space="preserve">Telephone interviews will be conducted with enrolled donors to collect information regarding their knowledge, attitudes, behaviors and beliefs about the donor </w:t>
      </w:r>
      <w:r w:rsidR="00842270">
        <w:t xml:space="preserve">health </w:t>
      </w:r>
      <w:r w:rsidR="00BA1964">
        <w:t>history</w:t>
      </w:r>
      <w:r w:rsidR="00842270">
        <w:t xml:space="preserve"> process</w:t>
      </w:r>
      <w:r w:rsidR="00BA1964">
        <w:t xml:space="preserve">. </w:t>
      </w:r>
      <w:r w:rsidR="00AD63D2">
        <w:t>We plan to interview</w:t>
      </w:r>
      <w:r w:rsidR="00CF67F3">
        <w:t xml:space="preserve"> a total of</w:t>
      </w:r>
      <w:r w:rsidR="00AD63D2">
        <w:t xml:space="preserve"> </w:t>
      </w:r>
      <w:r w:rsidR="00BB26B7">
        <w:t>60</w:t>
      </w:r>
      <w:r w:rsidR="00A9061F">
        <w:t xml:space="preserve"> PDI</w:t>
      </w:r>
      <w:r w:rsidR="00AD63D2">
        <w:t xml:space="preserve"> donors</w:t>
      </w:r>
      <w:r w:rsidR="00A9061F">
        <w:t xml:space="preserve">, </w:t>
      </w:r>
      <w:r w:rsidR="00BB26B7">
        <w:t xml:space="preserve">30 </w:t>
      </w:r>
      <w:r w:rsidR="00A9061F">
        <w:t>properly deferred donors and 12</w:t>
      </w:r>
      <w:r w:rsidR="00AD63D2">
        <w:t xml:space="preserve"> accepted donors</w:t>
      </w:r>
      <w:r w:rsidR="00AC01BF">
        <w:t xml:space="preserve"> (Table 2)</w:t>
      </w:r>
      <w:r w:rsidR="00A9061F">
        <w:t>.</w:t>
      </w:r>
      <w:r w:rsidR="00302785" w:rsidRPr="00302785">
        <w:t xml:space="preserve"> </w:t>
      </w:r>
      <w:r w:rsidR="00302785">
        <w:t>Overall, each centers</w:t>
      </w:r>
      <w:r w:rsidR="00DE6181">
        <w:t>’</w:t>
      </w:r>
      <w:r w:rsidR="00302785">
        <w:t xml:space="preserve"> research staff will be responsible for recruiting </w:t>
      </w:r>
      <w:r w:rsidR="00BB26B7">
        <w:t xml:space="preserve">10 </w:t>
      </w:r>
      <w:r w:rsidR="00302785">
        <w:t xml:space="preserve">PDI, </w:t>
      </w:r>
      <w:r w:rsidR="00BB26B7">
        <w:t xml:space="preserve">5 </w:t>
      </w:r>
      <w:r w:rsidR="00302785">
        <w:t xml:space="preserve">deferred and 2 accepted donors.  </w:t>
      </w:r>
      <w:r w:rsidR="00135315">
        <w:t xml:space="preserve">Even though the interviews with the donors </w:t>
      </w:r>
      <w:r w:rsidR="00135315">
        <w:lastRenderedPageBreak/>
        <w:t>will be individual, we would like to form</w:t>
      </w:r>
      <w:r w:rsidR="00A9061F">
        <w:t xml:space="preserve"> </w:t>
      </w:r>
      <w:r w:rsidR="00135315">
        <w:t xml:space="preserve">groups of similar PDI and deferred donors for analysis purposes.  </w:t>
      </w:r>
    </w:p>
    <w:p w:rsidR="00BB26B7" w:rsidRDefault="000275C6" w:rsidP="000275C6">
      <w:pPr>
        <w:spacing w:line="360" w:lineRule="auto"/>
      </w:pPr>
      <w:r>
        <w:tab/>
      </w:r>
      <w:r w:rsidR="00135315">
        <w:t xml:space="preserve">The </w:t>
      </w:r>
      <w:r w:rsidR="00BB26B7">
        <w:t xml:space="preserve">five </w:t>
      </w:r>
      <w:r w:rsidR="00135315">
        <w:t>groups of interest include PDI occurrences</w:t>
      </w:r>
      <w:r w:rsidR="00ED32DF">
        <w:t xml:space="preserve"> or deferrals</w:t>
      </w:r>
      <w:r w:rsidR="00135315">
        <w:t xml:space="preserve"> </w:t>
      </w:r>
      <w:r w:rsidR="00302785">
        <w:t xml:space="preserve">that </w:t>
      </w:r>
      <w:r w:rsidR="00843BA1">
        <w:t xml:space="preserve">are due to </w:t>
      </w:r>
    </w:p>
    <w:p w:rsidR="00BB26B7" w:rsidRDefault="00843BA1" w:rsidP="000275C6">
      <w:pPr>
        <w:numPr>
          <w:ilvl w:val="0"/>
          <w:numId w:val="32"/>
        </w:numPr>
        <w:spacing w:line="360" w:lineRule="auto"/>
      </w:pPr>
      <w:r>
        <w:t>T</w:t>
      </w:r>
      <w:r w:rsidR="00135315">
        <w:t xml:space="preserve">ravel (malaria, </w:t>
      </w:r>
      <w:proofErr w:type="spellStart"/>
      <w:r w:rsidR="00135315">
        <w:t>vCJD</w:t>
      </w:r>
      <w:proofErr w:type="spellEnd"/>
      <w:r w:rsidR="00135315">
        <w:t>)</w:t>
      </w:r>
    </w:p>
    <w:p w:rsidR="00BB26B7" w:rsidRDefault="00BB26B7" w:rsidP="000275C6">
      <w:pPr>
        <w:numPr>
          <w:ilvl w:val="0"/>
          <w:numId w:val="32"/>
        </w:numPr>
        <w:spacing w:line="360" w:lineRule="auto"/>
      </w:pPr>
      <w:r>
        <w:t xml:space="preserve">Medical </w:t>
      </w:r>
      <w:r w:rsidR="00135315">
        <w:t>(</w:t>
      </w:r>
      <w:r>
        <w:t>history of diseases including jaundice/hepatitis</w:t>
      </w:r>
      <w:r w:rsidR="00B034FF">
        <w:t>, surgery</w:t>
      </w:r>
      <w:r>
        <w:t xml:space="preserve"> and medications needed to treat disease including </w:t>
      </w:r>
      <w:proofErr w:type="spellStart"/>
      <w:r>
        <w:t>Tegison</w:t>
      </w:r>
      <w:proofErr w:type="spellEnd"/>
      <w:r>
        <w:t xml:space="preserve">, </w:t>
      </w:r>
      <w:proofErr w:type="spellStart"/>
      <w:r>
        <w:t>Proscar</w:t>
      </w:r>
      <w:proofErr w:type="spellEnd"/>
      <w:r>
        <w:t xml:space="preserve"> and </w:t>
      </w:r>
      <w:proofErr w:type="spellStart"/>
      <w:r>
        <w:t>Accutane</w:t>
      </w:r>
      <w:proofErr w:type="spellEnd"/>
      <w:r w:rsidDel="00BB26B7">
        <w:t xml:space="preserve"> </w:t>
      </w:r>
      <w:r w:rsidR="00843BA1">
        <w:t>)</w:t>
      </w:r>
    </w:p>
    <w:p w:rsidR="00BB26B7" w:rsidRDefault="00BB26B7" w:rsidP="000275C6">
      <w:pPr>
        <w:numPr>
          <w:ilvl w:val="0"/>
          <w:numId w:val="32"/>
        </w:numPr>
        <w:spacing w:line="360" w:lineRule="auto"/>
      </w:pPr>
      <w:r w:rsidRPr="00822F05">
        <w:t xml:space="preserve">Blood/Disease Exposure – </w:t>
      </w:r>
      <w:r w:rsidR="00135315">
        <w:t>(</w:t>
      </w:r>
      <w:r>
        <w:t>tattoo, piercings, accidental needle stick</w:t>
      </w:r>
      <w:r w:rsidR="00135315">
        <w:t>)</w:t>
      </w:r>
    </w:p>
    <w:p w:rsidR="00BB26B7" w:rsidRDefault="00BB26B7" w:rsidP="000275C6">
      <w:pPr>
        <w:numPr>
          <w:ilvl w:val="0"/>
          <w:numId w:val="32"/>
        </w:numPr>
        <w:spacing w:line="360" w:lineRule="auto"/>
      </w:pPr>
      <w:r w:rsidRPr="00A14689">
        <w:t>High Risk Behavior – Sex</w:t>
      </w:r>
      <w:r w:rsidR="00DE6181">
        <w:t>ual</w:t>
      </w:r>
      <w:r>
        <w:t xml:space="preserve"> </w:t>
      </w:r>
      <w:r w:rsidR="00135315">
        <w:t>(</w:t>
      </w:r>
      <w:smartTag w:uri="urn:schemas-microsoft-com:office:smarttags" w:element="stockticker">
        <w:r w:rsidR="00135315">
          <w:t>MSM</w:t>
        </w:r>
      </w:smartTag>
      <w:r w:rsidR="00135315">
        <w:t>, sex with IV drug-user or test-positive individual)</w:t>
      </w:r>
    </w:p>
    <w:p w:rsidR="00BB26B7" w:rsidRDefault="00BB26B7" w:rsidP="000275C6">
      <w:pPr>
        <w:numPr>
          <w:ilvl w:val="0"/>
          <w:numId w:val="32"/>
        </w:numPr>
        <w:spacing w:line="360" w:lineRule="auto"/>
      </w:pPr>
      <w:r w:rsidRPr="008A7037">
        <w:t>High Risk Behavior – No</w:t>
      </w:r>
      <w:r w:rsidR="00DE6181">
        <w:t>n</w:t>
      </w:r>
      <w:r w:rsidR="00507568">
        <w:t>-</w:t>
      </w:r>
      <w:r w:rsidR="00DE6181">
        <w:t>S</w:t>
      </w:r>
      <w:r w:rsidRPr="008A7037">
        <w:t>ex</w:t>
      </w:r>
      <w:r w:rsidR="00DE6181">
        <w:t>ual</w:t>
      </w:r>
      <w:r>
        <w:t xml:space="preserve"> (</w:t>
      </w:r>
      <w:r w:rsidR="00942386">
        <w:t xml:space="preserve">IV drug use, </w:t>
      </w:r>
      <w:r>
        <w:t>n</w:t>
      </w:r>
      <w:r w:rsidRPr="00C36F35">
        <w:t>on-sexual exposure to Hepatitis C</w:t>
      </w:r>
      <w:r>
        <w:t xml:space="preserve"> or Hepatitis B.</w:t>
      </w:r>
    </w:p>
    <w:p w:rsidR="00BB26B7" w:rsidRDefault="00BB26B7" w:rsidP="000275C6">
      <w:pPr>
        <w:spacing w:line="360" w:lineRule="auto"/>
      </w:pPr>
    </w:p>
    <w:p w:rsidR="006300D1" w:rsidRDefault="000275C6" w:rsidP="000275C6">
      <w:pPr>
        <w:spacing w:line="360" w:lineRule="auto"/>
      </w:pPr>
      <w:r>
        <w:tab/>
      </w:r>
      <w:r>
        <w:tab/>
      </w:r>
      <w:r w:rsidR="00135315">
        <w:t xml:space="preserve">Each center will recruit sufficient donors to assure two </w:t>
      </w:r>
      <w:r w:rsidR="00ED32DF">
        <w:t>PDI donors</w:t>
      </w:r>
      <w:r w:rsidR="00302785">
        <w:t xml:space="preserve"> and one deferred donors</w:t>
      </w:r>
      <w:r w:rsidR="00ED32DF">
        <w:t xml:space="preserve"> </w:t>
      </w:r>
      <w:r w:rsidR="00135315">
        <w:t>within each category</w:t>
      </w:r>
      <w:r w:rsidR="00843BA1">
        <w:t xml:space="preserve"> and two accepted donors</w:t>
      </w:r>
      <w:r w:rsidR="00135315">
        <w:t xml:space="preserve">.  </w:t>
      </w:r>
      <w:r w:rsidR="00FE2F73">
        <w:t>B</w:t>
      </w:r>
      <w:r w:rsidR="008066FC">
        <w:t xml:space="preserve">lood center </w:t>
      </w:r>
      <w:r w:rsidR="00416B47">
        <w:t xml:space="preserve">staff will </w:t>
      </w:r>
      <w:r w:rsidR="008066FC">
        <w:t xml:space="preserve">contact the </w:t>
      </w:r>
      <w:r w:rsidR="00416B47">
        <w:t xml:space="preserve">identified </w:t>
      </w:r>
      <w:r w:rsidR="008066FC">
        <w:t xml:space="preserve">donor </w:t>
      </w:r>
      <w:r w:rsidR="00FE2F73">
        <w:t xml:space="preserve">and if the donor </w:t>
      </w:r>
      <w:r w:rsidR="00942386">
        <w:t>agrees</w:t>
      </w:r>
      <w:r w:rsidR="00FE2F73">
        <w:t xml:space="preserve">, will mail </w:t>
      </w:r>
      <w:r w:rsidR="00942386">
        <w:t xml:space="preserve">study packet to him/her.  The study packet will include information material and the consent form </w:t>
      </w:r>
      <w:r w:rsidR="00FE2F73">
        <w:t xml:space="preserve">for study participation and </w:t>
      </w:r>
      <w:r w:rsidR="008066FC">
        <w:t xml:space="preserve">for the </w:t>
      </w:r>
      <w:r w:rsidR="008066FC" w:rsidRPr="00416B47">
        <w:t>coordinating center to call and schedule an interview</w:t>
      </w:r>
      <w:r w:rsidR="00416B47" w:rsidRPr="00416B47">
        <w:t xml:space="preserve">. </w:t>
      </w:r>
      <w:r w:rsidR="008066FC" w:rsidRPr="00416B47">
        <w:t xml:space="preserve"> </w:t>
      </w:r>
      <w:r w:rsidR="00FE2F73">
        <w:t xml:space="preserve">The donor will be instructed to return the signed consent to the blood center. </w:t>
      </w:r>
      <w:r w:rsidR="00416B47" w:rsidRPr="00416B47">
        <w:t xml:space="preserve">The interviewer from </w:t>
      </w:r>
      <w:r w:rsidR="008066FC" w:rsidRPr="00416B47">
        <w:t xml:space="preserve">the coordinating center </w:t>
      </w:r>
      <w:r w:rsidR="00416B47" w:rsidRPr="00416B47">
        <w:t xml:space="preserve">will then </w:t>
      </w:r>
      <w:r w:rsidR="008066FC" w:rsidRPr="00416B47">
        <w:t xml:space="preserve">contact the donor to </w:t>
      </w:r>
      <w:r w:rsidR="00416B47" w:rsidRPr="00416B47">
        <w:t xml:space="preserve">schedule an </w:t>
      </w:r>
      <w:r w:rsidR="008066FC" w:rsidRPr="00416B47">
        <w:t>interview</w:t>
      </w:r>
      <w:r w:rsidR="00416B47" w:rsidRPr="00416B47">
        <w:t>.</w:t>
      </w:r>
      <w:r w:rsidR="008066FC" w:rsidRPr="00416B47">
        <w:t xml:space="preserve"> </w:t>
      </w:r>
      <w:r w:rsidR="00416B47" w:rsidRPr="00416B47">
        <w:t>W</w:t>
      </w:r>
      <w:r w:rsidR="008066FC" w:rsidRPr="00416B47">
        <w:t xml:space="preserve">e believe each center should project needing to contact approximately </w:t>
      </w:r>
      <w:r w:rsidR="007C3F70" w:rsidRPr="00416B47">
        <w:t xml:space="preserve">68 </w:t>
      </w:r>
      <w:r w:rsidR="008066FC" w:rsidRPr="00416B47">
        <w:t xml:space="preserve">donors. </w:t>
      </w:r>
      <w:r w:rsidR="008E5AA7">
        <w:t>We are assuming</w:t>
      </w:r>
      <w:r w:rsidR="008066FC" w:rsidRPr="00416B47">
        <w:t xml:space="preserve"> that 50</w:t>
      </w:r>
      <w:r w:rsidR="008E5AA7" w:rsidRPr="00416B47">
        <w:t>%</w:t>
      </w:r>
      <w:r w:rsidR="008E5AA7">
        <w:t xml:space="preserve"> of all approached donors </w:t>
      </w:r>
      <w:r w:rsidR="008066FC" w:rsidRPr="00416B47">
        <w:t xml:space="preserve">will consent to </w:t>
      </w:r>
      <w:r w:rsidR="008E5AA7">
        <w:t>participate in the study.</w:t>
      </w:r>
      <w:r w:rsidR="008066FC" w:rsidRPr="00416B47">
        <w:t xml:space="preserve"> </w:t>
      </w:r>
      <w:r w:rsidR="008E5AA7">
        <w:t xml:space="preserve">The number of donors approached at each center </w:t>
      </w:r>
      <w:r w:rsidR="008066FC" w:rsidRPr="00416B47">
        <w:t>will</w:t>
      </w:r>
      <w:r w:rsidR="008E5AA7">
        <w:t xml:space="preserve"> provide margin for further attrition incase some of the consented donors change their mind and opt to discontinue when contacted by the </w:t>
      </w:r>
      <w:r w:rsidR="008066FC" w:rsidRPr="00416B47">
        <w:t>coordinating center</w:t>
      </w:r>
      <w:r w:rsidR="008E5AA7">
        <w:t xml:space="preserve"> to schedule the interview.</w:t>
      </w:r>
      <w:r w:rsidR="008066FC" w:rsidRPr="00416B47">
        <w:t xml:space="preserve"> Because enrollment will be prospective</w:t>
      </w:r>
      <w:r w:rsidR="00AF5A16" w:rsidRPr="00416B47">
        <w:t xml:space="preserve">, </w:t>
      </w:r>
      <w:r w:rsidR="008066FC" w:rsidRPr="00416B47">
        <w:t>the overall number of donors to contact could potentially be less if consent rates are higher than expected.</w:t>
      </w:r>
      <w:r w:rsidR="008066FC">
        <w:t xml:space="preserve">  In other words</w:t>
      </w:r>
      <w:r w:rsidR="00080C0F">
        <w:t>,</w:t>
      </w:r>
      <w:r w:rsidR="008066FC">
        <w:t xml:space="preserve"> if the first PDI Malaria Travel deferral consents to contact and successfully completes the interview</w:t>
      </w:r>
      <w:r w:rsidR="00FE2F73">
        <w:t>,</w:t>
      </w:r>
      <w:r w:rsidR="008066FC">
        <w:t xml:space="preserve"> the blood center would not need to recruit for this category again.</w:t>
      </w:r>
      <w:r w:rsidR="00AF5A16">
        <w:t xml:space="preserve"> They would, however, still need to recruit a </w:t>
      </w:r>
      <w:proofErr w:type="spellStart"/>
      <w:r w:rsidR="00AF5A16">
        <w:t>vCJD</w:t>
      </w:r>
      <w:proofErr w:type="spellEnd"/>
      <w:r w:rsidR="00AF5A16">
        <w:t xml:space="preserve"> donor from this category.</w:t>
      </w:r>
      <w:r w:rsidR="00EA576C">
        <w:t xml:space="preserve"> Table 2 lists the PDI</w:t>
      </w:r>
      <w:r w:rsidR="006300D1">
        <w:t>/deferral</w:t>
      </w:r>
      <w:r w:rsidR="00EA576C">
        <w:t xml:space="preserve"> reasons of interest within the 5 broad categories.</w:t>
      </w:r>
    </w:p>
    <w:p w:rsidR="00035B67" w:rsidRDefault="00035B67" w:rsidP="000275C6">
      <w:pPr>
        <w:spacing w:line="360" w:lineRule="auto"/>
        <w:rPr>
          <w:b/>
        </w:rPr>
      </w:pPr>
    </w:p>
    <w:p w:rsidR="00035B67" w:rsidRDefault="00035B67" w:rsidP="000275C6">
      <w:pPr>
        <w:spacing w:line="360" w:lineRule="auto"/>
        <w:rPr>
          <w:b/>
        </w:rPr>
      </w:pPr>
    </w:p>
    <w:p w:rsidR="00035B67" w:rsidRDefault="00035B67" w:rsidP="000275C6">
      <w:pPr>
        <w:spacing w:line="360" w:lineRule="auto"/>
        <w:rPr>
          <w:b/>
        </w:rPr>
      </w:pPr>
    </w:p>
    <w:p w:rsidR="00035B67" w:rsidRDefault="00035B67" w:rsidP="000275C6">
      <w:pPr>
        <w:spacing w:line="360" w:lineRule="auto"/>
        <w:rPr>
          <w:b/>
        </w:rPr>
      </w:pPr>
    </w:p>
    <w:p w:rsidR="00035B67" w:rsidRDefault="00035B67" w:rsidP="000275C6">
      <w:pPr>
        <w:spacing w:line="360" w:lineRule="auto"/>
        <w:rPr>
          <w:b/>
        </w:rPr>
      </w:pPr>
    </w:p>
    <w:p w:rsidR="00035B67" w:rsidRDefault="00035B67" w:rsidP="000275C6">
      <w:pPr>
        <w:spacing w:line="360" w:lineRule="auto"/>
        <w:rPr>
          <w:b/>
        </w:rPr>
      </w:pPr>
    </w:p>
    <w:p w:rsidR="006300D1" w:rsidRPr="006300D1" w:rsidRDefault="006300D1" w:rsidP="000275C6">
      <w:pPr>
        <w:spacing w:line="360" w:lineRule="auto"/>
        <w:rPr>
          <w:b/>
          <w:sz w:val="22"/>
          <w:szCs w:val="22"/>
        </w:rPr>
      </w:pPr>
      <w:r w:rsidRPr="006300D1">
        <w:rPr>
          <w:b/>
        </w:rPr>
        <w:t>Table</w:t>
      </w:r>
      <w:r w:rsidR="00D51553">
        <w:rPr>
          <w:b/>
        </w:rPr>
        <w:t>2</w:t>
      </w:r>
      <w:r w:rsidRPr="006300D1">
        <w:rPr>
          <w:b/>
        </w:rPr>
        <w:t xml:space="preserve">: </w:t>
      </w:r>
      <w:r>
        <w:rPr>
          <w:b/>
        </w:rPr>
        <w:t xml:space="preserve">List of PDI/Deferral </w:t>
      </w:r>
      <w:r w:rsidR="0020530B">
        <w:rPr>
          <w:b/>
        </w:rPr>
        <w:t>R</w:t>
      </w:r>
      <w:r>
        <w:rPr>
          <w:b/>
        </w:rPr>
        <w:t xml:space="preserve">easons of </w:t>
      </w:r>
      <w:r w:rsidR="0020530B">
        <w:rPr>
          <w:b/>
        </w:rPr>
        <w:t>I</w:t>
      </w:r>
      <w:r>
        <w:rPr>
          <w:b/>
        </w:rPr>
        <w:t>nterest</w:t>
      </w:r>
    </w:p>
    <w:p w:rsidR="00EA576C" w:rsidRPr="006300D1" w:rsidRDefault="00EA576C" w:rsidP="000275C6">
      <w:pPr>
        <w:spacing w:line="360" w:lineRule="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788"/>
      </w:tblGrid>
      <w:tr w:rsidR="00EA576C" w:rsidRPr="004927B1">
        <w:tc>
          <w:tcPr>
            <w:tcW w:w="4788" w:type="dxa"/>
          </w:tcPr>
          <w:p w:rsidR="00EA576C" w:rsidRPr="004927B1" w:rsidRDefault="00EA576C" w:rsidP="004927B1">
            <w:pPr>
              <w:spacing w:line="360" w:lineRule="auto"/>
              <w:rPr>
                <w:b/>
                <w:sz w:val="22"/>
                <w:szCs w:val="22"/>
              </w:rPr>
            </w:pPr>
            <w:r w:rsidRPr="004927B1">
              <w:rPr>
                <w:b/>
                <w:sz w:val="22"/>
                <w:szCs w:val="22"/>
              </w:rPr>
              <w:t xml:space="preserve">Broad </w:t>
            </w:r>
            <w:r w:rsidR="006300D1" w:rsidRPr="004927B1">
              <w:rPr>
                <w:b/>
                <w:sz w:val="22"/>
                <w:szCs w:val="22"/>
              </w:rPr>
              <w:t>C</w:t>
            </w:r>
            <w:r w:rsidRPr="004927B1">
              <w:rPr>
                <w:b/>
                <w:sz w:val="22"/>
                <w:szCs w:val="22"/>
              </w:rPr>
              <w:t>ategories</w:t>
            </w:r>
          </w:p>
        </w:tc>
        <w:tc>
          <w:tcPr>
            <w:tcW w:w="4788" w:type="dxa"/>
          </w:tcPr>
          <w:p w:rsidR="00EA576C" w:rsidRPr="004927B1" w:rsidRDefault="00EA576C" w:rsidP="004927B1">
            <w:pPr>
              <w:spacing w:line="360" w:lineRule="auto"/>
              <w:jc w:val="center"/>
              <w:rPr>
                <w:b/>
                <w:sz w:val="22"/>
                <w:szCs w:val="22"/>
              </w:rPr>
            </w:pPr>
            <w:r w:rsidRPr="004927B1">
              <w:rPr>
                <w:b/>
                <w:sz w:val="22"/>
                <w:szCs w:val="22"/>
              </w:rPr>
              <w:t>PDI/Deferral Reasons of Interest</w:t>
            </w:r>
          </w:p>
        </w:tc>
      </w:tr>
      <w:tr w:rsidR="00EA576C" w:rsidRPr="004927B1">
        <w:tc>
          <w:tcPr>
            <w:tcW w:w="4788" w:type="dxa"/>
            <w:vMerge w:val="restart"/>
          </w:tcPr>
          <w:p w:rsidR="00EA576C" w:rsidRPr="004927B1" w:rsidRDefault="00EA576C" w:rsidP="004927B1">
            <w:pPr>
              <w:spacing w:line="360" w:lineRule="auto"/>
              <w:rPr>
                <w:b/>
                <w:sz w:val="22"/>
                <w:szCs w:val="22"/>
              </w:rPr>
            </w:pPr>
            <w:r w:rsidRPr="004927B1">
              <w:rPr>
                <w:b/>
                <w:sz w:val="22"/>
                <w:szCs w:val="22"/>
              </w:rPr>
              <w:t>Travel</w:t>
            </w:r>
          </w:p>
        </w:tc>
        <w:tc>
          <w:tcPr>
            <w:tcW w:w="4788" w:type="dxa"/>
          </w:tcPr>
          <w:p w:rsidR="00EA576C" w:rsidRPr="004927B1" w:rsidRDefault="00EA576C" w:rsidP="00EA576C">
            <w:pPr>
              <w:rPr>
                <w:sz w:val="22"/>
                <w:szCs w:val="22"/>
              </w:rPr>
            </w:pPr>
            <w:r w:rsidRPr="004927B1">
              <w:rPr>
                <w:sz w:val="22"/>
                <w:szCs w:val="22"/>
              </w:rPr>
              <w:t>Variant Creutzfeldt-Jakob Disease (</w:t>
            </w:r>
            <w:proofErr w:type="spellStart"/>
            <w:r w:rsidRPr="004927B1">
              <w:rPr>
                <w:sz w:val="22"/>
                <w:szCs w:val="22"/>
              </w:rPr>
              <w:t>vCJD</w:t>
            </w:r>
            <w:proofErr w:type="spellEnd"/>
            <w:r w:rsidRPr="004927B1">
              <w:rPr>
                <w:sz w:val="22"/>
                <w:szCs w:val="22"/>
              </w:rPr>
              <w:t>)--Travel</w:t>
            </w:r>
          </w:p>
        </w:tc>
      </w:tr>
      <w:tr w:rsidR="00EA576C" w:rsidRPr="004927B1">
        <w:tc>
          <w:tcPr>
            <w:tcW w:w="4788" w:type="dxa"/>
            <w:vMerge/>
          </w:tcPr>
          <w:p w:rsidR="00EA576C" w:rsidRPr="004927B1" w:rsidRDefault="00EA576C" w:rsidP="004927B1">
            <w:pPr>
              <w:spacing w:line="360" w:lineRule="auto"/>
              <w:rPr>
                <w:b/>
                <w:sz w:val="22"/>
                <w:szCs w:val="22"/>
              </w:rPr>
            </w:pPr>
          </w:p>
        </w:tc>
        <w:tc>
          <w:tcPr>
            <w:tcW w:w="4788" w:type="dxa"/>
          </w:tcPr>
          <w:p w:rsidR="00EA576C" w:rsidRPr="004927B1" w:rsidRDefault="00EA576C" w:rsidP="00EA576C">
            <w:pPr>
              <w:rPr>
                <w:sz w:val="22"/>
                <w:szCs w:val="22"/>
              </w:rPr>
            </w:pPr>
            <w:r w:rsidRPr="004927B1">
              <w:rPr>
                <w:sz w:val="22"/>
                <w:szCs w:val="22"/>
              </w:rPr>
              <w:t>Travel to malaria area/history of malaria</w:t>
            </w:r>
          </w:p>
        </w:tc>
      </w:tr>
      <w:tr w:rsidR="00EA576C" w:rsidRPr="004927B1">
        <w:tc>
          <w:tcPr>
            <w:tcW w:w="4788" w:type="dxa"/>
            <w:vMerge w:val="restart"/>
          </w:tcPr>
          <w:p w:rsidR="00EA576C" w:rsidRPr="004927B1" w:rsidRDefault="00EA576C" w:rsidP="004927B1">
            <w:pPr>
              <w:spacing w:line="360" w:lineRule="auto"/>
              <w:rPr>
                <w:b/>
                <w:sz w:val="22"/>
                <w:szCs w:val="22"/>
              </w:rPr>
            </w:pPr>
            <w:r w:rsidRPr="004927B1">
              <w:rPr>
                <w:b/>
                <w:sz w:val="22"/>
                <w:szCs w:val="22"/>
              </w:rPr>
              <w:t>Medical</w:t>
            </w:r>
          </w:p>
        </w:tc>
        <w:tc>
          <w:tcPr>
            <w:tcW w:w="4788" w:type="dxa"/>
          </w:tcPr>
          <w:p w:rsidR="00EA576C" w:rsidRPr="004927B1" w:rsidRDefault="00EA576C" w:rsidP="00D51553">
            <w:pPr>
              <w:rPr>
                <w:sz w:val="22"/>
                <w:szCs w:val="22"/>
              </w:rPr>
            </w:pPr>
            <w:r w:rsidRPr="004927B1">
              <w:rPr>
                <w:sz w:val="22"/>
                <w:szCs w:val="22"/>
              </w:rPr>
              <w:t xml:space="preserve">History of </w:t>
            </w:r>
            <w:r w:rsidR="00D51553" w:rsidRPr="004927B1">
              <w:rPr>
                <w:sz w:val="22"/>
                <w:szCs w:val="22"/>
              </w:rPr>
              <w:t>surgery</w:t>
            </w:r>
          </w:p>
        </w:tc>
      </w:tr>
      <w:tr w:rsidR="00EA576C" w:rsidRPr="004927B1">
        <w:tc>
          <w:tcPr>
            <w:tcW w:w="4788" w:type="dxa"/>
            <w:vMerge/>
          </w:tcPr>
          <w:p w:rsidR="00EA576C" w:rsidRPr="004927B1" w:rsidRDefault="00EA576C" w:rsidP="004927B1">
            <w:pPr>
              <w:spacing w:line="360" w:lineRule="auto"/>
              <w:rPr>
                <w:sz w:val="22"/>
                <w:szCs w:val="22"/>
              </w:rPr>
            </w:pPr>
          </w:p>
        </w:tc>
        <w:tc>
          <w:tcPr>
            <w:tcW w:w="4788" w:type="dxa"/>
          </w:tcPr>
          <w:p w:rsidR="00EA576C" w:rsidRPr="004927B1" w:rsidRDefault="00EA576C" w:rsidP="00EA576C">
            <w:pPr>
              <w:rPr>
                <w:sz w:val="22"/>
                <w:szCs w:val="22"/>
              </w:rPr>
            </w:pPr>
            <w:r w:rsidRPr="004927B1">
              <w:rPr>
                <w:sz w:val="22"/>
                <w:szCs w:val="22"/>
              </w:rPr>
              <w:t>History of disease</w:t>
            </w:r>
          </w:p>
        </w:tc>
      </w:tr>
      <w:tr w:rsidR="00EA576C" w:rsidRPr="004927B1">
        <w:tc>
          <w:tcPr>
            <w:tcW w:w="4788" w:type="dxa"/>
            <w:vMerge/>
          </w:tcPr>
          <w:p w:rsidR="00EA576C" w:rsidRPr="004927B1" w:rsidRDefault="00EA576C" w:rsidP="004927B1">
            <w:pPr>
              <w:spacing w:line="360" w:lineRule="auto"/>
              <w:rPr>
                <w:sz w:val="22"/>
                <w:szCs w:val="22"/>
              </w:rPr>
            </w:pPr>
          </w:p>
        </w:tc>
        <w:tc>
          <w:tcPr>
            <w:tcW w:w="4788" w:type="dxa"/>
          </w:tcPr>
          <w:p w:rsidR="00EA576C" w:rsidRPr="004927B1" w:rsidRDefault="00EA576C" w:rsidP="00EA576C">
            <w:pPr>
              <w:rPr>
                <w:sz w:val="22"/>
                <w:szCs w:val="22"/>
              </w:rPr>
            </w:pPr>
            <w:r w:rsidRPr="004927B1">
              <w:rPr>
                <w:sz w:val="22"/>
                <w:szCs w:val="22"/>
              </w:rPr>
              <w:t xml:space="preserve">Received </w:t>
            </w:r>
            <w:proofErr w:type="spellStart"/>
            <w:r w:rsidRPr="004927B1">
              <w:rPr>
                <w:sz w:val="22"/>
                <w:szCs w:val="22"/>
              </w:rPr>
              <w:t>Proscar</w:t>
            </w:r>
            <w:proofErr w:type="spellEnd"/>
            <w:r w:rsidRPr="004927B1">
              <w:rPr>
                <w:sz w:val="22"/>
                <w:szCs w:val="22"/>
              </w:rPr>
              <w:t xml:space="preserve">, </w:t>
            </w:r>
            <w:proofErr w:type="spellStart"/>
            <w:r w:rsidRPr="004927B1">
              <w:rPr>
                <w:sz w:val="22"/>
                <w:szCs w:val="22"/>
              </w:rPr>
              <w:t>Tegison</w:t>
            </w:r>
            <w:proofErr w:type="spellEnd"/>
            <w:r w:rsidRPr="004927B1">
              <w:rPr>
                <w:sz w:val="22"/>
                <w:szCs w:val="22"/>
              </w:rPr>
              <w:t xml:space="preserve"> or </w:t>
            </w:r>
            <w:proofErr w:type="spellStart"/>
            <w:r w:rsidRPr="004927B1">
              <w:rPr>
                <w:sz w:val="22"/>
                <w:szCs w:val="22"/>
              </w:rPr>
              <w:t>Accutane</w:t>
            </w:r>
            <w:proofErr w:type="spellEnd"/>
          </w:p>
        </w:tc>
      </w:tr>
      <w:tr w:rsidR="00EA576C" w:rsidRPr="004927B1">
        <w:tc>
          <w:tcPr>
            <w:tcW w:w="4788" w:type="dxa"/>
            <w:vMerge/>
          </w:tcPr>
          <w:p w:rsidR="00EA576C" w:rsidRPr="004927B1" w:rsidRDefault="00EA576C" w:rsidP="004927B1">
            <w:pPr>
              <w:spacing w:line="360" w:lineRule="auto"/>
              <w:rPr>
                <w:sz w:val="22"/>
                <w:szCs w:val="22"/>
              </w:rPr>
            </w:pPr>
          </w:p>
        </w:tc>
        <w:tc>
          <w:tcPr>
            <w:tcW w:w="4788" w:type="dxa"/>
          </w:tcPr>
          <w:p w:rsidR="00EA576C" w:rsidRPr="004927B1" w:rsidRDefault="00EA576C" w:rsidP="00EA576C">
            <w:pPr>
              <w:rPr>
                <w:sz w:val="22"/>
                <w:szCs w:val="22"/>
              </w:rPr>
            </w:pPr>
            <w:r w:rsidRPr="004927B1">
              <w:rPr>
                <w:sz w:val="22"/>
                <w:szCs w:val="22"/>
              </w:rPr>
              <w:t>Received tissue allograft or transplanted organ</w:t>
            </w:r>
          </w:p>
        </w:tc>
      </w:tr>
      <w:tr w:rsidR="00EA576C" w:rsidRPr="004927B1">
        <w:tc>
          <w:tcPr>
            <w:tcW w:w="4788" w:type="dxa"/>
            <w:vMerge/>
          </w:tcPr>
          <w:p w:rsidR="00EA576C" w:rsidRPr="004927B1" w:rsidRDefault="00EA576C" w:rsidP="004927B1">
            <w:pPr>
              <w:spacing w:line="360" w:lineRule="auto"/>
              <w:rPr>
                <w:sz w:val="22"/>
                <w:szCs w:val="22"/>
              </w:rPr>
            </w:pPr>
          </w:p>
        </w:tc>
        <w:tc>
          <w:tcPr>
            <w:tcW w:w="4788" w:type="dxa"/>
          </w:tcPr>
          <w:p w:rsidR="00EA576C" w:rsidRPr="004927B1" w:rsidRDefault="00EA576C" w:rsidP="00D51553">
            <w:pPr>
              <w:rPr>
                <w:sz w:val="22"/>
                <w:szCs w:val="22"/>
              </w:rPr>
            </w:pPr>
            <w:r w:rsidRPr="004927B1">
              <w:rPr>
                <w:sz w:val="22"/>
                <w:szCs w:val="22"/>
              </w:rPr>
              <w:t xml:space="preserve">Received </w:t>
            </w:r>
            <w:r w:rsidR="00D51553" w:rsidRPr="004927B1">
              <w:rPr>
                <w:sz w:val="22"/>
                <w:szCs w:val="22"/>
              </w:rPr>
              <w:t>m</w:t>
            </w:r>
            <w:r w:rsidRPr="004927B1">
              <w:rPr>
                <w:sz w:val="22"/>
                <w:szCs w:val="22"/>
              </w:rPr>
              <w:t xml:space="preserve">edication, </w:t>
            </w:r>
            <w:r w:rsidR="00D51553" w:rsidRPr="004927B1">
              <w:rPr>
                <w:sz w:val="22"/>
                <w:szCs w:val="22"/>
              </w:rPr>
              <w:t>a</w:t>
            </w:r>
            <w:r w:rsidRPr="004927B1">
              <w:rPr>
                <w:sz w:val="22"/>
                <w:szCs w:val="22"/>
              </w:rPr>
              <w:t xml:space="preserve">ntibiotics, </w:t>
            </w:r>
            <w:r w:rsidR="00D51553" w:rsidRPr="004927B1">
              <w:rPr>
                <w:sz w:val="22"/>
                <w:szCs w:val="22"/>
              </w:rPr>
              <w:t>v</w:t>
            </w:r>
            <w:r w:rsidRPr="004927B1">
              <w:rPr>
                <w:sz w:val="22"/>
                <w:szCs w:val="22"/>
              </w:rPr>
              <w:t xml:space="preserve">accine or </w:t>
            </w:r>
            <w:r w:rsidR="00D51553" w:rsidRPr="004927B1">
              <w:rPr>
                <w:sz w:val="22"/>
                <w:szCs w:val="22"/>
              </w:rPr>
              <w:t>i</w:t>
            </w:r>
            <w:r w:rsidRPr="004927B1">
              <w:rPr>
                <w:sz w:val="22"/>
                <w:szCs w:val="22"/>
              </w:rPr>
              <w:t>mmune globulin</w:t>
            </w:r>
          </w:p>
        </w:tc>
      </w:tr>
      <w:tr w:rsidR="00EA576C" w:rsidRPr="004927B1">
        <w:tc>
          <w:tcPr>
            <w:tcW w:w="4788" w:type="dxa"/>
            <w:vMerge/>
          </w:tcPr>
          <w:p w:rsidR="00EA576C" w:rsidRPr="004927B1" w:rsidRDefault="00EA576C" w:rsidP="004927B1">
            <w:pPr>
              <w:spacing w:line="360" w:lineRule="auto"/>
              <w:rPr>
                <w:sz w:val="22"/>
                <w:szCs w:val="22"/>
              </w:rPr>
            </w:pPr>
          </w:p>
        </w:tc>
        <w:tc>
          <w:tcPr>
            <w:tcW w:w="4788" w:type="dxa"/>
          </w:tcPr>
          <w:p w:rsidR="00EA576C" w:rsidRPr="004927B1" w:rsidRDefault="00EA576C" w:rsidP="00EA576C">
            <w:pPr>
              <w:rPr>
                <w:sz w:val="22"/>
                <w:szCs w:val="22"/>
              </w:rPr>
            </w:pPr>
            <w:r w:rsidRPr="004927B1">
              <w:rPr>
                <w:sz w:val="22"/>
                <w:szCs w:val="22"/>
              </w:rPr>
              <w:t>History of hepatitis (type not specified), HBV, HCV or jaundice</w:t>
            </w:r>
          </w:p>
        </w:tc>
      </w:tr>
      <w:tr w:rsidR="00EA576C" w:rsidRPr="004927B1">
        <w:tc>
          <w:tcPr>
            <w:tcW w:w="4788" w:type="dxa"/>
            <w:vMerge/>
          </w:tcPr>
          <w:p w:rsidR="00EA576C" w:rsidRPr="004927B1" w:rsidRDefault="00EA576C" w:rsidP="004927B1">
            <w:pPr>
              <w:spacing w:line="360" w:lineRule="auto"/>
              <w:rPr>
                <w:sz w:val="22"/>
                <w:szCs w:val="22"/>
              </w:rPr>
            </w:pPr>
          </w:p>
        </w:tc>
        <w:tc>
          <w:tcPr>
            <w:tcW w:w="4788" w:type="dxa"/>
          </w:tcPr>
          <w:p w:rsidR="00EA576C" w:rsidRPr="004927B1" w:rsidRDefault="00EA576C" w:rsidP="00E52034">
            <w:pPr>
              <w:rPr>
                <w:sz w:val="22"/>
                <w:szCs w:val="22"/>
              </w:rPr>
            </w:pPr>
            <w:r w:rsidRPr="004927B1">
              <w:rPr>
                <w:sz w:val="22"/>
                <w:szCs w:val="22"/>
              </w:rPr>
              <w:t xml:space="preserve">Risk factors associated with CJD </w:t>
            </w:r>
          </w:p>
        </w:tc>
      </w:tr>
      <w:tr w:rsidR="00EA576C" w:rsidRPr="004927B1">
        <w:tc>
          <w:tcPr>
            <w:tcW w:w="4788" w:type="dxa"/>
            <w:vMerge/>
          </w:tcPr>
          <w:p w:rsidR="00EA576C" w:rsidRPr="004927B1" w:rsidRDefault="00EA576C" w:rsidP="004927B1">
            <w:pPr>
              <w:spacing w:line="360" w:lineRule="auto"/>
              <w:rPr>
                <w:sz w:val="22"/>
                <w:szCs w:val="22"/>
              </w:rPr>
            </w:pPr>
          </w:p>
        </w:tc>
        <w:tc>
          <w:tcPr>
            <w:tcW w:w="4788" w:type="dxa"/>
          </w:tcPr>
          <w:p w:rsidR="00EA576C" w:rsidRPr="004927B1" w:rsidRDefault="00EA576C" w:rsidP="00EA576C">
            <w:pPr>
              <w:rPr>
                <w:sz w:val="22"/>
                <w:szCs w:val="22"/>
              </w:rPr>
            </w:pPr>
            <w:r w:rsidRPr="004927B1">
              <w:rPr>
                <w:sz w:val="22"/>
                <w:szCs w:val="22"/>
              </w:rPr>
              <w:t>Donor received transfusion or clotting factors</w:t>
            </w:r>
          </w:p>
        </w:tc>
      </w:tr>
      <w:tr w:rsidR="00EA576C" w:rsidRPr="004927B1">
        <w:tc>
          <w:tcPr>
            <w:tcW w:w="4788" w:type="dxa"/>
            <w:vMerge w:val="restart"/>
          </w:tcPr>
          <w:p w:rsidR="00EA576C" w:rsidRPr="004927B1" w:rsidRDefault="00EA576C" w:rsidP="00EA576C">
            <w:pPr>
              <w:rPr>
                <w:b/>
                <w:bCs/>
                <w:sz w:val="22"/>
                <w:szCs w:val="22"/>
              </w:rPr>
            </w:pPr>
            <w:r w:rsidRPr="004927B1">
              <w:rPr>
                <w:b/>
                <w:bCs/>
                <w:sz w:val="22"/>
                <w:szCs w:val="22"/>
              </w:rPr>
              <w:t>Blood/Disease Exposure  – not drug related</w:t>
            </w:r>
          </w:p>
        </w:tc>
        <w:tc>
          <w:tcPr>
            <w:tcW w:w="4788" w:type="dxa"/>
          </w:tcPr>
          <w:p w:rsidR="00EA576C" w:rsidRPr="004927B1" w:rsidRDefault="00EA576C" w:rsidP="00D51553">
            <w:pPr>
              <w:rPr>
                <w:sz w:val="22"/>
                <w:szCs w:val="22"/>
              </w:rPr>
            </w:pPr>
            <w:r w:rsidRPr="004927B1">
              <w:rPr>
                <w:sz w:val="22"/>
                <w:szCs w:val="22"/>
              </w:rPr>
              <w:t xml:space="preserve">Accidental </w:t>
            </w:r>
            <w:r w:rsidR="00D51553" w:rsidRPr="004927B1">
              <w:rPr>
                <w:sz w:val="22"/>
                <w:szCs w:val="22"/>
              </w:rPr>
              <w:t>e</w:t>
            </w:r>
            <w:r w:rsidRPr="004927B1">
              <w:rPr>
                <w:sz w:val="22"/>
                <w:szCs w:val="22"/>
              </w:rPr>
              <w:t xml:space="preserve">xposure to </w:t>
            </w:r>
            <w:r w:rsidR="00D51553" w:rsidRPr="004927B1">
              <w:rPr>
                <w:sz w:val="22"/>
                <w:szCs w:val="22"/>
              </w:rPr>
              <w:t>b</w:t>
            </w:r>
            <w:r w:rsidRPr="004927B1">
              <w:rPr>
                <w:sz w:val="22"/>
                <w:szCs w:val="22"/>
              </w:rPr>
              <w:t xml:space="preserve">lood or </w:t>
            </w:r>
            <w:r w:rsidR="00D51553" w:rsidRPr="004927B1">
              <w:rPr>
                <w:sz w:val="22"/>
                <w:szCs w:val="22"/>
              </w:rPr>
              <w:t>b</w:t>
            </w:r>
            <w:r w:rsidRPr="004927B1">
              <w:rPr>
                <w:sz w:val="22"/>
                <w:szCs w:val="22"/>
              </w:rPr>
              <w:t xml:space="preserve">ody </w:t>
            </w:r>
            <w:r w:rsidR="00D51553" w:rsidRPr="004927B1">
              <w:rPr>
                <w:sz w:val="22"/>
                <w:szCs w:val="22"/>
              </w:rPr>
              <w:t>f</w:t>
            </w:r>
            <w:r w:rsidRPr="004927B1">
              <w:rPr>
                <w:sz w:val="22"/>
                <w:szCs w:val="22"/>
              </w:rPr>
              <w:t>luids</w:t>
            </w:r>
          </w:p>
        </w:tc>
      </w:tr>
      <w:tr w:rsidR="00EA576C" w:rsidRPr="004927B1">
        <w:tc>
          <w:tcPr>
            <w:tcW w:w="4788" w:type="dxa"/>
            <w:vMerge/>
          </w:tcPr>
          <w:p w:rsidR="00EA576C" w:rsidRPr="004927B1" w:rsidRDefault="00EA576C" w:rsidP="004927B1">
            <w:pPr>
              <w:spacing w:line="360" w:lineRule="auto"/>
              <w:rPr>
                <w:sz w:val="22"/>
                <w:szCs w:val="22"/>
              </w:rPr>
            </w:pPr>
          </w:p>
        </w:tc>
        <w:tc>
          <w:tcPr>
            <w:tcW w:w="4788" w:type="dxa"/>
          </w:tcPr>
          <w:p w:rsidR="00EA576C" w:rsidRPr="004927B1" w:rsidRDefault="00EA576C" w:rsidP="00D51553">
            <w:pPr>
              <w:rPr>
                <w:sz w:val="22"/>
                <w:szCs w:val="22"/>
              </w:rPr>
            </w:pPr>
            <w:r w:rsidRPr="004927B1">
              <w:rPr>
                <w:sz w:val="22"/>
                <w:szCs w:val="22"/>
              </w:rPr>
              <w:t xml:space="preserve">Donor received body/ear piercing or </w:t>
            </w:r>
            <w:r w:rsidR="00D51553" w:rsidRPr="004927B1">
              <w:rPr>
                <w:sz w:val="22"/>
                <w:szCs w:val="22"/>
              </w:rPr>
              <w:t>t</w:t>
            </w:r>
            <w:r w:rsidRPr="004927B1">
              <w:rPr>
                <w:sz w:val="22"/>
                <w:szCs w:val="22"/>
              </w:rPr>
              <w:t>attoo or both</w:t>
            </w:r>
          </w:p>
        </w:tc>
      </w:tr>
      <w:tr w:rsidR="006300D1" w:rsidRPr="004927B1">
        <w:tc>
          <w:tcPr>
            <w:tcW w:w="4788" w:type="dxa"/>
            <w:vMerge w:val="restart"/>
          </w:tcPr>
          <w:p w:rsidR="006300D1" w:rsidRPr="004927B1" w:rsidRDefault="006300D1" w:rsidP="00EA576C">
            <w:pPr>
              <w:rPr>
                <w:b/>
                <w:bCs/>
                <w:sz w:val="22"/>
                <w:szCs w:val="22"/>
              </w:rPr>
            </w:pPr>
            <w:r w:rsidRPr="004927B1">
              <w:rPr>
                <w:b/>
                <w:bCs/>
                <w:sz w:val="22"/>
                <w:szCs w:val="22"/>
              </w:rPr>
              <w:t>High Risk Behavior – Not sex</w:t>
            </w:r>
          </w:p>
        </w:tc>
        <w:tc>
          <w:tcPr>
            <w:tcW w:w="4788" w:type="dxa"/>
          </w:tcPr>
          <w:p w:rsidR="006300D1" w:rsidRPr="004927B1" w:rsidRDefault="006300D1" w:rsidP="00EA576C">
            <w:pPr>
              <w:rPr>
                <w:sz w:val="22"/>
                <w:szCs w:val="22"/>
              </w:rPr>
            </w:pPr>
            <w:r w:rsidRPr="004927B1">
              <w:rPr>
                <w:sz w:val="22"/>
                <w:szCs w:val="22"/>
              </w:rPr>
              <w:t>IV drug use</w:t>
            </w:r>
          </w:p>
        </w:tc>
      </w:tr>
      <w:tr w:rsidR="006300D1" w:rsidRPr="004927B1">
        <w:tc>
          <w:tcPr>
            <w:tcW w:w="4788" w:type="dxa"/>
            <w:vMerge/>
          </w:tcPr>
          <w:p w:rsidR="006300D1" w:rsidRPr="004927B1" w:rsidRDefault="006300D1" w:rsidP="004927B1">
            <w:pPr>
              <w:spacing w:line="360" w:lineRule="auto"/>
              <w:rPr>
                <w:sz w:val="22"/>
                <w:szCs w:val="22"/>
              </w:rPr>
            </w:pPr>
          </w:p>
        </w:tc>
        <w:tc>
          <w:tcPr>
            <w:tcW w:w="4788" w:type="dxa"/>
          </w:tcPr>
          <w:p w:rsidR="006300D1" w:rsidRPr="004927B1" w:rsidRDefault="006300D1" w:rsidP="00D51553">
            <w:pPr>
              <w:rPr>
                <w:sz w:val="22"/>
                <w:szCs w:val="22"/>
              </w:rPr>
            </w:pPr>
            <w:r w:rsidRPr="004927B1">
              <w:rPr>
                <w:sz w:val="22"/>
                <w:szCs w:val="22"/>
              </w:rPr>
              <w:t xml:space="preserve">Incarcerated/Multiple </w:t>
            </w:r>
            <w:r w:rsidR="00D51553" w:rsidRPr="004927B1">
              <w:rPr>
                <w:sz w:val="22"/>
                <w:szCs w:val="22"/>
              </w:rPr>
              <w:t>r</w:t>
            </w:r>
            <w:r w:rsidRPr="004927B1">
              <w:rPr>
                <w:sz w:val="22"/>
                <w:szCs w:val="22"/>
              </w:rPr>
              <w:t>isks</w:t>
            </w:r>
          </w:p>
        </w:tc>
      </w:tr>
      <w:tr w:rsidR="006300D1" w:rsidRPr="004927B1">
        <w:tc>
          <w:tcPr>
            <w:tcW w:w="4788" w:type="dxa"/>
            <w:vMerge/>
          </w:tcPr>
          <w:p w:rsidR="006300D1" w:rsidRPr="004927B1" w:rsidRDefault="006300D1" w:rsidP="004927B1">
            <w:pPr>
              <w:spacing w:line="360" w:lineRule="auto"/>
              <w:rPr>
                <w:sz w:val="22"/>
                <w:szCs w:val="22"/>
              </w:rPr>
            </w:pPr>
          </w:p>
        </w:tc>
        <w:tc>
          <w:tcPr>
            <w:tcW w:w="4788" w:type="dxa"/>
          </w:tcPr>
          <w:p w:rsidR="006300D1" w:rsidRPr="004927B1" w:rsidRDefault="006300D1" w:rsidP="006300D1">
            <w:pPr>
              <w:rPr>
                <w:sz w:val="22"/>
                <w:szCs w:val="22"/>
              </w:rPr>
            </w:pPr>
            <w:r w:rsidRPr="004927B1">
              <w:rPr>
                <w:sz w:val="22"/>
                <w:szCs w:val="22"/>
              </w:rPr>
              <w:t>Non-sexual exposure to HIV, hepatitis (type not specified), HBV, HCV</w:t>
            </w:r>
          </w:p>
        </w:tc>
      </w:tr>
      <w:tr w:rsidR="006300D1" w:rsidRPr="004927B1">
        <w:tc>
          <w:tcPr>
            <w:tcW w:w="4788" w:type="dxa"/>
            <w:vMerge w:val="restart"/>
          </w:tcPr>
          <w:p w:rsidR="006300D1" w:rsidRPr="004927B1" w:rsidRDefault="006300D1" w:rsidP="006300D1">
            <w:pPr>
              <w:rPr>
                <w:b/>
                <w:bCs/>
                <w:sz w:val="22"/>
                <w:szCs w:val="22"/>
              </w:rPr>
            </w:pPr>
            <w:r w:rsidRPr="004927B1">
              <w:rPr>
                <w:b/>
                <w:bCs/>
                <w:sz w:val="22"/>
                <w:szCs w:val="22"/>
              </w:rPr>
              <w:t>High Risk Behavior - Sex</w:t>
            </w:r>
          </w:p>
        </w:tc>
        <w:tc>
          <w:tcPr>
            <w:tcW w:w="4788" w:type="dxa"/>
          </w:tcPr>
          <w:p w:rsidR="006300D1" w:rsidRPr="004927B1" w:rsidRDefault="006300D1" w:rsidP="006300D1">
            <w:pPr>
              <w:rPr>
                <w:sz w:val="22"/>
                <w:szCs w:val="22"/>
              </w:rPr>
            </w:pPr>
            <w:r w:rsidRPr="004927B1">
              <w:rPr>
                <w:sz w:val="22"/>
                <w:szCs w:val="22"/>
              </w:rPr>
              <w:t>Male to male sex or female to male who had sex with male</w:t>
            </w:r>
          </w:p>
        </w:tc>
      </w:tr>
      <w:tr w:rsidR="006300D1" w:rsidRPr="004927B1">
        <w:tc>
          <w:tcPr>
            <w:tcW w:w="4788" w:type="dxa"/>
            <w:vMerge/>
          </w:tcPr>
          <w:p w:rsidR="006300D1" w:rsidRPr="004927B1" w:rsidRDefault="006300D1" w:rsidP="006300D1">
            <w:pPr>
              <w:rPr>
                <w:b/>
                <w:bCs/>
                <w:sz w:val="22"/>
                <w:szCs w:val="22"/>
              </w:rPr>
            </w:pPr>
          </w:p>
        </w:tc>
        <w:tc>
          <w:tcPr>
            <w:tcW w:w="4788" w:type="dxa"/>
          </w:tcPr>
          <w:p w:rsidR="006300D1" w:rsidRPr="004927B1" w:rsidRDefault="006300D1" w:rsidP="00D51553">
            <w:pPr>
              <w:rPr>
                <w:sz w:val="22"/>
                <w:szCs w:val="22"/>
              </w:rPr>
            </w:pPr>
            <w:r w:rsidRPr="004927B1">
              <w:rPr>
                <w:sz w:val="22"/>
                <w:szCs w:val="22"/>
              </w:rPr>
              <w:t xml:space="preserve">Exchanged sex for drugs or money/Sex with </w:t>
            </w:r>
            <w:r w:rsidR="00D51553" w:rsidRPr="004927B1">
              <w:rPr>
                <w:sz w:val="22"/>
                <w:szCs w:val="22"/>
              </w:rPr>
              <w:t>h</w:t>
            </w:r>
            <w:r w:rsidRPr="004927B1">
              <w:rPr>
                <w:sz w:val="22"/>
                <w:szCs w:val="22"/>
              </w:rPr>
              <w:t xml:space="preserve">igh </w:t>
            </w:r>
            <w:r w:rsidR="00D51553" w:rsidRPr="004927B1">
              <w:rPr>
                <w:sz w:val="22"/>
                <w:szCs w:val="22"/>
              </w:rPr>
              <w:t>r</w:t>
            </w:r>
            <w:r w:rsidRPr="004927B1">
              <w:rPr>
                <w:sz w:val="22"/>
                <w:szCs w:val="22"/>
              </w:rPr>
              <w:t xml:space="preserve">isk </w:t>
            </w:r>
            <w:r w:rsidR="00D51553" w:rsidRPr="004927B1">
              <w:rPr>
                <w:sz w:val="22"/>
                <w:szCs w:val="22"/>
              </w:rPr>
              <w:t>b</w:t>
            </w:r>
            <w:r w:rsidRPr="004927B1">
              <w:rPr>
                <w:sz w:val="22"/>
                <w:szCs w:val="22"/>
              </w:rPr>
              <w:t xml:space="preserve">ehavior </w:t>
            </w:r>
            <w:r w:rsidR="00D51553" w:rsidRPr="004927B1">
              <w:rPr>
                <w:sz w:val="22"/>
                <w:szCs w:val="22"/>
              </w:rPr>
              <w:t>p</w:t>
            </w:r>
            <w:r w:rsidRPr="004927B1">
              <w:rPr>
                <w:sz w:val="22"/>
                <w:szCs w:val="22"/>
              </w:rPr>
              <w:t>artner</w:t>
            </w:r>
          </w:p>
        </w:tc>
      </w:tr>
      <w:tr w:rsidR="006300D1" w:rsidRPr="004927B1">
        <w:tc>
          <w:tcPr>
            <w:tcW w:w="4788" w:type="dxa"/>
            <w:vMerge/>
          </w:tcPr>
          <w:p w:rsidR="006300D1" w:rsidRPr="004927B1" w:rsidRDefault="006300D1" w:rsidP="006300D1">
            <w:pPr>
              <w:rPr>
                <w:b/>
                <w:bCs/>
                <w:sz w:val="22"/>
                <w:szCs w:val="22"/>
              </w:rPr>
            </w:pPr>
          </w:p>
        </w:tc>
        <w:tc>
          <w:tcPr>
            <w:tcW w:w="4788" w:type="dxa"/>
          </w:tcPr>
          <w:p w:rsidR="006300D1" w:rsidRPr="004927B1" w:rsidRDefault="006300D1" w:rsidP="006300D1">
            <w:pPr>
              <w:rPr>
                <w:sz w:val="22"/>
                <w:szCs w:val="22"/>
              </w:rPr>
            </w:pPr>
            <w:r w:rsidRPr="004927B1">
              <w:rPr>
                <w:sz w:val="22"/>
                <w:szCs w:val="22"/>
              </w:rPr>
              <w:t xml:space="preserve">Had </w:t>
            </w:r>
            <w:smartTag w:uri="urn:schemas-microsoft-com:office:smarttags" w:element="stockticker">
              <w:r w:rsidRPr="004927B1">
                <w:rPr>
                  <w:sz w:val="22"/>
                  <w:szCs w:val="22"/>
                </w:rPr>
                <w:t>STD</w:t>
              </w:r>
            </w:smartTag>
            <w:r w:rsidRPr="004927B1">
              <w:rPr>
                <w:sz w:val="22"/>
                <w:szCs w:val="22"/>
              </w:rPr>
              <w:t xml:space="preserve"> or Sex partner was positive for </w:t>
            </w:r>
            <w:smartTag w:uri="urn:schemas-microsoft-com:office:smarttags" w:element="stockticker">
              <w:r w:rsidRPr="004927B1">
                <w:rPr>
                  <w:sz w:val="22"/>
                  <w:szCs w:val="22"/>
                </w:rPr>
                <w:t>STD</w:t>
              </w:r>
            </w:smartTag>
            <w:r w:rsidRPr="004927B1">
              <w:rPr>
                <w:sz w:val="22"/>
                <w:szCs w:val="22"/>
              </w:rPr>
              <w:t xml:space="preserve">, HIV, HTLV, HBV, HCV, </w:t>
            </w:r>
            <w:proofErr w:type="spellStart"/>
            <w:r w:rsidRPr="004927B1">
              <w:rPr>
                <w:sz w:val="22"/>
                <w:szCs w:val="22"/>
              </w:rPr>
              <w:t>Hep</w:t>
            </w:r>
            <w:proofErr w:type="spellEnd"/>
          </w:p>
        </w:tc>
      </w:tr>
      <w:tr w:rsidR="006300D1" w:rsidRPr="004927B1">
        <w:tc>
          <w:tcPr>
            <w:tcW w:w="4788" w:type="dxa"/>
            <w:vMerge/>
          </w:tcPr>
          <w:p w:rsidR="006300D1" w:rsidRPr="004927B1" w:rsidRDefault="006300D1" w:rsidP="006300D1">
            <w:pPr>
              <w:rPr>
                <w:b/>
                <w:bCs/>
                <w:sz w:val="22"/>
                <w:szCs w:val="22"/>
              </w:rPr>
            </w:pPr>
          </w:p>
        </w:tc>
        <w:tc>
          <w:tcPr>
            <w:tcW w:w="4788" w:type="dxa"/>
          </w:tcPr>
          <w:p w:rsidR="006300D1" w:rsidRPr="004927B1" w:rsidRDefault="006300D1" w:rsidP="006300D1">
            <w:pPr>
              <w:rPr>
                <w:sz w:val="22"/>
                <w:szCs w:val="22"/>
              </w:rPr>
            </w:pPr>
            <w:r w:rsidRPr="004927B1">
              <w:rPr>
                <w:sz w:val="22"/>
                <w:szCs w:val="22"/>
              </w:rPr>
              <w:t>Donor/sex partner lived in or immigrated from HIV group O area</w:t>
            </w:r>
          </w:p>
        </w:tc>
      </w:tr>
    </w:tbl>
    <w:p w:rsidR="00035B67" w:rsidRDefault="00035B67" w:rsidP="000275C6">
      <w:pPr>
        <w:spacing w:line="360" w:lineRule="auto"/>
        <w:rPr>
          <w:b/>
        </w:rPr>
      </w:pPr>
    </w:p>
    <w:p w:rsidR="00AC01BF" w:rsidRPr="00843BA1" w:rsidRDefault="00AC01BF" w:rsidP="000275C6">
      <w:pPr>
        <w:spacing w:line="360" w:lineRule="auto"/>
        <w:rPr>
          <w:b/>
        </w:rPr>
      </w:pPr>
      <w:r w:rsidRPr="00843BA1">
        <w:rPr>
          <w:b/>
        </w:rPr>
        <w:t xml:space="preserve">Table </w:t>
      </w:r>
      <w:r w:rsidR="00EA576C">
        <w:rPr>
          <w:b/>
        </w:rPr>
        <w:t>3</w:t>
      </w:r>
      <w:r w:rsidRPr="00843BA1">
        <w:rPr>
          <w:b/>
        </w:rPr>
        <w:t>: Estimated number of donors needed for interviews</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900"/>
        <w:gridCol w:w="1080"/>
        <w:gridCol w:w="1800"/>
        <w:gridCol w:w="1440"/>
        <w:gridCol w:w="1260"/>
        <w:gridCol w:w="1260"/>
      </w:tblGrid>
      <w:tr w:rsidR="00AF5A16" w:rsidRPr="00DE6181">
        <w:tc>
          <w:tcPr>
            <w:tcW w:w="1188" w:type="dxa"/>
          </w:tcPr>
          <w:p w:rsidR="007C3F70" w:rsidRDefault="007C3F70" w:rsidP="00DE6181">
            <w:pPr>
              <w:jc w:val="center"/>
            </w:pPr>
            <w:r>
              <w:t>Donors</w:t>
            </w:r>
          </w:p>
        </w:tc>
        <w:tc>
          <w:tcPr>
            <w:tcW w:w="900" w:type="dxa"/>
          </w:tcPr>
          <w:p w:rsidR="007C3F70" w:rsidRDefault="007C3F70" w:rsidP="00DE6181">
            <w:pPr>
              <w:jc w:val="center"/>
            </w:pPr>
            <w:r>
              <w:t>Travel</w:t>
            </w:r>
          </w:p>
        </w:tc>
        <w:tc>
          <w:tcPr>
            <w:tcW w:w="1080" w:type="dxa"/>
          </w:tcPr>
          <w:p w:rsidR="007C3F70" w:rsidRDefault="007C3F70" w:rsidP="00DE6181">
            <w:pPr>
              <w:jc w:val="center"/>
            </w:pPr>
            <w:r>
              <w:t>Medical</w:t>
            </w:r>
          </w:p>
        </w:tc>
        <w:tc>
          <w:tcPr>
            <w:tcW w:w="1800" w:type="dxa"/>
          </w:tcPr>
          <w:p w:rsidR="007C3F70" w:rsidRDefault="007C3F70" w:rsidP="00DE6181">
            <w:pPr>
              <w:jc w:val="center"/>
            </w:pPr>
            <w:r>
              <w:t>Blood/Disease Exposure (</w:t>
            </w:r>
            <w:r w:rsidRPr="00822F05">
              <w:t>not drug related</w:t>
            </w:r>
            <w:r>
              <w:t>)</w:t>
            </w:r>
          </w:p>
        </w:tc>
        <w:tc>
          <w:tcPr>
            <w:tcW w:w="1440" w:type="dxa"/>
          </w:tcPr>
          <w:p w:rsidR="007C3F70" w:rsidRDefault="007C3F70" w:rsidP="00DE6181">
            <w:pPr>
              <w:jc w:val="center"/>
            </w:pPr>
            <w:r w:rsidRPr="00A14689">
              <w:t xml:space="preserve">High Risk Behavior </w:t>
            </w:r>
          </w:p>
          <w:p w:rsidR="007C3F70" w:rsidRDefault="007C3F70" w:rsidP="00DE6181">
            <w:pPr>
              <w:jc w:val="center"/>
            </w:pPr>
            <w:r>
              <w:t>(Sex)</w:t>
            </w:r>
          </w:p>
        </w:tc>
        <w:tc>
          <w:tcPr>
            <w:tcW w:w="1260" w:type="dxa"/>
          </w:tcPr>
          <w:p w:rsidR="007C3F70" w:rsidRDefault="007C3F70" w:rsidP="00DE6181">
            <w:pPr>
              <w:jc w:val="center"/>
            </w:pPr>
            <w:r w:rsidRPr="00A14689">
              <w:t xml:space="preserve">High Risk Behavior </w:t>
            </w:r>
          </w:p>
          <w:p w:rsidR="007C3F70" w:rsidRDefault="007C3F70" w:rsidP="00DE6181">
            <w:pPr>
              <w:jc w:val="center"/>
            </w:pPr>
            <w:r>
              <w:t>(Not Sex)</w:t>
            </w:r>
          </w:p>
        </w:tc>
        <w:tc>
          <w:tcPr>
            <w:tcW w:w="1260" w:type="dxa"/>
          </w:tcPr>
          <w:p w:rsidR="007C3F70" w:rsidRDefault="007C3F70" w:rsidP="00DE6181">
            <w:pPr>
              <w:jc w:val="center"/>
            </w:pPr>
            <w:r>
              <w:t xml:space="preserve">Total </w:t>
            </w:r>
          </w:p>
        </w:tc>
      </w:tr>
      <w:tr w:rsidR="00AF5A16" w:rsidRPr="00DE6181">
        <w:tc>
          <w:tcPr>
            <w:tcW w:w="1188" w:type="dxa"/>
          </w:tcPr>
          <w:p w:rsidR="007C3F70" w:rsidRDefault="007C3F70" w:rsidP="00DE6181">
            <w:pPr>
              <w:spacing w:line="360" w:lineRule="auto"/>
              <w:jc w:val="center"/>
            </w:pPr>
            <w:r>
              <w:t xml:space="preserve">PDI </w:t>
            </w:r>
          </w:p>
        </w:tc>
        <w:tc>
          <w:tcPr>
            <w:tcW w:w="900" w:type="dxa"/>
          </w:tcPr>
          <w:p w:rsidR="007C3F70" w:rsidRDefault="007C3F70" w:rsidP="00DE6181">
            <w:pPr>
              <w:spacing w:line="360" w:lineRule="auto"/>
              <w:jc w:val="center"/>
            </w:pPr>
            <w:r>
              <w:t>12</w:t>
            </w:r>
          </w:p>
        </w:tc>
        <w:tc>
          <w:tcPr>
            <w:tcW w:w="1080" w:type="dxa"/>
          </w:tcPr>
          <w:p w:rsidR="007C3F70" w:rsidRDefault="007C3F70" w:rsidP="00DE6181">
            <w:pPr>
              <w:spacing w:line="360" w:lineRule="auto"/>
              <w:jc w:val="center"/>
            </w:pPr>
            <w:r>
              <w:t>12</w:t>
            </w:r>
          </w:p>
        </w:tc>
        <w:tc>
          <w:tcPr>
            <w:tcW w:w="1800" w:type="dxa"/>
          </w:tcPr>
          <w:p w:rsidR="007C3F70" w:rsidRDefault="007C3F70" w:rsidP="00DE6181">
            <w:pPr>
              <w:spacing w:line="360" w:lineRule="auto"/>
              <w:jc w:val="center"/>
            </w:pPr>
            <w:r>
              <w:t>12</w:t>
            </w:r>
          </w:p>
        </w:tc>
        <w:tc>
          <w:tcPr>
            <w:tcW w:w="1440" w:type="dxa"/>
          </w:tcPr>
          <w:p w:rsidR="007C3F70" w:rsidRDefault="007C3F70" w:rsidP="00DE6181">
            <w:pPr>
              <w:spacing w:line="360" w:lineRule="auto"/>
              <w:jc w:val="center"/>
            </w:pPr>
            <w:r>
              <w:t>12</w:t>
            </w:r>
          </w:p>
        </w:tc>
        <w:tc>
          <w:tcPr>
            <w:tcW w:w="1260" w:type="dxa"/>
          </w:tcPr>
          <w:p w:rsidR="007C3F70" w:rsidRDefault="007C3F70" w:rsidP="00DE6181">
            <w:pPr>
              <w:spacing w:line="360" w:lineRule="auto"/>
              <w:jc w:val="center"/>
            </w:pPr>
            <w:r>
              <w:t>12</w:t>
            </w:r>
          </w:p>
        </w:tc>
        <w:tc>
          <w:tcPr>
            <w:tcW w:w="1260" w:type="dxa"/>
          </w:tcPr>
          <w:p w:rsidR="007C3F70" w:rsidRDefault="007C3F70" w:rsidP="00DE6181">
            <w:pPr>
              <w:spacing w:line="360" w:lineRule="auto"/>
              <w:jc w:val="center"/>
            </w:pPr>
            <w:r>
              <w:t>60</w:t>
            </w:r>
          </w:p>
        </w:tc>
      </w:tr>
      <w:tr w:rsidR="00AF5A16" w:rsidRPr="00DE6181">
        <w:tc>
          <w:tcPr>
            <w:tcW w:w="1188" w:type="dxa"/>
          </w:tcPr>
          <w:p w:rsidR="007C3F70" w:rsidRDefault="007C3F70" w:rsidP="00DE6181">
            <w:pPr>
              <w:spacing w:line="360" w:lineRule="auto"/>
              <w:jc w:val="center"/>
            </w:pPr>
            <w:r>
              <w:t xml:space="preserve">Deferred </w:t>
            </w:r>
          </w:p>
        </w:tc>
        <w:tc>
          <w:tcPr>
            <w:tcW w:w="900" w:type="dxa"/>
          </w:tcPr>
          <w:p w:rsidR="007C3F70" w:rsidRDefault="007C3F70" w:rsidP="00DE6181">
            <w:pPr>
              <w:spacing w:line="360" w:lineRule="auto"/>
              <w:jc w:val="center"/>
            </w:pPr>
            <w:r>
              <w:t>6</w:t>
            </w:r>
          </w:p>
        </w:tc>
        <w:tc>
          <w:tcPr>
            <w:tcW w:w="1080" w:type="dxa"/>
          </w:tcPr>
          <w:p w:rsidR="007C3F70" w:rsidRDefault="007C3F70" w:rsidP="00DE6181">
            <w:pPr>
              <w:spacing w:line="360" w:lineRule="auto"/>
              <w:jc w:val="center"/>
            </w:pPr>
            <w:r>
              <w:t>6</w:t>
            </w:r>
          </w:p>
        </w:tc>
        <w:tc>
          <w:tcPr>
            <w:tcW w:w="1800" w:type="dxa"/>
          </w:tcPr>
          <w:p w:rsidR="007C3F70" w:rsidRDefault="007C3F70" w:rsidP="00DE6181">
            <w:pPr>
              <w:spacing w:line="360" w:lineRule="auto"/>
              <w:jc w:val="center"/>
            </w:pPr>
            <w:r>
              <w:t>6</w:t>
            </w:r>
          </w:p>
        </w:tc>
        <w:tc>
          <w:tcPr>
            <w:tcW w:w="1440" w:type="dxa"/>
          </w:tcPr>
          <w:p w:rsidR="007C3F70" w:rsidRDefault="007C3F70" w:rsidP="00DE6181">
            <w:pPr>
              <w:spacing w:line="360" w:lineRule="auto"/>
              <w:jc w:val="center"/>
            </w:pPr>
            <w:r>
              <w:t>6</w:t>
            </w:r>
          </w:p>
        </w:tc>
        <w:tc>
          <w:tcPr>
            <w:tcW w:w="1260" w:type="dxa"/>
          </w:tcPr>
          <w:p w:rsidR="007C3F70" w:rsidRDefault="007C3F70" w:rsidP="00DE6181">
            <w:pPr>
              <w:spacing w:line="360" w:lineRule="auto"/>
              <w:jc w:val="center"/>
            </w:pPr>
            <w:r>
              <w:t>6</w:t>
            </w:r>
          </w:p>
        </w:tc>
        <w:tc>
          <w:tcPr>
            <w:tcW w:w="1260" w:type="dxa"/>
          </w:tcPr>
          <w:p w:rsidR="007C3F70" w:rsidRDefault="007C3F70" w:rsidP="00DE6181">
            <w:pPr>
              <w:spacing w:line="360" w:lineRule="auto"/>
              <w:jc w:val="center"/>
            </w:pPr>
            <w:r>
              <w:t>30</w:t>
            </w:r>
          </w:p>
        </w:tc>
      </w:tr>
      <w:tr w:rsidR="00AF5A16">
        <w:tc>
          <w:tcPr>
            <w:tcW w:w="1188" w:type="dxa"/>
          </w:tcPr>
          <w:p w:rsidR="007C3F70" w:rsidRDefault="007C3F70" w:rsidP="00DE6181">
            <w:pPr>
              <w:spacing w:line="360" w:lineRule="auto"/>
              <w:jc w:val="center"/>
            </w:pPr>
            <w:r>
              <w:t xml:space="preserve">Accepted </w:t>
            </w:r>
          </w:p>
        </w:tc>
        <w:tc>
          <w:tcPr>
            <w:tcW w:w="900" w:type="dxa"/>
          </w:tcPr>
          <w:p w:rsidR="007C3F70" w:rsidRDefault="007C3F70" w:rsidP="00DE6181">
            <w:pPr>
              <w:spacing w:line="360" w:lineRule="auto"/>
              <w:jc w:val="center"/>
            </w:pPr>
          </w:p>
        </w:tc>
        <w:tc>
          <w:tcPr>
            <w:tcW w:w="1080" w:type="dxa"/>
          </w:tcPr>
          <w:p w:rsidR="007C3F70" w:rsidRDefault="007C3F70" w:rsidP="00DE6181">
            <w:pPr>
              <w:spacing w:line="360" w:lineRule="auto"/>
              <w:jc w:val="center"/>
            </w:pPr>
          </w:p>
        </w:tc>
        <w:tc>
          <w:tcPr>
            <w:tcW w:w="1800" w:type="dxa"/>
          </w:tcPr>
          <w:p w:rsidR="007C3F70" w:rsidRDefault="007C3F70" w:rsidP="00DE6181">
            <w:pPr>
              <w:spacing w:line="360" w:lineRule="auto"/>
              <w:jc w:val="center"/>
            </w:pPr>
          </w:p>
        </w:tc>
        <w:tc>
          <w:tcPr>
            <w:tcW w:w="1440" w:type="dxa"/>
          </w:tcPr>
          <w:p w:rsidR="007C3F70" w:rsidRDefault="007C3F70" w:rsidP="00DE6181">
            <w:pPr>
              <w:spacing w:line="360" w:lineRule="auto"/>
              <w:jc w:val="center"/>
            </w:pPr>
          </w:p>
        </w:tc>
        <w:tc>
          <w:tcPr>
            <w:tcW w:w="1260" w:type="dxa"/>
          </w:tcPr>
          <w:p w:rsidR="007C3F70" w:rsidRDefault="007C3F70" w:rsidP="00DE6181">
            <w:pPr>
              <w:spacing w:line="360" w:lineRule="auto"/>
              <w:jc w:val="center"/>
            </w:pPr>
          </w:p>
        </w:tc>
        <w:tc>
          <w:tcPr>
            <w:tcW w:w="1260" w:type="dxa"/>
          </w:tcPr>
          <w:p w:rsidR="007C3F70" w:rsidRDefault="007C3F70" w:rsidP="00DE6181">
            <w:pPr>
              <w:spacing w:line="360" w:lineRule="auto"/>
              <w:jc w:val="center"/>
            </w:pPr>
            <w:r>
              <w:t>12</w:t>
            </w:r>
          </w:p>
        </w:tc>
      </w:tr>
    </w:tbl>
    <w:p w:rsidR="00AC01BF" w:rsidRDefault="00AC01BF" w:rsidP="00AC01BF">
      <w:pPr>
        <w:spacing w:line="360" w:lineRule="auto"/>
      </w:pPr>
    </w:p>
    <w:p w:rsidR="00AD63D2" w:rsidRDefault="000275C6" w:rsidP="00AD63D2">
      <w:pPr>
        <w:spacing w:line="360" w:lineRule="auto"/>
        <w:ind w:firstLine="720"/>
      </w:pPr>
      <w:r>
        <w:tab/>
      </w:r>
      <w:r w:rsidR="00AD63D2">
        <w:t xml:space="preserve">Within a week of their PDI identification, appropriate deferral or accepted donation, </w:t>
      </w:r>
      <w:r w:rsidR="00CF67F3">
        <w:t>r</w:t>
      </w:r>
      <w:r w:rsidR="00AD63D2">
        <w:t xml:space="preserve">esearch staff </w:t>
      </w:r>
      <w:r w:rsidR="009C1228">
        <w:t>will</w:t>
      </w:r>
      <w:r w:rsidR="00AD63D2">
        <w:t xml:space="preserve"> </w:t>
      </w:r>
      <w:r w:rsidR="00AC6E65">
        <w:t xml:space="preserve">call the identified donor and </w:t>
      </w:r>
      <w:r w:rsidR="00661C12">
        <w:t xml:space="preserve">obtain </w:t>
      </w:r>
      <w:r w:rsidR="00AC6E65">
        <w:t xml:space="preserve">permission to </w:t>
      </w:r>
      <w:proofErr w:type="gramStart"/>
      <w:r w:rsidR="00AC6E65">
        <w:t xml:space="preserve">mail </w:t>
      </w:r>
      <w:r w:rsidR="00AD63D2">
        <w:t xml:space="preserve"> a</w:t>
      </w:r>
      <w:proofErr w:type="gramEnd"/>
      <w:r w:rsidR="00AD63D2">
        <w:t xml:space="preserve"> </w:t>
      </w:r>
      <w:r w:rsidR="00EC71ED">
        <w:t xml:space="preserve">study </w:t>
      </w:r>
      <w:r w:rsidR="00EC71ED">
        <w:lastRenderedPageBreak/>
        <w:t>packet</w:t>
      </w:r>
      <w:r w:rsidR="00AD63D2">
        <w:t xml:space="preserve"> </w:t>
      </w:r>
      <w:r w:rsidR="009745D5">
        <w:t>and consent form</w:t>
      </w:r>
      <w:r w:rsidR="00AC6E65">
        <w:t>.</w:t>
      </w:r>
      <w:r w:rsidR="00AD63D2">
        <w:t xml:space="preserve"> </w:t>
      </w:r>
      <w:r w:rsidR="00EC71ED">
        <w:t xml:space="preserve">This packet will </w:t>
      </w:r>
      <w:r w:rsidR="00AD63D2">
        <w:t>explain</w:t>
      </w:r>
      <w:r w:rsidR="00EC71ED">
        <w:t xml:space="preserve"> </w:t>
      </w:r>
      <w:r w:rsidR="00AD63D2">
        <w:t>the study</w:t>
      </w:r>
      <w:r w:rsidR="00EC71ED">
        <w:t xml:space="preserve"> to the donor </w:t>
      </w:r>
      <w:r w:rsidR="00AD63D2">
        <w:t xml:space="preserve">and </w:t>
      </w:r>
      <w:r w:rsidR="00EC71ED">
        <w:t>will request him/her to return the signed consent form. By signing the consent form, the donor will agree to participate in this study and to be contacted by the coordinating center for scheduling an interview.</w:t>
      </w:r>
      <w:r w:rsidR="00AD63D2">
        <w:t xml:space="preserve">  Donors who do not respond to the letter </w:t>
      </w:r>
      <w:r w:rsidR="00CF67F3">
        <w:t xml:space="preserve">within 7 business days </w:t>
      </w:r>
      <w:r w:rsidR="00AD63D2">
        <w:t>will</w:t>
      </w:r>
      <w:r w:rsidR="00CF67F3">
        <w:t xml:space="preserve"> need to</w:t>
      </w:r>
      <w:r w:rsidR="00AD63D2">
        <w:t xml:space="preserve"> be called by the </w:t>
      </w:r>
      <w:r w:rsidR="00A559A3">
        <w:t xml:space="preserve">blood center </w:t>
      </w:r>
      <w:r w:rsidR="00AD63D2">
        <w:t>research staff to confirm receipt of the letter and ascertain their willingness to participate in the study.  In the letter and</w:t>
      </w:r>
      <w:r w:rsidR="00CF67F3">
        <w:t xml:space="preserve"> </w:t>
      </w:r>
      <w:r w:rsidR="00AD63D2">
        <w:t xml:space="preserve">over the phone, donors will be asked to consent to having their contact information sent to the coordinating center so </w:t>
      </w:r>
      <w:r w:rsidR="00CF67F3">
        <w:t>that the Westat</w:t>
      </w:r>
      <w:r w:rsidR="00AD63D2">
        <w:t xml:space="preserve"> interviewers can contact them to set up an interview.</w:t>
      </w:r>
      <w:r w:rsidR="00CF67F3">
        <w:t xml:space="preserve"> If the donor subsequently refuses to participate when contacted by the coordinating center</w:t>
      </w:r>
      <w:r w:rsidR="00AF5A16">
        <w:t>,</w:t>
      </w:r>
      <w:r w:rsidR="00CF67F3">
        <w:t xml:space="preserve"> this information will be relayed back to the blood center and the research staff will then have to find a replacement donor of the same type to interview. </w:t>
      </w:r>
      <w:r w:rsidR="00AD63D2">
        <w:t xml:space="preserve"> It </w:t>
      </w:r>
      <w:r w:rsidR="00CF67F3">
        <w:t xml:space="preserve">should </w:t>
      </w:r>
      <w:r w:rsidR="00AD63D2">
        <w:t xml:space="preserve">be stressed to the donors that the central coordinating center </w:t>
      </w:r>
      <w:r w:rsidR="00CF67F3">
        <w:t>is</w:t>
      </w:r>
      <w:r w:rsidR="00AD63D2">
        <w:t xml:space="preserve"> conducting the study to ensure the anonymity of their responses and </w:t>
      </w:r>
      <w:r w:rsidR="00CF67F3">
        <w:t>none of the individual donor responses</w:t>
      </w:r>
      <w:r w:rsidR="00AD63D2">
        <w:t xml:space="preserve"> will be </w:t>
      </w:r>
      <w:r w:rsidR="00CF67F3">
        <w:t xml:space="preserve">sent back </w:t>
      </w:r>
      <w:r w:rsidR="00AD63D2">
        <w:t xml:space="preserve">to the blood center. </w:t>
      </w:r>
      <w:r w:rsidR="00CF67F3">
        <w:t xml:space="preserve"> Detailed information on how to recruit for each type of donor is detailed in the following three sections. </w:t>
      </w:r>
    </w:p>
    <w:p w:rsidR="00035B67" w:rsidRDefault="00035B67" w:rsidP="00A9061F">
      <w:pPr>
        <w:spacing w:line="360" w:lineRule="auto"/>
        <w:rPr>
          <w:i/>
        </w:rPr>
      </w:pPr>
    </w:p>
    <w:p w:rsidR="00AD63D2" w:rsidRPr="00A9061F" w:rsidRDefault="00A637EA" w:rsidP="00A9061F">
      <w:pPr>
        <w:spacing w:line="360" w:lineRule="auto"/>
        <w:rPr>
          <w:i/>
        </w:rPr>
      </w:pPr>
      <w:r>
        <w:rPr>
          <w:i/>
        </w:rPr>
        <w:t>D</w:t>
      </w:r>
      <w:r w:rsidR="000275C6">
        <w:rPr>
          <w:i/>
        </w:rPr>
        <w:t>.1.2</w:t>
      </w:r>
      <w:r w:rsidR="000275C6">
        <w:rPr>
          <w:i/>
        </w:rPr>
        <w:tab/>
      </w:r>
      <w:r w:rsidR="00A9061F" w:rsidRPr="00A9061F">
        <w:rPr>
          <w:i/>
        </w:rPr>
        <w:t>Recruitment of Donors into the PDI sample</w:t>
      </w:r>
    </w:p>
    <w:p w:rsidR="00AC01BF" w:rsidRDefault="000275C6" w:rsidP="004345B2">
      <w:pPr>
        <w:spacing w:line="360" w:lineRule="auto"/>
        <w:ind w:firstLine="720"/>
      </w:pPr>
      <w:r>
        <w:tab/>
      </w:r>
      <w:r w:rsidR="00135315">
        <w:t xml:space="preserve">Each center will be responsible for recruiting </w:t>
      </w:r>
      <w:r w:rsidR="007C3F70">
        <w:t xml:space="preserve">10 </w:t>
      </w:r>
      <w:r w:rsidR="00135315">
        <w:t xml:space="preserve">PDI donors for interviews. </w:t>
      </w:r>
      <w:r w:rsidR="00C7580C">
        <w:t>Data obtained from the six REDS-II centers indicate that the vast majority of PDI events are discovered at the time of a subsequent donation visit, usually because of new histories that result in a deferral.  Less often, PDIs are discovered when donors contact the centers to inform them of changes in their health histories and through communication with donors duri</w:t>
      </w:r>
      <w:r w:rsidR="00A9061F">
        <w:t xml:space="preserve">ng </w:t>
      </w:r>
      <w:proofErr w:type="spellStart"/>
      <w:r w:rsidR="00A9061F">
        <w:t>telerecruitment</w:t>
      </w:r>
      <w:proofErr w:type="spellEnd"/>
      <w:r w:rsidR="00A9061F">
        <w:t>.  For enrollment</w:t>
      </w:r>
      <w:r w:rsidR="00C7580C">
        <w:t>, the REDS-II centers’ operations and/or quality assurance staff will notify the blood center research staff of any donor identified as having a PDI</w:t>
      </w:r>
      <w:r w:rsidR="00EC025D">
        <w:t xml:space="preserve"> and a temporary or permanent deferral</w:t>
      </w:r>
      <w:r w:rsidR="00C7580C">
        <w:t xml:space="preserve">.  </w:t>
      </w:r>
      <w:r w:rsidR="00C8675D">
        <w:t xml:space="preserve">This identification will occur on a real-time basis and potential PDI donors will be recruited prospectively to participate in the study. </w:t>
      </w:r>
      <w:r w:rsidR="00135315">
        <w:t>Centers will need to recruit several different types of PDI donors</w:t>
      </w:r>
      <w:r w:rsidR="000102A0">
        <w:t xml:space="preserve"> </w:t>
      </w:r>
      <w:r w:rsidR="00AF5A16">
        <w:t>with</w:t>
      </w:r>
      <w:r w:rsidR="000102A0">
        <w:t xml:space="preserve">in each of the </w:t>
      </w:r>
      <w:r w:rsidR="00991FA6">
        <w:t xml:space="preserve">five </w:t>
      </w:r>
      <w:r w:rsidR="000102A0">
        <w:t xml:space="preserve">groups </w:t>
      </w:r>
      <w:r w:rsidR="00135315">
        <w:t xml:space="preserve">to ensure a </w:t>
      </w:r>
      <w:r w:rsidR="000102A0">
        <w:t>representative</w:t>
      </w:r>
      <w:r w:rsidR="00135315">
        <w:t xml:space="preserve"> sample.  </w:t>
      </w:r>
      <w:r w:rsidR="00AF5A16">
        <w:t xml:space="preserve">For example, </w:t>
      </w:r>
      <w:r w:rsidR="00245B62">
        <w:t>for the Tr</w:t>
      </w:r>
      <w:r w:rsidR="003A46B0">
        <w:t xml:space="preserve">avel category, it would be necessary </w:t>
      </w:r>
      <w:r w:rsidR="00245B62">
        <w:t>to recruit</w:t>
      </w:r>
      <w:r w:rsidR="003A46B0">
        <w:t xml:space="preserve"> both Malaria and </w:t>
      </w:r>
      <w:proofErr w:type="spellStart"/>
      <w:r w:rsidR="003A46B0">
        <w:t>vCJD</w:t>
      </w:r>
      <w:proofErr w:type="spellEnd"/>
      <w:r w:rsidR="003A46B0">
        <w:t xml:space="preserve"> PDI travel deferrals.  </w:t>
      </w:r>
      <w:r w:rsidR="00C7580C" w:rsidRPr="00991FA6">
        <w:t xml:space="preserve">Based on estimates </w:t>
      </w:r>
      <w:r w:rsidR="0020530B">
        <w:t xml:space="preserve">from </w:t>
      </w:r>
      <w:r w:rsidR="00BA1964">
        <w:t xml:space="preserve">June 2006 – July 2007 </w:t>
      </w:r>
      <w:r w:rsidR="00C7580C" w:rsidRPr="00991FA6">
        <w:t xml:space="preserve">for all 6 REDS-II centers, we anticipate that </w:t>
      </w:r>
      <w:r w:rsidR="001141EF" w:rsidRPr="00991FA6">
        <w:t xml:space="preserve">four </w:t>
      </w:r>
      <w:r w:rsidR="00C7580C" w:rsidRPr="00991FA6">
        <w:t xml:space="preserve">months </w:t>
      </w:r>
      <w:r w:rsidR="001141EF" w:rsidRPr="00991FA6">
        <w:t>will provide sufficient</w:t>
      </w:r>
      <w:r w:rsidR="00AC01BF" w:rsidRPr="00991FA6">
        <w:t xml:space="preserve"> time</w:t>
      </w:r>
      <w:r w:rsidR="001141EF" w:rsidRPr="00991FA6">
        <w:t xml:space="preserve"> to allow for the identification and recruitment </w:t>
      </w:r>
      <w:r w:rsidR="008B52FB" w:rsidRPr="00991FA6">
        <w:t>of donors for interviews.</w:t>
      </w:r>
      <w:r w:rsidR="008B52FB">
        <w:t xml:space="preserve"> </w:t>
      </w:r>
      <w:r w:rsidR="00C7580C">
        <w:t xml:space="preserve">Table </w:t>
      </w:r>
      <w:r w:rsidR="0020530B">
        <w:t>4</w:t>
      </w:r>
      <w:r w:rsidR="00C7580C">
        <w:t xml:space="preserve"> details the total number of PDIs of interest in this study at the six REDS-II centers during</w:t>
      </w:r>
      <w:r w:rsidR="00BA1964">
        <w:t xml:space="preserve"> June 2006 – July 2007</w:t>
      </w:r>
      <w:r w:rsidR="00C7580C">
        <w:t xml:space="preserve">. This table </w:t>
      </w:r>
      <w:r w:rsidR="001141EF">
        <w:t xml:space="preserve">excludes </w:t>
      </w:r>
      <w:r w:rsidR="00C7580C">
        <w:t xml:space="preserve">donors who </w:t>
      </w:r>
      <w:r w:rsidR="00C7580C">
        <w:lastRenderedPageBreak/>
        <w:t xml:space="preserve">contact the center after donation to report a new diagnosis </w:t>
      </w:r>
      <w:r w:rsidR="0020530B">
        <w:t xml:space="preserve">of a disease </w:t>
      </w:r>
      <w:r w:rsidR="00C7580C">
        <w:t>or an illness like a cold or flu that developed after their donation as this represents knowledge that was not known by the donor at the time of donation. We will not be pursuing PDI donors for the interviews that came to the attention of the center from hearsay or third-party sources.</w:t>
      </w:r>
    </w:p>
    <w:p w:rsidR="00BA1964" w:rsidRDefault="00C7580C" w:rsidP="00BA1964">
      <w:r w:rsidRPr="00CD2286">
        <w:rPr>
          <w:b/>
        </w:rPr>
        <w:t>Table</w:t>
      </w:r>
      <w:r w:rsidR="00035B67">
        <w:rPr>
          <w:b/>
        </w:rPr>
        <w:t xml:space="preserve"> </w:t>
      </w:r>
      <w:r w:rsidR="0026137C">
        <w:rPr>
          <w:b/>
        </w:rPr>
        <w:t>4</w:t>
      </w:r>
      <w:r w:rsidRPr="00CD2286">
        <w:rPr>
          <w:b/>
        </w:rPr>
        <w:t xml:space="preserve">: </w:t>
      </w:r>
      <w:r w:rsidR="00BA1964">
        <w:t>PDI Events at the 6 REDS-II centers from June 2006-July 2007</w:t>
      </w:r>
    </w:p>
    <w:p w:rsidR="00C7580C" w:rsidRPr="00CD2286" w:rsidRDefault="00C7580C">
      <w:pPr>
        <w:spacing w:line="36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35"/>
        <w:gridCol w:w="5202"/>
        <w:gridCol w:w="1639"/>
      </w:tblGrid>
      <w:tr w:rsidR="00BA1964">
        <w:tc>
          <w:tcPr>
            <w:tcW w:w="3168" w:type="dxa"/>
          </w:tcPr>
          <w:p w:rsidR="00BA1964" w:rsidRDefault="00BA1964" w:rsidP="00ED6FD9">
            <w:r>
              <w:t>Interview Group</w:t>
            </w:r>
          </w:p>
        </w:tc>
        <w:tc>
          <w:tcPr>
            <w:tcW w:w="6576" w:type="dxa"/>
          </w:tcPr>
          <w:p w:rsidR="00BA1964" w:rsidRDefault="00BA1964" w:rsidP="00ED6FD9">
            <w:r>
              <w:t>Representative PDIs Included</w:t>
            </w:r>
          </w:p>
        </w:tc>
        <w:tc>
          <w:tcPr>
            <w:tcW w:w="1884" w:type="dxa"/>
          </w:tcPr>
          <w:p w:rsidR="00BA1964" w:rsidRDefault="00BA1964" w:rsidP="00ED6FD9">
            <w:r>
              <w:t xml:space="preserve">Number from </w:t>
            </w:r>
            <w:smartTag w:uri="urn:schemas-microsoft-com:office:smarttags" w:element="date">
              <w:smartTagPr>
                <w:attr w:name="Month" w:val="7"/>
                <w:attr w:name="Day" w:val="1"/>
                <w:attr w:name="Year" w:val="2006"/>
              </w:smartTagPr>
              <w:r>
                <w:t>July 1, 2006</w:t>
              </w:r>
            </w:smartTag>
            <w:r>
              <w:t xml:space="preserve"> – </w:t>
            </w:r>
            <w:smartTag w:uri="urn:schemas-microsoft-com:office:smarttags" w:element="date">
              <w:smartTagPr>
                <w:attr w:name="Month" w:val="6"/>
                <w:attr w:name="Day" w:val="30"/>
                <w:attr w:name="Year" w:val="2007"/>
              </w:smartTagPr>
              <w:r>
                <w:t>June 30, 2007</w:t>
              </w:r>
            </w:smartTag>
          </w:p>
        </w:tc>
      </w:tr>
      <w:tr w:rsidR="00BA1964">
        <w:tc>
          <w:tcPr>
            <w:tcW w:w="3168" w:type="dxa"/>
          </w:tcPr>
          <w:p w:rsidR="00BA1964" w:rsidRPr="009C43E5" w:rsidRDefault="00BA1964" w:rsidP="00ED6FD9">
            <w:r>
              <w:t xml:space="preserve">Travel </w:t>
            </w:r>
          </w:p>
          <w:p w:rsidR="00BA1964" w:rsidRDefault="00BA1964" w:rsidP="00ED6FD9"/>
        </w:tc>
        <w:tc>
          <w:tcPr>
            <w:tcW w:w="6576" w:type="dxa"/>
          </w:tcPr>
          <w:p w:rsidR="00BA1964" w:rsidRDefault="00BA1964" w:rsidP="00ED6FD9">
            <w:r w:rsidRPr="009C43E5">
              <w:t>Creutzfeld</w:t>
            </w:r>
            <w:r>
              <w:t>t-Jakob Disease (</w:t>
            </w:r>
            <w:proofErr w:type="spellStart"/>
            <w:r>
              <w:t>vCJD</w:t>
            </w:r>
            <w:proofErr w:type="spellEnd"/>
            <w:r>
              <w:t xml:space="preserve">) – travel; </w:t>
            </w:r>
            <w:r w:rsidRPr="009C43E5">
              <w:t>Travel to malaria endemic area/history of malaria</w:t>
            </w:r>
          </w:p>
        </w:tc>
        <w:tc>
          <w:tcPr>
            <w:tcW w:w="1884" w:type="dxa"/>
          </w:tcPr>
          <w:p w:rsidR="00BA1964" w:rsidRDefault="00BA1964" w:rsidP="00ED6FD9">
            <w:r>
              <w:t>1209</w:t>
            </w:r>
          </w:p>
        </w:tc>
      </w:tr>
      <w:tr w:rsidR="00BA1964">
        <w:tc>
          <w:tcPr>
            <w:tcW w:w="3168" w:type="dxa"/>
          </w:tcPr>
          <w:p w:rsidR="00BA1964" w:rsidRDefault="00BA1964" w:rsidP="00ED6FD9">
            <w:r>
              <w:t xml:space="preserve">Medical </w:t>
            </w:r>
          </w:p>
        </w:tc>
        <w:tc>
          <w:tcPr>
            <w:tcW w:w="6576" w:type="dxa"/>
          </w:tcPr>
          <w:p w:rsidR="00BA1964" w:rsidRDefault="00BA1964" w:rsidP="00ED6FD9">
            <w:r w:rsidRPr="009C43E5">
              <w:t xml:space="preserve">History of </w:t>
            </w:r>
            <w:r>
              <w:t xml:space="preserve">any kind of </w:t>
            </w:r>
            <w:r w:rsidRPr="009C43E5">
              <w:t>hepatitis</w:t>
            </w:r>
            <w:r>
              <w:t xml:space="preserve"> or</w:t>
            </w:r>
            <w:r w:rsidRPr="009C43E5">
              <w:t xml:space="preserve"> jaundice</w:t>
            </w:r>
            <w:r>
              <w:t xml:space="preserve">; Donor received transfusion, </w:t>
            </w:r>
            <w:r w:rsidRPr="009C43E5">
              <w:t>clotting factors</w:t>
            </w:r>
            <w:r>
              <w:t>, tissue allograft,</w:t>
            </w:r>
            <w:r w:rsidRPr="009C43E5">
              <w:t xml:space="preserve"> transplanted organ</w:t>
            </w:r>
            <w:r>
              <w:t xml:space="preserve">; </w:t>
            </w:r>
            <w:r w:rsidRPr="009C43E5">
              <w:t>History of disease or surgery</w:t>
            </w:r>
            <w:r>
              <w:t xml:space="preserve">; </w:t>
            </w:r>
            <w:r w:rsidRPr="009C43E5">
              <w:t>History of Cancer</w:t>
            </w:r>
            <w:r>
              <w:t xml:space="preserve">; </w:t>
            </w:r>
            <w:proofErr w:type="spellStart"/>
            <w:r w:rsidRPr="009C43E5">
              <w:t>Hx</w:t>
            </w:r>
            <w:proofErr w:type="spellEnd"/>
            <w:r w:rsidRPr="009C43E5">
              <w:t xml:space="preserve"> </w:t>
            </w:r>
            <w:r>
              <w:t>or risk factors associated with</w:t>
            </w:r>
            <w:r w:rsidRPr="009C43E5">
              <w:t xml:space="preserve"> Creutzfeldt-Jakob Disease</w:t>
            </w:r>
            <w:r>
              <w:t xml:space="preserve">; </w:t>
            </w:r>
            <w:r w:rsidRPr="009C43E5">
              <w:t xml:space="preserve">Received </w:t>
            </w:r>
            <w:proofErr w:type="spellStart"/>
            <w:r w:rsidRPr="009C43E5">
              <w:t>finasteride</w:t>
            </w:r>
            <w:proofErr w:type="spellEnd"/>
            <w:r w:rsidRPr="009C43E5">
              <w:t xml:space="preserve">, </w:t>
            </w:r>
            <w:proofErr w:type="spellStart"/>
            <w:r w:rsidRPr="009C43E5">
              <w:t>Tegison</w:t>
            </w:r>
            <w:proofErr w:type="spellEnd"/>
            <w:r w:rsidRPr="009C43E5">
              <w:t xml:space="preserve">, </w:t>
            </w:r>
            <w:proofErr w:type="spellStart"/>
            <w:r w:rsidRPr="009C43E5">
              <w:t>Accutane</w:t>
            </w:r>
            <w:proofErr w:type="spellEnd"/>
            <w:r w:rsidRPr="009C43E5">
              <w:t xml:space="preserve">, or </w:t>
            </w:r>
            <w:proofErr w:type="spellStart"/>
            <w:r w:rsidRPr="009C43E5">
              <w:t>Avodart</w:t>
            </w:r>
            <w:proofErr w:type="spellEnd"/>
            <w:r>
              <w:t xml:space="preserve">; Received medication or </w:t>
            </w:r>
            <w:r w:rsidRPr="009C43E5">
              <w:t>antibiotics</w:t>
            </w:r>
          </w:p>
        </w:tc>
        <w:tc>
          <w:tcPr>
            <w:tcW w:w="1884" w:type="dxa"/>
          </w:tcPr>
          <w:p w:rsidR="00BA1964" w:rsidRDefault="00BA1964" w:rsidP="00ED6FD9">
            <w:r>
              <w:t>418*</w:t>
            </w:r>
          </w:p>
          <w:p w:rsidR="00BA1964" w:rsidRDefault="00BA1964" w:rsidP="00ED6FD9"/>
          <w:p w:rsidR="00BA1964" w:rsidRDefault="00BA1964" w:rsidP="00ED6FD9"/>
        </w:tc>
      </w:tr>
      <w:tr w:rsidR="00BA1964">
        <w:tc>
          <w:tcPr>
            <w:tcW w:w="3168" w:type="dxa"/>
          </w:tcPr>
          <w:p w:rsidR="00BA1964" w:rsidRDefault="00BA1964" w:rsidP="00ED6FD9">
            <w:r>
              <w:t xml:space="preserve">Blood/Disease Exposure </w:t>
            </w:r>
          </w:p>
          <w:p w:rsidR="00BA1964" w:rsidRDefault="00BA1964" w:rsidP="00ED6FD9"/>
        </w:tc>
        <w:tc>
          <w:tcPr>
            <w:tcW w:w="6576" w:type="dxa"/>
          </w:tcPr>
          <w:p w:rsidR="00BA1964" w:rsidRPr="00822F05" w:rsidRDefault="00BA1964" w:rsidP="00ED6FD9">
            <w:r w:rsidRPr="00822F05">
              <w:t>Donor received tattoo</w:t>
            </w:r>
            <w:r>
              <w:t xml:space="preserve">, </w:t>
            </w:r>
            <w:r w:rsidRPr="00822F05">
              <w:t>ear</w:t>
            </w:r>
            <w:r>
              <w:t xml:space="preserve"> or body</w:t>
            </w:r>
            <w:r w:rsidRPr="00822F05">
              <w:t xml:space="preserve"> piercing</w:t>
            </w:r>
            <w:r>
              <w:t>;</w:t>
            </w:r>
          </w:p>
          <w:p w:rsidR="00BA1964" w:rsidRDefault="00BA1964" w:rsidP="00ED6FD9">
            <w:r w:rsidRPr="00822F05">
              <w:t>Donor r</w:t>
            </w:r>
            <w:r>
              <w:t xml:space="preserve">eceived accidental needle stick, </w:t>
            </w:r>
            <w:r w:rsidRPr="00822F05">
              <w:t>exposed to blood or body fluids</w:t>
            </w:r>
            <w:r>
              <w:t xml:space="preserve">; </w:t>
            </w:r>
            <w:r w:rsidRPr="00822F05">
              <w:t>Exposure to a disease</w:t>
            </w:r>
          </w:p>
        </w:tc>
        <w:tc>
          <w:tcPr>
            <w:tcW w:w="1884" w:type="dxa"/>
          </w:tcPr>
          <w:p w:rsidR="00BA1964" w:rsidRDefault="00BA1964" w:rsidP="00ED6FD9">
            <w:r>
              <w:t>128</w:t>
            </w:r>
          </w:p>
        </w:tc>
      </w:tr>
      <w:tr w:rsidR="00BA1964">
        <w:tc>
          <w:tcPr>
            <w:tcW w:w="3168" w:type="dxa"/>
          </w:tcPr>
          <w:p w:rsidR="00BA1964" w:rsidRDefault="00BA1964" w:rsidP="00ED6FD9">
            <w:r w:rsidRPr="00A14689">
              <w:t>High Risk Behavior – Sex</w:t>
            </w:r>
            <w:r w:rsidR="003A46B0">
              <w:t>ual</w:t>
            </w:r>
            <w:r>
              <w:t xml:space="preserve"> </w:t>
            </w:r>
          </w:p>
          <w:p w:rsidR="00BA1964" w:rsidRDefault="00BA1964" w:rsidP="00ED6FD9"/>
        </w:tc>
        <w:tc>
          <w:tcPr>
            <w:tcW w:w="6576" w:type="dxa"/>
          </w:tcPr>
          <w:p w:rsidR="00BA1964" w:rsidRPr="00A14689" w:rsidRDefault="00BA1964" w:rsidP="00ED6FD9">
            <w:r w:rsidRPr="00A14689">
              <w:t>Sexually transmitted disease</w:t>
            </w:r>
            <w:r>
              <w:t xml:space="preserve">; </w:t>
            </w:r>
            <w:r w:rsidRPr="00A14689">
              <w:t>Sex partner has or had</w:t>
            </w:r>
            <w:r>
              <w:t xml:space="preserve"> a sexually transmitted disease; </w:t>
            </w:r>
            <w:r w:rsidRPr="00A14689">
              <w:t>Sex partner tested reactive for HIV</w:t>
            </w:r>
            <w:r>
              <w:t xml:space="preserve">, </w:t>
            </w:r>
            <w:r w:rsidRPr="00A14689">
              <w:t>HBV</w:t>
            </w:r>
            <w:r>
              <w:t xml:space="preserve">, HCV; </w:t>
            </w:r>
          </w:p>
          <w:p w:rsidR="00BA1964" w:rsidRPr="00A14689" w:rsidRDefault="00BA1964" w:rsidP="00ED6FD9">
            <w:r>
              <w:t xml:space="preserve">Male to male sex; </w:t>
            </w:r>
            <w:r w:rsidRPr="00A14689">
              <w:t xml:space="preserve">Female had sex with </w:t>
            </w:r>
            <w:smartTag w:uri="urn:schemas-microsoft-com:office:smarttags" w:element="stockticker">
              <w:r>
                <w:t>MSM</w:t>
              </w:r>
            </w:smartTag>
            <w:r>
              <w:t xml:space="preserve">; </w:t>
            </w:r>
          </w:p>
          <w:p w:rsidR="00BA1964" w:rsidRDefault="00BA1964" w:rsidP="00ED6FD9">
            <w:r w:rsidRPr="00A14689">
              <w:t>Sex with IV drug user</w:t>
            </w:r>
            <w:r>
              <w:t xml:space="preserve">; </w:t>
            </w:r>
            <w:r w:rsidRPr="00A14689">
              <w:t xml:space="preserve">Donor </w:t>
            </w:r>
            <w:r>
              <w:t xml:space="preserve">or donor’s sex partner </w:t>
            </w:r>
            <w:r w:rsidRPr="00A14689">
              <w:t>lived in or immigrate</w:t>
            </w:r>
            <w:r>
              <w:t>d from an HIV Group O risk area;</w:t>
            </w:r>
            <w:r w:rsidRPr="00A14689">
              <w:t xml:space="preserve"> </w:t>
            </w:r>
            <w:r>
              <w:t>Donor or donor’s sex partner e</w:t>
            </w:r>
            <w:r w:rsidRPr="00A14689">
              <w:t>xchanged sex for drugs or money</w:t>
            </w:r>
          </w:p>
        </w:tc>
        <w:tc>
          <w:tcPr>
            <w:tcW w:w="1884" w:type="dxa"/>
          </w:tcPr>
          <w:p w:rsidR="00BA1964" w:rsidRDefault="00BA1964" w:rsidP="00ED6FD9">
            <w:r>
              <w:t>206</w:t>
            </w:r>
          </w:p>
        </w:tc>
      </w:tr>
      <w:tr w:rsidR="00BA1964">
        <w:tc>
          <w:tcPr>
            <w:tcW w:w="3168" w:type="dxa"/>
          </w:tcPr>
          <w:p w:rsidR="00BA1964" w:rsidRDefault="00BA1964" w:rsidP="00ED6FD9">
            <w:r w:rsidRPr="008A7037">
              <w:t>High Risk Behavior – N</w:t>
            </w:r>
            <w:r w:rsidR="003A46B0">
              <w:t>on Sexual</w:t>
            </w:r>
            <w:r>
              <w:t xml:space="preserve"> </w:t>
            </w:r>
          </w:p>
          <w:p w:rsidR="00BA1964" w:rsidRDefault="00BA1964" w:rsidP="00ED6FD9"/>
        </w:tc>
        <w:tc>
          <w:tcPr>
            <w:tcW w:w="6576" w:type="dxa"/>
          </w:tcPr>
          <w:p w:rsidR="00BA1964" w:rsidRDefault="00BA1964" w:rsidP="00ED6FD9">
            <w:r>
              <w:t xml:space="preserve">IV drug use; </w:t>
            </w:r>
            <w:r w:rsidRPr="00C36F35">
              <w:t xml:space="preserve">Non-sexual exposure to </w:t>
            </w:r>
            <w:r>
              <w:t xml:space="preserve">HIV or any kind of </w:t>
            </w:r>
            <w:r w:rsidRPr="00C36F35">
              <w:t>hepatitis</w:t>
            </w:r>
            <w:r>
              <w:t xml:space="preserve">; </w:t>
            </w:r>
            <w:r w:rsidRPr="00C36F35">
              <w:t>Incarcerated</w:t>
            </w:r>
          </w:p>
        </w:tc>
        <w:tc>
          <w:tcPr>
            <w:tcW w:w="1884" w:type="dxa"/>
          </w:tcPr>
          <w:p w:rsidR="00BA1964" w:rsidRDefault="00BA1964" w:rsidP="00ED6FD9">
            <w:r>
              <w:t>98</w:t>
            </w:r>
          </w:p>
        </w:tc>
      </w:tr>
    </w:tbl>
    <w:p w:rsidR="00BA1964" w:rsidRPr="00BA1964" w:rsidRDefault="00BA1964">
      <w:pPr>
        <w:spacing w:line="360" w:lineRule="auto"/>
      </w:pPr>
      <w:r>
        <w:t xml:space="preserve">*Note – 174 of these were because of a history of cancer which is now not </w:t>
      </w:r>
      <w:r w:rsidR="0026137C">
        <w:t xml:space="preserve">considered </w:t>
      </w:r>
      <w:r>
        <w:t xml:space="preserve">a PDI </w:t>
      </w:r>
      <w:r w:rsidR="0026137C">
        <w:t>by the Food and Drug Administration.</w:t>
      </w:r>
    </w:p>
    <w:p w:rsidR="00035B67" w:rsidRDefault="00035B67">
      <w:pPr>
        <w:spacing w:line="360" w:lineRule="auto"/>
        <w:rPr>
          <w:i/>
        </w:rPr>
      </w:pPr>
    </w:p>
    <w:p w:rsidR="00C7580C" w:rsidRDefault="00A637EA">
      <w:pPr>
        <w:spacing w:line="360" w:lineRule="auto"/>
        <w:rPr>
          <w:i/>
        </w:rPr>
      </w:pPr>
      <w:r>
        <w:rPr>
          <w:i/>
        </w:rPr>
        <w:t>D</w:t>
      </w:r>
      <w:r w:rsidR="000275C6">
        <w:rPr>
          <w:i/>
        </w:rPr>
        <w:t>.1.3</w:t>
      </w:r>
      <w:r w:rsidR="000275C6">
        <w:rPr>
          <w:i/>
        </w:rPr>
        <w:tab/>
      </w:r>
      <w:r w:rsidR="00C7580C">
        <w:rPr>
          <w:i/>
        </w:rPr>
        <w:t xml:space="preserve">Recruitment of Deferred Donors </w:t>
      </w:r>
    </w:p>
    <w:p w:rsidR="00C7580C" w:rsidRDefault="004345B2">
      <w:pPr>
        <w:spacing w:line="360" w:lineRule="auto"/>
        <w:ind w:firstLine="720"/>
      </w:pPr>
      <w:r>
        <w:t xml:space="preserve">Each center will be responsible for recruiting </w:t>
      </w:r>
      <w:r w:rsidR="00745DA3">
        <w:t>5</w:t>
      </w:r>
      <w:r w:rsidR="000E31A9">
        <w:t xml:space="preserve"> </w:t>
      </w:r>
      <w:r>
        <w:t xml:space="preserve">deferred donors for interviews, one from each group of interest.  </w:t>
      </w:r>
      <w:r w:rsidR="00C7580C">
        <w:t xml:space="preserve">Deferred donors will be recruited </w:t>
      </w:r>
      <w:r w:rsidR="00AC01BF">
        <w:t>during the</w:t>
      </w:r>
      <w:r w:rsidR="00C7580C">
        <w:t xml:space="preserve"> same period that the PDI donors </w:t>
      </w:r>
      <w:r w:rsidR="00AC01BF">
        <w:t>a</w:t>
      </w:r>
      <w:r w:rsidR="00C7580C">
        <w:t xml:space="preserve">re and in the same categories as the PDI donors.  </w:t>
      </w:r>
      <w:r w:rsidR="00AC01BF">
        <w:t xml:space="preserve">We suggest that when a PDI donor is identified, the research staff identify a deferral of the same type (as the PDI) from that week to </w:t>
      </w:r>
      <w:r w:rsidR="00AC01BF">
        <w:lastRenderedPageBreak/>
        <w:t xml:space="preserve">try </w:t>
      </w:r>
      <w:r w:rsidR="0021438D">
        <w:t xml:space="preserve">to </w:t>
      </w:r>
      <w:r w:rsidR="00AC01BF">
        <w:t xml:space="preserve">recruit them into the study. </w:t>
      </w:r>
      <w:r w:rsidR="00C7580C">
        <w:t xml:space="preserve">Center research staff </w:t>
      </w:r>
      <w:r w:rsidR="00AC01BF">
        <w:t>should double check that these</w:t>
      </w:r>
      <w:r w:rsidR="00C7580C">
        <w:t xml:space="preserve"> deferred </w:t>
      </w:r>
      <w:r w:rsidR="00AC01BF">
        <w:t xml:space="preserve">donors did not also have a </w:t>
      </w:r>
      <w:r w:rsidR="00C7580C">
        <w:t xml:space="preserve">PDI.  </w:t>
      </w:r>
    </w:p>
    <w:p w:rsidR="00C7580C" w:rsidRDefault="00A637EA">
      <w:pPr>
        <w:spacing w:line="360" w:lineRule="auto"/>
        <w:rPr>
          <w:i/>
        </w:rPr>
      </w:pPr>
      <w:r>
        <w:rPr>
          <w:i/>
        </w:rPr>
        <w:t>D</w:t>
      </w:r>
      <w:r w:rsidR="000275C6">
        <w:rPr>
          <w:i/>
        </w:rPr>
        <w:t>.1.4</w:t>
      </w:r>
      <w:r w:rsidR="000275C6">
        <w:rPr>
          <w:i/>
        </w:rPr>
        <w:tab/>
      </w:r>
      <w:r w:rsidR="00C7580C">
        <w:rPr>
          <w:i/>
        </w:rPr>
        <w:t>Recruitment of Accepted Donors</w:t>
      </w:r>
    </w:p>
    <w:p w:rsidR="00BF518F" w:rsidRDefault="00C7580C">
      <w:pPr>
        <w:spacing w:line="360" w:lineRule="auto"/>
      </w:pPr>
      <w:r>
        <w:tab/>
      </w:r>
      <w:r w:rsidR="000275C6">
        <w:tab/>
      </w:r>
      <w:r w:rsidR="00E4116A">
        <w:t>For comparison purposes, a</w:t>
      </w:r>
      <w:r>
        <w:t xml:space="preserve"> small</w:t>
      </w:r>
      <w:r w:rsidR="00887DA9">
        <w:t>er</w:t>
      </w:r>
      <w:r>
        <w:t xml:space="preserve"> number of </w:t>
      </w:r>
      <w:r w:rsidR="00887DA9">
        <w:t xml:space="preserve">telephone </w:t>
      </w:r>
      <w:r>
        <w:t xml:space="preserve">interviews will be </w:t>
      </w:r>
      <w:r w:rsidR="00887DA9">
        <w:t xml:space="preserve">conducted </w:t>
      </w:r>
      <w:r>
        <w:t xml:space="preserve">with </w:t>
      </w:r>
      <w:r w:rsidR="009352F0" w:rsidRPr="00991FA6">
        <w:t>12</w:t>
      </w:r>
      <w:r w:rsidR="009352F0">
        <w:t xml:space="preserve"> </w:t>
      </w:r>
      <w:r>
        <w:t>accepted donors</w:t>
      </w:r>
      <w:r w:rsidR="00887DA9">
        <w:t xml:space="preserve">.  </w:t>
      </w:r>
      <w:smartTag w:uri="urn:schemas-microsoft-com:office:smarttags" w:element="PersonName">
        <w:r w:rsidR="000E31A9">
          <w:t>Research</w:t>
        </w:r>
      </w:smartTag>
      <w:r w:rsidR="000E31A9">
        <w:t xml:space="preserve"> staff at each center will need to recruit 2 accepted donors. </w:t>
      </w:r>
      <w:r w:rsidR="00887DA9">
        <w:t xml:space="preserve">However, </w:t>
      </w:r>
      <w:r>
        <w:t xml:space="preserve">since </w:t>
      </w:r>
      <w:r w:rsidR="00887DA9">
        <w:t xml:space="preserve">these donors </w:t>
      </w:r>
      <w:r>
        <w:t>have no particular risk factor to investigate, these interviews will only include the general portion of the interview</w:t>
      </w:r>
      <w:r w:rsidR="009352F0">
        <w:t xml:space="preserve"> and will have mostly closed ended questions</w:t>
      </w:r>
      <w:r>
        <w:t>.</w:t>
      </w:r>
    </w:p>
    <w:p w:rsidR="00BF518F" w:rsidRPr="00BF518F" w:rsidRDefault="00BF518F">
      <w:pPr>
        <w:spacing w:line="360" w:lineRule="auto"/>
      </w:pPr>
    </w:p>
    <w:p w:rsidR="00BF518F" w:rsidRPr="00BF518F" w:rsidRDefault="00BF518F" w:rsidP="00BF518F">
      <w:pPr>
        <w:spacing w:line="360" w:lineRule="auto"/>
        <w:rPr>
          <w:b/>
        </w:rPr>
      </w:pPr>
      <w:r w:rsidRPr="00BF518F">
        <w:rPr>
          <w:b/>
        </w:rPr>
        <w:t>D.2</w:t>
      </w:r>
      <w:r w:rsidRPr="00BF518F">
        <w:rPr>
          <w:b/>
        </w:rPr>
        <w:tab/>
      </w:r>
      <w:proofErr w:type="gramStart"/>
      <w:r w:rsidRPr="00BF518F">
        <w:rPr>
          <w:b/>
        </w:rPr>
        <w:t>Consenting</w:t>
      </w:r>
      <w:proofErr w:type="gramEnd"/>
      <w:r w:rsidRPr="00BF518F">
        <w:rPr>
          <w:b/>
        </w:rPr>
        <w:t xml:space="preserve"> donors to participate in the study</w:t>
      </w:r>
    </w:p>
    <w:p w:rsidR="00BF518F" w:rsidRDefault="00BF518F" w:rsidP="00BF518F">
      <w:pPr>
        <w:spacing w:line="360" w:lineRule="auto"/>
        <w:rPr>
          <w:b/>
        </w:rPr>
      </w:pPr>
      <w:r>
        <w:tab/>
      </w:r>
      <w:r>
        <w:tab/>
        <w:t xml:space="preserve">Upon notification by the </w:t>
      </w:r>
      <w:r w:rsidR="00916D68">
        <w:t xml:space="preserve">blood centers’ </w:t>
      </w:r>
      <w:r>
        <w:t xml:space="preserve">operations/quality assurance staff, the research staff will </w:t>
      </w:r>
      <w:r w:rsidR="00AC6E65">
        <w:t>call the eligible donor and if donor agrees</w:t>
      </w:r>
      <w:r w:rsidR="00661C12">
        <w:t>,</w:t>
      </w:r>
      <w:r w:rsidR="00AC6E65">
        <w:t xml:space="preserve"> will </w:t>
      </w:r>
      <w:r>
        <w:t xml:space="preserve">mail a study packet.  This study packet will include study information sheet, request/invitation to participate, the study consent form and a postage paid envelope. A week after the packet is mailed, research staff will follow up via phone call to ensure receipt of the study packet and answer any questions or concerns that a donor may have regarding the study material. If the donor is interested in participating in the PDI study, he will be reminded to sign and mail the consent form back to the blood center using a postage paid envelope. By signing the consent form, the donor will allow the blood center to forward his/her contact information </w:t>
      </w:r>
      <w:r w:rsidR="00942386">
        <w:t xml:space="preserve">along with the blood donation history </w:t>
      </w:r>
      <w:r>
        <w:t xml:space="preserve">to the coordinating center and </w:t>
      </w:r>
      <w:r w:rsidR="00916D68">
        <w:t xml:space="preserve">will </w:t>
      </w:r>
      <w:r>
        <w:t>also agree to be contacted for a telephone interview. No further follow-up will be made with donors who decline to participate in the study.</w:t>
      </w:r>
    </w:p>
    <w:p w:rsidR="00035B67" w:rsidRDefault="00035B67">
      <w:pPr>
        <w:spacing w:line="360" w:lineRule="auto"/>
        <w:rPr>
          <w:b/>
        </w:rPr>
      </w:pPr>
    </w:p>
    <w:p w:rsidR="00C7580C" w:rsidRPr="00A637EA" w:rsidRDefault="00A637EA">
      <w:pPr>
        <w:spacing w:line="360" w:lineRule="auto"/>
        <w:rPr>
          <w:b/>
        </w:rPr>
      </w:pPr>
      <w:r>
        <w:rPr>
          <w:b/>
        </w:rPr>
        <w:t>D</w:t>
      </w:r>
      <w:r w:rsidRPr="00A637EA">
        <w:rPr>
          <w:b/>
        </w:rPr>
        <w:t>.</w:t>
      </w:r>
      <w:r w:rsidR="00BF518F">
        <w:rPr>
          <w:b/>
        </w:rPr>
        <w:t>3</w:t>
      </w:r>
      <w:r w:rsidRPr="00A637EA">
        <w:rPr>
          <w:b/>
        </w:rPr>
        <w:tab/>
      </w:r>
      <w:r w:rsidR="00AC01BF" w:rsidRPr="00A637EA">
        <w:rPr>
          <w:b/>
        </w:rPr>
        <w:t>Telephone Interviews Conducted by the Coordinating Center</w:t>
      </w:r>
    </w:p>
    <w:p w:rsidR="00246F60" w:rsidRDefault="00C7580C" w:rsidP="00246F60">
      <w:pPr>
        <w:spacing w:line="360" w:lineRule="auto"/>
      </w:pPr>
      <w:r>
        <w:tab/>
      </w:r>
      <w:r w:rsidR="00A637EA">
        <w:tab/>
      </w:r>
      <w:r w:rsidR="00791B1D">
        <w:t>After contact information is released to Westat</w:t>
      </w:r>
      <w:r w:rsidR="00883A92">
        <w:t>,</w:t>
      </w:r>
      <w:r w:rsidR="00791B1D">
        <w:t xml:space="preserve"> one of the interviewers with the study will try </w:t>
      </w:r>
      <w:r w:rsidR="0074772F">
        <w:t xml:space="preserve">to </w:t>
      </w:r>
      <w:r w:rsidR="00791B1D">
        <w:t xml:space="preserve">make contact to conduct the interview or set up </w:t>
      </w:r>
      <w:r w:rsidR="00B858F7">
        <w:t>a</w:t>
      </w:r>
      <w:r w:rsidR="00791B1D">
        <w:t xml:space="preserve"> time for the interview. </w:t>
      </w:r>
      <w:r w:rsidR="00071C6A" w:rsidRPr="002F780B">
        <w:t>A</w:t>
      </w:r>
      <w:r w:rsidRPr="002F780B">
        <w:t xml:space="preserve">ll interviews </w:t>
      </w:r>
      <w:r w:rsidR="00071C6A" w:rsidRPr="002F780B">
        <w:t xml:space="preserve">will </w:t>
      </w:r>
      <w:r w:rsidRPr="002F780B">
        <w:t xml:space="preserve">be conducted by </w:t>
      </w:r>
      <w:r w:rsidR="007F05AB" w:rsidRPr="002F780B">
        <w:t xml:space="preserve">telephone using </w:t>
      </w:r>
      <w:r w:rsidR="002F780B" w:rsidRPr="002F780B">
        <w:t xml:space="preserve">senior level </w:t>
      </w:r>
      <w:r w:rsidR="002F780B">
        <w:t>staff</w:t>
      </w:r>
      <w:r w:rsidR="007F05AB" w:rsidRPr="002F780B">
        <w:t xml:space="preserve"> experience</w:t>
      </w:r>
      <w:r w:rsidR="00071C6A" w:rsidRPr="002F780B">
        <w:t>d</w:t>
      </w:r>
      <w:r w:rsidR="007F05AB" w:rsidRPr="002F780B">
        <w:t xml:space="preserve"> in telephone interviews. </w:t>
      </w:r>
      <w:r w:rsidR="00071C6A" w:rsidRPr="002F780B">
        <w:t>Quality assurance procedures</w:t>
      </w:r>
      <w:r w:rsidR="00071C6A">
        <w:t xml:space="preserve"> will also be applied to </w:t>
      </w:r>
      <w:r>
        <w:t xml:space="preserve">ensure consistency in the way that the questions are asked and </w:t>
      </w:r>
      <w:r w:rsidR="00071C6A">
        <w:t>establish that the interviewers are probing appropriately.  In addition, throughout the course of the study, senior researchers will provide ongoing feedback to interviewers based on listening to selected recordings of their interviews</w:t>
      </w:r>
      <w:r w:rsidR="00071C6A" w:rsidRPr="002F780B">
        <w:t>.  All interviews will be digitally-recorded and the recordings uploade</w:t>
      </w:r>
      <w:r w:rsidR="00246F60" w:rsidRPr="002F780B">
        <w:t xml:space="preserve">d onto computers as </w:t>
      </w:r>
      <w:proofErr w:type="spellStart"/>
      <w:r w:rsidR="00246F60" w:rsidRPr="002F780B">
        <w:t>dss</w:t>
      </w:r>
      <w:proofErr w:type="spellEnd"/>
      <w:r w:rsidR="00246F60" w:rsidRPr="002F780B">
        <w:t xml:space="preserve"> files; these files will be </w:t>
      </w:r>
      <w:r w:rsidR="00246F60" w:rsidRPr="002F780B">
        <w:lastRenderedPageBreak/>
        <w:t>transcribed and then coupled to the interviewer notes to form an analytic package for the data analysts.</w:t>
      </w:r>
    </w:p>
    <w:p w:rsidR="00BF518F" w:rsidRDefault="00BF518F" w:rsidP="00246F60">
      <w:pPr>
        <w:spacing w:line="360" w:lineRule="auto"/>
      </w:pPr>
    </w:p>
    <w:p w:rsidR="00BF518F" w:rsidRDefault="00BF518F" w:rsidP="00246F60">
      <w:pPr>
        <w:spacing w:line="360" w:lineRule="auto"/>
        <w:rPr>
          <w:b/>
        </w:rPr>
      </w:pPr>
      <w:r w:rsidRPr="00BF518F">
        <w:rPr>
          <w:b/>
        </w:rPr>
        <w:t>D.4</w:t>
      </w:r>
      <w:r w:rsidRPr="00BF518F">
        <w:rPr>
          <w:b/>
        </w:rPr>
        <w:tab/>
        <w:t>In</w:t>
      </w:r>
      <w:r>
        <w:rPr>
          <w:b/>
        </w:rPr>
        <w:t xml:space="preserve">centive </w:t>
      </w:r>
      <w:r w:rsidR="00E943A8">
        <w:rPr>
          <w:b/>
        </w:rPr>
        <w:t>for Participation</w:t>
      </w:r>
    </w:p>
    <w:p w:rsidR="00BF518F" w:rsidRPr="00BF518F" w:rsidRDefault="00BF518F" w:rsidP="00246F60">
      <w:pPr>
        <w:spacing w:line="360" w:lineRule="auto"/>
      </w:pPr>
      <w:r>
        <w:rPr>
          <w:b/>
        </w:rPr>
        <w:tab/>
      </w:r>
      <w:r>
        <w:rPr>
          <w:b/>
        </w:rPr>
        <w:tab/>
      </w:r>
      <w:r w:rsidRPr="00BF518F">
        <w:t xml:space="preserve">Once </w:t>
      </w:r>
      <w:r>
        <w:t>the interview</w:t>
      </w:r>
      <w:r w:rsidRPr="00BF518F">
        <w:t xml:space="preserve"> is conducted successfully, </w:t>
      </w:r>
      <w:r w:rsidR="006B5B83">
        <w:t xml:space="preserve">each </w:t>
      </w:r>
      <w:r>
        <w:t xml:space="preserve">study </w:t>
      </w:r>
      <w:r w:rsidRPr="00BF518F">
        <w:t xml:space="preserve">donor will be </w:t>
      </w:r>
      <w:r w:rsidR="00E943A8">
        <w:t xml:space="preserve">mailed a </w:t>
      </w:r>
      <w:r w:rsidRPr="00BF518F">
        <w:t>check of $25 as an incentive for participating in the study.</w:t>
      </w:r>
    </w:p>
    <w:p w:rsidR="00BF518F" w:rsidRDefault="00BF518F" w:rsidP="00246F60">
      <w:pPr>
        <w:spacing w:line="360" w:lineRule="auto"/>
      </w:pPr>
    </w:p>
    <w:p w:rsidR="00C7580C" w:rsidRDefault="00C7580C">
      <w:pPr>
        <w:framePr w:hSpace="180" w:wrap="around" w:vAnchor="page" w:hAnchor="margin" w:y="361"/>
        <w:spacing w:line="360" w:lineRule="auto"/>
        <w:suppressOverlap/>
        <w:rPr>
          <w:b/>
        </w:rPr>
      </w:pPr>
    </w:p>
    <w:p w:rsidR="00C7580C" w:rsidRDefault="00C7580C">
      <w:pPr>
        <w:framePr w:hSpace="180" w:wrap="around" w:vAnchor="page" w:hAnchor="margin" w:y="361"/>
        <w:spacing w:line="360" w:lineRule="auto"/>
        <w:suppressOverlap/>
      </w:pPr>
    </w:p>
    <w:p w:rsidR="00C7580C" w:rsidRDefault="00C667D4" w:rsidP="00C667D4">
      <w:pPr>
        <w:spacing w:line="312" w:lineRule="auto"/>
        <w:jc w:val="center"/>
        <w:rPr>
          <w:b/>
          <w:sz w:val="22"/>
          <w:szCs w:val="22"/>
        </w:rPr>
      </w:pPr>
      <w:r>
        <w:rPr>
          <w:b/>
          <w:sz w:val="22"/>
          <w:szCs w:val="22"/>
        </w:rPr>
        <w:t>E</w:t>
      </w:r>
      <w:r w:rsidRPr="00632AA4">
        <w:rPr>
          <w:b/>
          <w:sz w:val="22"/>
          <w:szCs w:val="22"/>
        </w:rPr>
        <w:t xml:space="preserve">.  </w:t>
      </w:r>
      <w:r w:rsidR="00CB1ECA">
        <w:rPr>
          <w:b/>
          <w:sz w:val="22"/>
          <w:szCs w:val="22"/>
        </w:rPr>
        <w:t xml:space="preserve">STUDY </w:t>
      </w:r>
      <w:r w:rsidRPr="00632AA4">
        <w:rPr>
          <w:b/>
          <w:sz w:val="22"/>
          <w:szCs w:val="22"/>
        </w:rPr>
        <w:t>TIMELINE</w:t>
      </w:r>
    </w:p>
    <w:p w:rsidR="00C667D4" w:rsidRPr="00632AA4" w:rsidRDefault="00C667D4" w:rsidP="00C667D4">
      <w:pPr>
        <w:spacing w:line="312" w:lineRule="auto"/>
        <w:jc w:val="center"/>
        <w:rPr>
          <w:sz w:val="22"/>
          <w:szCs w:val="22"/>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3600"/>
      </w:tblGrid>
      <w:tr w:rsidR="00745DA3" w:rsidRPr="00DE6181">
        <w:tc>
          <w:tcPr>
            <w:tcW w:w="3420" w:type="dxa"/>
          </w:tcPr>
          <w:p w:rsidR="00745DA3" w:rsidRPr="00DE6181" w:rsidRDefault="00745DA3" w:rsidP="00DE6181">
            <w:pPr>
              <w:spacing w:line="312" w:lineRule="auto"/>
              <w:jc w:val="center"/>
              <w:rPr>
                <w:b/>
                <w:sz w:val="22"/>
                <w:szCs w:val="22"/>
              </w:rPr>
            </w:pPr>
            <w:r w:rsidRPr="00DE6181">
              <w:rPr>
                <w:b/>
                <w:sz w:val="22"/>
                <w:szCs w:val="22"/>
              </w:rPr>
              <w:t>Task</w:t>
            </w:r>
          </w:p>
        </w:tc>
        <w:tc>
          <w:tcPr>
            <w:tcW w:w="3600" w:type="dxa"/>
          </w:tcPr>
          <w:p w:rsidR="00745DA3" w:rsidRPr="00DE6181" w:rsidRDefault="00745DA3" w:rsidP="00DE6181">
            <w:pPr>
              <w:spacing w:line="312" w:lineRule="auto"/>
              <w:jc w:val="center"/>
              <w:rPr>
                <w:b/>
                <w:sz w:val="22"/>
                <w:szCs w:val="22"/>
              </w:rPr>
            </w:pPr>
            <w:r w:rsidRPr="00DE6181">
              <w:rPr>
                <w:b/>
                <w:sz w:val="22"/>
                <w:szCs w:val="22"/>
              </w:rPr>
              <w:t>Date of completion</w:t>
            </w:r>
          </w:p>
        </w:tc>
      </w:tr>
      <w:tr w:rsidR="006F0668" w:rsidRPr="00DE6181">
        <w:tc>
          <w:tcPr>
            <w:tcW w:w="3420" w:type="dxa"/>
          </w:tcPr>
          <w:p w:rsidR="006F0668" w:rsidRPr="00DE6181" w:rsidRDefault="006F0668" w:rsidP="00DE6181">
            <w:pPr>
              <w:spacing w:line="312" w:lineRule="auto"/>
              <w:rPr>
                <w:sz w:val="22"/>
                <w:szCs w:val="22"/>
              </w:rPr>
            </w:pPr>
            <w:r w:rsidRPr="00DE6181">
              <w:rPr>
                <w:sz w:val="22"/>
                <w:szCs w:val="22"/>
              </w:rPr>
              <w:t>Finalize protocol</w:t>
            </w:r>
          </w:p>
        </w:tc>
        <w:tc>
          <w:tcPr>
            <w:tcW w:w="3600" w:type="dxa"/>
          </w:tcPr>
          <w:p w:rsidR="006F0668" w:rsidRPr="00DE6181" w:rsidRDefault="00CB1ECA" w:rsidP="00DE6181">
            <w:pPr>
              <w:spacing w:line="312" w:lineRule="auto"/>
              <w:jc w:val="center"/>
              <w:rPr>
                <w:sz w:val="22"/>
                <w:szCs w:val="22"/>
              </w:rPr>
            </w:pPr>
            <w:r>
              <w:rPr>
                <w:sz w:val="22"/>
                <w:szCs w:val="22"/>
              </w:rPr>
              <w:t>August</w:t>
            </w:r>
            <w:r w:rsidR="006F0668" w:rsidRPr="00DE6181">
              <w:rPr>
                <w:sz w:val="22"/>
                <w:szCs w:val="22"/>
              </w:rPr>
              <w:t>, 2009</w:t>
            </w:r>
          </w:p>
        </w:tc>
      </w:tr>
      <w:tr w:rsidR="00745DA3" w:rsidRPr="00DE6181">
        <w:tc>
          <w:tcPr>
            <w:tcW w:w="3420" w:type="dxa"/>
          </w:tcPr>
          <w:p w:rsidR="00745DA3" w:rsidRPr="00DE6181" w:rsidRDefault="00745DA3" w:rsidP="00DE6181">
            <w:pPr>
              <w:spacing w:line="312" w:lineRule="auto"/>
              <w:rPr>
                <w:sz w:val="22"/>
                <w:szCs w:val="22"/>
              </w:rPr>
            </w:pPr>
            <w:r w:rsidRPr="00DE6181">
              <w:rPr>
                <w:sz w:val="22"/>
                <w:szCs w:val="22"/>
              </w:rPr>
              <w:t>OSMB review</w:t>
            </w:r>
          </w:p>
        </w:tc>
        <w:tc>
          <w:tcPr>
            <w:tcW w:w="3600" w:type="dxa"/>
          </w:tcPr>
          <w:p w:rsidR="00745DA3" w:rsidRPr="00DE6181" w:rsidRDefault="00CB1ECA" w:rsidP="00DE6181">
            <w:pPr>
              <w:spacing w:line="312" w:lineRule="auto"/>
              <w:jc w:val="center"/>
              <w:rPr>
                <w:sz w:val="22"/>
                <w:szCs w:val="22"/>
              </w:rPr>
            </w:pPr>
            <w:r>
              <w:rPr>
                <w:sz w:val="22"/>
                <w:szCs w:val="22"/>
              </w:rPr>
              <w:t>September</w:t>
            </w:r>
            <w:r w:rsidR="000275C6" w:rsidRPr="00DE6181">
              <w:rPr>
                <w:sz w:val="22"/>
                <w:szCs w:val="22"/>
              </w:rPr>
              <w:t>-</w:t>
            </w:r>
            <w:r>
              <w:rPr>
                <w:sz w:val="22"/>
                <w:szCs w:val="22"/>
              </w:rPr>
              <w:t>October</w:t>
            </w:r>
            <w:r w:rsidRPr="00DE6181">
              <w:rPr>
                <w:sz w:val="22"/>
                <w:szCs w:val="22"/>
              </w:rPr>
              <w:t xml:space="preserve"> </w:t>
            </w:r>
            <w:r w:rsidR="006F0668" w:rsidRPr="00DE6181">
              <w:rPr>
                <w:sz w:val="22"/>
                <w:szCs w:val="22"/>
              </w:rPr>
              <w:t>2009</w:t>
            </w:r>
          </w:p>
        </w:tc>
      </w:tr>
      <w:tr w:rsidR="00745DA3" w:rsidRPr="00DE6181">
        <w:tc>
          <w:tcPr>
            <w:tcW w:w="3420" w:type="dxa"/>
          </w:tcPr>
          <w:p w:rsidR="00745DA3" w:rsidRPr="00DE6181" w:rsidRDefault="00745DA3" w:rsidP="00DE6181">
            <w:pPr>
              <w:spacing w:line="312" w:lineRule="auto"/>
              <w:rPr>
                <w:sz w:val="22"/>
                <w:szCs w:val="22"/>
              </w:rPr>
            </w:pPr>
            <w:r w:rsidRPr="00DE6181">
              <w:rPr>
                <w:sz w:val="22"/>
                <w:szCs w:val="22"/>
              </w:rPr>
              <w:t>OMB packet development</w:t>
            </w:r>
          </w:p>
        </w:tc>
        <w:tc>
          <w:tcPr>
            <w:tcW w:w="3600" w:type="dxa"/>
          </w:tcPr>
          <w:p w:rsidR="00745DA3" w:rsidRPr="00DE6181" w:rsidRDefault="00CB1ECA" w:rsidP="00DE6181">
            <w:pPr>
              <w:spacing w:line="312" w:lineRule="auto"/>
              <w:jc w:val="center"/>
              <w:rPr>
                <w:sz w:val="22"/>
                <w:szCs w:val="22"/>
              </w:rPr>
            </w:pPr>
            <w:r>
              <w:rPr>
                <w:sz w:val="22"/>
                <w:szCs w:val="22"/>
              </w:rPr>
              <w:t>June</w:t>
            </w:r>
            <w:r w:rsidRPr="00DE6181">
              <w:rPr>
                <w:sz w:val="22"/>
                <w:szCs w:val="22"/>
              </w:rPr>
              <w:t xml:space="preserve"> </w:t>
            </w:r>
            <w:r w:rsidR="006F0668" w:rsidRPr="00DE6181">
              <w:rPr>
                <w:sz w:val="22"/>
                <w:szCs w:val="22"/>
              </w:rPr>
              <w:t xml:space="preserve">– </w:t>
            </w:r>
            <w:r>
              <w:rPr>
                <w:sz w:val="22"/>
                <w:szCs w:val="22"/>
              </w:rPr>
              <w:t>August</w:t>
            </w:r>
            <w:r w:rsidRPr="00DE6181">
              <w:rPr>
                <w:sz w:val="22"/>
                <w:szCs w:val="22"/>
              </w:rPr>
              <w:t xml:space="preserve"> </w:t>
            </w:r>
            <w:r w:rsidR="006F0668" w:rsidRPr="00DE6181">
              <w:rPr>
                <w:sz w:val="22"/>
                <w:szCs w:val="22"/>
              </w:rPr>
              <w:t>2009</w:t>
            </w:r>
          </w:p>
        </w:tc>
      </w:tr>
      <w:tr w:rsidR="00745DA3" w:rsidRPr="00DE6181">
        <w:tc>
          <w:tcPr>
            <w:tcW w:w="3420" w:type="dxa"/>
          </w:tcPr>
          <w:p w:rsidR="00745DA3" w:rsidRPr="00DE6181" w:rsidRDefault="00745DA3" w:rsidP="00DE6181">
            <w:pPr>
              <w:spacing w:line="312" w:lineRule="auto"/>
              <w:rPr>
                <w:sz w:val="22"/>
                <w:szCs w:val="22"/>
              </w:rPr>
            </w:pPr>
            <w:r w:rsidRPr="00DE6181">
              <w:rPr>
                <w:sz w:val="22"/>
                <w:szCs w:val="22"/>
              </w:rPr>
              <w:t>OMB approval</w:t>
            </w:r>
          </w:p>
        </w:tc>
        <w:tc>
          <w:tcPr>
            <w:tcW w:w="3600" w:type="dxa"/>
          </w:tcPr>
          <w:p w:rsidR="00745DA3" w:rsidRPr="00DE6181" w:rsidRDefault="006F0668" w:rsidP="00DE6181">
            <w:pPr>
              <w:spacing w:line="312" w:lineRule="auto"/>
              <w:jc w:val="center"/>
              <w:rPr>
                <w:sz w:val="22"/>
                <w:szCs w:val="22"/>
              </w:rPr>
            </w:pPr>
            <w:r w:rsidRPr="00DE6181">
              <w:rPr>
                <w:sz w:val="22"/>
                <w:szCs w:val="22"/>
              </w:rPr>
              <w:t>December 2009</w:t>
            </w:r>
          </w:p>
        </w:tc>
      </w:tr>
      <w:tr w:rsidR="00745DA3" w:rsidRPr="00DE6181">
        <w:tc>
          <w:tcPr>
            <w:tcW w:w="3420" w:type="dxa"/>
          </w:tcPr>
          <w:p w:rsidR="00745DA3" w:rsidRPr="00DE6181" w:rsidRDefault="00745DA3" w:rsidP="00DE6181">
            <w:pPr>
              <w:spacing w:line="312" w:lineRule="auto"/>
              <w:rPr>
                <w:sz w:val="22"/>
                <w:szCs w:val="22"/>
              </w:rPr>
            </w:pPr>
            <w:r w:rsidRPr="00DE6181">
              <w:rPr>
                <w:sz w:val="22"/>
                <w:szCs w:val="22"/>
              </w:rPr>
              <w:t xml:space="preserve">IRB </w:t>
            </w:r>
            <w:r w:rsidR="006F0668" w:rsidRPr="00DE6181">
              <w:rPr>
                <w:sz w:val="22"/>
                <w:szCs w:val="22"/>
              </w:rPr>
              <w:t>reviews</w:t>
            </w:r>
          </w:p>
        </w:tc>
        <w:tc>
          <w:tcPr>
            <w:tcW w:w="3600" w:type="dxa"/>
          </w:tcPr>
          <w:p w:rsidR="00745DA3" w:rsidRPr="00DE6181" w:rsidRDefault="00035B67" w:rsidP="00DE6181">
            <w:pPr>
              <w:spacing w:line="312" w:lineRule="auto"/>
              <w:jc w:val="center"/>
              <w:rPr>
                <w:sz w:val="22"/>
                <w:szCs w:val="22"/>
              </w:rPr>
            </w:pPr>
            <w:r>
              <w:rPr>
                <w:sz w:val="22"/>
                <w:szCs w:val="22"/>
              </w:rPr>
              <w:t>October</w:t>
            </w:r>
            <w:r w:rsidR="00CB1ECA" w:rsidRPr="00DE6181">
              <w:rPr>
                <w:sz w:val="22"/>
                <w:szCs w:val="22"/>
              </w:rPr>
              <w:t xml:space="preserve"> </w:t>
            </w:r>
            <w:r w:rsidR="006F0668" w:rsidRPr="00DE6181">
              <w:rPr>
                <w:sz w:val="22"/>
                <w:szCs w:val="22"/>
              </w:rPr>
              <w:t>2009</w:t>
            </w:r>
          </w:p>
        </w:tc>
      </w:tr>
      <w:tr w:rsidR="00745DA3" w:rsidRPr="00DE6181">
        <w:tc>
          <w:tcPr>
            <w:tcW w:w="3420" w:type="dxa"/>
          </w:tcPr>
          <w:p w:rsidR="00745DA3" w:rsidRPr="00DE6181" w:rsidRDefault="00745DA3" w:rsidP="00DE6181">
            <w:pPr>
              <w:spacing w:line="312" w:lineRule="auto"/>
              <w:rPr>
                <w:sz w:val="22"/>
                <w:szCs w:val="22"/>
              </w:rPr>
            </w:pPr>
            <w:r w:rsidRPr="00DE6181">
              <w:rPr>
                <w:sz w:val="22"/>
                <w:szCs w:val="22"/>
              </w:rPr>
              <w:t>MOP development</w:t>
            </w:r>
          </w:p>
        </w:tc>
        <w:tc>
          <w:tcPr>
            <w:tcW w:w="3600" w:type="dxa"/>
          </w:tcPr>
          <w:p w:rsidR="00745DA3" w:rsidRPr="00DE6181" w:rsidRDefault="00CB1ECA" w:rsidP="00DE6181">
            <w:pPr>
              <w:spacing w:line="312" w:lineRule="auto"/>
              <w:jc w:val="center"/>
              <w:rPr>
                <w:sz w:val="22"/>
                <w:szCs w:val="22"/>
              </w:rPr>
            </w:pPr>
            <w:r>
              <w:rPr>
                <w:sz w:val="22"/>
                <w:szCs w:val="22"/>
              </w:rPr>
              <w:t>September</w:t>
            </w:r>
            <w:r w:rsidR="006F0668" w:rsidRPr="00DE6181">
              <w:rPr>
                <w:sz w:val="22"/>
                <w:szCs w:val="22"/>
              </w:rPr>
              <w:t xml:space="preserve">- </w:t>
            </w:r>
            <w:r>
              <w:rPr>
                <w:sz w:val="22"/>
                <w:szCs w:val="22"/>
              </w:rPr>
              <w:t>December</w:t>
            </w:r>
            <w:r w:rsidRPr="00DE6181">
              <w:rPr>
                <w:sz w:val="22"/>
                <w:szCs w:val="22"/>
              </w:rPr>
              <w:t xml:space="preserve"> </w:t>
            </w:r>
            <w:r w:rsidR="006F0668" w:rsidRPr="00DE6181">
              <w:rPr>
                <w:sz w:val="22"/>
                <w:szCs w:val="22"/>
              </w:rPr>
              <w:t>2009</w:t>
            </w:r>
          </w:p>
        </w:tc>
      </w:tr>
      <w:tr w:rsidR="00745DA3" w:rsidRPr="00DE6181">
        <w:tc>
          <w:tcPr>
            <w:tcW w:w="3420" w:type="dxa"/>
          </w:tcPr>
          <w:p w:rsidR="00745DA3" w:rsidRPr="00DE6181" w:rsidRDefault="006F0668" w:rsidP="00DE6181">
            <w:pPr>
              <w:spacing w:line="312" w:lineRule="auto"/>
              <w:rPr>
                <w:sz w:val="22"/>
                <w:szCs w:val="22"/>
              </w:rPr>
            </w:pPr>
            <w:r w:rsidRPr="00DE6181">
              <w:rPr>
                <w:sz w:val="22"/>
                <w:szCs w:val="22"/>
              </w:rPr>
              <w:t>Donor enrollment</w:t>
            </w:r>
          </w:p>
        </w:tc>
        <w:tc>
          <w:tcPr>
            <w:tcW w:w="3600" w:type="dxa"/>
          </w:tcPr>
          <w:p w:rsidR="00745DA3" w:rsidRPr="00DE6181" w:rsidRDefault="006F0668" w:rsidP="00DE6181">
            <w:pPr>
              <w:spacing w:line="312" w:lineRule="auto"/>
              <w:jc w:val="center"/>
              <w:rPr>
                <w:sz w:val="22"/>
                <w:szCs w:val="22"/>
              </w:rPr>
            </w:pPr>
            <w:r w:rsidRPr="00DE6181">
              <w:rPr>
                <w:sz w:val="22"/>
                <w:szCs w:val="22"/>
              </w:rPr>
              <w:t>January - April 2010</w:t>
            </w:r>
          </w:p>
        </w:tc>
      </w:tr>
      <w:tr w:rsidR="00745DA3" w:rsidRPr="00DE6181">
        <w:tc>
          <w:tcPr>
            <w:tcW w:w="3420" w:type="dxa"/>
          </w:tcPr>
          <w:p w:rsidR="00745DA3" w:rsidRPr="00DE6181" w:rsidRDefault="006F0668" w:rsidP="00DE6181">
            <w:pPr>
              <w:spacing w:line="312" w:lineRule="auto"/>
              <w:rPr>
                <w:sz w:val="22"/>
                <w:szCs w:val="22"/>
              </w:rPr>
            </w:pPr>
            <w:r w:rsidRPr="00DE6181">
              <w:rPr>
                <w:sz w:val="22"/>
                <w:szCs w:val="22"/>
              </w:rPr>
              <w:t>Data compilation and QC</w:t>
            </w:r>
          </w:p>
        </w:tc>
        <w:tc>
          <w:tcPr>
            <w:tcW w:w="3600" w:type="dxa"/>
          </w:tcPr>
          <w:p w:rsidR="00745DA3" w:rsidRPr="00DE6181" w:rsidRDefault="006F0668" w:rsidP="00DE6181">
            <w:pPr>
              <w:spacing w:line="312" w:lineRule="auto"/>
              <w:jc w:val="center"/>
              <w:rPr>
                <w:sz w:val="22"/>
                <w:szCs w:val="22"/>
              </w:rPr>
            </w:pPr>
            <w:r w:rsidRPr="00DE6181">
              <w:rPr>
                <w:sz w:val="22"/>
                <w:szCs w:val="22"/>
              </w:rPr>
              <w:t>April – May 2010</w:t>
            </w:r>
          </w:p>
        </w:tc>
      </w:tr>
      <w:tr w:rsidR="00745DA3" w:rsidRPr="00DE6181">
        <w:tc>
          <w:tcPr>
            <w:tcW w:w="3420" w:type="dxa"/>
          </w:tcPr>
          <w:p w:rsidR="00745DA3" w:rsidRPr="00DE6181" w:rsidRDefault="006F0668" w:rsidP="00DE6181">
            <w:pPr>
              <w:spacing w:line="312" w:lineRule="auto"/>
              <w:rPr>
                <w:sz w:val="22"/>
                <w:szCs w:val="22"/>
              </w:rPr>
            </w:pPr>
            <w:r w:rsidRPr="00DE6181">
              <w:rPr>
                <w:sz w:val="22"/>
                <w:szCs w:val="22"/>
              </w:rPr>
              <w:t>Analysis and interpretation</w:t>
            </w:r>
          </w:p>
        </w:tc>
        <w:tc>
          <w:tcPr>
            <w:tcW w:w="3600" w:type="dxa"/>
          </w:tcPr>
          <w:p w:rsidR="00745DA3" w:rsidRPr="00DE6181" w:rsidRDefault="006F0668" w:rsidP="00DE6181">
            <w:pPr>
              <w:spacing w:line="312" w:lineRule="auto"/>
              <w:jc w:val="center"/>
              <w:rPr>
                <w:sz w:val="22"/>
                <w:szCs w:val="22"/>
              </w:rPr>
            </w:pPr>
            <w:r w:rsidRPr="00DE6181">
              <w:rPr>
                <w:sz w:val="22"/>
                <w:szCs w:val="22"/>
              </w:rPr>
              <w:t>June – August 2010</w:t>
            </w:r>
          </w:p>
        </w:tc>
      </w:tr>
    </w:tbl>
    <w:p w:rsidR="00991FA6" w:rsidRDefault="00991FA6" w:rsidP="00823AEE">
      <w:pPr>
        <w:spacing w:line="360" w:lineRule="auto"/>
        <w:jc w:val="center"/>
        <w:rPr>
          <w:b/>
          <w:sz w:val="22"/>
          <w:szCs w:val="22"/>
        </w:rPr>
      </w:pPr>
    </w:p>
    <w:p w:rsidR="00035B67" w:rsidRDefault="00035B67" w:rsidP="00823AEE">
      <w:pPr>
        <w:spacing w:line="360" w:lineRule="auto"/>
        <w:jc w:val="center"/>
        <w:rPr>
          <w:b/>
          <w:sz w:val="22"/>
          <w:szCs w:val="22"/>
        </w:rPr>
      </w:pPr>
    </w:p>
    <w:p w:rsidR="00A637EA" w:rsidRPr="00823AEE" w:rsidRDefault="00823AEE" w:rsidP="00823AEE">
      <w:pPr>
        <w:spacing w:line="360" w:lineRule="auto"/>
        <w:jc w:val="center"/>
        <w:rPr>
          <w:sz w:val="22"/>
          <w:szCs w:val="22"/>
        </w:rPr>
      </w:pPr>
      <w:r w:rsidRPr="00823AEE">
        <w:rPr>
          <w:b/>
          <w:sz w:val="22"/>
          <w:szCs w:val="22"/>
        </w:rPr>
        <w:t xml:space="preserve">F. </w:t>
      </w:r>
      <w:smartTag w:uri="urn:schemas-microsoft-com:office:smarttags" w:element="stockticker">
        <w:r w:rsidR="00991FA6">
          <w:rPr>
            <w:b/>
            <w:sz w:val="22"/>
            <w:szCs w:val="22"/>
          </w:rPr>
          <w:t>DATA</w:t>
        </w:r>
      </w:smartTag>
      <w:r w:rsidR="00991FA6">
        <w:rPr>
          <w:b/>
          <w:sz w:val="22"/>
          <w:szCs w:val="22"/>
        </w:rPr>
        <w:t xml:space="preserve"> COLLECTION</w:t>
      </w:r>
    </w:p>
    <w:p w:rsidR="00A637EA" w:rsidRPr="008354BE" w:rsidRDefault="00A637EA">
      <w:pPr>
        <w:spacing w:line="360" w:lineRule="auto"/>
        <w:rPr>
          <w:b/>
        </w:rPr>
      </w:pPr>
    </w:p>
    <w:p w:rsidR="00C7580C" w:rsidRDefault="00A637EA">
      <w:pPr>
        <w:spacing w:line="360" w:lineRule="auto"/>
      </w:pPr>
      <w:r>
        <w:rPr>
          <w:b/>
        </w:rPr>
        <w:t>F</w:t>
      </w:r>
      <w:r w:rsidR="00C7580C">
        <w:rPr>
          <w:b/>
        </w:rPr>
        <w:t>.</w:t>
      </w:r>
      <w:r w:rsidR="002E0AE9">
        <w:rPr>
          <w:b/>
        </w:rPr>
        <w:t>1</w:t>
      </w:r>
      <w:r w:rsidR="00C7580C">
        <w:rPr>
          <w:b/>
        </w:rPr>
        <w:t>.</w:t>
      </w:r>
      <w:r>
        <w:tab/>
      </w:r>
      <w:r w:rsidR="00C7580C">
        <w:rPr>
          <w:b/>
        </w:rPr>
        <w:t>Semi-structured interviews with PDI, Deferred and Accepted Donors</w:t>
      </w:r>
    </w:p>
    <w:p w:rsidR="009C101C" w:rsidRDefault="00A637EA">
      <w:pPr>
        <w:spacing w:line="360" w:lineRule="auto"/>
        <w:ind w:firstLine="720"/>
      </w:pPr>
      <w:r>
        <w:tab/>
      </w:r>
      <w:r w:rsidR="00C7580C">
        <w:t xml:space="preserve">Individual semi-structured interviews will be done with PDI donors, deferred but non-PDI donors and accepted donors. </w:t>
      </w:r>
      <w:r w:rsidR="00A57479">
        <w:t>By semi-structured, we mean that the sets of common questions asked of all three group of donors will be largely close-ended, while the more probing, in-depth questions exploring the reasons for the PDI occurrences will be more open-ended.  For example, if the donor’s PDI was related to travel to a malarial area, these question</w:t>
      </w:r>
      <w:r w:rsidR="00261EFF">
        <w:t>s</w:t>
      </w:r>
      <w:r w:rsidR="00A57479">
        <w:t xml:space="preserve"> would explore what had prompted the donor to recall and/or report their travel accurately at a later point but not at the time of their donation when the information should have been shared.  </w:t>
      </w:r>
      <w:r w:rsidR="00261EFF">
        <w:t>We would also explore their knowledge about malaria endemic areas and the risks malaria might pose to the blood supply.</w:t>
      </w:r>
    </w:p>
    <w:p w:rsidR="00035B67" w:rsidRDefault="00035B67">
      <w:pPr>
        <w:spacing w:line="360" w:lineRule="auto"/>
        <w:ind w:firstLine="720"/>
      </w:pPr>
    </w:p>
    <w:p w:rsidR="003F2443" w:rsidRDefault="003F2443">
      <w:pPr>
        <w:spacing w:line="360" w:lineRule="auto"/>
        <w:ind w:firstLine="720"/>
      </w:pPr>
    </w:p>
    <w:p w:rsidR="003F2443" w:rsidRDefault="003F2443">
      <w:pPr>
        <w:spacing w:line="360" w:lineRule="auto"/>
        <w:ind w:firstLine="720"/>
      </w:pPr>
    </w:p>
    <w:p w:rsidR="009C101C" w:rsidRPr="009C101C" w:rsidRDefault="00C667D4" w:rsidP="009C101C">
      <w:pPr>
        <w:spacing w:line="360" w:lineRule="auto"/>
        <w:rPr>
          <w:i/>
        </w:rPr>
      </w:pPr>
      <w:r>
        <w:rPr>
          <w:i/>
        </w:rPr>
        <w:t>F</w:t>
      </w:r>
      <w:r w:rsidR="00A637EA">
        <w:rPr>
          <w:i/>
        </w:rPr>
        <w:t>.1.1</w:t>
      </w:r>
      <w:r w:rsidR="00A637EA">
        <w:rPr>
          <w:i/>
        </w:rPr>
        <w:tab/>
      </w:r>
      <w:r w:rsidR="006E7CD3">
        <w:rPr>
          <w:i/>
        </w:rPr>
        <w:t xml:space="preserve">Domains for the </w:t>
      </w:r>
      <w:r w:rsidR="008F28CF">
        <w:rPr>
          <w:i/>
        </w:rPr>
        <w:t xml:space="preserve">PDI </w:t>
      </w:r>
      <w:r w:rsidR="006E7CD3">
        <w:rPr>
          <w:i/>
        </w:rPr>
        <w:t>Donor Interviews</w:t>
      </w:r>
    </w:p>
    <w:p w:rsidR="00CE2B38" w:rsidRDefault="00CE2B38" w:rsidP="00CE2B38">
      <w:pPr>
        <w:numPr>
          <w:ilvl w:val="0"/>
          <w:numId w:val="28"/>
        </w:numPr>
        <w:spacing w:line="360" w:lineRule="auto"/>
      </w:pPr>
      <w:r>
        <w:t>Their personal interpretation and understanding of the question that was the cause for their PDI</w:t>
      </w:r>
      <w:r w:rsidR="00EC025D">
        <w:t xml:space="preserve"> and deferral</w:t>
      </w:r>
    </w:p>
    <w:p w:rsidR="00CE2B38" w:rsidRDefault="00CE2B38" w:rsidP="00CE2B38">
      <w:pPr>
        <w:numPr>
          <w:ilvl w:val="0"/>
          <w:numId w:val="28"/>
        </w:numPr>
        <w:spacing w:line="360" w:lineRule="auto"/>
      </w:pPr>
      <w:r>
        <w:t>Their beliefs about why the question is asked and its value in enhancing the safety of the blood supply.</w:t>
      </w:r>
    </w:p>
    <w:p w:rsidR="00261EFF" w:rsidRDefault="00261EFF" w:rsidP="00261EFF">
      <w:pPr>
        <w:numPr>
          <w:ilvl w:val="0"/>
          <w:numId w:val="28"/>
        </w:numPr>
        <w:spacing w:line="360" w:lineRule="auto"/>
      </w:pPr>
      <w:r>
        <w:t>Reasons given by donors as to why they failed to remember or disclose</w:t>
      </w:r>
      <w:r w:rsidR="004241BC">
        <w:t xml:space="preserve"> the information</w:t>
      </w:r>
    </w:p>
    <w:p w:rsidR="004241BC" w:rsidRDefault="00E60434" w:rsidP="00261EFF">
      <w:pPr>
        <w:numPr>
          <w:ilvl w:val="0"/>
          <w:numId w:val="28"/>
        </w:numPr>
        <w:spacing w:line="360" w:lineRule="auto"/>
      </w:pPr>
      <w:r>
        <w:t xml:space="preserve">Reasons for PDI related to perceptions of the blood donation process in general and at the index donation, including their views of their interactions with the centers.  This will include their views of and experiences with the health history taking process, including the role of the health historian, reactions to the mode of questioning used to evaluate donor suitability and how all this may have figured into their initial failure to recall or disclose deferrable information. </w:t>
      </w:r>
    </w:p>
    <w:p w:rsidR="001C16F2" w:rsidRDefault="001C16F2" w:rsidP="00261EFF">
      <w:pPr>
        <w:numPr>
          <w:ilvl w:val="0"/>
          <w:numId w:val="28"/>
        </w:numPr>
        <w:spacing w:line="360" w:lineRule="auto"/>
      </w:pPr>
      <w:r>
        <w:t>Awareness prior to presenting for donation that they may be deferred from donation for some reason.</w:t>
      </w:r>
    </w:p>
    <w:p w:rsidR="008A7BC1" w:rsidRDefault="008A7BC1" w:rsidP="00261EFF">
      <w:pPr>
        <w:numPr>
          <w:ilvl w:val="0"/>
          <w:numId w:val="28"/>
        </w:numPr>
        <w:spacing w:line="360" w:lineRule="auto"/>
      </w:pPr>
      <w:r>
        <w:t xml:space="preserve">Awareness of the </w:t>
      </w:r>
      <w:r w:rsidR="009C101C">
        <w:t xml:space="preserve">insufficient health history given previously, the </w:t>
      </w:r>
      <w:r>
        <w:t xml:space="preserve">PDI, how it was addressed by </w:t>
      </w:r>
      <w:r w:rsidR="009C101C">
        <w:t>the center and feelings as to how the process was managed.</w:t>
      </w:r>
    </w:p>
    <w:p w:rsidR="00BA1964" w:rsidRDefault="00BA1964" w:rsidP="00E60434">
      <w:pPr>
        <w:spacing w:line="360" w:lineRule="auto"/>
        <w:ind w:left="720" w:hanging="720"/>
        <w:rPr>
          <w:i/>
        </w:rPr>
      </w:pPr>
    </w:p>
    <w:p w:rsidR="00E60434" w:rsidRDefault="00C667D4" w:rsidP="00E60434">
      <w:pPr>
        <w:spacing w:line="360" w:lineRule="auto"/>
        <w:ind w:left="720" w:hanging="720"/>
        <w:rPr>
          <w:i/>
        </w:rPr>
      </w:pPr>
      <w:r>
        <w:rPr>
          <w:i/>
        </w:rPr>
        <w:t>F</w:t>
      </w:r>
      <w:r w:rsidR="00A637EA">
        <w:rPr>
          <w:i/>
        </w:rPr>
        <w:t>.1.2</w:t>
      </w:r>
      <w:r w:rsidR="00A637EA">
        <w:rPr>
          <w:i/>
        </w:rPr>
        <w:tab/>
      </w:r>
      <w:r w:rsidR="008F28CF">
        <w:rPr>
          <w:i/>
        </w:rPr>
        <w:t>Domains for the Deferred Donor Interviews</w:t>
      </w:r>
    </w:p>
    <w:p w:rsidR="00E60434" w:rsidRDefault="00E60434" w:rsidP="00E60434">
      <w:pPr>
        <w:numPr>
          <w:ilvl w:val="0"/>
          <w:numId w:val="30"/>
        </w:numPr>
        <w:spacing w:line="360" w:lineRule="auto"/>
      </w:pPr>
      <w:r>
        <w:t>Their personal interpretation and understand</w:t>
      </w:r>
      <w:r w:rsidR="00CE2B38">
        <w:t>ing</w:t>
      </w:r>
      <w:r>
        <w:t xml:space="preserve"> of the question that resulted in their deferral.</w:t>
      </w:r>
    </w:p>
    <w:p w:rsidR="00E60434" w:rsidRDefault="00E60434" w:rsidP="00E60434">
      <w:pPr>
        <w:numPr>
          <w:ilvl w:val="0"/>
          <w:numId w:val="30"/>
        </w:numPr>
        <w:spacing w:line="360" w:lineRule="auto"/>
      </w:pPr>
      <w:r>
        <w:t>Their beliefs about why the question is asked and its value in enhancing the safety of the blood supply.</w:t>
      </w:r>
    </w:p>
    <w:p w:rsidR="00E60434" w:rsidRDefault="001C16F2" w:rsidP="00E60434">
      <w:pPr>
        <w:numPr>
          <w:ilvl w:val="0"/>
          <w:numId w:val="30"/>
        </w:numPr>
        <w:spacing w:line="360" w:lineRule="auto"/>
      </w:pPr>
      <w:r>
        <w:t>Assistance that the health historian might have given them at the time to help them understand, interpret or answer the questions.</w:t>
      </w:r>
    </w:p>
    <w:p w:rsidR="001C16F2" w:rsidRDefault="001C16F2" w:rsidP="00E60434">
      <w:pPr>
        <w:numPr>
          <w:ilvl w:val="0"/>
          <w:numId w:val="30"/>
        </w:numPr>
        <w:spacing w:line="360" w:lineRule="auto"/>
      </w:pPr>
      <w:r>
        <w:t>Their degree of comfort with mode of questioning used to evaluate donor suitability.</w:t>
      </w:r>
    </w:p>
    <w:p w:rsidR="001C16F2" w:rsidRDefault="001C16F2" w:rsidP="00E60434">
      <w:pPr>
        <w:numPr>
          <w:ilvl w:val="0"/>
          <w:numId w:val="30"/>
        </w:numPr>
        <w:spacing w:line="360" w:lineRule="auto"/>
      </w:pPr>
      <w:r>
        <w:t>Awareness prior to presenting for donation that they may be deferred from donation for some reason.</w:t>
      </w:r>
    </w:p>
    <w:p w:rsidR="001C16F2" w:rsidRDefault="008A7BC1" w:rsidP="00E60434">
      <w:pPr>
        <w:numPr>
          <w:ilvl w:val="0"/>
          <w:numId w:val="30"/>
        </w:numPr>
        <w:spacing w:line="360" w:lineRule="auto"/>
      </w:pPr>
      <w:r>
        <w:lastRenderedPageBreak/>
        <w:t>Awareness during health history screening of risk for deferral versus such knowledge only acquired through health historian</w:t>
      </w:r>
      <w:r w:rsidR="009C101C">
        <w:t xml:space="preserve"> and their feelings regarding the management of the deferral process.</w:t>
      </w:r>
    </w:p>
    <w:p w:rsidR="00035B67" w:rsidRPr="00E60434" w:rsidRDefault="00035B67" w:rsidP="00035B67">
      <w:pPr>
        <w:spacing w:line="360" w:lineRule="auto"/>
        <w:ind w:left="1440"/>
      </w:pPr>
    </w:p>
    <w:p w:rsidR="00C7580C" w:rsidRPr="00A637EA" w:rsidRDefault="00C667D4">
      <w:pPr>
        <w:spacing w:line="360" w:lineRule="auto"/>
        <w:rPr>
          <w:i/>
        </w:rPr>
      </w:pPr>
      <w:r>
        <w:rPr>
          <w:i/>
        </w:rPr>
        <w:t>F</w:t>
      </w:r>
      <w:r w:rsidR="00A637EA">
        <w:rPr>
          <w:i/>
        </w:rPr>
        <w:t>.1.3</w:t>
      </w:r>
      <w:r w:rsidR="00A637EA">
        <w:rPr>
          <w:i/>
        </w:rPr>
        <w:tab/>
      </w:r>
      <w:r w:rsidR="00C7580C" w:rsidRPr="00A637EA">
        <w:rPr>
          <w:i/>
        </w:rPr>
        <w:t>Domains for all donors:</w:t>
      </w:r>
    </w:p>
    <w:p w:rsidR="00C7580C" w:rsidRDefault="00C7580C">
      <w:pPr>
        <w:spacing w:line="360" w:lineRule="auto"/>
        <w:ind w:left="720"/>
      </w:pPr>
      <w:r>
        <w:t xml:space="preserve">General knowledge, beliefs, behaviors and attitudes about the health history screening process and about the specific </w:t>
      </w:r>
      <w:r w:rsidR="008D354B">
        <w:t xml:space="preserve">health history </w:t>
      </w:r>
      <w:r>
        <w:t xml:space="preserve">questions that </w:t>
      </w:r>
      <w:r w:rsidR="008D354B">
        <w:t xml:space="preserve">account for </w:t>
      </w:r>
      <w:r>
        <w:t xml:space="preserve">the highest number of PDI events </w:t>
      </w:r>
      <w:r w:rsidR="008D354B">
        <w:t xml:space="preserve">along with </w:t>
      </w:r>
      <w:r>
        <w:t>views about the donor screening process in general</w:t>
      </w:r>
      <w:r w:rsidR="008D354B">
        <w:t xml:space="preserve"> will be asked</w:t>
      </w:r>
      <w:r>
        <w:t>.</w:t>
      </w:r>
      <w:r w:rsidR="008D354B">
        <w:t xml:space="preserve">  These questions will be standardized with close</w:t>
      </w:r>
      <w:r w:rsidR="00BB790F">
        <w:t>-ended response categories and presented to all participants.</w:t>
      </w:r>
    </w:p>
    <w:p w:rsidR="00C7580C" w:rsidRDefault="00C7580C">
      <w:pPr>
        <w:numPr>
          <w:ilvl w:val="0"/>
          <w:numId w:val="20"/>
        </w:numPr>
        <w:spacing w:line="360" w:lineRule="auto"/>
      </w:pPr>
      <w:r>
        <w:t>K</w:t>
      </w:r>
      <w:r w:rsidRPr="008354BE">
        <w:t>nowledge</w:t>
      </w:r>
      <w:r>
        <w:t xml:space="preserve"> and understanding</w:t>
      </w:r>
      <w:r w:rsidRPr="008354BE">
        <w:t xml:space="preserve"> about </w:t>
      </w:r>
      <w:r>
        <w:t xml:space="preserve">the rationale for the </w:t>
      </w:r>
      <w:r w:rsidRPr="008354BE">
        <w:t>health history questions</w:t>
      </w:r>
      <w:r>
        <w:t xml:space="preserve"> that most often cause PDI</w:t>
      </w:r>
    </w:p>
    <w:p w:rsidR="00C7580C" w:rsidRDefault="00C7580C">
      <w:pPr>
        <w:numPr>
          <w:ilvl w:val="1"/>
          <w:numId w:val="20"/>
        </w:numPr>
        <w:spacing w:line="360" w:lineRule="auto"/>
      </w:pPr>
      <w:r>
        <w:t>What is the question asking?</w:t>
      </w:r>
    </w:p>
    <w:p w:rsidR="00C7580C" w:rsidRDefault="00C7580C">
      <w:pPr>
        <w:numPr>
          <w:ilvl w:val="1"/>
          <w:numId w:val="20"/>
        </w:numPr>
        <w:spacing w:line="360" w:lineRule="auto"/>
      </w:pPr>
      <w:r>
        <w:t>Are all the terms and the question format clear?</w:t>
      </w:r>
    </w:p>
    <w:p w:rsidR="00C7580C" w:rsidRDefault="00C7580C">
      <w:pPr>
        <w:numPr>
          <w:ilvl w:val="1"/>
          <w:numId w:val="20"/>
        </w:numPr>
        <w:spacing w:line="360" w:lineRule="auto"/>
      </w:pPr>
      <w:r>
        <w:t>If not, would you ask for more information? Is there a better way of asking the question?</w:t>
      </w:r>
    </w:p>
    <w:p w:rsidR="00C7580C" w:rsidRDefault="00C7580C">
      <w:pPr>
        <w:numPr>
          <w:ilvl w:val="1"/>
          <w:numId w:val="20"/>
        </w:numPr>
        <w:spacing w:line="360" w:lineRule="auto"/>
      </w:pPr>
      <w:r>
        <w:t>If additional information should be given, where and how should it be provided?</w:t>
      </w:r>
    </w:p>
    <w:p w:rsidR="00C7580C" w:rsidRDefault="00C7580C">
      <w:pPr>
        <w:numPr>
          <w:ilvl w:val="0"/>
          <w:numId w:val="20"/>
        </w:numPr>
        <w:spacing w:line="360" w:lineRule="auto"/>
      </w:pPr>
      <w:r>
        <w:t xml:space="preserve">Basic knowledge about the </w:t>
      </w:r>
      <w:r w:rsidR="00CC47CA">
        <w:t>question’s intent in assuring a safe blood supply.</w:t>
      </w:r>
    </w:p>
    <w:p w:rsidR="00C7580C" w:rsidRDefault="00C7580C">
      <w:pPr>
        <w:numPr>
          <w:ilvl w:val="0"/>
          <w:numId w:val="20"/>
        </w:numPr>
        <w:spacing w:line="360" w:lineRule="auto"/>
      </w:pPr>
      <w:r w:rsidRPr="008354BE">
        <w:t>Fear of rejection as a blood donor because of behavior or disease</w:t>
      </w:r>
      <w:r>
        <w:t xml:space="preserve"> (either because of personal investment, social pressure, or their desire for an incentive)</w:t>
      </w:r>
    </w:p>
    <w:p w:rsidR="00C7580C" w:rsidRDefault="00C7580C">
      <w:pPr>
        <w:numPr>
          <w:ilvl w:val="0"/>
          <w:numId w:val="20"/>
        </w:numPr>
        <w:spacing w:line="360" w:lineRule="auto"/>
      </w:pPr>
      <w:r>
        <w:t>Attitudes and beliefs about the need for and value of these questions and the health history screening in general</w:t>
      </w:r>
    </w:p>
    <w:p w:rsidR="00C7580C" w:rsidRDefault="00C7580C">
      <w:pPr>
        <w:numPr>
          <w:ilvl w:val="0"/>
          <w:numId w:val="20"/>
        </w:numPr>
        <w:spacing w:line="360" w:lineRule="auto"/>
      </w:pPr>
      <w:r>
        <w:t xml:space="preserve">Their opinion </w:t>
      </w:r>
      <w:r w:rsidR="00CC47CA">
        <w:t xml:space="preserve">on whether </w:t>
      </w:r>
      <w:r>
        <w:t>certain questions are unnecessary because of their d</w:t>
      </w:r>
      <w:r w:rsidRPr="008354BE">
        <w:t xml:space="preserve">enial </w:t>
      </w:r>
      <w:r>
        <w:t>of the existence of the disease related to the question, their beliefs that a disease is curable and/or cured or their belief that blood testing makes the question unnecessary</w:t>
      </w:r>
    </w:p>
    <w:p w:rsidR="00C7580C" w:rsidRDefault="00C7580C">
      <w:pPr>
        <w:numPr>
          <w:ilvl w:val="0"/>
          <w:numId w:val="20"/>
        </w:numPr>
        <w:spacing w:line="360" w:lineRule="auto"/>
      </w:pPr>
      <w:r>
        <w:t>Comfort with the mode of questioning that was used at that center (oral vs. self-administered)</w:t>
      </w:r>
    </w:p>
    <w:p w:rsidR="00C7580C" w:rsidRDefault="00C7580C">
      <w:pPr>
        <w:numPr>
          <w:ilvl w:val="0"/>
          <w:numId w:val="20"/>
        </w:numPr>
        <w:spacing w:line="360" w:lineRule="auto"/>
      </w:pPr>
      <w:r>
        <w:t>Time to express opinions about blood donation in general and their interactions with health historians, the phlebotomist and the center staff</w:t>
      </w:r>
    </w:p>
    <w:p w:rsidR="00A637EA" w:rsidRDefault="00A637EA">
      <w:pPr>
        <w:spacing w:line="360" w:lineRule="auto"/>
      </w:pPr>
    </w:p>
    <w:p w:rsidR="0065337E" w:rsidRDefault="00A637EA">
      <w:pPr>
        <w:spacing w:line="360" w:lineRule="auto"/>
      </w:pPr>
      <w:r>
        <w:lastRenderedPageBreak/>
        <w:tab/>
      </w:r>
      <w:r>
        <w:tab/>
      </w:r>
      <w:r w:rsidR="00C7580C" w:rsidRPr="008354BE">
        <w:t xml:space="preserve">The </w:t>
      </w:r>
      <w:smartTag w:uri="urn:schemas-microsoft-com:office:smarttags" w:element="place">
        <w:smartTag w:uri="urn:schemas-microsoft-com:office:smarttags" w:element="PlaceName">
          <w:r w:rsidR="00C7580C" w:rsidRPr="008354BE">
            <w:t>National</w:t>
          </w:r>
        </w:smartTag>
        <w:r w:rsidR="00C7580C" w:rsidRPr="008354BE">
          <w:t xml:space="preserve"> </w:t>
        </w:r>
        <w:smartTag w:uri="urn:schemas-microsoft-com:office:smarttags" w:element="PlaceType">
          <w:r w:rsidR="00C7580C" w:rsidRPr="008354BE">
            <w:t>Center</w:t>
          </w:r>
        </w:smartTag>
      </w:smartTag>
      <w:r w:rsidR="00C7580C" w:rsidRPr="008354BE">
        <w:t xml:space="preserve"> for Health Statistics </w:t>
      </w:r>
      <w:r w:rsidR="00C7580C">
        <w:t xml:space="preserve">(NCHS) </w:t>
      </w:r>
      <w:r w:rsidR="00CC47CA">
        <w:t xml:space="preserve">conducted cognitive testing to four focus groups </w:t>
      </w:r>
      <w:r w:rsidR="00C7580C" w:rsidRPr="008354BE">
        <w:t>in 2002 to evaluate some of the proposed</w:t>
      </w:r>
      <w:r w:rsidR="00C7580C">
        <w:t xml:space="preserve"> HHQ</w:t>
      </w:r>
      <w:r w:rsidR="00C7580C" w:rsidRPr="008354BE">
        <w:t xml:space="preserve"> questions for the AABB Task Force to Redesign the Blood Donor Screening Questionnaire.</w:t>
      </w:r>
      <w:r w:rsidR="00FD5459">
        <w:rPr>
          <w:vertAlign w:val="superscript"/>
        </w:rPr>
        <w:t>16</w:t>
      </w:r>
      <w:r w:rsidR="00C7580C" w:rsidRPr="008354BE">
        <w:t xml:space="preserve"> This </w:t>
      </w:r>
      <w:r w:rsidR="00CC47CA">
        <w:t xml:space="preserve">work </w:t>
      </w:r>
      <w:r w:rsidR="00C7580C">
        <w:t xml:space="preserve">will be consulted for </w:t>
      </w:r>
      <w:r w:rsidR="00CC47CA">
        <w:t xml:space="preserve">possible </w:t>
      </w:r>
      <w:r w:rsidR="00C7580C">
        <w:t xml:space="preserve">wording </w:t>
      </w:r>
      <w:r w:rsidR="00CC47CA">
        <w:t xml:space="preserve">for </w:t>
      </w:r>
      <w:r w:rsidR="00C7580C">
        <w:t xml:space="preserve">specific study questions. </w:t>
      </w:r>
      <w:r w:rsidR="00CE2B38">
        <w:t>The PIs of the study</w:t>
      </w:r>
      <w:r w:rsidR="00C7580C">
        <w:t xml:space="preserve"> </w:t>
      </w:r>
      <w:r w:rsidR="00CE2B38">
        <w:t xml:space="preserve">will work with Westat </w:t>
      </w:r>
      <w:r w:rsidR="000D4344">
        <w:t>staff experienced</w:t>
      </w:r>
      <w:r w:rsidR="00C7580C">
        <w:t xml:space="preserve"> in qualitative research to develop the interview</w:t>
      </w:r>
      <w:r w:rsidR="00CE2B38">
        <w:t xml:space="preserve"> questions</w:t>
      </w:r>
      <w:r w:rsidR="00C7580C" w:rsidRPr="008354BE">
        <w:t>.</w:t>
      </w:r>
    </w:p>
    <w:p w:rsidR="0065337E" w:rsidRDefault="0065337E">
      <w:pPr>
        <w:spacing w:line="360" w:lineRule="auto"/>
      </w:pPr>
    </w:p>
    <w:p w:rsidR="0065337E" w:rsidRPr="00CB1ECA" w:rsidRDefault="0065337E">
      <w:pPr>
        <w:spacing w:line="360" w:lineRule="auto"/>
        <w:rPr>
          <w:b/>
        </w:rPr>
      </w:pPr>
      <w:r w:rsidRPr="00CB1ECA">
        <w:rPr>
          <w:b/>
        </w:rPr>
        <w:t>F.2.</w:t>
      </w:r>
      <w:r w:rsidRPr="00CB1ECA">
        <w:rPr>
          <w:b/>
        </w:rPr>
        <w:tab/>
        <w:t xml:space="preserve">Cognitive Testing of the </w:t>
      </w:r>
      <w:r w:rsidR="005B5B2E">
        <w:rPr>
          <w:b/>
        </w:rPr>
        <w:t>Discussion Guide</w:t>
      </w:r>
    </w:p>
    <w:p w:rsidR="0065337E" w:rsidRDefault="0065337E">
      <w:pPr>
        <w:spacing w:line="360" w:lineRule="auto"/>
      </w:pPr>
    </w:p>
    <w:p w:rsidR="00C7580C" w:rsidRDefault="0065337E">
      <w:pPr>
        <w:spacing w:line="360" w:lineRule="auto"/>
      </w:pPr>
      <w:r>
        <w:tab/>
      </w:r>
      <w:r>
        <w:tab/>
        <w:t xml:space="preserve">The cognitive testing of the </w:t>
      </w:r>
      <w:r w:rsidR="005B5B2E">
        <w:t>discussion guide</w:t>
      </w:r>
      <w:r>
        <w:t xml:space="preserve"> will be conducted at the </w:t>
      </w:r>
      <w:proofErr w:type="spellStart"/>
      <w:r>
        <w:t>Hoxworth</w:t>
      </w:r>
      <w:proofErr w:type="spellEnd"/>
      <w:r>
        <w:t xml:space="preserve"> Blood Center. For this purpose, the blood center staff will identify 2 PDI and 2 deferred donors from the five broad categories of interest. They will also contact 2 accepted donors for study consent and interview. These donors will be approached and consented by following the same procedures that will be used for the actual study. After obtaining donor consent, telephone interviews will be conducted by trained interviewers at Westat. At the end of the interview, these donors will be queried about the questions asked during the interview and the interview process. Comments and feedback received will be used to refine the content and interview procedure that will be used for the actual study.</w:t>
      </w:r>
      <w:r w:rsidR="00147CE2">
        <w:t xml:space="preserve"> These donors will also receive a compensation of $25.</w:t>
      </w:r>
    </w:p>
    <w:p w:rsidR="00000B95" w:rsidRDefault="00000B95">
      <w:pPr>
        <w:spacing w:line="360" w:lineRule="auto"/>
        <w:rPr>
          <w:b/>
        </w:rPr>
      </w:pPr>
    </w:p>
    <w:p w:rsidR="00C7580C" w:rsidRPr="00823AEE" w:rsidRDefault="00C667D4" w:rsidP="00823AEE">
      <w:pPr>
        <w:spacing w:line="360" w:lineRule="auto"/>
        <w:jc w:val="center"/>
        <w:rPr>
          <w:b/>
          <w:sz w:val="22"/>
          <w:szCs w:val="22"/>
        </w:rPr>
      </w:pPr>
      <w:r>
        <w:rPr>
          <w:b/>
          <w:sz w:val="22"/>
          <w:szCs w:val="22"/>
        </w:rPr>
        <w:t>G</w:t>
      </w:r>
      <w:r w:rsidR="00823AEE" w:rsidRPr="00823AEE">
        <w:rPr>
          <w:b/>
          <w:sz w:val="22"/>
          <w:szCs w:val="22"/>
        </w:rPr>
        <w:t xml:space="preserve">. </w:t>
      </w:r>
      <w:smartTag w:uri="urn:schemas-microsoft-com:office:smarttags" w:element="stockticker">
        <w:r w:rsidR="00823AEE" w:rsidRPr="00823AEE">
          <w:rPr>
            <w:b/>
            <w:sz w:val="22"/>
            <w:szCs w:val="22"/>
          </w:rPr>
          <w:t>DATA</w:t>
        </w:r>
      </w:smartTag>
      <w:r w:rsidR="00823AEE" w:rsidRPr="00823AEE">
        <w:rPr>
          <w:b/>
          <w:sz w:val="22"/>
          <w:szCs w:val="22"/>
        </w:rPr>
        <w:t xml:space="preserve"> ANALYSIS</w:t>
      </w:r>
    </w:p>
    <w:p w:rsidR="006D22AA" w:rsidRDefault="00A637EA" w:rsidP="006D22AA">
      <w:pPr>
        <w:spacing w:line="360" w:lineRule="auto"/>
        <w:ind w:firstLine="720"/>
      </w:pPr>
      <w:r>
        <w:tab/>
      </w:r>
      <w:r w:rsidR="006D22AA">
        <w:t xml:space="preserve">The data from the semi-structured interviews will be analyzed in two ways.   The close-ended responses will be analyzed quantitatively, with an eye to differences and similarities across the three groups in their responses to the common set of questions. This will likely take the form of 3-way cross-tabulations of frequency distributions in responses to key questions.  For example, we might compare the responses of PDI donors, deferred donors, and non-deferred donors with respect to their attitudes towards the health history-taking process.  </w:t>
      </w:r>
    </w:p>
    <w:p w:rsidR="006D22AA" w:rsidRDefault="00A637EA" w:rsidP="006D22AA">
      <w:pPr>
        <w:spacing w:line="360" w:lineRule="auto"/>
        <w:ind w:firstLine="720"/>
      </w:pPr>
      <w:r>
        <w:tab/>
      </w:r>
      <w:r w:rsidR="006D22AA">
        <w:t>The open-ended responses will be analyzed as qualitative data. Qualitative data analysis is a systematic process of finding meaningful recurrent themes and patterns in qualitative or word-based data.</w:t>
      </w:r>
      <w:r w:rsidR="00D04BE0">
        <w:t xml:space="preserve"> </w:t>
      </w:r>
      <w:r w:rsidR="00D04BE0">
        <w:rPr>
          <w:vertAlign w:val="superscript"/>
        </w:rPr>
        <w:t>17</w:t>
      </w:r>
      <w:r w:rsidR="006D22AA">
        <w:t xml:space="preserve"> Meaningfulness is defined in terms of the particular study questions being addressed.  So in this study, as just one example, we will be looking for systematic patterns in the reasons respondents give for not having initially reported the PDI, as well as any meaningful variations in this regard across the PDI group (by age, gender, center, </w:t>
      </w:r>
      <w:r w:rsidR="006D22AA">
        <w:lastRenderedPageBreak/>
        <w:t>reason for PDI).  It should also be emphasized that qualitative data analysis is not a linear process, but involves making multiple iterations “back and forth” through the data.  The description presented below simplifies the analytic process for purposes of illustration.</w:t>
      </w:r>
    </w:p>
    <w:p w:rsidR="006D22AA" w:rsidRDefault="00A637EA" w:rsidP="006D22AA">
      <w:pPr>
        <w:spacing w:line="360" w:lineRule="auto"/>
        <w:ind w:firstLine="720"/>
      </w:pPr>
      <w:r>
        <w:tab/>
      </w:r>
      <w:r w:rsidR="006D22AA">
        <w:t xml:space="preserve">The analysts will work from verbatim transcripts of the open-ended portions of the interviews as well as summary notes taken by the interviewer immediately following the interview.  The transcripts will be read and coded according to a scheme developed by the lead analysts on the basis of a close reading of an initial sample of the transcripts.  Once a common coding scheme is agreed upon, each transcript will be read and coded by at least two analysts using that scheme, and any discrepancies between coders resolved through a consensus process.  </w:t>
      </w:r>
    </w:p>
    <w:p w:rsidR="006D22AA" w:rsidRDefault="00A637EA" w:rsidP="006D22AA">
      <w:pPr>
        <w:spacing w:line="360" w:lineRule="auto"/>
        <w:ind w:firstLine="720"/>
      </w:pPr>
      <w:r>
        <w:tab/>
      </w:r>
      <w:r w:rsidR="006D22AA">
        <w:t xml:space="preserve">After coding the data, the analysts will discuss the findings and create data displays, which may take the form of diagrams, matrices, tables, or “just plain text.” </w:t>
      </w:r>
      <w:r w:rsidR="00D04BE0">
        <w:rPr>
          <w:vertAlign w:val="superscript"/>
        </w:rPr>
        <w:t>18</w:t>
      </w:r>
      <w:r w:rsidR="006D22AA">
        <w:t xml:space="preserve"> As a step in the process of qualitative data analysis, data display takes a step back from the coded data to reveal themes and patterns that might not be immediately apparent.  For example, to follow the above example, we might find that clusters of reasons for the PDI vary according to the nature of the PDI, and can show that in a concise, summarized format.  The final step in the analytic process, taken only after multiple rounds of revisiting the data to ensure that the patterns are well-founded, will involve drawing conclusions from the summarized and displayed data.  All analytic steps and assumptions that led up to the conclusions, including competing interpretations of the data, will be fully discussed in the final report. </w:t>
      </w:r>
    </w:p>
    <w:p w:rsidR="00BF518F" w:rsidRDefault="00BF518F">
      <w:pPr>
        <w:spacing w:line="360" w:lineRule="auto"/>
        <w:rPr>
          <w:b/>
        </w:rPr>
      </w:pPr>
    </w:p>
    <w:p w:rsidR="00823AEE" w:rsidRDefault="00C667D4" w:rsidP="00823AEE">
      <w:pPr>
        <w:spacing w:line="360" w:lineRule="auto"/>
        <w:ind w:left="1440"/>
        <w:jc w:val="center"/>
        <w:rPr>
          <w:b/>
          <w:sz w:val="22"/>
          <w:szCs w:val="22"/>
        </w:rPr>
      </w:pPr>
      <w:r>
        <w:rPr>
          <w:b/>
          <w:sz w:val="22"/>
          <w:szCs w:val="22"/>
        </w:rPr>
        <w:t>H</w:t>
      </w:r>
      <w:r w:rsidR="00823AEE">
        <w:rPr>
          <w:b/>
          <w:sz w:val="22"/>
          <w:szCs w:val="22"/>
        </w:rPr>
        <w:t xml:space="preserve">. </w:t>
      </w:r>
      <w:r w:rsidR="00823AEE" w:rsidRPr="00823AEE">
        <w:rPr>
          <w:b/>
          <w:sz w:val="22"/>
          <w:szCs w:val="22"/>
        </w:rPr>
        <w:t xml:space="preserve">IRB CONSIDERATIONS </w:t>
      </w:r>
      <w:smartTag w:uri="urn:schemas-microsoft-com:office:smarttags" w:element="stockticker">
        <w:r w:rsidR="00823AEE" w:rsidRPr="00823AEE">
          <w:rPr>
            <w:b/>
            <w:sz w:val="22"/>
            <w:szCs w:val="22"/>
          </w:rPr>
          <w:t>AND</w:t>
        </w:r>
      </w:smartTag>
      <w:r w:rsidR="00823AEE" w:rsidRPr="00823AEE">
        <w:rPr>
          <w:b/>
          <w:sz w:val="22"/>
          <w:szCs w:val="22"/>
        </w:rPr>
        <w:t xml:space="preserve"> OMB REQUIREMENTS</w:t>
      </w:r>
    </w:p>
    <w:p w:rsidR="001A4D35" w:rsidRPr="00823AEE" w:rsidRDefault="001A4D35" w:rsidP="00823AEE">
      <w:pPr>
        <w:spacing w:line="360" w:lineRule="auto"/>
        <w:ind w:left="1440"/>
        <w:jc w:val="center"/>
        <w:rPr>
          <w:b/>
          <w:sz w:val="22"/>
          <w:szCs w:val="22"/>
        </w:rPr>
      </w:pPr>
    </w:p>
    <w:p w:rsidR="00C007CE" w:rsidRDefault="00C7580C">
      <w:pPr>
        <w:spacing w:line="360" w:lineRule="auto"/>
      </w:pPr>
      <w:r>
        <w:tab/>
      </w:r>
      <w:r w:rsidR="00823AEE">
        <w:tab/>
      </w:r>
      <w:r w:rsidR="000D4344">
        <w:t>The</w:t>
      </w:r>
      <w:r>
        <w:t xml:space="preserve"> donor interviews </w:t>
      </w:r>
      <w:r w:rsidR="00FD5459">
        <w:t xml:space="preserve">will require IRB and OMB approvals.  </w:t>
      </w:r>
      <w:r w:rsidR="00916D68">
        <w:t xml:space="preserve">A detailed packet including the protocol, consent form and the </w:t>
      </w:r>
      <w:r w:rsidR="005B5B2E">
        <w:t>discussion guide</w:t>
      </w:r>
      <w:r w:rsidR="00916D68">
        <w:t xml:space="preserve"> will be submitted to the IRBs for the six blood centers and the coordinating center. </w:t>
      </w:r>
    </w:p>
    <w:p w:rsidR="00035B67" w:rsidRDefault="00035B67">
      <w:pPr>
        <w:spacing w:line="360" w:lineRule="auto"/>
        <w:rPr>
          <w:b/>
          <w:sz w:val="22"/>
          <w:szCs w:val="22"/>
        </w:rPr>
      </w:pPr>
    </w:p>
    <w:p w:rsidR="00C7580C" w:rsidRPr="00823AEE" w:rsidRDefault="00C667D4" w:rsidP="00823AEE">
      <w:pPr>
        <w:spacing w:line="360" w:lineRule="auto"/>
        <w:jc w:val="center"/>
        <w:rPr>
          <w:b/>
          <w:sz w:val="22"/>
          <w:szCs w:val="22"/>
        </w:rPr>
      </w:pPr>
      <w:r>
        <w:rPr>
          <w:b/>
          <w:sz w:val="22"/>
          <w:szCs w:val="22"/>
        </w:rPr>
        <w:t>I</w:t>
      </w:r>
      <w:r w:rsidR="00823AEE" w:rsidRPr="00823AEE">
        <w:rPr>
          <w:b/>
          <w:sz w:val="22"/>
          <w:szCs w:val="22"/>
        </w:rPr>
        <w:t>. ESTIMATED BUDGET</w:t>
      </w:r>
    </w:p>
    <w:p w:rsidR="00823AEE" w:rsidRDefault="00823AEE" w:rsidP="00D04BE0">
      <w:pPr>
        <w:spacing w:line="360" w:lineRule="auto"/>
        <w:ind w:firstLine="720"/>
      </w:pPr>
      <w:r>
        <w:tab/>
      </w:r>
    </w:p>
    <w:p w:rsidR="00C7580C" w:rsidRDefault="00C7580C" w:rsidP="00D04BE0">
      <w:pPr>
        <w:spacing w:line="360" w:lineRule="auto"/>
        <w:ind w:firstLine="720"/>
      </w:pPr>
      <w:r>
        <w:t xml:space="preserve">The </w:t>
      </w:r>
      <w:smartTag w:uri="urn:schemas-microsoft-com:office:smarttags" w:element="place">
        <w:smartTag w:uri="urn:schemas-microsoft-com:office:smarttags" w:element="PlaceName">
          <w:r>
            <w:t>Coordinating</w:t>
          </w:r>
        </w:smartTag>
        <w:r>
          <w:t xml:space="preserve"> </w:t>
        </w:r>
        <w:smartTag w:uri="urn:schemas-microsoft-com:office:smarttags" w:element="PlaceType">
          <w:r>
            <w:t>Center</w:t>
          </w:r>
        </w:smartTag>
      </w:smartTag>
      <w:r>
        <w:t xml:space="preserve"> budget includes the development</w:t>
      </w:r>
      <w:r w:rsidR="007578AA">
        <w:t xml:space="preserve"> of the telephone interview for PDI, appropriately deferred and accepted donors.</w:t>
      </w:r>
      <w:r>
        <w:t xml:space="preserve">  This also include</w:t>
      </w:r>
      <w:r w:rsidR="007578AA">
        <w:t>s the costs for the cognitive testing of these interview questions</w:t>
      </w:r>
      <w:r w:rsidR="00264889">
        <w:t xml:space="preserve">. </w:t>
      </w:r>
      <w:r>
        <w:t xml:space="preserve">In addition to the survey development, </w:t>
      </w:r>
      <w:r w:rsidR="00D04BE0">
        <w:t>t</w:t>
      </w:r>
      <w:r>
        <w:t xml:space="preserve">he </w:t>
      </w:r>
      <w:smartTag w:uri="urn:schemas-microsoft-com:office:smarttags" w:element="place">
        <w:smartTag w:uri="urn:schemas-microsoft-com:office:smarttags" w:element="PlaceName">
          <w:r>
            <w:t>Coordinating</w:t>
          </w:r>
        </w:smartTag>
        <w:r>
          <w:t xml:space="preserve"> </w:t>
        </w:r>
        <w:smartTag w:uri="urn:schemas-microsoft-com:office:smarttags" w:element="PlaceType">
          <w:r>
            <w:lastRenderedPageBreak/>
            <w:t>Center</w:t>
          </w:r>
        </w:smartTag>
      </w:smartTag>
      <w:r>
        <w:t xml:space="preserve"> budget also includes the cost of conducting interviews </w:t>
      </w:r>
      <w:r w:rsidR="00D04BE0">
        <w:t xml:space="preserve">over </w:t>
      </w:r>
      <w:r w:rsidR="00D04BE0" w:rsidRPr="00BA1964">
        <w:t>a 4</w:t>
      </w:r>
      <w:r w:rsidR="00D04BE0">
        <w:t xml:space="preserve"> month period </w:t>
      </w:r>
      <w:r>
        <w:t xml:space="preserve">with approximately </w:t>
      </w:r>
      <w:r w:rsidR="00991FA6">
        <w:t xml:space="preserve">102 </w:t>
      </w:r>
      <w:r>
        <w:t xml:space="preserve">donors (PDI, deferred and accepted) </w:t>
      </w:r>
      <w:r w:rsidR="009352F0">
        <w:t xml:space="preserve">from the </w:t>
      </w:r>
      <w:r w:rsidR="00762042">
        <w:t>6</w:t>
      </w:r>
      <w:r w:rsidR="00D04BE0">
        <w:t xml:space="preserve"> </w:t>
      </w:r>
      <w:r>
        <w:t>centers</w:t>
      </w:r>
      <w:r w:rsidR="00862D6D">
        <w:t xml:space="preserve"> and performing interim quality control assessments</w:t>
      </w:r>
      <w:r>
        <w:t xml:space="preserve">.  The Coordinating center budget covers the cost of </w:t>
      </w:r>
      <w:r w:rsidR="00264889">
        <w:t xml:space="preserve">coding </w:t>
      </w:r>
      <w:r w:rsidR="00D04BE0">
        <w:t xml:space="preserve">and transcribing </w:t>
      </w:r>
      <w:r w:rsidR="00264889">
        <w:t>the</w:t>
      </w:r>
      <w:r>
        <w:t xml:space="preserve"> audiotapes, </w:t>
      </w:r>
      <w:r w:rsidR="00264889">
        <w:t xml:space="preserve">combining them with the interviewer notes </w:t>
      </w:r>
      <w:r>
        <w:t xml:space="preserve">and </w:t>
      </w:r>
      <w:r w:rsidR="00862D6D">
        <w:t>6</w:t>
      </w:r>
      <w:r>
        <w:t xml:space="preserve"> months for data preparation and analysis. </w:t>
      </w:r>
    </w:p>
    <w:p w:rsidR="00752983" w:rsidRDefault="00C7580C" w:rsidP="00752983">
      <w:pPr>
        <w:spacing w:line="360" w:lineRule="auto"/>
        <w:ind w:firstLine="720"/>
      </w:pPr>
      <w:r>
        <w:t xml:space="preserve">The Centers’ </w:t>
      </w:r>
      <w:r w:rsidR="00264889">
        <w:t>responsibilities include</w:t>
      </w:r>
      <w:r>
        <w:t xml:space="preserve"> the costs for </w:t>
      </w:r>
      <w:r w:rsidR="009352F0">
        <w:t xml:space="preserve">contacting and </w:t>
      </w:r>
      <w:r>
        <w:t xml:space="preserve">recruiting a selection of PDI, deferred and </w:t>
      </w:r>
      <w:r w:rsidR="00762042">
        <w:t xml:space="preserve">accepted </w:t>
      </w:r>
      <w:r>
        <w:t>donors for the individual interviews (</w:t>
      </w:r>
      <w:r w:rsidR="00991FA6">
        <w:t>17</w:t>
      </w:r>
      <w:r w:rsidR="00BB3810">
        <w:t xml:space="preserve"> </w:t>
      </w:r>
      <w:r w:rsidR="000D4344">
        <w:t xml:space="preserve">completed </w:t>
      </w:r>
      <w:r w:rsidR="009352F0">
        <w:t>donor</w:t>
      </w:r>
      <w:r>
        <w:t xml:space="preserve"> </w:t>
      </w:r>
      <w:r w:rsidR="000D4344">
        <w:t xml:space="preserve">interviews </w:t>
      </w:r>
      <w:r>
        <w:t>per center)</w:t>
      </w:r>
      <w:r w:rsidR="00762042">
        <w:t>.</w:t>
      </w:r>
      <w:r>
        <w:t xml:space="preserve"> </w:t>
      </w:r>
      <w:r w:rsidR="00D04BE0">
        <w:t xml:space="preserve"> </w:t>
      </w:r>
      <w:r w:rsidR="00752983">
        <w:t xml:space="preserve">For planning purposes, centers </w:t>
      </w:r>
      <w:r w:rsidR="00D04BE0">
        <w:t xml:space="preserve">should plan to have to recruit 2 donors for each interview or </w:t>
      </w:r>
      <w:r w:rsidR="00991FA6">
        <w:t>34</w:t>
      </w:r>
      <w:r w:rsidR="00BB3810">
        <w:t xml:space="preserve"> </w:t>
      </w:r>
      <w:r w:rsidR="00D04BE0">
        <w:t>donor</w:t>
      </w:r>
      <w:r w:rsidR="00752983">
        <w:t>s</w:t>
      </w:r>
      <w:r w:rsidR="00D04BE0">
        <w:t xml:space="preserve"> </w:t>
      </w:r>
      <w:r w:rsidR="00752983">
        <w:t>to allow for loss of subjects should a donor who agrees subsequently does not participate.</w:t>
      </w:r>
      <w:r w:rsidR="002E5533">
        <w:t xml:space="preserve">  For budgeting a 50% agreement rate should be planned.  Thus, it is anticipated that </w:t>
      </w:r>
      <w:r w:rsidR="00991FA6">
        <w:t>68</w:t>
      </w:r>
      <w:r w:rsidR="00BB3810">
        <w:t xml:space="preserve"> </w:t>
      </w:r>
      <w:r w:rsidR="002E5533">
        <w:t xml:space="preserve">donors at each center will have to be contacted to yield the </w:t>
      </w:r>
      <w:r w:rsidR="00991FA6">
        <w:t xml:space="preserve">34 </w:t>
      </w:r>
      <w:r w:rsidR="002E5533">
        <w:t>who initially agree to the interview</w:t>
      </w:r>
      <w:r w:rsidR="00080C0F">
        <w:t>.</w:t>
      </w:r>
    </w:p>
    <w:p w:rsidR="00C7580C" w:rsidRDefault="00C7580C" w:rsidP="00080C0F">
      <w:pPr>
        <w:spacing w:line="360" w:lineRule="auto"/>
      </w:pPr>
      <w:r>
        <w:t>Budget for project:</w:t>
      </w:r>
      <w:r w:rsidR="009352F0">
        <w:t xml:space="preserve"> </w:t>
      </w:r>
    </w:p>
    <w:p w:rsidR="00C7580C" w:rsidRDefault="00C758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C7580C" w:rsidRPr="008354BE">
        <w:tc>
          <w:tcPr>
            <w:tcW w:w="4428" w:type="dxa"/>
          </w:tcPr>
          <w:p w:rsidR="00C7580C" w:rsidRPr="008354BE" w:rsidRDefault="00C7580C"/>
        </w:tc>
        <w:tc>
          <w:tcPr>
            <w:tcW w:w="4428" w:type="dxa"/>
          </w:tcPr>
          <w:p w:rsidR="00C7580C" w:rsidRPr="002A340B" w:rsidRDefault="00C7580C">
            <w:pPr>
              <w:rPr>
                <w:b/>
              </w:rPr>
            </w:pPr>
            <w:r w:rsidRPr="002A340B">
              <w:rPr>
                <w:b/>
              </w:rPr>
              <w:t>Direct and Indirect Costs</w:t>
            </w:r>
          </w:p>
        </w:tc>
      </w:tr>
      <w:tr w:rsidR="00C7580C" w:rsidRPr="008354BE">
        <w:tc>
          <w:tcPr>
            <w:tcW w:w="4428" w:type="dxa"/>
          </w:tcPr>
          <w:p w:rsidR="00C7580C" w:rsidRPr="008354BE" w:rsidRDefault="00C7580C">
            <w:r w:rsidRPr="008354BE">
              <w:t>Centers</w:t>
            </w:r>
          </w:p>
        </w:tc>
        <w:tc>
          <w:tcPr>
            <w:tcW w:w="4428" w:type="dxa"/>
          </w:tcPr>
          <w:p w:rsidR="00C7580C" w:rsidRPr="008354BE" w:rsidRDefault="002A340B">
            <w:r>
              <w:t>$12,000</w:t>
            </w:r>
          </w:p>
        </w:tc>
      </w:tr>
      <w:tr w:rsidR="00C7580C" w:rsidRPr="008354BE">
        <w:tc>
          <w:tcPr>
            <w:tcW w:w="4428" w:type="dxa"/>
          </w:tcPr>
          <w:p w:rsidR="00C7580C" w:rsidRPr="002A340B" w:rsidRDefault="00C7580C">
            <w:r w:rsidRPr="002A340B">
              <w:t>Coordinating Center</w:t>
            </w:r>
          </w:p>
        </w:tc>
        <w:tc>
          <w:tcPr>
            <w:tcW w:w="4428" w:type="dxa"/>
          </w:tcPr>
          <w:p w:rsidR="00C7580C" w:rsidRPr="002A340B" w:rsidRDefault="002A340B">
            <w:r w:rsidRPr="002A340B">
              <w:t>$192,601</w:t>
            </w:r>
          </w:p>
        </w:tc>
      </w:tr>
      <w:tr w:rsidR="00C7580C" w:rsidRPr="008354BE">
        <w:tc>
          <w:tcPr>
            <w:tcW w:w="4428" w:type="dxa"/>
          </w:tcPr>
          <w:p w:rsidR="00C7580C" w:rsidRPr="008354BE" w:rsidRDefault="00C7580C">
            <w:r w:rsidRPr="008354BE">
              <w:t>Central Laboratory</w:t>
            </w:r>
          </w:p>
        </w:tc>
        <w:tc>
          <w:tcPr>
            <w:tcW w:w="4428" w:type="dxa"/>
          </w:tcPr>
          <w:p w:rsidR="00C7580C" w:rsidRPr="008354BE" w:rsidRDefault="009352F0">
            <w:r>
              <w:t>NA</w:t>
            </w:r>
          </w:p>
        </w:tc>
      </w:tr>
      <w:tr w:rsidR="00C7580C" w:rsidRPr="002A340B">
        <w:tc>
          <w:tcPr>
            <w:tcW w:w="4428" w:type="dxa"/>
          </w:tcPr>
          <w:p w:rsidR="00C7580C" w:rsidRPr="002A340B" w:rsidRDefault="00C7580C">
            <w:pPr>
              <w:rPr>
                <w:b/>
              </w:rPr>
            </w:pPr>
            <w:r w:rsidRPr="002A340B">
              <w:rPr>
                <w:b/>
              </w:rPr>
              <w:t xml:space="preserve">Total </w:t>
            </w:r>
          </w:p>
        </w:tc>
        <w:tc>
          <w:tcPr>
            <w:tcW w:w="4428" w:type="dxa"/>
          </w:tcPr>
          <w:p w:rsidR="00C7580C" w:rsidRPr="002A340B" w:rsidRDefault="002A340B">
            <w:pPr>
              <w:rPr>
                <w:b/>
              </w:rPr>
            </w:pPr>
            <w:r w:rsidRPr="002A340B">
              <w:rPr>
                <w:b/>
              </w:rPr>
              <w:t>$204,601</w:t>
            </w:r>
          </w:p>
        </w:tc>
      </w:tr>
    </w:tbl>
    <w:p w:rsidR="00C7580C" w:rsidRDefault="00C7580C">
      <w:pPr>
        <w:rPr>
          <w:b/>
        </w:rPr>
      </w:pPr>
    </w:p>
    <w:p w:rsidR="00CB1ECA" w:rsidRDefault="00CB1ECA">
      <w:pPr>
        <w:rPr>
          <w:b/>
        </w:rPr>
      </w:pPr>
    </w:p>
    <w:p w:rsidR="00035B67" w:rsidRDefault="00035B67">
      <w:pPr>
        <w:rPr>
          <w:b/>
        </w:rPr>
      </w:pPr>
    </w:p>
    <w:p w:rsidR="00035B67" w:rsidRDefault="00035B67">
      <w:pPr>
        <w:rPr>
          <w:b/>
        </w:rPr>
      </w:pPr>
    </w:p>
    <w:p w:rsidR="00035B67" w:rsidRDefault="00035B67">
      <w:pPr>
        <w:rPr>
          <w:b/>
        </w:rPr>
      </w:pPr>
    </w:p>
    <w:p w:rsidR="00035B67" w:rsidRDefault="00035B67">
      <w:pPr>
        <w:rPr>
          <w:b/>
        </w:rPr>
      </w:pPr>
    </w:p>
    <w:p w:rsidR="00035B67" w:rsidRDefault="00035B67">
      <w:pPr>
        <w:rPr>
          <w:b/>
        </w:rPr>
      </w:pPr>
    </w:p>
    <w:p w:rsidR="00035B67" w:rsidRDefault="00035B67">
      <w:pPr>
        <w:rPr>
          <w:b/>
        </w:rPr>
      </w:pPr>
    </w:p>
    <w:p w:rsidR="00035B67" w:rsidRDefault="00035B67">
      <w:pPr>
        <w:rPr>
          <w:b/>
        </w:rPr>
      </w:pPr>
    </w:p>
    <w:p w:rsidR="00035B67" w:rsidRDefault="00035B67">
      <w:pPr>
        <w:rPr>
          <w:b/>
        </w:rPr>
      </w:pPr>
    </w:p>
    <w:p w:rsidR="00035B67" w:rsidRDefault="00035B67">
      <w:pPr>
        <w:rPr>
          <w:b/>
        </w:rPr>
      </w:pPr>
    </w:p>
    <w:p w:rsidR="00035B67" w:rsidRDefault="00035B67">
      <w:pPr>
        <w:rPr>
          <w:b/>
        </w:rPr>
      </w:pPr>
    </w:p>
    <w:p w:rsidR="00035B67" w:rsidRDefault="00035B67">
      <w:pPr>
        <w:rPr>
          <w:b/>
        </w:rPr>
      </w:pPr>
    </w:p>
    <w:p w:rsidR="00035B67" w:rsidRDefault="00035B67">
      <w:pPr>
        <w:rPr>
          <w:b/>
        </w:rPr>
      </w:pPr>
    </w:p>
    <w:p w:rsidR="00035B67" w:rsidRDefault="00035B67">
      <w:pPr>
        <w:rPr>
          <w:b/>
        </w:rPr>
      </w:pPr>
    </w:p>
    <w:p w:rsidR="00035B67" w:rsidRDefault="00035B67">
      <w:pPr>
        <w:rPr>
          <w:b/>
        </w:rPr>
      </w:pPr>
    </w:p>
    <w:p w:rsidR="00035B67" w:rsidRDefault="00035B67">
      <w:pPr>
        <w:rPr>
          <w:b/>
        </w:rPr>
      </w:pPr>
    </w:p>
    <w:p w:rsidR="00035B67" w:rsidRDefault="00035B67">
      <w:pPr>
        <w:rPr>
          <w:b/>
        </w:rPr>
      </w:pPr>
    </w:p>
    <w:p w:rsidR="00035B67" w:rsidRDefault="00035B67">
      <w:pPr>
        <w:rPr>
          <w:b/>
        </w:rPr>
      </w:pPr>
    </w:p>
    <w:p w:rsidR="00035B67" w:rsidRDefault="00035B67">
      <w:pPr>
        <w:rPr>
          <w:b/>
        </w:rPr>
      </w:pPr>
    </w:p>
    <w:p w:rsidR="00CB1ECA" w:rsidRDefault="00CB1ECA">
      <w:pPr>
        <w:rPr>
          <w:b/>
        </w:rPr>
      </w:pPr>
    </w:p>
    <w:p w:rsidR="00397B0B" w:rsidRPr="00C667D4" w:rsidRDefault="00C667D4" w:rsidP="00C667D4">
      <w:pPr>
        <w:jc w:val="center"/>
        <w:rPr>
          <w:b/>
          <w:sz w:val="22"/>
          <w:szCs w:val="22"/>
        </w:rPr>
      </w:pPr>
      <w:r w:rsidRPr="00C667D4">
        <w:rPr>
          <w:b/>
          <w:sz w:val="22"/>
          <w:szCs w:val="22"/>
        </w:rPr>
        <w:lastRenderedPageBreak/>
        <w:t>J.  REFERENCES</w:t>
      </w:r>
    </w:p>
    <w:p w:rsidR="00397B0B" w:rsidRDefault="00397B0B" w:rsidP="00397B0B"/>
    <w:p w:rsidR="00397B0B" w:rsidRDefault="00397B0B" w:rsidP="00397B0B">
      <w:pPr>
        <w:numPr>
          <w:ilvl w:val="0"/>
          <w:numId w:val="27"/>
        </w:numPr>
      </w:pPr>
      <w:r>
        <w:t>Food and Drug Administration. Center for Biologics Evaluation and Research. Biological Product Deviation Reports-Annual Summary for Fiscal Year 200</w:t>
      </w:r>
      <w:r w:rsidR="00016EE0">
        <w:t>7</w:t>
      </w:r>
      <w:r>
        <w:t>.</w:t>
      </w:r>
    </w:p>
    <w:p w:rsidR="00397B0B" w:rsidRDefault="00397B0B" w:rsidP="00397B0B">
      <w:pPr>
        <w:numPr>
          <w:ilvl w:val="0"/>
          <w:numId w:val="27"/>
        </w:numPr>
      </w:pPr>
      <w:r w:rsidRPr="00752983">
        <w:rPr>
          <w:lang w:val="sv-SE"/>
        </w:rPr>
        <w:t xml:space="preserve">Dodd RY, Notari EP, Stramer SL. </w:t>
      </w:r>
      <w:r>
        <w:t>Current prevalence and incidence of infectious disease markers and estimated window-period risk in the American Red Cross blood donor population.  Transfusion 2002; 42:975-979.</w:t>
      </w:r>
    </w:p>
    <w:p w:rsidR="00397B0B" w:rsidRDefault="00397B0B" w:rsidP="00397B0B">
      <w:pPr>
        <w:numPr>
          <w:ilvl w:val="0"/>
          <w:numId w:val="27"/>
        </w:numPr>
      </w:pPr>
      <w:r w:rsidRPr="00752983">
        <w:rPr>
          <w:lang w:val="de-DE"/>
        </w:rPr>
        <w:t xml:space="preserve">Glynn SA, Schreiber GB, Busch MP et al.  </w:t>
      </w:r>
      <w:r>
        <w:t xml:space="preserve">Demographic characteristics, unreported risk behaviors, and the prevalence and incidence of viral infections; a comparison of </w:t>
      </w:r>
      <w:proofErr w:type="spellStart"/>
      <w:r>
        <w:t>apheresis</w:t>
      </w:r>
      <w:proofErr w:type="spellEnd"/>
      <w:r>
        <w:t xml:space="preserve"> and whole blood donors.  Transfusion 1998; 38:350-358.</w:t>
      </w:r>
    </w:p>
    <w:p w:rsidR="00397B0B" w:rsidRDefault="00397B0B" w:rsidP="00397B0B">
      <w:pPr>
        <w:numPr>
          <w:ilvl w:val="0"/>
          <w:numId w:val="27"/>
        </w:numPr>
      </w:pPr>
      <w:r>
        <w:t xml:space="preserve">Glynn SA, Smith JW, Schreiber GB et al.  Repeat whole-blood and </w:t>
      </w:r>
      <w:proofErr w:type="spellStart"/>
      <w:r>
        <w:t>plateletpheresis</w:t>
      </w:r>
      <w:proofErr w:type="spellEnd"/>
      <w:r>
        <w:t xml:space="preserve"> donors: unreported deferrable risks, reactive screening tests, and response to incentive programs.  Transfusion 2001; 41:736-743.</w:t>
      </w:r>
    </w:p>
    <w:p w:rsidR="00397B0B" w:rsidRDefault="00397B0B" w:rsidP="00397B0B">
      <w:pPr>
        <w:numPr>
          <w:ilvl w:val="0"/>
          <w:numId w:val="27"/>
        </w:numPr>
      </w:pPr>
      <w:proofErr w:type="spellStart"/>
      <w:r>
        <w:t>Rugege-Hakize</w:t>
      </w:r>
      <w:proofErr w:type="spellEnd"/>
      <w:r>
        <w:t xml:space="preserve"> SE, Glynn SA, </w:t>
      </w:r>
      <w:smartTag w:uri="urn:schemas-microsoft-com:office:smarttags" w:element="address">
        <w:smartTag w:uri="urn:schemas-microsoft-com:office:smarttags" w:element="Street">
          <w:r>
            <w:t>Hutching ST</w:t>
          </w:r>
        </w:smartTag>
        <w:r>
          <w:t xml:space="preserve"> et al</w:t>
        </w:r>
      </w:smartTag>
      <w:r>
        <w:t>. Do blood donors read and understand screening educational materials? Transfusion 2003; 43:1075-1083.</w:t>
      </w:r>
    </w:p>
    <w:p w:rsidR="00397B0B" w:rsidRDefault="00397B0B" w:rsidP="00397B0B">
      <w:pPr>
        <w:numPr>
          <w:ilvl w:val="0"/>
          <w:numId w:val="27"/>
        </w:numPr>
      </w:pPr>
      <w:r>
        <w:rPr>
          <w:lang w:val="it-IT"/>
        </w:rPr>
        <w:t xml:space="preserve">Wu Y, Glynn SA, Schreiber GB et al. </w:t>
      </w:r>
      <w:r>
        <w:t>First-time blood donors: demographic trends.  Transfusion 2001; 41:360-364.</w:t>
      </w:r>
    </w:p>
    <w:p w:rsidR="00397B0B" w:rsidRDefault="00397B0B" w:rsidP="00397B0B">
      <w:pPr>
        <w:numPr>
          <w:ilvl w:val="0"/>
          <w:numId w:val="27"/>
        </w:numPr>
      </w:pPr>
      <w:r>
        <w:t xml:space="preserve">Orton SL, </w:t>
      </w:r>
      <w:proofErr w:type="spellStart"/>
      <w:r>
        <w:t>Virvos</w:t>
      </w:r>
      <w:proofErr w:type="spellEnd"/>
      <w:r>
        <w:t xml:space="preserve"> VJ. Summary of focus group discussions of donor screening questions for structure, content and comprehension: Report to American Association of Blood Banks Uniform Donor History Questionnaire Task Force, 2001.</w:t>
      </w:r>
    </w:p>
    <w:p w:rsidR="00397B0B" w:rsidRDefault="00397B0B" w:rsidP="00397B0B">
      <w:pPr>
        <w:numPr>
          <w:ilvl w:val="0"/>
          <w:numId w:val="27"/>
        </w:numPr>
      </w:pPr>
      <w:r w:rsidRPr="00752983">
        <w:rPr>
          <w:lang w:val="de-DE"/>
        </w:rPr>
        <w:t xml:space="preserve">Silvergleid AJ, Leparc GF, Schmidt PJ. </w:t>
      </w:r>
      <w:r>
        <w:t>Impact of explicit questions about high-risk activities on donor attitudes and donor deferral patterns.  Results in two community blood centers. Transfusion 1989; 29:362-364.</w:t>
      </w:r>
    </w:p>
    <w:p w:rsidR="00397B0B" w:rsidRDefault="00397B0B" w:rsidP="00397B0B">
      <w:pPr>
        <w:numPr>
          <w:ilvl w:val="0"/>
          <w:numId w:val="27"/>
        </w:numPr>
      </w:pPr>
      <w:r>
        <w:t xml:space="preserve">Mayo DJ, Rose AM, </w:t>
      </w:r>
      <w:proofErr w:type="spellStart"/>
      <w:r>
        <w:t>Matchett</w:t>
      </w:r>
      <w:proofErr w:type="spellEnd"/>
      <w:r>
        <w:t xml:space="preserve"> SE et al. Screening potential blood donors at risk for human immunodeficiency virus.  Transfusion 1991; 31:466-474.</w:t>
      </w:r>
    </w:p>
    <w:p w:rsidR="00397B0B" w:rsidRDefault="00397B0B" w:rsidP="00397B0B">
      <w:pPr>
        <w:numPr>
          <w:ilvl w:val="0"/>
          <w:numId w:val="27"/>
        </w:numPr>
      </w:pPr>
      <w:proofErr w:type="spellStart"/>
      <w:r>
        <w:t>Aquilino</w:t>
      </w:r>
      <w:proofErr w:type="spellEnd"/>
      <w:r>
        <w:t xml:space="preserve"> WS. Effects of interview mode on measuring depression in younger adults.  Journal of Official Statistics 1998; </w:t>
      </w:r>
      <w:smartTag w:uri="urn:schemas-microsoft-com:office:smarttags" w:element="time">
        <w:smartTagPr>
          <w:attr w:name="Hour" w:val="14"/>
          <w:attr w:name="Minute" w:val="15"/>
        </w:smartTagPr>
        <w:r>
          <w:t>14:15</w:t>
        </w:r>
      </w:smartTag>
      <w:r>
        <w:t>-29.</w:t>
      </w:r>
    </w:p>
    <w:p w:rsidR="00397B0B" w:rsidRDefault="00397B0B" w:rsidP="00397B0B">
      <w:pPr>
        <w:numPr>
          <w:ilvl w:val="0"/>
          <w:numId w:val="27"/>
        </w:numPr>
      </w:pPr>
      <w:r w:rsidRPr="00752983">
        <w:rPr>
          <w:lang w:val="sv-SE"/>
        </w:rPr>
        <w:t xml:space="preserve">Tourangeau R, Rasinski K, Jobe JB. </w:t>
      </w:r>
      <w:r>
        <w:t xml:space="preserve">Sources of error in a survey on sexual behavior.  Journal of Official Statistics 1997; 13:341-365. </w:t>
      </w:r>
    </w:p>
    <w:p w:rsidR="00397B0B" w:rsidRDefault="00397B0B" w:rsidP="00397B0B">
      <w:pPr>
        <w:numPr>
          <w:ilvl w:val="0"/>
          <w:numId w:val="27"/>
        </w:numPr>
      </w:pPr>
      <w:r w:rsidRPr="00752983">
        <w:rPr>
          <w:lang w:val="de-DE"/>
        </w:rPr>
        <w:t xml:space="preserve">Sanchez AM, Schreiber GB, Glynn SA et al. </w:t>
      </w:r>
      <w:r>
        <w:t>Blood-donor perceptions of health history screening with a computer-assisted self-administered interview.  Transfusion 2003; 43:165-172.</w:t>
      </w:r>
    </w:p>
    <w:p w:rsidR="00397B0B" w:rsidRDefault="00397B0B" w:rsidP="00397B0B">
      <w:pPr>
        <w:numPr>
          <w:ilvl w:val="0"/>
          <w:numId w:val="27"/>
        </w:numPr>
      </w:pPr>
      <w:r>
        <w:t>Katz LM, Cumming PD, Wallace EL, Abrams PS. Audiovisual touch-screen computer-assisted self-interviewing for donor health histories: results from two years experience with the system.  Transfusion 2005; 45:171-180.</w:t>
      </w:r>
    </w:p>
    <w:p w:rsidR="00397B0B" w:rsidRDefault="00397B0B" w:rsidP="00397B0B">
      <w:pPr>
        <w:numPr>
          <w:ilvl w:val="0"/>
          <w:numId w:val="27"/>
        </w:numPr>
      </w:pPr>
      <w:r>
        <w:t xml:space="preserve">Lee SJ, Wilkinson SL, Battles JB, </w:t>
      </w:r>
      <w:proofErr w:type="spellStart"/>
      <w:r>
        <w:t>Hynan</w:t>
      </w:r>
      <w:proofErr w:type="spellEnd"/>
      <w:r>
        <w:t xml:space="preserve"> LS. An objective structured clinical examination to evaluate health historian competencies.  Transfusion 2003; 43:34-41.</w:t>
      </w:r>
    </w:p>
    <w:p w:rsidR="00397B0B" w:rsidRDefault="00397B0B" w:rsidP="00397B0B">
      <w:pPr>
        <w:numPr>
          <w:ilvl w:val="0"/>
          <w:numId w:val="27"/>
        </w:numPr>
      </w:pPr>
      <w:r>
        <w:t xml:space="preserve">Orton SL, </w:t>
      </w:r>
      <w:proofErr w:type="spellStart"/>
      <w:r>
        <w:t>Virvos</w:t>
      </w:r>
      <w:proofErr w:type="spellEnd"/>
      <w:r>
        <w:t xml:space="preserve"> VJ, Williams AE. Validation of selected donor-screening questions: structure, content and comprehension. Transfusion 2000; 40:1407-1413. </w:t>
      </w:r>
    </w:p>
    <w:p w:rsidR="00397B0B" w:rsidRDefault="00397B0B" w:rsidP="00397B0B">
      <w:pPr>
        <w:numPr>
          <w:ilvl w:val="0"/>
          <w:numId w:val="27"/>
        </w:numPr>
      </w:pPr>
      <w:r>
        <w:t xml:space="preserve">Beatty P.  Cognitive interview evaluation of the blood donor history screening questionnaire – Results of a study conducted August-December, 2001. </w:t>
      </w:r>
    </w:p>
    <w:p w:rsidR="00D04BE0" w:rsidRPr="00D04BE0" w:rsidRDefault="009352F0" w:rsidP="00D04BE0">
      <w:pPr>
        <w:numPr>
          <w:ilvl w:val="0"/>
          <w:numId w:val="27"/>
        </w:numPr>
      </w:pPr>
      <w:r>
        <w:t>Berkowitz S.</w:t>
      </w:r>
      <w:r w:rsidR="00D04BE0" w:rsidRPr="00D04BE0">
        <w:t xml:space="preserve"> </w:t>
      </w:r>
      <w:proofErr w:type="gramStart"/>
      <w:r w:rsidR="00D04BE0" w:rsidRPr="00D04BE0">
        <w:t>" Analyzing</w:t>
      </w:r>
      <w:proofErr w:type="gramEnd"/>
      <w:r w:rsidR="00D04BE0" w:rsidRPr="00D04BE0">
        <w:t xml:space="preserve"> Qualitative Data," pp. 4-1-4-21 </w:t>
      </w:r>
      <w:r w:rsidR="00C45F5F">
        <w:t>in </w:t>
      </w:r>
      <w:proofErr w:type="spellStart"/>
      <w:r w:rsidR="00C45F5F">
        <w:t>Frechtling</w:t>
      </w:r>
      <w:proofErr w:type="spellEnd"/>
      <w:r w:rsidR="00C45F5F">
        <w:t>, J  and Sharp, L.</w:t>
      </w:r>
      <w:r w:rsidR="00D04BE0" w:rsidRPr="00D04BE0">
        <w:t xml:space="preserve">, eds., </w:t>
      </w:r>
      <w:r w:rsidR="00D04BE0" w:rsidRPr="00D04BE0">
        <w:rPr>
          <w:rStyle w:val="Emphasis"/>
        </w:rPr>
        <w:t>User-Friendly Handbook for Mixed Method Evaluations</w:t>
      </w:r>
      <w:r w:rsidR="00D04BE0" w:rsidRPr="00D04BE0">
        <w:t xml:space="preserve">, </w:t>
      </w:r>
      <w:smartTag w:uri="urn:schemas-microsoft-com:office:smarttags" w:element="place">
        <w:smartTag w:uri="urn:schemas-microsoft-com:office:smarttags" w:element="City">
          <w:r w:rsidR="00D04BE0" w:rsidRPr="00D04BE0">
            <w:t>Washington</w:t>
          </w:r>
        </w:smartTag>
        <w:r w:rsidR="00D04BE0" w:rsidRPr="00D04BE0">
          <w:t xml:space="preserve">, </w:t>
        </w:r>
        <w:smartTag w:uri="urn:schemas-microsoft-com:office:smarttags" w:element="State">
          <w:r w:rsidR="00D04BE0" w:rsidRPr="00D04BE0">
            <w:t>DC</w:t>
          </w:r>
        </w:smartTag>
      </w:smartTag>
      <w:r w:rsidR="00D04BE0" w:rsidRPr="00D04BE0">
        <w:t>: National Science Foundation. (NSF Publication 97-153)</w:t>
      </w:r>
      <w:r>
        <w:t>, 1997</w:t>
      </w:r>
      <w:r w:rsidR="00D04BE0" w:rsidRPr="00D04BE0">
        <w:t>. </w:t>
      </w:r>
    </w:p>
    <w:p w:rsidR="00D04BE0" w:rsidRDefault="009352F0" w:rsidP="00D04BE0">
      <w:pPr>
        <w:numPr>
          <w:ilvl w:val="0"/>
          <w:numId w:val="27"/>
        </w:numPr>
      </w:pPr>
      <w:r>
        <w:t xml:space="preserve">Miles MB, </w:t>
      </w:r>
      <w:proofErr w:type="spellStart"/>
      <w:r>
        <w:t>Huberman</w:t>
      </w:r>
      <w:proofErr w:type="spellEnd"/>
      <w:r>
        <w:t xml:space="preserve"> AM.</w:t>
      </w:r>
      <w:r w:rsidR="00D04BE0" w:rsidRPr="00D04BE0">
        <w:t xml:space="preserve"> </w:t>
      </w:r>
      <w:r w:rsidR="00D04BE0" w:rsidRPr="00D04BE0">
        <w:rPr>
          <w:rStyle w:val="Emphasis"/>
        </w:rPr>
        <w:t>Qualitative Data Analysis</w:t>
      </w:r>
      <w:r w:rsidR="00D04BE0" w:rsidRPr="00D04BE0">
        <w:t xml:space="preserve">. </w:t>
      </w:r>
      <w:smartTag w:uri="urn:schemas-microsoft-com:office:smarttags" w:element="place">
        <w:smartTag w:uri="urn:schemas-microsoft-com:office:smarttags" w:element="City">
          <w:r w:rsidR="00D04BE0" w:rsidRPr="00D04BE0">
            <w:t>Newbury Park</w:t>
          </w:r>
        </w:smartTag>
        <w:r w:rsidR="00D04BE0" w:rsidRPr="00D04BE0">
          <w:t xml:space="preserve">, </w:t>
        </w:r>
        <w:proofErr w:type="spellStart"/>
        <w:smartTag w:uri="urn:schemas-microsoft-com:office:smarttags" w:element="State">
          <w:r w:rsidR="00D04BE0" w:rsidRPr="00D04BE0">
            <w:t>CA</w:t>
          </w:r>
        </w:smartTag>
      </w:smartTag>
      <w:proofErr w:type="gramStart"/>
      <w:r>
        <w:t>:Sage</w:t>
      </w:r>
      <w:proofErr w:type="spellEnd"/>
      <w:proofErr w:type="gramEnd"/>
      <w:r>
        <w:t xml:space="preserve">, </w:t>
      </w:r>
      <w:r w:rsidRPr="00D04BE0">
        <w:t>1984.</w:t>
      </w:r>
    </w:p>
    <w:p w:rsidR="00554A5A" w:rsidRDefault="00554A5A" w:rsidP="00554A5A">
      <w:pPr>
        <w:ind w:left="645"/>
      </w:pPr>
    </w:p>
    <w:p w:rsidR="00554A5A" w:rsidRDefault="00554A5A" w:rsidP="00554A5A"/>
    <w:p w:rsidR="00554A5A" w:rsidRPr="00E65C36" w:rsidRDefault="00554A5A" w:rsidP="00554A5A">
      <w:r w:rsidRPr="00E65C36">
        <w:lastRenderedPageBreak/>
        <w:t>Appendix A: FDA FY07 PDI and Reasons for Deferral</w:t>
      </w:r>
    </w:p>
    <w:p w:rsidR="00554A5A" w:rsidRPr="00E65C36" w:rsidRDefault="00554A5A" w:rsidP="00554A5A"/>
    <w:p w:rsidR="00554A5A" w:rsidRPr="00E65C36" w:rsidRDefault="00554A5A" w:rsidP="00554A5A">
      <w:r w:rsidRPr="00E65C36">
        <w:t>Table A– FDA FY07 PDI and Reasons for Deferral</w:t>
      </w:r>
    </w:p>
    <w:tbl>
      <w:tblPr>
        <w:tblW w:w="0" w:type="auto"/>
        <w:jc w:val="center"/>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42"/>
        <w:gridCol w:w="1800"/>
        <w:gridCol w:w="1782"/>
      </w:tblGrid>
      <w:tr w:rsidR="00554A5A" w:rsidRPr="00E65C36" w:rsidTr="00554A5A">
        <w:trPr>
          <w:jc w:val="center"/>
        </w:trPr>
        <w:tc>
          <w:tcPr>
            <w:tcW w:w="3942" w:type="dxa"/>
          </w:tcPr>
          <w:p w:rsidR="00554A5A" w:rsidRPr="00E65C36" w:rsidRDefault="00554A5A" w:rsidP="00BE1EAC"/>
        </w:tc>
        <w:tc>
          <w:tcPr>
            <w:tcW w:w="1800" w:type="dxa"/>
          </w:tcPr>
          <w:p w:rsidR="00554A5A" w:rsidRPr="00E65C36" w:rsidRDefault="00554A5A" w:rsidP="00BE1EAC">
            <w:r w:rsidRPr="00E65C36">
              <w:t>2007  Number of  PDI FDA*</w:t>
            </w:r>
          </w:p>
        </w:tc>
        <w:tc>
          <w:tcPr>
            <w:tcW w:w="1782" w:type="dxa"/>
          </w:tcPr>
          <w:p w:rsidR="00554A5A" w:rsidRPr="00E65C36" w:rsidRDefault="00554A5A" w:rsidP="00BE1EAC">
            <w:r w:rsidRPr="00E65C36">
              <w:t>2007</w:t>
            </w:r>
          </w:p>
          <w:p w:rsidR="00554A5A" w:rsidRPr="00E65C36" w:rsidRDefault="00554A5A" w:rsidP="00BE1EAC">
            <w:r w:rsidRPr="00E65C36">
              <w:t xml:space="preserve">Percentage PDI </w:t>
            </w:r>
          </w:p>
          <w:p w:rsidR="00554A5A" w:rsidRPr="00E65C36" w:rsidRDefault="00554A5A" w:rsidP="00BE1EAC">
            <w:r w:rsidRPr="00E65C36">
              <w:t>FDA*</w:t>
            </w:r>
          </w:p>
        </w:tc>
      </w:tr>
      <w:tr w:rsidR="00554A5A" w:rsidRPr="00E65C36" w:rsidTr="00554A5A">
        <w:trPr>
          <w:jc w:val="center"/>
        </w:trPr>
        <w:tc>
          <w:tcPr>
            <w:tcW w:w="3942" w:type="dxa"/>
          </w:tcPr>
          <w:p w:rsidR="00554A5A" w:rsidRPr="00E65C36" w:rsidRDefault="00554A5A" w:rsidP="00BE1EAC">
            <w:pPr>
              <w:rPr>
                <w:highlight w:val="yellow"/>
              </w:rPr>
            </w:pPr>
            <w:r w:rsidRPr="00E65C36">
              <w:t>Travel to malaria endemic area/history of malaria</w:t>
            </w:r>
          </w:p>
        </w:tc>
        <w:tc>
          <w:tcPr>
            <w:tcW w:w="1800" w:type="dxa"/>
          </w:tcPr>
          <w:p w:rsidR="00554A5A" w:rsidRPr="00E65C36" w:rsidRDefault="00554A5A" w:rsidP="00BE1EAC">
            <w:r w:rsidRPr="00E65C36">
              <w:t>7513</w:t>
            </w:r>
          </w:p>
        </w:tc>
        <w:tc>
          <w:tcPr>
            <w:tcW w:w="1782" w:type="dxa"/>
          </w:tcPr>
          <w:p w:rsidR="00554A5A" w:rsidRPr="00E65C36" w:rsidRDefault="00554A5A" w:rsidP="00BE1EAC">
            <w:r w:rsidRPr="00E65C36">
              <w:t>32.9%</w:t>
            </w:r>
          </w:p>
        </w:tc>
      </w:tr>
      <w:tr w:rsidR="00554A5A" w:rsidRPr="00E65C36" w:rsidTr="00554A5A">
        <w:trPr>
          <w:jc w:val="center"/>
        </w:trPr>
        <w:tc>
          <w:tcPr>
            <w:tcW w:w="3942" w:type="dxa"/>
          </w:tcPr>
          <w:p w:rsidR="00554A5A" w:rsidRPr="00E65C36" w:rsidRDefault="00554A5A" w:rsidP="00BE1EAC">
            <w:pPr>
              <w:rPr>
                <w:highlight w:val="yellow"/>
              </w:rPr>
            </w:pPr>
            <w:r w:rsidRPr="00E65C36">
              <w:t>Variant Creutzfeldt-Jakob Disease (</w:t>
            </w:r>
            <w:proofErr w:type="spellStart"/>
            <w:r w:rsidRPr="00E65C36">
              <w:t>vCJD</w:t>
            </w:r>
            <w:proofErr w:type="spellEnd"/>
            <w:r w:rsidRPr="00E65C36">
              <w:t>) travel</w:t>
            </w:r>
          </w:p>
        </w:tc>
        <w:tc>
          <w:tcPr>
            <w:tcW w:w="1800" w:type="dxa"/>
          </w:tcPr>
          <w:p w:rsidR="00554A5A" w:rsidRPr="00E65C36" w:rsidRDefault="00554A5A" w:rsidP="00BE1EAC">
            <w:r w:rsidRPr="00E65C36">
              <w:t>3973</w:t>
            </w:r>
          </w:p>
        </w:tc>
        <w:tc>
          <w:tcPr>
            <w:tcW w:w="1782" w:type="dxa"/>
          </w:tcPr>
          <w:p w:rsidR="00554A5A" w:rsidRPr="00E65C36" w:rsidRDefault="00554A5A" w:rsidP="00BE1EAC">
            <w:r w:rsidRPr="00E65C36">
              <w:t>17.4%</w:t>
            </w:r>
          </w:p>
        </w:tc>
      </w:tr>
      <w:tr w:rsidR="00554A5A" w:rsidRPr="00E65C36" w:rsidTr="00554A5A">
        <w:trPr>
          <w:jc w:val="center"/>
        </w:trPr>
        <w:tc>
          <w:tcPr>
            <w:tcW w:w="3942" w:type="dxa"/>
          </w:tcPr>
          <w:p w:rsidR="00554A5A" w:rsidRPr="00E65C36" w:rsidRDefault="00554A5A" w:rsidP="00BE1EAC">
            <w:pPr>
              <w:rPr>
                <w:highlight w:val="yellow"/>
              </w:rPr>
            </w:pPr>
            <w:r w:rsidRPr="00E65C36">
              <w:t>History of cancer</w:t>
            </w:r>
          </w:p>
        </w:tc>
        <w:tc>
          <w:tcPr>
            <w:tcW w:w="1800" w:type="dxa"/>
          </w:tcPr>
          <w:p w:rsidR="00554A5A" w:rsidRPr="00E65C36" w:rsidRDefault="00554A5A" w:rsidP="00BE1EAC">
            <w:r w:rsidRPr="00E65C36">
              <w:t>1516</w:t>
            </w:r>
          </w:p>
        </w:tc>
        <w:tc>
          <w:tcPr>
            <w:tcW w:w="1782" w:type="dxa"/>
          </w:tcPr>
          <w:p w:rsidR="00554A5A" w:rsidRPr="00E65C36" w:rsidRDefault="00554A5A" w:rsidP="00BE1EAC">
            <w:r w:rsidRPr="00E65C36">
              <w:t>6.6%**</w:t>
            </w:r>
          </w:p>
        </w:tc>
      </w:tr>
      <w:tr w:rsidR="00554A5A" w:rsidRPr="00E65C36" w:rsidTr="00554A5A">
        <w:trPr>
          <w:jc w:val="center"/>
        </w:trPr>
        <w:tc>
          <w:tcPr>
            <w:tcW w:w="3942" w:type="dxa"/>
          </w:tcPr>
          <w:p w:rsidR="00554A5A" w:rsidRPr="00E65C36" w:rsidRDefault="00554A5A" w:rsidP="00BE1EAC">
            <w:pPr>
              <w:rPr>
                <w:highlight w:val="yellow"/>
              </w:rPr>
            </w:pPr>
            <w:r w:rsidRPr="00E65C36">
              <w:t>Tattoo within last 12 months</w:t>
            </w:r>
          </w:p>
        </w:tc>
        <w:tc>
          <w:tcPr>
            <w:tcW w:w="1800" w:type="dxa"/>
          </w:tcPr>
          <w:p w:rsidR="00554A5A" w:rsidRPr="00E65C36" w:rsidRDefault="00554A5A" w:rsidP="00BE1EAC">
            <w:r w:rsidRPr="00E65C36">
              <w:t>953</w:t>
            </w:r>
          </w:p>
        </w:tc>
        <w:tc>
          <w:tcPr>
            <w:tcW w:w="1782" w:type="dxa"/>
          </w:tcPr>
          <w:p w:rsidR="00554A5A" w:rsidRPr="00E65C36" w:rsidRDefault="00554A5A" w:rsidP="00BE1EAC">
            <w:r w:rsidRPr="00E65C36">
              <w:t>4.2%</w:t>
            </w:r>
          </w:p>
        </w:tc>
      </w:tr>
      <w:tr w:rsidR="00554A5A" w:rsidRPr="00E65C36" w:rsidTr="00554A5A">
        <w:trPr>
          <w:jc w:val="center"/>
        </w:trPr>
        <w:tc>
          <w:tcPr>
            <w:tcW w:w="3942" w:type="dxa"/>
          </w:tcPr>
          <w:p w:rsidR="00554A5A" w:rsidRPr="00E65C36" w:rsidRDefault="00554A5A" w:rsidP="00BE1EAC">
            <w:pPr>
              <w:rPr>
                <w:highlight w:val="yellow"/>
              </w:rPr>
            </w:pPr>
            <w:r w:rsidRPr="00E65C36">
              <w:t>Male to male sex</w:t>
            </w:r>
          </w:p>
        </w:tc>
        <w:tc>
          <w:tcPr>
            <w:tcW w:w="1800" w:type="dxa"/>
          </w:tcPr>
          <w:p w:rsidR="00554A5A" w:rsidRPr="00E65C36" w:rsidRDefault="00554A5A" w:rsidP="00BE1EAC">
            <w:r w:rsidRPr="00E65C36">
              <w:t>817</w:t>
            </w:r>
          </w:p>
        </w:tc>
        <w:tc>
          <w:tcPr>
            <w:tcW w:w="1782" w:type="dxa"/>
          </w:tcPr>
          <w:p w:rsidR="00554A5A" w:rsidRPr="00E65C36" w:rsidRDefault="00554A5A" w:rsidP="00BE1EAC">
            <w:r w:rsidRPr="00E65C36">
              <w:t>3.6%</w:t>
            </w:r>
          </w:p>
        </w:tc>
      </w:tr>
      <w:tr w:rsidR="00554A5A" w:rsidRPr="00E65C36" w:rsidTr="00554A5A">
        <w:trPr>
          <w:jc w:val="center"/>
        </w:trPr>
        <w:tc>
          <w:tcPr>
            <w:tcW w:w="3942" w:type="dxa"/>
          </w:tcPr>
          <w:p w:rsidR="00554A5A" w:rsidRPr="00E65C36" w:rsidRDefault="00554A5A" w:rsidP="00BE1EAC">
            <w:pPr>
              <w:rPr>
                <w:highlight w:val="yellow"/>
              </w:rPr>
            </w:pPr>
            <w:r w:rsidRPr="00E65C36">
              <w:t>History of disease or surgery</w:t>
            </w:r>
          </w:p>
        </w:tc>
        <w:tc>
          <w:tcPr>
            <w:tcW w:w="1800" w:type="dxa"/>
          </w:tcPr>
          <w:p w:rsidR="00554A5A" w:rsidRPr="00E65C36" w:rsidRDefault="00554A5A" w:rsidP="00BE1EAC">
            <w:r w:rsidRPr="00E65C36">
              <w:t>607</w:t>
            </w:r>
          </w:p>
        </w:tc>
        <w:tc>
          <w:tcPr>
            <w:tcW w:w="1782" w:type="dxa"/>
          </w:tcPr>
          <w:p w:rsidR="00554A5A" w:rsidRPr="00E65C36" w:rsidRDefault="00554A5A" w:rsidP="00BE1EAC">
            <w:r w:rsidRPr="00E65C36">
              <w:t>2.7%</w:t>
            </w:r>
          </w:p>
        </w:tc>
      </w:tr>
      <w:tr w:rsidR="00554A5A" w:rsidRPr="00E65C36" w:rsidTr="00554A5A">
        <w:trPr>
          <w:jc w:val="center"/>
        </w:trPr>
        <w:tc>
          <w:tcPr>
            <w:tcW w:w="3942" w:type="dxa"/>
          </w:tcPr>
          <w:p w:rsidR="00554A5A" w:rsidRPr="00E65C36" w:rsidRDefault="00554A5A" w:rsidP="00BE1EAC">
            <w:pPr>
              <w:rPr>
                <w:highlight w:val="yellow"/>
              </w:rPr>
            </w:pPr>
            <w:r w:rsidRPr="00E65C36">
              <w:t xml:space="preserve">Received </w:t>
            </w:r>
            <w:proofErr w:type="spellStart"/>
            <w:r w:rsidRPr="00E65C36">
              <w:t>finasteride</w:t>
            </w:r>
            <w:proofErr w:type="spellEnd"/>
            <w:r w:rsidRPr="00E65C36">
              <w:t xml:space="preserve"> (</w:t>
            </w:r>
            <w:proofErr w:type="spellStart"/>
            <w:r w:rsidRPr="00E65C36">
              <w:t>Proscar</w:t>
            </w:r>
            <w:proofErr w:type="spellEnd"/>
            <w:r w:rsidRPr="00E65C36">
              <w:t>/</w:t>
            </w:r>
            <w:proofErr w:type="spellStart"/>
            <w:r w:rsidRPr="00E65C36">
              <w:t>Propecia</w:t>
            </w:r>
            <w:proofErr w:type="spellEnd"/>
            <w:r w:rsidRPr="00E65C36">
              <w:t xml:space="preserve">), </w:t>
            </w:r>
            <w:proofErr w:type="spellStart"/>
            <w:r w:rsidRPr="00E65C36">
              <w:t>Tegison</w:t>
            </w:r>
            <w:proofErr w:type="spellEnd"/>
            <w:r w:rsidRPr="00E65C36">
              <w:t xml:space="preserve">, </w:t>
            </w:r>
            <w:proofErr w:type="spellStart"/>
            <w:r w:rsidRPr="00E65C36">
              <w:t>Accutane</w:t>
            </w:r>
            <w:proofErr w:type="spellEnd"/>
            <w:r w:rsidRPr="00E65C36">
              <w:t xml:space="preserve"> or </w:t>
            </w:r>
            <w:proofErr w:type="spellStart"/>
            <w:r w:rsidRPr="00E65C36">
              <w:t>Avodart</w:t>
            </w:r>
            <w:proofErr w:type="spellEnd"/>
          </w:p>
        </w:tc>
        <w:tc>
          <w:tcPr>
            <w:tcW w:w="1800" w:type="dxa"/>
          </w:tcPr>
          <w:p w:rsidR="00554A5A" w:rsidRPr="00E65C36" w:rsidRDefault="00554A5A" w:rsidP="00BE1EAC">
            <w:r w:rsidRPr="00E65C36">
              <w:t>576</w:t>
            </w:r>
          </w:p>
        </w:tc>
        <w:tc>
          <w:tcPr>
            <w:tcW w:w="1782" w:type="dxa"/>
          </w:tcPr>
          <w:p w:rsidR="00554A5A" w:rsidRPr="00E65C36" w:rsidRDefault="00554A5A" w:rsidP="00BE1EAC">
            <w:r w:rsidRPr="00E65C36">
              <w:t>2.5%</w:t>
            </w:r>
          </w:p>
        </w:tc>
      </w:tr>
      <w:tr w:rsidR="00554A5A" w:rsidRPr="00E65C36" w:rsidTr="00554A5A">
        <w:trPr>
          <w:jc w:val="center"/>
        </w:trPr>
        <w:tc>
          <w:tcPr>
            <w:tcW w:w="3942" w:type="dxa"/>
          </w:tcPr>
          <w:p w:rsidR="00554A5A" w:rsidRPr="00E65C36" w:rsidRDefault="00554A5A" w:rsidP="00BE1EAC">
            <w:pPr>
              <w:rPr>
                <w:highlight w:val="yellow"/>
              </w:rPr>
            </w:pPr>
            <w:r w:rsidRPr="00E65C36">
              <w:t>IV drug use</w:t>
            </w:r>
          </w:p>
        </w:tc>
        <w:tc>
          <w:tcPr>
            <w:tcW w:w="1800" w:type="dxa"/>
          </w:tcPr>
          <w:p w:rsidR="00554A5A" w:rsidRPr="00E65C36" w:rsidRDefault="00554A5A" w:rsidP="00BE1EAC">
            <w:r w:rsidRPr="00E65C36">
              <w:t>423</w:t>
            </w:r>
          </w:p>
        </w:tc>
        <w:tc>
          <w:tcPr>
            <w:tcW w:w="1782" w:type="dxa"/>
          </w:tcPr>
          <w:p w:rsidR="00554A5A" w:rsidRPr="00E65C36" w:rsidRDefault="00554A5A" w:rsidP="00BE1EAC">
            <w:r w:rsidRPr="00E65C36">
              <w:t>1.9%</w:t>
            </w:r>
          </w:p>
        </w:tc>
      </w:tr>
      <w:tr w:rsidR="00554A5A" w:rsidRPr="00E65C36" w:rsidTr="00554A5A">
        <w:trPr>
          <w:jc w:val="center"/>
        </w:trPr>
        <w:tc>
          <w:tcPr>
            <w:tcW w:w="3942" w:type="dxa"/>
          </w:tcPr>
          <w:p w:rsidR="00554A5A" w:rsidRPr="00E65C36" w:rsidRDefault="00554A5A" w:rsidP="00BE1EAC">
            <w:pPr>
              <w:rPr>
                <w:highlight w:val="yellow"/>
              </w:rPr>
            </w:pPr>
            <w:r w:rsidRPr="00E65C36">
              <w:t>Received tissue allograft/transplant</w:t>
            </w:r>
          </w:p>
        </w:tc>
        <w:tc>
          <w:tcPr>
            <w:tcW w:w="1800" w:type="dxa"/>
          </w:tcPr>
          <w:p w:rsidR="00554A5A" w:rsidRPr="00E65C36" w:rsidRDefault="00554A5A" w:rsidP="00BE1EAC">
            <w:r w:rsidRPr="00E65C36">
              <w:t>419</w:t>
            </w:r>
          </w:p>
        </w:tc>
        <w:tc>
          <w:tcPr>
            <w:tcW w:w="1782" w:type="dxa"/>
          </w:tcPr>
          <w:p w:rsidR="00554A5A" w:rsidRPr="00E65C36" w:rsidRDefault="00554A5A" w:rsidP="00BE1EAC">
            <w:r w:rsidRPr="00E65C36">
              <w:t>1.8%</w:t>
            </w:r>
          </w:p>
        </w:tc>
      </w:tr>
      <w:tr w:rsidR="00554A5A" w:rsidRPr="00E65C36" w:rsidTr="00554A5A">
        <w:trPr>
          <w:jc w:val="center"/>
        </w:trPr>
        <w:tc>
          <w:tcPr>
            <w:tcW w:w="3942" w:type="dxa"/>
          </w:tcPr>
          <w:p w:rsidR="00554A5A" w:rsidRPr="00E65C36" w:rsidRDefault="00554A5A" w:rsidP="00BE1EAC">
            <w:pPr>
              <w:rPr>
                <w:highlight w:val="yellow"/>
              </w:rPr>
            </w:pPr>
            <w:r w:rsidRPr="00E65C36">
              <w:t>Sex partner lived in or immigrated from an HIV Group O risk area</w:t>
            </w:r>
          </w:p>
        </w:tc>
        <w:tc>
          <w:tcPr>
            <w:tcW w:w="1800" w:type="dxa"/>
          </w:tcPr>
          <w:p w:rsidR="00554A5A" w:rsidRPr="00E65C36" w:rsidRDefault="00554A5A" w:rsidP="00BE1EAC">
            <w:r w:rsidRPr="00E65C36">
              <w:t>347</w:t>
            </w:r>
          </w:p>
        </w:tc>
        <w:tc>
          <w:tcPr>
            <w:tcW w:w="1782" w:type="dxa"/>
          </w:tcPr>
          <w:p w:rsidR="00554A5A" w:rsidRPr="00E65C36" w:rsidRDefault="00554A5A" w:rsidP="00BE1EAC">
            <w:r w:rsidRPr="00E65C36">
              <w:t>1.5%</w:t>
            </w:r>
          </w:p>
        </w:tc>
      </w:tr>
      <w:tr w:rsidR="00554A5A" w:rsidRPr="00E65C36" w:rsidTr="00554A5A">
        <w:trPr>
          <w:jc w:val="center"/>
        </w:trPr>
        <w:tc>
          <w:tcPr>
            <w:tcW w:w="3942" w:type="dxa"/>
          </w:tcPr>
          <w:p w:rsidR="00554A5A" w:rsidRPr="00E65C36" w:rsidRDefault="00554A5A" w:rsidP="00BE1EAC">
            <w:pPr>
              <w:rPr>
                <w:highlight w:val="yellow"/>
              </w:rPr>
            </w:pPr>
            <w:r w:rsidRPr="00E65C36">
              <w:t>Non-sexual exposure to Hepatitis C</w:t>
            </w:r>
          </w:p>
        </w:tc>
        <w:tc>
          <w:tcPr>
            <w:tcW w:w="1800" w:type="dxa"/>
          </w:tcPr>
          <w:p w:rsidR="00554A5A" w:rsidRPr="00E65C36" w:rsidRDefault="00554A5A" w:rsidP="00BE1EAC">
            <w:r w:rsidRPr="00E65C36">
              <w:t>266</w:t>
            </w:r>
          </w:p>
        </w:tc>
        <w:tc>
          <w:tcPr>
            <w:tcW w:w="1782" w:type="dxa"/>
          </w:tcPr>
          <w:p w:rsidR="00554A5A" w:rsidRPr="00E65C36" w:rsidRDefault="00554A5A" w:rsidP="00BE1EAC">
            <w:r w:rsidRPr="00E65C36">
              <w:t>1.2%</w:t>
            </w:r>
          </w:p>
        </w:tc>
      </w:tr>
      <w:tr w:rsidR="00554A5A" w:rsidRPr="00E65C36" w:rsidTr="00554A5A">
        <w:trPr>
          <w:jc w:val="center"/>
        </w:trPr>
        <w:tc>
          <w:tcPr>
            <w:tcW w:w="3942" w:type="dxa"/>
          </w:tcPr>
          <w:p w:rsidR="00554A5A" w:rsidRPr="00E65C36" w:rsidRDefault="00554A5A" w:rsidP="00BE1EAC">
            <w:pPr>
              <w:rPr>
                <w:highlight w:val="yellow"/>
              </w:rPr>
            </w:pPr>
            <w:r w:rsidRPr="00E65C36">
              <w:t>History of hepatitis, type not specified</w:t>
            </w:r>
          </w:p>
        </w:tc>
        <w:tc>
          <w:tcPr>
            <w:tcW w:w="1800" w:type="dxa"/>
          </w:tcPr>
          <w:p w:rsidR="00554A5A" w:rsidRPr="00E65C36" w:rsidRDefault="00554A5A" w:rsidP="00BE1EAC">
            <w:r w:rsidRPr="00E65C36">
              <w:t>223</w:t>
            </w:r>
          </w:p>
        </w:tc>
        <w:tc>
          <w:tcPr>
            <w:tcW w:w="1782" w:type="dxa"/>
          </w:tcPr>
          <w:p w:rsidR="00554A5A" w:rsidRPr="00E65C36" w:rsidRDefault="00554A5A" w:rsidP="00BE1EAC">
            <w:r w:rsidRPr="00E65C36">
              <w:t>1.0%</w:t>
            </w:r>
          </w:p>
        </w:tc>
      </w:tr>
      <w:tr w:rsidR="00554A5A" w:rsidRPr="00E65C36" w:rsidTr="00554A5A">
        <w:trPr>
          <w:jc w:val="center"/>
        </w:trPr>
        <w:tc>
          <w:tcPr>
            <w:tcW w:w="3942" w:type="dxa"/>
          </w:tcPr>
          <w:p w:rsidR="00554A5A" w:rsidRPr="00E65C36" w:rsidRDefault="00554A5A" w:rsidP="00BE1EAC">
            <w:pPr>
              <w:rPr>
                <w:highlight w:val="yellow"/>
              </w:rPr>
            </w:pPr>
            <w:r w:rsidRPr="00E65C36">
              <w:t>Received body piercing</w:t>
            </w:r>
          </w:p>
        </w:tc>
        <w:tc>
          <w:tcPr>
            <w:tcW w:w="1800" w:type="dxa"/>
          </w:tcPr>
          <w:p w:rsidR="00554A5A" w:rsidRPr="00E65C36" w:rsidRDefault="00554A5A" w:rsidP="00BE1EAC">
            <w:r w:rsidRPr="00E65C36">
              <w:t>213</w:t>
            </w:r>
          </w:p>
        </w:tc>
        <w:tc>
          <w:tcPr>
            <w:tcW w:w="1782" w:type="dxa"/>
          </w:tcPr>
          <w:p w:rsidR="00554A5A" w:rsidRPr="00E65C36" w:rsidRDefault="00554A5A" w:rsidP="00BE1EAC">
            <w:r w:rsidRPr="00E65C36">
              <w:t>0.9%</w:t>
            </w:r>
          </w:p>
        </w:tc>
      </w:tr>
      <w:tr w:rsidR="00554A5A" w:rsidRPr="00E65C36" w:rsidTr="00554A5A">
        <w:trPr>
          <w:jc w:val="center"/>
        </w:trPr>
        <w:tc>
          <w:tcPr>
            <w:tcW w:w="3942" w:type="dxa"/>
          </w:tcPr>
          <w:p w:rsidR="00554A5A" w:rsidRPr="00E65C36" w:rsidRDefault="00554A5A" w:rsidP="00BE1EAC">
            <w:pPr>
              <w:rPr>
                <w:highlight w:val="yellow"/>
              </w:rPr>
            </w:pPr>
            <w:r w:rsidRPr="00E65C36">
              <w:t>Sex partner tested reactive for HCV</w:t>
            </w:r>
          </w:p>
        </w:tc>
        <w:tc>
          <w:tcPr>
            <w:tcW w:w="1800" w:type="dxa"/>
          </w:tcPr>
          <w:p w:rsidR="00554A5A" w:rsidRPr="00E65C36" w:rsidRDefault="00554A5A" w:rsidP="00BE1EAC">
            <w:r w:rsidRPr="00E65C36">
              <w:t>193</w:t>
            </w:r>
          </w:p>
        </w:tc>
        <w:tc>
          <w:tcPr>
            <w:tcW w:w="1782" w:type="dxa"/>
          </w:tcPr>
          <w:p w:rsidR="00554A5A" w:rsidRPr="00E65C36" w:rsidRDefault="00554A5A" w:rsidP="00BE1EAC">
            <w:r w:rsidRPr="00E65C36">
              <w:t>0.8%</w:t>
            </w:r>
          </w:p>
        </w:tc>
      </w:tr>
      <w:tr w:rsidR="00554A5A" w:rsidRPr="00E65C36" w:rsidTr="00554A5A">
        <w:trPr>
          <w:jc w:val="center"/>
        </w:trPr>
        <w:tc>
          <w:tcPr>
            <w:tcW w:w="3942" w:type="dxa"/>
          </w:tcPr>
          <w:p w:rsidR="00554A5A" w:rsidRPr="00E65C36" w:rsidRDefault="00554A5A" w:rsidP="00BE1EAC">
            <w:pPr>
              <w:rPr>
                <w:highlight w:val="yellow"/>
              </w:rPr>
            </w:pPr>
            <w:r w:rsidRPr="00E65C36">
              <w:t>Received other medication or antibiotics</w:t>
            </w:r>
          </w:p>
        </w:tc>
        <w:tc>
          <w:tcPr>
            <w:tcW w:w="1800" w:type="dxa"/>
          </w:tcPr>
          <w:p w:rsidR="00554A5A" w:rsidRPr="00E65C36" w:rsidRDefault="00554A5A" w:rsidP="00BE1EAC">
            <w:r w:rsidRPr="00E65C36">
              <w:t>192</w:t>
            </w:r>
          </w:p>
        </w:tc>
        <w:tc>
          <w:tcPr>
            <w:tcW w:w="1782" w:type="dxa"/>
          </w:tcPr>
          <w:p w:rsidR="00554A5A" w:rsidRPr="00E65C36" w:rsidRDefault="00554A5A" w:rsidP="00BE1EAC">
            <w:r w:rsidRPr="00E65C36">
              <w:t>0.8%</w:t>
            </w:r>
          </w:p>
        </w:tc>
      </w:tr>
      <w:tr w:rsidR="00554A5A" w:rsidRPr="00E65C36" w:rsidTr="00554A5A">
        <w:trPr>
          <w:jc w:val="center"/>
        </w:trPr>
        <w:tc>
          <w:tcPr>
            <w:tcW w:w="3942" w:type="dxa"/>
          </w:tcPr>
          <w:p w:rsidR="00554A5A" w:rsidRPr="00E65C36" w:rsidRDefault="00554A5A" w:rsidP="00BE1EAC">
            <w:pPr>
              <w:rPr>
                <w:highlight w:val="yellow"/>
              </w:rPr>
            </w:pPr>
            <w:r w:rsidRPr="00E65C36">
              <w:t>Sex with IV drug user</w:t>
            </w:r>
          </w:p>
        </w:tc>
        <w:tc>
          <w:tcPr>
            <w:tcW w:w="1800" w:type="dxa"/>
          </w:tcPr>
          <w:p w:rsidR="00554A5A" w:rsidRPr="00E65C36" w:rsidRDefault="00554A5A" w:rsidP="00BE1EAC">
            <w:r w:rsidRPr="00E65C36">
              <w:t>185</w:t>
            </w:r>
          </w:p>
        </w:tc>
        <w:tc>
          <w:tcPr>
            <w:tcW w:w="1782" w:type="dxa"/>
          </w:tcPr>
          <w:p w:rsidR="00554A5A" w:rsidRPr="00E65C36" w:rsidRDefault="00554A5A" w:rsidP="00BE1EAC">
            <w:r w:rsidRPr="00E65C36">
              <w:t>0.8%</w:t>
            </w:r>
          </w:p>
        </w:tc>
      </w:tr>
      <w:tr w:rsidR="00554A5A" w:rsidRPr="00E65C36" w:rsidTr="00554A5A">
        <w:trPr>
          <w:jc w:val="center"/>
        </w:trPr>
        <w:tc>
          <w:tcPr>
            <w:tcW w:w="3942" w:type="dxa"/>
          </w:tcPr>
          <w:p w:rsidR="00554A5A" w:rsidRPr="00E65C36" w:rsidRDefault="00554A5A" w:rsidP="00BE1EAC">
            <w:r w:rsidRPr="00E65C36">
              <w:t>Non-sexual exposure to Hepatitis B</w:t>
            </w:r>
          </w:p>
        </w:tc>
        <w:tc>
          <w:tcPr>
            <w:tcW w:w="1800" w:type="dxa"/>
          </w:tcPr>
          <w:p w:rsidR="00554A5A" w:rsidRPr="00E65C36" w:rsidRDefault="00554A5A" w:rsidP="00BE1EAC">
            <w:r w:rsidRPr="00E65C36">
              <w:t>173</w:t>
            </w:r>
          </w:p>
        </w:tc>
        <w:tc>
          <w:tcPr>
            <w:tcW w:w="1782" w:type="dxa"/>
          </w:tcPr>
          <w:p w:rsidR="00554A5A" w:rsidRPr="00E65C36" w:rsidRDefault="00554A5A" w:rsidP="00BE1EAC">
            <w:r w:rsidRPr="00E65C36">
              <w:t>0.8%</w:t>
            </w:r>
          </w:p>
        </w:tc>
      </w:tr>
      <w:tr w:rsidR="00554A5A" w:rsidRPr="00E65C36" w:rsidTr="00554A5A">
        <w:trPr>
          <w:jc w:val="center"/>
        </w:trPr>
        <w:tc>
          <w:tcPr>
            <w:tcW w:w="3942" w:type="dxa"/>
          </w:tcPr>
          <w:p w:rsidR="00554A5A" w:rsidRPr="00E65C36" w:rsidRDefault="00554A5A" w:rsidP="00BE1EAC">
            <w:pPr>
              <w:rPr>
                <w:highlight w:val="yellow"/>
              </w:rPr>
            </w:pPr>
            <w:r w:rsidRPr="00E65C36">
              <w:t>Risk factors associated with CJD--Family history</w:t>
            </w:r>
          </w:p>
        </w:tc>
        <w:tc>
          <w:tcPr>
            <w:tcW w:w="1800" w:type="dxa"/>
          </w:tcPr>
          <w:p w:rsidR="00554A5A" w:rsidRPr="00E65C36" w:rsidRDefault="00554A5A" w:rsidP="00BE1EAC">
            <w:r w:rsidRPr="00E65C36">
              <w:t>162</w:t>
            </w:r>
          </w:p>
        </w:tc>
        <w:tc>
          <w:tcPr>
            <w:tcW w:w="1782" w:type="dxa"/>
          </w:tcPr>
          <w:p w:rsidR="00554A5A" w:rsidRPr="00E65C36" w:rsidRDefault="00554A5A" w:rsidP="00BE1EAC">
            <w:r w:rsidRPr="00E65C36">
              <w:t>0.7%</w:t>
            </w:r>
          </w:p>
        </w:tc>
      </w:tr>
      <w:tr w:rsidR="00554A5A" w:rsidRPr="00E65C36" w:rsidTr="00554A5A">
        <w:trPr>
          <w:jc w:val="center"/>
        </w:trPr>
        <w:tc>
          <w:tcPr>
            <w:tcW w:w="3942" w:type="dxa"/>
          </w:tcPr>
          <w:p w:rsidR="00554A5A" w:rsidRPr="00E65C36" w:rsidRDefault="00554A5A" w:rsidP="00BE1EAC">
            <w:pPr>
              <w:rPr>
                <w:highlight w:val="yellow"/>
              </w:rPr>
            </w:pPr>
            <w:r w:rsidRPr="00E65C36">
              <w:t>Donor received transfusion or clotting factors</w:t>
            </w:r>
          </w:p>
        </w:tc>
        <w:tc>
          <w:tcPr>
            <w:tcW w:w="1800" w:type="dxa"/>
          </w:tcPr>
          <w:p w:rsidR="00554A5A" w:rsidRPr="00E65C36" w:rsidRDefault="00554A5A" w:rsidP="00BE1EAC">
            <w:r w:rsidRPr="00E65C36">
              <w:t>123</w:t>
            </w:r>
          </w:p>
        </w:tc>
        <w:tc>
          <w:tcPr>
            <w:tcW w:w="1782" w:type="dxa"/>
          </w:tcPr>
          <w:p w:rsidR="00554A5A" w:rsidRPr="00E65C36" w:rsidRDefault="00554A5A" w:rsidP="00BE1EAC">
            <w:r w:rsidRPr="00E65C36">
              <w:t>0.5%</w:t>
            </w:r>
          </w:p>
        </w:tc>
      </w:tr>
      <w:tr w:rsidR="00554A5A" w:rsidRPr="00E65C36" w:rsidTr="00554A5A">
        <w:trPr>
          <w:jc w:val="center"/>
        </w:trPr>
        <w:tc>
          <w:tcPr>
            <w:tcW w:w="3942" w:type="dxa"/>
          </w:tcPr>
          <w:p w:rsidR="00554A5A" w:rsidRPr="00E65C36" w:rsidRDefault="00554A5A" w:rsidP="00BE1EAC">
            <w:r w:rsidRPr="00E65C36">
              <w:t>History of Hepatitis A</w:t>
            </w:r>
          </w:p>
        </w:tc>
        <w:tc>
          <w:tcPr>
            <w:tcW w:w="1800" w:type="dxa"/>
          </w:tcPr>
          <w:p w:rsidR="00554A5A" w:rsidRPr="00E65C36" w:rsidRDefault="00554A5A" w:rsidP="00BE1EAC">
            <w:r w:rsidRPr="00E65C36">
              <w:t>120</w:t>
            </w:r>
          </w:p>
        </w:tc>
        <w:tc>
          <w:tcPr>
            <w:tcW w:w="1782" w:type="dxa"/>
          </w:tcPr>
          <w:p w:rsidR="00554A5A" w:rsidRPr="00E65C36" w:rsidRDefault="00554A5A" w:rsidP="00BE1EAC">
            <w:r w:rsidRPr="00E65C36">
              <w:t>0.5%</w:t>
            </w:r>
          </w:p>
        </w:tc>
      </w:tr>
      <w:tr w:rsidR="00554A5A" w:rsidRPr="00E65C36" w:rsidTr="00554A5A">
        <w:trPr>
          <w:jc w:val="center"/>
        </w:trPr>
        <w:tc>
          <w:tcPr>
            <w:tcW w:w="3942" w:type="dxa"/>
          </w:tcPr>
          <w:p w:rsidR="00554A5A" w:rsidRPr="00E65C36" w:rsidRDefault="00554A5A" w:rsidP="00BE1EAC">
            <w:pPr>
              <w:rPr>
                <w:highlight w:val="yellow"/>
              </w:rPr>
            </w:pPr>
            <w:r w:rsidRPr="00E65C36">
              <w:t>Incarcerated</w:t>
            </w:r>
          </w:p>
        </w:tc>
        <w:tc>
          <w:tcPr>
            <w:tcW w:w="1800" w:type="dxa"/>
          </w:tcPr>
          <w:p w:rsidR="00554A5A" w:rsidRPr="00E65C36" w:rsidRDefault="00554A5A" w:rsidP="00BE1EAC">
            <w:r w:rsidRPr="00E65C36">
              <w:t>110</w:t>
            </w:r>
          </w:p>
        </w:tc>
        <w:tc>
          <w:tcPr>
            <w:tcW w:w="1782" w:type="dxa"/>
          </w:tcPr>
          <w:p w:rsidR="00554A5A" w:rsidRPr="00E65C36" w:rsidRDefault="00554A5A" w:rsidP="00BE1EAC">
            <w:r w:rsidRPr="00E65C36">
              <w:t>0.5%</w:t>
            </w:r>
          </w:p>
        </w:tc>
      </w:tr>
      <w:tr w:rsidR="00554A5A" w:rsidRPr="00E65C36" w:rsidTr="00554A5A">
        <w:trPr>
          <w:jc w:val="center"/>
        </w:trPr>
        <w:tc>
          <w:tcPr>
            <w:tcW w:w="3942" w:type="dxa"/>
          </w:tcPr>
          <w:p w:rsidR="00554A5A" w:rsidRPr="00E65C36" w:rsidRDefault="00554A5A" w:rsidP="00BE1EAC">
            <w:r w:rsidRPr="00E65C36">
              <w:t>Received ear piercing</w:t>
            </w:r>
          </w:p>
        </w:tc>
        <w:tc>
          <w:tcPr>
            <w:tcW w:w="1800" w:type="dxa"/>
          </w:tcPr>
          <w:p w:rsidR="00554A5A" w:rsidRPr="00E65C36" w:rsidRDefault="00554A5A" w:rsidP="00BE1EAC">
            <w:r w:rsidRPr="00E65C36">
              <w:t>106</w:t>
            </w:r>
          </w:p>
        </w:tc>
        <w:tc>
          <w:tcPr>
            <w:tcW w:w="1782" w:type="dxa"/>
          </w:tcPr>
          <w:p w:rsidR="00554A5A" w:rsidRPr="00E65C36" w:rsidRDefault="00554A5A" w:rsidP="00BE1EAC">
            <w:r w:rsidRPr="00E65C36">
              <w:t>0.5%</w:t>
            </w:r>
          </w:p>
        </w:tc>
      </w:tr>
      <w:tr w:rsidR="00554A5A" w:rsidRPr="00E65C36" w:rsidTr="00554A5A">
        <w:trPr>
          <w:jc w:val="center"/>
        </w:trPr>
        <w:tc>
          <w:tcPr>
            <w:tcW w:w="3942" w:type="dxa"/>
          </w:tcPr>
          <w:p w:rsidR="00554A5A" w:rsidRPr="00E65C36" w:rsidRDefault="00554A5A" w:rsidP="00BE1EAC">
            <w:r w:rsidRPr="00E65C36">
              <w:t>Miscellaneous behavior/history</w:t>
            </w:r>
          </w:p>
        </w:tc>
        <w:tc>
          <w:tcPr>
            <w:tcW w:w="1800" w:type="dxa"/>
          </w:tcPr>
          <w:p w:rsidR="00554A5A" w:rsidRPr="00E65C36" w:rsidRDefault="00554A5A" w:rsidP="00BE1EAC">
            <w:r w:rsidRPr="00E65C36">
              <w:t>1646</w:t>
            </w:r>
          </w:p>
        </w:tc>
        <w:tc>
          <w:tcPr>
            <w:tcW w:w="1782" w:type="dxa"/>
          </w:tcPr>
          <w:p w:rsidR="00554A5A" w:rsidRPr="00E65C36" w:rsidRDefault="00554A5A" w:rsidP="00BE1EAC">
            <w:r w:rsidRPr="00E65C36">
              <w:t>8.0%</w:t>
            </w:r>
          </w:p>
        </w:tc>
      </w:tr>
      <w:tr w:rsidR="00554A5A" w:rsidRPr="00E65C36" w:rsidTr="00554A5A">
        <w:trPr>
          <w:jc w:val="center"/>
        </w:trPr>
        <w:tc>
          <w:tcPr>
            <w:tcW w:w="3942" w:type="dxa"/>
          </w:tcPr>
          <w:p w:rsidR="00554A5A" w:rsidRPr="00E65C36" w:rsidRDefault="00554A5A" w:rsidP="00BE1EAC">
            <w:r w:rsidRPr="00E65C36">
              <w:t>Total Behavior/History</w:t>
            </w:r>
          </w:p>
        </w:tc>
        <w:tc>
          <w:tcPr>
            <w:tcW w:w="1800" w:type="dxa"/>
          </w:tcPr>
          <w:p w:rsidR="00554A5A" w:rsidRPr="00E65C36" w:rsidRDefault="00554A5A" w:rsidP="00BE1EAC">
            <w:r w:rsidRPr="00E65C36">
              <w:t>20516</w:t>
            </w:r>
          </w:p>
        </w:tc>
        <w:tc>
          <w:tcPr>
            <w:tcW w:w="1782" w:type="dxa"/>
          </w:tcPr>
          <w:p w:rsidR="00554A5A" w:rsidRPr="00E65C36" w:rsidRDefault="00554A5A" w:rsidP="00BE1EAC">
            <w:r w:rsidRPr="00E65C36">
              <w:t>89.8%</w:t>
            </w:r>
          </w:p>
        </w:tc>
      </w:tr>
      <w:tr w:rsidR="00554A5A" w:rsidRPr="00E65C36" w:rsidTr="00554A5A">
        <w:trPr>
          <w:jc w:val="center"/>
        </w:trPr>
        <w:tc>
          <w:tcPr>
            <w:tcW w:w="3942" w:type="dxa"/>
          </w:tcPr>
          <w:p w:rsidR="00554A5A" w:rsidRPr="00E65C36" w:rsidRDefault="00554A5A" w:rsidP="00BE1EAC">
            <w:r w:rsidRPr="00E65C36">
              <w:t>Illness</w:t>
            </w:r>
          </w:p>
        </w:tc>
        <w:tc>
          <w:tcPr>
            <w:tcW w:w="1800" w:type="dxa"/>
          </w:tcPr>
          <w:p w:rsidR="00554A5A" w:rsidRPr="00E65C36" w:rsidRDefault="00554A5A" w:rsidP="00BE1EAC">
            <w:r w:rsidRPr="00E65C36">
              <w:t>2099</w:t>
            </w:r>
          </w:p>
        </w:tc>
        <w:tc>
          <w:tcPr>
            <w:tcW w:w="1782" w:type="dxa"/>
          </w:tcPr>
          <w:p w:rsidR="00554A5A" w:rsidRPr="00E65C36" w:rsidRDefault="00554A5A" w:rsidP="00BE1EAC">
            <w:r w:rsidRPr="00E65C36">
              <w:t>9.2%</w:t>
            </w:r>
          </w:p>
        </w:tc>
      </w:tr>
      <w:tr w:rsidR="00554A5A" w:rsidRPr="00E65C36" w:rsidTr="00554A5A">
        <w:trPr>
          <w:jc w:val="center"/>
        </w:trPr>
        <w:tc>
          <w:tcPr>
            <w:tcW w:w="3942" w:type="dxa"/>
          </w:tcPr>
          <w:p w:rsidR="00554A5A" w:rsidRPr="00E65C36" w:rsidRDefault="00554A5A" w:rsidP="00BE1EAC">
            <w:r w:rsidRPr="00E65C36">
              <w:t>Testing</w:t>
            </w:r>
          </w:p>
        </w:tc>
        <w:tc>
          <w:tcPr>
            <w:tcW w:w="1800" w:type="dxa"/>
          </w:tcPr>
          <w:p w:rsidR="00554A5A" w:rsidRPr="00E65C36" w:rsidRDefault="00554A5A" w:rsidP="00BE1EAC">
            <w:r w:rsidRPr="00E65C36">
              <w:t>152</w:t>
            </w:r>
          </w:p>
        </w:tc>
        <w:tc>
          <w:tcPr>
            <w:tcW w:w="1782" w:type="dxa"/>
          </w:tcPr>
          <w:p w:rsidR="00554A5A" w:rsidRPr="00E65C36" w:rsidRDefault="00554A5A" w:rsidP="00BE1EAC">
            <w:r w:rsidRPr="00E65C36">
              <w:t>0.7%</w:t>
            </w:r>
          </w:p>
        </w:tc>
      </w:tr>
      <w:tr w:rsidR="00554A5A" w:rsidRPr="00E65C36" w:rsidTr="00554A5A">
        <w:trPr>
          <w:jc w:val="center"/>
        </w:trPr>
        <w:tc>
          <w:tcPr>
            <w:tcW w:w="3942" w:type="dxa"/>
          </w:tcPr>
          <w:p w:rsidR="00554A5A" w:rsidRPr="00E65C36" w:rsidRDefault="00554A5A" w:rsidP="00BE1EAC">
            <w:r w:rsidRPr="00E65C36">
              <w:t>Not specific to high risk behavior</w:t>
            </w:r>
          </w:p>
        </w:tc>
        <w:tc>
          <w:tcPr>
            <w:tcW w:w="1800" w:type="dxa"/>
          </w:tcPr>
          <w:p w:rsidR="00554A5A" w:rsidRPr="00E65C36" w:rsidRDefault="00554A5A" w:rsidP="00BE1EAC">
            <w:r w:rsidRPr="00E65C36">
              <w:t>89</w:t>
            </w:r>
          </w:p>
        </w:tc>
        <w:tc>
          <w:tcPr>
            <w:tcW w:w="1782" w:type="dxa"/>
          </w:tcPr>
          <w:p w:rsidR="00554A5A" w:rsidRPr="00E65C36" w:rsidRDefault="00554A5A" w:rsidP="00BE1EAC">
            <w:r w:rsidRPr="00E65C36">
              <w:t>0.4 %</w:t>
            </w:r>
          </w:p>
        </w:tc>
      </w:tr>
      <w:tr w:rsidR="00554A5A" w:rsidRPr="00E65C36" w:rsidTr="00554A5A">
        <w:trPr>
          <w:jc w:val="center"/>
        </w:trPr>
        <w:tc>
          <w:tcPr>
            <w:tcW w:w="3942" w:type="dxa"/>
          </w:tcPr>
          <w:p w:rsidR="00554A5A" w:rsidRPr="00E65C36" w:rsidRDefault="00554A5A" w:rsidP="00BE1EAC">
            <w:r w:rsidRPr="00E65C36">
              <w:t>Total PDI</w:t>
            </w:r>
          </w:p>
        </w:tc>
        <w:tc>
          <w:tcPr>
            <w:tcW w:w="1800" w:type="dxa"/>
          </w:tcPr>
          <w:p w:rsidR="00554A5A" w:rsidRPr="00E65C36" w:rsidRDefault="00554A5A" w:rsidP="00BE1EAC">
            <w:r w:rsidRPr="00E65C36">
              <w:t>22856</w:t>
            </w:r>
          </w:p>
        </w:tc>
        <w:tc>
          <w:tcPr>
            <w:tcW w:w="1782" w:type="dxa"/>
          </w:tcPr>
          <w:p w:rsidR="00554A5A" w:rsidRPr="00E65C36" w:rsidRDefault="00554A5A" w:rsidP="00BE1EAC">
            <w:r w:rsidRPr="00E65C36">
              <w:t>100.0%</w:t>
            </w:r>
          </w:p>
        </w:tc>
      </w:tr>
    </w:tbl>
    <w:p w:rsidR="00554A5A" w:rsidRPr="00E65C36" w:rsidRDefault="00554A5A" w:rsidP="00554A5A"/>
    <w:p w:rsidR="00554A5A" w:rsidRPr="00E65C36" w:rsidRDefault="00554A5A" w:rsidP="00554A5A">
      <w:pPr>
        <w:rPr>
          <w:sz w:val="22"/>
          <w:szCs w:val="22"/>
        </w:rPr>
      </w:pPr>
      <w:r w:rsidRPr="00E65C36">
        <w:rPr>
          <w:sz w:val="22"/>
          <w:szCs w:val="22"/>
        </w:rPr>
        <w:t>*These data represent licensed blood establishments only – 22, 856 of 29,356 total BPD reports due to donor suitability</w:t>
      </w:r>
    </w:p>
    <w:p w:rsidR="00C7580C" w:rsidRPr="00E65C36" w:rsidRDefault="00554A5A">
      <w:r w:rsidRPr="00E65C36">
        <w:rPr>
          <w:sz w:val="22"/>
          <w:szCs w:val="22"/>
        </w:rPr>
        <w:t>**History of cancer is no longer considered PDI by the Food and Drug Administration</w:t>
      </w:r>
    </w:p>
    <w:sectPr w:rsidR="00C7580C" w:rsidRPr="00E65C36" w:rsidSect="000B12F8">
      <w:headerReference w:type="even" r:id="rId10"/>
      <w:headerReference w:type="default" r:id="rId11"/>
      <w:footerReference w:type="default" r:id="rId12"/>
      <w:head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C2E" w:rsidRDefault="000C7C2E">
      <w:r>
        <w:separator/>
      </w:r>
    </w:p>
  </w:endnote>
  <w:endnote w:type="continuationSeparator" w:id="0">
    <w:p w:rsidR="000C7C2E" w:rsidRDefault="000C7C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B95" w:rsidRDefault="000F15FA">
    <w:pPr>
      <w:pStyle w:val="Footer"/>
      <w:framePr w:wrap="around" w:vAnchor="text" w:hAnchor="margin" w:xAlign="center" w:y="1"/>
      <w:rPr>
        <w:rStyle w:val="PageNumber"/>
      </w:rPr>
    </w:pPr>
    <w:r>
      <w:rPr>
        <w:rStyle w:val="PageNumber"/>
      </w:rPr>
      <w:fldChar w:fldCharType="begin"/>
    </w:r>
    <w:r w:rsidR="00000B95">
      <w:rPr>
        <w:rStyle w:val="PageNumber"/>
      </w:rPr>
      <w:instrText xml:space="preserve">PAGE  </w:instrText>
    </w:r>
    <w:r>
      <w:rPr>
        <w:rStyle w:val="PageNumber"/>
      </w:rPr>
      <w:fldChar w:fldCharType="end"/>
    </w:r>
  </w:p>
  <w:p w:rsidR="00000B95" w:rsidRDefault="00000B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B95" w:rsidRDefault="00000B95">
    <w:pPr>
      <w:pStyle w:val="Footer"/>
    </w:pPr>
    <w:r>
      <w:tab/>
      <w:t xml:space="preserve">- </w:t>
    </w:r>
    <w:fldSimple w:instr=" PAGE ">
      <w:r w:rsidR="0075437F">
        <w:rPr>
          <w:noProof/>
        </w:rPr>
        <w:t>21</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C2E" w:rsidRDefault="000C7C2E">
      <w:r>
        <w:separator/>
      </w:r>
    </w:p>
  </w:footnote>
  <w:footnote w:type="continuationSeparator" w:id="0">
    <w:p w:rsidR="000C7C2E" w:rsidRDefault="000C7C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B95" w:rsidRPr="00FD6180" w:rsidRDefault="0075437F" w:rsidP="000310FD">
    <w:pPr>
      <w:pStyle w:val="Header"/>
      <w:jc w:val="right"/>
      <w:rPr>
        <w:rFonts w:ascii="Arial" w:hAnsi="Arial" w:cs="Arial"/>
        <w:b/>
        <w:sz w:val="22"/>
        <w:szCs w:val="22"/>
      </w:rPr>
    </w:pPr>
    <w:r>
      <w:rPr>
        <w:rFonts w:ascii="Arial" w:hAnsi="Arial" w:cs="Arial"/>
        <w:b/>
        <w:sz w:val="22"/>
        <w:szCs w:val="22"/>
      </w:rPr>
      <w:t>Attachment 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B95" w:rsidRDefault="00000B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B95" w:rsidRPr="00802B52" w:rsidRDefault="00000B95" w:rsidP="00802B5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B95" w:rsidRDefault="00000B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7912"/>
    <w:multiLevelType w:val="hybridMultilevel"/>
    <w:tmpl w:val="F3D0295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3980B6A"/>
    <w:multiLevelType w:val="hybridMultilevel"/>
    <w:tmpl w:val="BFCEF7DA"/>
    <w:lvl w:ilvl="0" w:tplc="0409000F">
      <w:start w:val="1"/>
      <w:numFmt w:val="decimal"/>
      <w:lvlText w:val="%1."/>
      <w:lvlJc w:val="left"/>
      <w:pPr>
        <w:tabs>
          <w:tab w:val="num" w:pos="1080"/>
        </w:tabs>
        <w:ind w:left="1080" w:hanging="360"/>
      </w:pPr>
    </w:lvl>
    <w:lvl w:ilvl="1" w:tplc="10222AC8">
      <w:start w:val="1"/>
      <w:numFmt w:val="upperRoman"/>
      <w:lvlText w:val="%2."/>
      <w:lvlJc w:val="left"/>
      <w:pPr>
        <w:tabs>
          <w:tab w:val="num" w:pos="2160"/>
        </w:tabs>
        <w:ind w:left="2160" w:hanging="72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8723363"/>
    <w:multiLevelType w:val="hybridMultilevel"/>
    <w:tmpl w:val="3C0CE8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BD5F35"/>
    <w:multiLevelType w:val="hybridMultilevel"/>
    <w:tmpl w:val="8A8E02A4"/>
    <w:lvl w:ilvl="0" w:tplc="CB5E6E7A">
      <w:start w:val="1"/>
      <w:numFmt w:val="bullet"/>
      <w:lvlText w:val=""/>
      <w:lvlJc w:val="left"/>
      <w:pPr>
        <w:tabs>
          <w:tab w:val="num" w:pos="720"/>
        </w:tabs>
        <w:ind w:left="720" w:hanging="360"/>
      </w:pPr>
      <w:rPr>
        <w:rFonts w:ascii="Wingdings" w:hAnsi="Wingdings" w:hint="default"/>
      </w:rPr>
    </w:lvl>
    <w:lvl w:ilvl="1" w:tplc="C2DE69D8" w:tentative="1">
      <w:start w:val="1"/>
      <w:numFmt w:val="bullet"/>
      <w:lvlText w:val=""/>
      <w:lvlJc w:val="left"/>
      <w:pPr>
        <w:tabs>
          <w:tab w:val="num" w:pos="1440"/>
        </w:tabs>
        <w:ind w:left="1440" w:hanging="360"/>
      </w:pPr>
      <w:rPr>
        <w:rFonts w:ascii="Wingdings" w:hAnsi="Wingdings" w:hint="default"/>
      </w:rPr>
    </w:lvl>
    <w:lvl w:ilvl="2" w:tplc="1A3600A0" w:tentative="1">
      <w:start w:val="1"/>
      <w:numFmt w:val="bullet"/>
      <w:lvlText w:val=""/>
      <w:lvlJc w:val="left"/>
      <w:pPr>
        <w:tabs>
          <w:tab w:val="num" w:pos="2160"/>
        </w:tabs>
        <w:ind w:left="2160" w:hanging="360"/>
      </w:pPr>
      <w:rPr>
        <w:rFonts w:ascii="Wingdings" w:hAnsi="Wingdings" w:hint="default"/>
      </w:rPr>
    </w:lvl>
    <w:lvl w:ilvl="3" w:tplc="4A5C2144" w:tentative="1">
      <w:start w:val="1"/>
      <w:numFmt w:val="bullet"/>
      <w:lvlText w:val=""/>
      <w:lvlJc w:val="left"/>
      <w:pPr>
        <w:tabs>
          <w:tab w:val="num" w:pos="2880"/>
        </w:tabs>
        <w:ind w:left="2880" w:hanging="360"/>
      </w:pPr>
      <w:rPr>
        <w:rFonts w:ascii="Wingdings" w:hAnsi="Wingdings" w:hint="default"/>
      </w:rPr>
    </w:lvl>
    <w:lvl w:ilvl="4" w:tplc="7508378C" w:tentative="1">
      <w:start w:val="1"/>
      <w:numFmt w:val="bullet"/>
      <w:lvlText w:val=""/>
      <w:lvlJc w:val="left"/>
      <w:pPr>
        <w:tabs>
          <w:tab w:val="num" w:pos="3600"/>
        </w:tabs>
        <w:ind w:left="3600" w:hanging="360"/>
      </w:pPr>
      <w:rPr>
        <w:rFonts w:ascii="Wingdings" w:hAnsi="Wingdings" w:hint="default"/>
      </w:rPr>
    </w:lvl>
    <w:lvl w:ilvl="5" w:tplc="42E47EDE" w:tentative="1">
      <w:start w:val="1"/>
      <w:numFmt w:val="bullet"/>
      <w:lvlText w:val=""/>
      <w:lvlJc w:val="left"/>
      <w:pPr>
        <w:tabs>
          <w:tab w:val="num" w:pos="4320"/>
        </w:tabs>
        <w:ind w:left="4320" w:hanging="360"/>
      </w:pPr>
      <w:rPr>
        <w:rFonts w:ascii="Wingdings" w:hAnsi="Wingdings" w:hint="default"/>
      </w:rPr>
    </w:lvl>
    <w:lvl w:ilvl="6" w:tplc="8E165EA4" w:tentative="1">
      <w:start w:val="1"/>
      <w:numFmt w:val="bullet"/>
      <w:lvlText w:val=""/>
      <w:lvlJc w:val="left"/>
      <w:pPr>
        <w:tabs>
          <w:tab w:val="num" w:pos="5040"/>
        </w:tabs>
        <w:ind w:left="5040" w:hanging="360"/>
      </w:pPr>
      <w:rPr>
        <w:rFonts w:ascii="Wingdings" w:hAnsi="Wingdings" w:hint="default"/>
      </w:rPr>
    </w:lvl>
    <w:lvl w:ilvl="7" w:tplc="47C274E8" w:tentative="1">
      <w:start w:val="1"/>
      <w:numFmt w:val="bullet"/>
      <w:lvlText w:val=""/>
      <w:lvlJc w:val="left"/>
      <w:pPr>
        <w:tabs>
          <w:tab w:val="num" w:pos="5760"/>
        </w:tabs>
        <w:ind w:left="5760" w:hanging="360"/>
      </w:pPr>
      <w:rPr>
        <w:rFonts w:ascii="Wingdings" w:hAnsi="Wingdings" w:hint="default"/>
      </w:rPr>
    </w:lvl>
    <w:lvl w:ilvl="8" w:tplc="6F1A92C8" w:tentative="1">
      <w:start w:val="1"/>
      <w:numFmt w:val="bullet"/>
      <w:lvlText w:val=""/>
      <w:lvlJc w:val="left"/>
      <w:pPr>
        <w:tabs>
          <w:tab w:val="num" w:pos="6480"/>
        </w:tabs>
        <w:ind w:left="6480" w:hanging="360"/>
      </w:pPr>
      <w:rPr>
        <w:rFonts w:ascii="Wingdings" w:hAnsi="Wingdings" w:hint="default"/>
      </w:rPr>
    </w:lvl>
  </w:abstractNum>
  <w:abstractNum w:abstractNumId="4">
    <w:nsid w:val="09DC601A"/>
    <w:multiLevelType w:val="hybridMultilevel"/>
    <w:tmpl w:val="CD2C9CCC"/>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C92FC9"/>
    <w:multiLevelType w:val="hybridMultilevel"/>
    <w:tmpl w:val="F0103B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C80491"/>
    <w:multiLevelType w:val="hybridMultilevel"/>
    <w:tmpl w:val="D0EA550C"/>
    <w:lvl w:ilvl="0" w:tplc="0409000F">
      <w:start w:val="1"/>
      <w:numFmt w:val="decimal"/>
      <w:lvlText w:val="%1."/>
      <w:lvlJc w:val="left"/>
      <w:pPr>
        <w:tabs>
          <w:tab w:val="num" w:pos="1080"/>
        </w:tabs>
        <w:ind w:left="1080" w:hanging="360"/>
      </w:pPr>
    </w:lvl>
    <w:lvl w:ilvl="1" w:tplc="10607702">
      <w:start w:val="1"/>
      <w:numFmt w:val="upperRoman"/>
      <w:lvlText w:val="%2."/>
      <w:lvlJc w:val="left"/>
      <w:pPr>
        <w:tabs>
          <w:tab w:val="num" w:pos="2160"/>
        </w:tabs>
        <w:ind w:left="2160" w:hanging="72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D6B45C8"/>
    <w:multiLevelType w:val="multilevel"/>
    <w:tmpl w:val="AC6E87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B837341"/>
    <w:multiLevelType w:val="hybridMultilevel"/>
    <w:tmpl w:val="86107F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410524"/>
    <w:multiLevelType w:val="hybridMultilevel"/>
    <w:tmpl w:val="B50C3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69E07FD"/>
    <w:multiLevelType w:val="hybridMultilevel"/>
    <w:tmpl w:val="6EDA29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6F044DF"/>
    <w:multiLevelType w:val="hybridMultilevel"/>
    <w:tmpl w:val="DA72E284"/>
    <w:lvl w:ilvl="0" w:tplc="81CE3268">
      <w:start w:val="5"/>
      <w:numFmt w:val="upperLetter"/>
      <w:lvlText w:val="%1."/>
      <w:lvlJc w:val="left"/>
      <w:pPr>
        <w:tabs>
          <w:tab w:val="num" w:pos="435"/>
        </w:tabs>
        <w:ind w:left="435" w:hanging="4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837505F"/>
    <w:multiLevelType w:val="hybridMultilevel"/>
    <w:tmpl w:val="A4502400"/>
    <w:lvl w:ilvl="0" w:tplc="0409000F">
      <w:start w:val="1"/>
      <w:numFmt w:val="decimal"/>
      <w:lvlText w:val="%1."/>
      <w:lvlJc w:val="left"/>
      <w:pPr>
        <w:tabs>
          <w:tab w:val="num" w:pos="720"/>
        </w:tabs>
        <w:ind w:left="720" w:hanging="360"/>
      </w:pPr>
      <w:rPr>
        <w:rFonts w:hint="default"/>
      </w:rPr>
    </w:lvl>
    <w:lvl w:ilvl="1" w:tplc="EF74BAA6">
      <w:start w:val="1"/>
      <w:numFmt w:val="decimal"/>
      <w:lvlText w:val="%2."/>
      <w:lvlJc w:val="left"/>
      <w:pPr>
        <w:tabs>
          <w:tab w:val="num" w:pos="1440"/>
        </w:tabs>
        <w:ind w:left="1440" w:hanging="360"/>
      </w:pPr>
      <w:rPr>
        <w:rFonts w:ascii="Times New Roman" w:eastAsia="Times New Roman" w:hAnsi="Times New Roman" w:cs="Times New Roman"/>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96C3459"/>
    <w:multiLevelType w:val="hybridMultilevel"/>
    <w:tmpl w:val="E4FE88B0"/>
    <w:lvl w:ilvl="0" w:tplc="04090001">
      <w:start w:val="1"/>
      <w:numFmt w:val="bullet"/>
      <w:lvlText w:val=""/>
      <w:lvlJc w:val="left"/>
      <w:pPr>
        <w:tabs>
          <w:tab w:val="num" w:pos="1440"/>
        </w:tabs>
        <w:ind w:left="1440" w:hanging="360"/>
      </w:pPr>
      <w:rPr>
        <w:rFonts w:ascii="Symbol" w:hAnsi="Symbol" w:hint="default"/>
      </w:rPr>
    </w:lvl>
    <w:lvl w:ilvl="1" w:tplc="ED5C8338">
      <w:start w:val="1"/>
      <w:numFmt w:val="bullet"/>
      <w:lvlText w:val="o"/>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17F5852"/>
    <w:multiLevelType w:val="multilevel"/>
    <w:tmpl w:val="82044244"/>
    <w:lvl w:ilvl="0">
      <w:start w:val="5"/>
      <w:numFmt w:val="upperLetter"/>
      <w:lvlText w:val="%1."/>
      <w:lvlJc w:val="left"/>
      <w:pPr>
        <w:tabs>
          <w:tab w:val="num" w:pos="435"/>
        </w:tabs>
        <w:ind w:left="43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9EA6661"/>
    <w:multiLevelType w:val="hybridMultilevel"/>
    <w:tmpl w:val="AC6E87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554F66"/>
    <w:multiLevelType w:val="hybridMultilevel"/>
    <w:tmpl w:val="82044244"/>
    <w:lvl w:ilvl="0" w:tplc="81CE3268">
      <w:start w:val="5"/>
      <w:numFmt w:val="upperLetter"/>
      <w:lvlText w:val="%1."/>
      <w:lvlJc w:val="left"/>
      <w:pPr>
        <w:tabs>
          <w:tab w:val="num" w:pos="435"/>
        </w:tabs>
        <w:ind w:left="43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BE54EB2"/>
    <w:multiLevelType w:val="multilevel"/>
    <w:tmpl w:val="702CA84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4CA47C6E"/>
    <w:multiLevelType w:val="hybridMultilevel"/>
    <w:tmpl w:val="C9DEF8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FA41DA1"/>
    <w:multiLevelType w:val="hybridMultilevel"/>
    <w:tmpl w:val="5D529230"/>
    <w:lvl w:ilvl="0" w:tplc="0409000F">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0">
    <w:nsid w:val="5162653A"/>
    <w:multiLevelType w:val="hybridMultilevel"/>
    <w:tmpl w:val="43DCA7D0"/>
    <w:lvl w:ilvl="0" w:tplc="D7EE7C62">
      <w:start w:val="1"/>
      <w:numFmt w:val="upp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6A757A"/>
    <w:multiLevelType w:val="hybridMultilevel"/>
    <w:tmpl w:val="494A33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2FB35C6"/>
    <w:multiLevelType w:val="hybridMultilevel"/>
    <w:tmpl w:val="7654EFDE"/>
    <w:lvl w:ilvl="0" w:tplc="891EC1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3F112D8"/>
    <w:multiLevelType w:val="multilevel"/>
    <w:tmpl w:val="CF90688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bullet"/>
      <w:lvlText w:val="o"/>
      <w:lvlJc w:val="left"/>
      <w:pPr>
        <w:tabs>
          <w:tab w:val="num" w:pos="2340"/>
        </w:tabs>
        <w:ind w:left="2340" w:hanging="36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B6B6E0F"/>
    <w:multiLevelType w:val="hybridMultilevel"/>
    <w:tmpl w:val="298E9E00"/>
    <w:lvl w:ilvl="0" w:tplc="34889F2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DBB2327"/>
    <w:multiLevelType w:val="hybridMultilevel"/>
    <w:tmpl w:val="7EBA0E3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59F4DBE"/>
    <w:multiLevelType w:val="hybridMultilevel"/>
    <w:tmpl w:val="55F29B3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5D57380"/>
    <w:multiLevelType w:val="hybridMultilevel"/>
    <w:tmpl w:val="75E8A9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68602C8"/>
    <w:multiLevelType w:val="hybridMultilevel"/>
    <w:tmpl w:val="B91E2850"/>
    <w:lvl w:ilvl="0" w:tplc="ED5C8338">
      <w:start w:val="1"/>
      <w:numFmt w:val="bullet"/>
      <w:lvlText w:val="o"/>
      <w:lvlJc w:val="left"/>
      <w:pPr>
        <w:tabs>
          <w:tab w:val="num" w:pos="1500"/>
        </w:tabs>
        <w:ind w:left="1500" w:hanging="360"/>
      </w:pPr>
      <w:rPr>
        <w:rFonts w:ascii="Wingdings" w:hAnsi="Wingding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9">
    <w:nsid w:val="69D0224D"/>
    <w:multiLevelType w:val="hybridMultilevel"/>
    <w:tmpl w:val="1F52E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45B0564"/>
    <w:multiLevelType w:val="hybridMultilevel"/>
    <w:tmpl w:val="A2BC9D2A"/>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7F4E3493"/>
    <w:multiLevelType w:val="hybridMultilevel"/>
    <w:tmpl w:val="24123C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9"/>
  </w:num>
  <w:num w:numId="3">
    <w:abstractNumId w:val="12"/>
  </w:num>
  <w:num w:numId="4">
    <w:abstractNumId w:val="19"/>
  </w:num>
  <w:num w:numId="5">
    <w:abstractNumId w:val="15"/>
  </w:num>
  <w:num w:numId="6">
    <w:abstractNumId w:val="11"/>
  </w:num>
  <w:num w:numId="7">
    <w:abstractNumId w:val="16"/>
  </w:num>
  <w:num w:numId="8">
    <w:abstractNumId w:val="14"/>
  </w:num>
  <w:num w:numId="9">
    <w:abstractNumId w:val="2"/>
  </w:num>
  <w:num w:numId="10">
    <w:abstractNumId w:val="5"/>
  </w:num>
  <w:num w:numId="11">
    <w:abstractNumId w:val="20"/>
  </w:num>
  <w:num w:numId="12">
    <w:abstractNumId w:val="4"/>
  </w:num>
  <w:num w:numId="13">
    <w:abstractNumId w:val="25"/>
  </w:num>
  <w:num w:numId="14">
    <w:abstractNumId w:val="23"/>
  </w:num>
  <w:num w:numId="15">
    <w:abstractNumId w:val="13"/>
  </w:num>
  <w:num w:numId="16">
    <w:abstractNumId w:val="29"/>
  </w:num>
  <w:num w:numId="17">
    <w:abstractNumId w:val="26"/>
  </w:num>
  <w:num w:numId="18">
    <w:abstractNumId w:val="10"/>
  </w:num>
  <w:num w:numId="19">
    <w:abstractNumId w:val="17"/>
  </w:num>
  <w:num w:numId="20">
    <w:abstractNumId w:val="31"/>
  </w:num>
  <w:num w:numId="21">
    <w:abstractNumId w:val="7"/>
  </w:num>
  <w:num w:numId="22">
    <w:abstractNumId w:val="21"/>
  </w:num>
  <w:num w:numId="23">
    <w:abstractNumId w:val="3"/>
  </w:num>
  <w:num w:numId="24">
    <w:abstractNumId w:val="24"/>
  </w:num>
  <w:num w:numId="25">
    <w:abstractNumId w:val="30"/>
  </w:num>
  <w:num w:numId="26">
    <w:abstractNumId w:val="28"/>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7"/>
  </w:num>
  <w:num w:numId="30">
    <w:abstractNumId w:val="0"/>
  </w:num>
  <w:num w:numId="31">
    <w:abstractNumId w:val="8"/>
  </w:num>
  <w:num w:numId="32">
    <w:abstractNumId w:val="22"/>
  </w:num>
  <w:num w:numId="3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trackRevisions/>
  <w:defaultTabStop w:val="720"/>
  <w:noPunctuationKerning/>
  <w:characterSpacingControl w:val="doNotCompress"/>
  <w:hdrShapeDefaults>
    <o:shapedefaults v:ext="edit" spidmax="8193"/>
  </w:hdrShapeDefaults>
  <w:footnotePr>
    <w:footnote w:id="-1"/>
    <w:footnote w:id="0"/>
  </w:footnotePr>
  <w:endnotePr>
    <w:endnote w:id="-1"/>
    <w:endnote w:id="0"/>
  </w:endnotePr>
  <w:compat/>
  <w:rsids>
    <w:rsidRoot w:val="000310FD"/>
    <w:rsid w:val="00000B95"/>
    <w:rsid w:val="00002D39"/>
    <w:rsid w:val="00006500"/>
    <w:rsid w:val="000102A0"/>
    <w:rsid w:val="00016EE0"/>
    <w:rsid w:val="000275C6"/>
    <w:rsid w:val="000310FD"/>
    <w:rsid w:val="00035B67"/>
    <w:rsid w:val="00036510"/>
    <w:rsid w:val="000369E1"/>
    <w:rsid w:val="000429F3"/>
    <w:rsid w:val="00051764"/>
    <w:rsid w:val="00066043"/>
    <w:rsid w:val="00067B90"/>
    <w:rsid w:val="00071C6A"/>
    <w:rsid w:val="000771B3"/>
    <w:rsid w:val="00080C0F"/>
    <w:rsid w:val="000A3A98"/>
    <w:rsid w:val="000B12F8"/>
    <w:rsid w:val="000B309D"/>
    <w:rsid w:val="000C538A"/>
    <w:rsid w:val="000C7C2E"/>
    <w:rsid w:val="000D4344"/>
    <w:rsid w:val="000D5E43"/>
    <w:rsid w:val="000E27AC"/>
    <w:rsid w:val="000E31A9"/>
    <w:rsid w:val="000E6C6F"/>
    <w:rsid w:val="000E7DCB"/>
    <w:rsid w:val="000F15FA"/>
    <w:rsid w:val="00105744"/>
    <w:rsid w:val="001075D6"/>
    <w:rsid w:val="00110C1B"/>
    <w:rsid w:val="001141EF"/>
    <w:rsid w:val="00120AAC"/>
    <w:rsid w:val="0013017F"/>
    <w:rsid w:val="0013026C"/>
    <w:rsid w:val="00135315"/>
    <w:rsid w:val="00136DF0"/>
    <w:rsid w:val="00147415"/>
    <w:rsid w:val="00147CE2"/>
    <w:rsid w:val="0017275E"/>
    <w:rsid w:val="00175C16"/>
    <w:rsid w:val="00197B95"/>
    <w:rsid w:val="001A3722"/>
    <w:rsid w:val="001A4D35"/>
    <w:rsid w:val="001A4F6A"/>
    <w:rsid w:val="001B19D3"/>
    <w:rsid w:val="001C16F2"/>
    <w:rsid w:val="001C47DE"/>
    <w:rsid w:val="001C7CE4"/>
    <w:rsid w:val="001D0392"/>
    <w:rsid w:val="001D60C8"/>
    <w:rsid w:val="0020530B"/>
    <w:rsid w:val="00210070"/>
    <w:rsid w:val="0021438D"/>
    <w:rsid w:val="00216A22"/>
    <w:rsid w:val="00220671"/>
    <w:rsid w:val="002330F6"/>
    <w:rsid w:val="00237BC5"/>
    <w:rsid w:val="00245B62"/>
    <w:rsid w:val="00246F60"/>
    <w:rsid w:val="002543D6"/>
    <w:rsid w:val="00256818"/>
    <w:rsid w:val="0026137C"/>
    <w:rsid w:val="00261EFF"/>
    <w:rsid w:val="00264889"/>
    <w:rsid w:val="00290C8E"/>
    <w:rsid w:val="00291634"/>
    <w:rsid w:val="002A1AF3"/>
    <w:rsid w:val="002A340B"/>
    <w:rsid w:val="002B0D0D"/>
    <w:rsid w:val="002B54BA"/>
    <w:rsid w:val="002B6089"/>
    <w:rsid w:val="002C4DCD"/>
    <w:rsid w:val="002D1DE4"/>
    <w:rsid w:val="002D2B71"/>
    <w:rsid w:val="002D340B"/>
    <w:rsid w:val="002E0AE9"/>
    <w:rsid w:val="002E5533"/>
    <w:rsid w:val="002F096F"/>
    <w:rsid w:val="002F780B"/>
    <w:rsid w:val="00302785"/>
    <w:rsid w:val="00312A37"/>
    <w:rsid w:val="00317D2A"/>
    <w:rsid w:val="0035581A"/>
    <w:rsid w:val="00387115"/>
    <w:rsid w:val="00397B0B"/>
    <w:rsid w:val="003A26CC"/>
    <w:rsid w:val="003A46B0"/>
    <w:rsid w:val="003C5D95"/>
    <w:rsid w:val="003D64A3"/>
    <w:rsid w:val="003F2443"/>
    <w:rsid w:val="0040708F"/>
    <w:rsid w:val="004111B1"/>
    <w:rsid w:val="00416B47"/>
    <w:rsid w:val="004241BC"/>
    <w:rsid w:val="00424C21"/>
    <w:rsid w:val="004345B2"/>
    <w:rsid w:val="00434737"/>
    <w:rsid w:val="00452BA3"/>
    <w:rsid w:val="0046740C"/>
    <w:rsid w:val="004927B1"/>
    <w:rsid w:val="004936BE"/>
    <w:rsid w:val="0049657C"/>
    <w:rsid w:val="004B5816"/>
    <w:rsid w:val="004E1854"/>
    <w:rsid w:val="004F110B"/>
    <w:rsid w:val="00507568"/>
    <w:rsid w:val="005352BE"/>
    <w:rsid w:val="00554A5A"/>
    <w:rsid w:val="005648AF"/>
    <w:rsid w:val="00580462"/>
    <w:rsid w:val="00596D9F"/>
    <w:rsid w:val="005A3ACF"/>
    <w:rsid w:val="005B5488"/>
    <w:rsid w:val="005B5B2E"/>
    <w:rsid w:val="005C2EFE"/>
    <w:rsid w:val="005E0550"/>
    <w:rsid w:val="006300D1"/>
    <w:rsid w:val="00640AF6"/>
    <w:rsid w:val="00645F64"/>
    <w:rsid w:val="0065337E"/>
    <w:rsid w:val="006552B9"/>
    <w:rsid w:val="0066017E"/>
    <w:rsid w:val="00661C12"/>
    <w:rsid w:val="00694C53"/>
    <w:rsid w:val="006B14E4"/>
    <w:rsid w:val="006B5B83"/>
    <w:rsid w:val="006D0CDE"/>
    <w:rsid w:val="006D22AA"/>
    <w:rsid w:val="006E7CD3"/>
    <w:rsid w:val="006F0668"/>
    <w:rsid w:val="00716D9F"/>
    <w:rsid w:val="00721C98"/>
    <w:rsid w:val="00745DA3"/>
    <w:rsid w:val="0074772F"/>
    <w:rsid w:val="00752983"/>
    <w:rsid w:val="0075437F"/>
    <w:rsid w:val="00754520"/>
    <w:rsid w:val="00756564"/>
    <w:rsid w:val="007578AA"/>
    <w:rsid w:val="00762042"/>
    <w:rsid w:val="00783407"/>
    <w:rsid w:val="00791B1D"/>
    <w:rsid w:val="007A2933"/>
    <w:rsid w:val="007B48EB"/>
    <w:rsid w:val="007C24F1"/>
    <w:rsid w:val="007C3F70"/>
    <w:rsid w:val="007C4402"/>
    <w:rsid w:val="007C5041"/>
    <w:rsid w:val="007D2A0B"/>
    <w:rsid w:val="007F05AB"/>
    <w:rsid w:val="008000B6"/>
    <w:rsid w:val="00800D27"/>
    <w:rsid w:val="00802B52"/>
    <w:rsid w:val="008066FC"/>
    <w:rsid w:val="00823AEE"/>
    <w:rsid w:val="00836CAB"/>
    <w:rsid w:val="00842270"/>
    <w:rsid w:val="00843BA1"/>
    <w:rsid w:val="008477AF"/>
    <w:rsid w:val="00862D6D"/>
    <w:rsid w:val="00865138"/>
    <w:rsid w:val="00883A92"/>
    <w:rsid w:val="00887DA9"/>
    <w:rsid w:val="008A7BC1"/>
    <w:rsid w:val="008B52FB"/>
    <w:rsid w:val="008D354B"/>
    <w:rsid w:val="008E3B62"/>
    <w:rsid w:val="008E5AA7"/>
    <w:rsid w:val="008F28CF"/>
    <w:rsid w:val="00916D68"/>
    <w:rsid w:val="009352F0"/>
    <w:rsid w:val="009371AD"/>
    <w:rsid w:val="00942386"/>
    <w:rsid w:val="009463F4"/>
    <w:rsid w:val="0096199E"/>
    <w:rsid w:val="0096331B"/>
    <w:rsid w:val="00970B85"/>
    <w:rsid w:val="009745D5"/>
    <w:rsid w:val="00980319"/>
    <w:rsid w:val="00991FA6"/>
    <w:rsid w:val="009961B5"/>
    <w:rsid w:val="009C101C"/>
    <w:rsid w:val="009C1228"/>
    <w:rsid w:val="009D53FE"/>
    <w:rsid w:val="009E4DF1"/>
    <w:rsid w:val="009E7826"/>
    <w:rsid w:val="00A31D30"/>
    <w:rsid w:val="00A32D40"/>
    <w:rsid w:val="00A3346D"/>
    <w:rsid w:val="00A559A3"/>
    <w:rsid w:val="00A57479"/>
    <w:rsid w:val="00A60200"/>
    <w:rsid w:val="00A637EA"/>
    <w:rsid w:val="00A9061F"/>
    <w:rsid w:val="00A9224D"/>
    <w:rsid w:val="00A9590F"/>
    <w:rsid w:val="00AB2491"/>
    <w:rsid w:val="00AB2E60"/>
    <w:rsid w:val="00AB39EB"/>
    <w:rsid w:val="00AC01BF"/>
    <w:rsid w:val="00AC6E65"/>
    <w:rsid w:val="00AD63D2"/>
    <w:rsid w:val="00AD77B9"/>
    <w:rsid w:val="00AF5A16"/>
    <w:rsid w:val="00B02081"/>
    <w:rsid w:val="00B034FF"/>
    <w:rsid w:val="00B035F1"/>
    <w:rsid w:val="00B041AA"/>
    <w:rsid w:val="00B06800"/>
    <w:rsid w:val="00B13797"/>
    <w:rsid w:val="00B2329B"/>
    <w:rsid w:val="00B32DE7"/>
    <w:rsid w:val="00B34559"/>
    <w:rsid w:val="00B56E1D"/>
    <w:rsid w:val="00B60F00"/>
    <w:rsid w:val="00B63F6E"/>
    <w:rsid w:val="00B8159C"/>
    <w:rsid w:val="00B849C9"/>
    <w:rsid w:val="00B8583C"/>
    <w:rsid w:val="00B858F7"/>
    <w:rsid w:val="00B86367"/>
    <w:rsid w:val="00BA1964"/>
    <w:rsid w:val="00BB26B7"/>
    <w:rsid w:val="00BB3810"/>
    <w:rsid w:val="00BB790F"/>
    <w:rsid w:val="00BD15F6"/>
    <w:rsid w:val="00BE1EAC"/>
    <w:rsid w:val="00BE7D74"/>
    <w:rsid w:val="00BF35D1"/>
    <w:rsid w:val="00BF518F"/>
    <w:rsid w:val="00BF60D3"/>
    <w:rsid w:val="00C007CE"/>
    <w:rsid w:val="00C15250"/>
    <w:rsid w:val="00C35AD0"/>
    <w:rsid w:val="00C36321"/>
    <w:rsid w:val="00C45F5F"/>
    <w:rsid w:val="00C506A9"/>
    <w:rsid w:val="00C56F0E"/>
    <w:rsid w:val="00C647BA"/>
    <w:rsid w:val="00C667D4"/>
    <w:rsid w:val="00C6757A"/>
    <w:rsid w:val="00C67763"/>
    <w:rsid w:val="00C7580C"/>
    <w:rsid w:val="00C76B9A"/>
    <w:rsid w:val="00C85CDB"/>
    <w:rsid w:val="00C8675D"/>
    <w:rsid w:val="00CB1ECA"/>
    <w:rsid w:val="00CB5B07"/>
    <w:rsid w:val="00CC47CA"/>
    <w:rsid w:val="00CD2286"/>
    <w:rsid w:val="00CE2B38"/>
    <w:rsid w:val="00CE3F9F"/>
    <w:rsid w:val="00CE6CA5"/>
    <w:rsid w:val="00CF67F3"/>
    <w:rsid w:val="00CF6C81"/>
    <w:rsid w:val="00CF7120"/>
    <w:rsid w:val="00D0200B"/>
    <w:rsid w:val="00D04BE0"/>
    <w:rsid w:val="00D20A6F"/>
    <w:rsid w:val="00D3127D"/>
    <w:rsid w:val="00D441A2"/>
    <w:rsid w:val="00D51553"/>
    <w:rsid w:val="00D52DBE"/>
    <w:rsid w:val="00D65BA1"/>
    <w:rsid w:val="00D6799A"/>
    <w:rsid w:val="00D73067"/>
    <w:rsid w:val="00D802DB"/>
    <w:rsid w:val="00DA242A"/>
    <w:rsid w:val="00DB424F"/>
    <w:rsid w:val="00DD3841"/>
    <w:rsid w:val="00DE6181"/>
    <w:rsid w:val="00DE6F71"/>
    <w:rsid w:val="00E13A65"/>
    <w:rsid w:val="00E4116A"/>
    <w:rsid w:val="00E52034"/>
    <w:rsid w:val="00E60434"/>
    <w:rsid w:val="00E65C36"/>
    <w:rsid w:val="00E93968"/>
    <w:rsid w:val="00E943A8"/>
    <w:rsid w:val="00EA576C"/>
    <w:rsid w:val="00EC025D"/>
    <w:rsid w:val="00EC0522"/>
    <w:rsid w:val="00EC71ED"/>
    <w:rsid w:val="00ED32DF"/>
    <w:rsid w:val="00ED5390"/>
    <w:rsid w:val="00ED6FD9"/>
    <w:rsid w:val="00EE0041"/>
    <w:rsid w:val="00F1255C"/>
    <w:rsid w:val="00F41770"/>
    <w:rsid w:val="00F63B8D"/>
    <w:rsid w:val="00F9467E"/>
    <w:rsid w:val="00FC2F9A"/>
    <w:rsid w:val="00FD5459"/>
    <w:rsid w:val="00FD6180"/>
    <w:rsid w:val="00FE2F73"/>
    <w:rsid w:val="00FF06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time"/>
  <w:smartTagType w:namespaceuri="urn:schemas-microsoft-com:office:smarttags" w:name="address"/>
  <w:smartTagType w:namespaceuri="urn:schemas-microsoft-com:office:smarttags" w:name="Street"/>
  <w:smartTagType w:namespaceuri="urn:schemas-microsoft-com:office:smarttags" w:name="PersonName"/>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B3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6F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Professional">
    <w:name w:val="Table Professional"/>
    <w:basedOn w:val="TableNormal"/>
    <w:rsid w:val="00DE6F71"/>
    <w:rPr>
      <w:rFonts w:eastAsia="SimSu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alloonText">
    <w:name w:val="Balloon Text"/>
    <w:basedOn w:val="Normal"/>
    <w:semiHidden/>
    <w:rsid w:val="00DE6F71"/>
    <w:rPr>
      <w:rFonts w:ascii="Tahoma" w:hAnsi="Tahoma" w:cs="Tahoma"/>
      <w:sz w:val="16"/>
      <w:szCs w:val="16"/>
    </w:rPr>
  </w:style>
  <w:style w:type="character" w:styleId="CommentReference">
    <w:name w:val="annotation reference"/>
    <w:basedOn w:val="DefaultParagraphFont"/>
    <w:semiHidden/>
    <w:rsid w:val="00DE6F71"/>
    <w:rPr>
      <w:sz w:val="16"/>
      <w:szCs w:val="16"/>
    </w:rPr>
  </w:style>
  <w:style w:type="paragraph" w:styleId="CommentText">
    <w:name w:val="annotation text"/>
    <w:basedOn w:val="Normal"/>
    <w:semiHidden/>
    <w:rsid w:val="00DE6F71"/>
    <w:rPr>
      <w:sz w:val="20"/>
      <w:szCs w:val="20"/>
    </w:rPr>
  </w:style>
  <w:style w:type="paragraph" w:styleId="CommentSubject">
    <w:name w:val="annotation subject"/>
    <w:basedOn w:val="CommentText"/>
    <w:next w:val="CommentText"/>
    <w:semiHidden/>
    <w:rsid w:val="00DE6F71"/>
    <w:rPr>
      <w:b/>
      <w:bCs/>
    </w:rPr>
  </w:style>
  <w:style w:type="table" w:styleId="TableSimple1">
    <w:name w:val="Table Simple 1"/>
    <w:basedOn w:val="TableNormal"/>
    <w:rsid w:val="00DE6F71"/>
    <w:rPr>
      <w:rFonts w:eastAsia="SimSu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Footer">
    <w:name w:val="footer"/>
    <w:basedOn w:val="Normal"/>
    <w:link w:val="FooterChar"/>
    <w:uiPriority w:val="99"/>
    <w:rsid w:val="00DE6F71"/>
    <w:pPr>
      <w:tabs>
        <w:tab w:val="center" w:pos="4320"/>
        <w:tab w:val="right" w:pos="8640"/>
      </w:tabs>
    </w:pPr>
  </w:style>
  <w:style w:type="character" w:styleId="PageNumber">
    <w:name w:val="page number"/>
    <w:basedOn w:val="DefaultParagraphFont"/>
    <w:rsid w:val="00DE6F71"/>
  </w:style>
  <w:style w:type="paragraph" w:styleId="Header">
    <w:name w:val="header"/>
    <w:basedOn w:val="Normal"/>
    <w:rsid w:val="00DE6F71"/>
    <w:pPr>
      <w:tabs>
        <w:tab w:val="center" w:pos="4320"/>
        <w:tab w:val="right" w:pos="8640"/>
      </w:tabs>
    </w:pPr>
  </w:style>
  <w:style w:type="character" w:styleId="Emphasis">
    <w:name w:val="Emphasis"/>
    <w:basedOn w:val="DefaultParagraphFont"/>
    <w:qFormat/>
    <w:rsid w:val="00D04BE0"/>
    <w:rPr>
      <w:i/>
      <w:iCs/>
    </w:rPr>
  </w:style>
  <w:style w:type="paragraph" w:customStyle="1" w:styleId="C2-CtrSglSp">
    <w:name w:val="C2-Ctr Sgl Sp"/>
    <w:rsid w:val="003A26CC"/>
    <w:pPr>
      <w:keepLines/>
      <w:spacing w:line="240" w:lineRule="atLeast"/>
      <w:jc w:val="center"/>
    </w:pPr>
    <w:rPr>
      <w:sz w:val="22"/>
    </w:rPr>
  </w:style>
  <w:style w:type="paragraph" w:customStyle="1" w:styleId="T0-ChapPgHd">
    <w:name w:val="T0-Chap/Pg Hd"/>
    <w:rsid w:val="003A26CC"/>
    <w:pPr>
      <w:tabs>
        <w:tab w:val="left" w:pos="8640"/>
      </w:tabs>
      <w:spacing w:line="240" w:lineRule="atLeast"/>
      <w:jc w:val="both"/>
    </w:pPr>
    <w:rPr>
      <w:sz w:val="22"/>
      <w:u w:val="words"/>
    </w:rPr>
  </w:style>
  <w:style w:type="paragraph" w:styleId="TOC1">
    <w:name w:val="toc 1"/>
    <w:rsid w:val="003A26CC"/>
    <w:pPr>
      <w:tabs>
        <w:tab w:val="left" w:pos="1440"/>
        <w:tab w:val="right" w:leader="dot" w:pos="8208"/>
        <w:tab w:val="left" w:pos="8640"/>
      </w:tabs>
      <w:spacing w:line="240" w:lineRule="atLeast"/>
      <w:ind w:left="288"/>
    </w:pPr>
    <w:rPr>
      <w:caps/>
      <w:sz w:val="22"/>
    </w:rPr>
  </w:style>
  <w:style w:type="paragraph" w:styleId="TOC2">
    <w:name w:val="toc 2"/>
    <w:rsid w:val="003A26CC"/>
    <w:pPr>
      <w:tabs>
        <w:tab w:val="left" w:pos="2160"/>
        <w:tab w:val="right" w:leader="dot" w:pos="8208"/>
        <w:tab w:val="left" w:pos="8640"/>
      </w:tabs>
      <w:spacing w:line="240" w:lineRule="atLeast"/>
      <w:ind w:left="2160" w:hanging="720"/>
    </w:pPr>
    <w:rPr>
      <w:sz w:val="22"/>
    </w:rPr>
  </w:style>
  <w:style w:type="character" w:customStyle="1" w:styleId="FooterChar">
    <w:name w:val="Footer Char"/>
    <w:basedOn w:val="DefaultParagraphFont"/>
    <w:link w:val="Footer"/>
    <w:uiPriority w:val="99"/>
    <w:rsid w:val="00DE6181"/>
    <w:rPr>
      <w:sz w:val="24"/>
      <w:szCs w:val="24"/>
    </w:rPr>
  </w:style>
</w:styles>
</file>

<file path=word/webSettings.xml><?xml version="1.0" encoding="utf-8"?>
<w:webSettings xmlns:r="http://schemas.openxmlformats.org/officeDocument/2006/relationships" xmlns:w="http://schemas.openxmlformats.org/wordprocessingml/2006/main">
  <w:divs>
    <w:div w:id="56705589">
      <w:bodyDiv w:val="1"/>
      <w:marLeft w:val="0"/>
      <w:marRight w:val="0"/>
      <w:marTop w:val="0"/>
      <w:marBottom w:val="0"/>
      <w:divBdr>
        <w:top w:val="none" w:sz="0" w:space="0" w:color="auto"/>
        <w:left w:val="none" w:sz="0" w:space="0" w:color="auto"/>
        <w:bottom w:val="none" w:sz="0" w:space="0" w:color="auto"/>
        <w:right w:val="none" w:sz="0" w:space="0" w:color="auto"/>
      </w:divBdr>
    </w:div>
    <w:div w:id="478039428">
      <w:bodyDiv w:val="1"/>
      <w:marLeft w:val="0"/>
      <w:marRight w:val="0"/>
      <w:marTop w:val="0"/>
      <w:marBottom w:val="0"/>
      <w:divBdr>
        <w:top w:val="none" w:sz="0" w:space="0" w:color="auto"/>
        <w:left w:val="none" w:sz="0" w:space="0" w:color="auto"/>
        <w:bottom w:val="none" w:sz="0" w:space="0" w:color="auto"/>
        <w:right w:val="none" w:sz="0" w:space="0" w:color="auto"/>
      </w:divBdr>
    </w:div>
    <w:div w:id="492724823">
      <w:bodyDiv w:val="1"/>
      <w:marLeft w:val="0"/>
      <w:marRight w:val="0"/>
      <w:marTop w:val="0"/>
      <w:marBottom w:val="0"/>
      <w:divBdr>
        <w:top w:val="none" w:sz="0" w:space="0" w:color="auto"/>
        <w:left w:val="none" w:sz="0" w:space="0" w:color="auto"/>
        <w:bottom w:val="none" w:sz="0" w:space="0" w:color="auto"/>
        <w:right w:val="none" w:sz="0" w:space="0" w:color="auto"/>
      </w:divBdr>
    </w:div>
    <w:div w:id="571354310">
      <w:bodyDiv w:val="1"/>
      <w:marLeft w:val="0"/>
      <w:marRight w:val="0"/>
      <w:marTop w:val="0"/>
      <w:marBottom w:val="0"/>
      <w:divBdr>
        <w:top w:val="none" w:sz="0" w:space="0" w:color="auto"/>
        <w:left w:val="none" w:sz="0" w:space="0" w:color="auto"/>
        <w:bottom w:val="none" w:sz="0" w:space="0" w:color="auto"/>
        <w:right w:val="none" w:sz="0" w:space="0" w:color="auto"/>
      </w:divBdr>
    </w:div>
    <w:div w:id="662200385">
      <w:bodyDiv w:val="1"/>
      <w:marLeft w:val="0"/>
      <w:marRight w:val="0"/>
      <w:marTop w:val="0"/>
      <w:marBottom w:val="0"/>
      <w:divBdr>
        <w:top w:val="none" w:sz="0" w:space="0" w:color="auto"/>
        <w:left w:val="none" w:sz="0" w:space="0" w:color="auto"/>
        <w:bottom w:val="none" w:sz="0" w:space="0" w:color="auto"/>
        <w:right w:val="none" w:sz="0" w:space="0" w:color="auto"/>
      </w:divBdr>
    </w:div>
    <w:div w:id="703480329">
      <w:bodyDiv w:val="1"/>
      <w:marLeft w:val="0"/>
      <w:marRight w:val="0"/>
      <w:marTop w:val="0"/>
      <w:marBottom w:val="0"/>
      <w:divBdr>
        <w:top w:val="none" w:sz="0" w:space="0" w:color="auto"/>
        <w:left w:val="none" w:sz="0" w:space="0" w:color="auto"/>
        <w:bottom w:val="none" w:sz="0" w:space="0" w:color="auto"/>
        <w:right w:val="none" w:sz="0" w:space="0" w:color="auto"/>
      </w:divBdr>
    </w:div>
    <w:div w:id="814680875">
      <w:bodyDiv w:val="1"/>
      <w:marLeft w:val="0"/>
      <w:marRight w:val="0"/>
      <w:marTop w:val="0"/>
      <w:marBottom w:val="0"/>
      <w:divBdr>
        <w:top w:val="none" w:sz="0" w:space="0" w:color="auto"/>
        <w:left w:val="none" w:sz="0" w:space="0" w:color="auto"/>
        <w:bottom w:val="none" w:sz="0" w:space="0" w:color="auto"/>
        <w:right w:val="none" w:sz="0" w:space="0" w:color="auto"/>
      </w:divBdr>
    </w:div>
    <w:div w:id="883716843">
      <w:bodyDiv w:val="1"/>
      <w:marLeft w:val="0"/>
      <w:marRight w:val="0"/>
      <w:marTop w:val="0"/>
      <w:marBottom w:val="0"/>
      <w:divBdr>
        <w:top w:val="none" w:sz="0" w:space="0" w:color="auto"/>
        <w:left w:val="none" w:sz="0" w:space="0" w:color="auto"/>
        <w:bottom w:val="none" w:sz="0" w:space="0" w:color="auto"/>
        <w:right w:val="none" w:sz="0" w:space="0" w:color="auto"/>
      </w:divBdr>
    </w:div>
    <w:div w:id="897592000">
      <w:bodyDiv w:val="1"/>
      <w:marLeft w:val="0"/>
      <w:marRight w:val="0"/>
      <w:marTop w:val="0"/>
      <w:marBottom w:val="0"/>
      <w:divBdr>
        <w:top w:val="none" w:sz="0" w:space="0" w:color="auto"/>
        <w:left w:val="none" w:sz="0" w:space="0" w:color="auto"/>
        <w:bottom w:val="none" w:sz="0" w:space="0" w:color="auto"/>
        <w:right w:val="none" w:sz="0" w:space="0" w:color="auto"/>
      </w:divBdr>
      <w:divsChild>
        <w:div w:id="548490967">
          <w:marLeft w:val="0"/>
          <w:marRight w:val="0"/>
          <w:marTop w:val="0"/>
          <w:marBottom w:val="0"/>
          <w:divBdr>
            <w:top w:val="none" w:sz="0" w:space="0" w:color="auto"/>
            <w:left w:val="none" w:sz="0" w:space="0" w:color="auto"/>
            <w:bottom w:val="none" w:sz="0" w:space="0" w:color="auto"/>
            <w:right w:val="none" w:sz="0" w:space="0" w:color="auto"/>
          </w:divBdr>
        </w:div>
        <w:div w:id="651982887">
          <w:marLeft w:val="0"/>
          <w:marRight w:val="0"/>
          <w:marTop w:val="0"/>
          <w:marBottom w:val="0"/>
          <w:divBdr>
            <w:top w:val="none" w:sz="0" w:space="0" w:color="auto"/>
            <w:left w:val="none" w:sz="0" w:space="0" w:color="auto"/>
            <w:bottom w:val="none" w:sz="0" w:space="0" w:color="auto"/>
            <w:right w:val="none" w:sz="0" w:space="0" w:color="auto"/>
          </w:divBdr>
        </w:div>
        <w:div w:id="722483148">
          <w:marLeft w:val="0"/>
          <w:marRight w:val="0"/>
          <w:marTop w:val="0"/>
          <w:marBottom w:val="0"/>
          <w:divBdr>
            <w:top w:val="none" w:sz="0" w:space="0" w:color="auto"/>
            <w:left w:val="none" w:sz="0" w:space="0" w:color="auto"/>
            <w:bottom w:val="none" w:sz="0" w:space="0" w:color="auto"/>
            <w:right w:val="none" w:sz="0" w:space="0" w:color="auto"/>
          </w:divBdr>
        </w:div>
      </w:divsChild>
    </w:div>
    <w:div w:id="917054327">
      <w:bodyDiv w:val="1"/>
      <w:marLeft w:val="0"/>
      <w:marRight w:val="0"/>
      <w:marTop w:val="0"/>
      <w:marBottom w:val="0"/>
      <w:divBdr>
        <w:top w:val="none" w:sz="0" w:space="0" w:color="auto"/>
        <w:left w:val="none" w:sz="0" w:space="0" w:color="auto"/>
        <w:bottom w:val="none" w:sz="0" w:space="0" w:color="auto"/>
        <w:right w:val="none" w:sz="0" w:space="0" w:color="auto"/>
      </w:divBdr>
    </w:div>
    <w:div w:id="1013142310">
      <w:bodyDiv w:val="1"/>
      <w:marLeft w:val="0"/>
      <w:marRight w:val="0"/>
      <w:marTop w:val="0"/>
      <w:marBottom w:val="0"/>
      <w:divBdr>
        <w:top w:val="none" w:sz="0" w:space="0" w:color="auto"/>
        <w:left w:val="none" w:sz="0" w:space="0" w:color="auto"/>
        <w:bottom w:val="none" w:sz="0" w:space="0" w:color="auto"/>
        <w:right w:val="none" w:sz="0" w:space="0" w:color="auto"/>
      </w:divBdr>
    </w:div>
    <w:div w:id="1015349303">
      <w:bodyDiv w:val="1"/>
      <w:marLeft w:val="0"/>
      <w:marRight w:val="0"/>
      <w:marTop w:val="0"/>
      <w:marBottom w:val="0"/>
      <w:divBdr>
        <w:top w:val="none" w:sz="0" w:space="0" w:color="auto"/>
        <w:left w:val="none" w:sz="0" w:space="0" w:color="auto"/>
        <w:bottom w:val="none" w:sz="0" w:space="0" w:color="auto"/>
        <w:right w:val="none" w:sz="0" w:space="0" w:color="auto"/>
      </w:divBdr>
    </w:div>
    <w:div w:id="1061446542">
      <w:bodyDiv w:val="1"/>
      <w:marLeft w:val="0"/>
      <w:marRight w:val="0"/>
      <w:marTop w:val="0"/>
      <w:marBottom w:val="0"/>
      <w:divBdr>
        <w:top w:val="none" w:sz="0" w:space="0" w:color="auto"/>
        <w:left w:val="none" w:sz="0" w:space="0" w:color="auto"/>
        <w:bottom w:val="none" w:sz="0" w:space="0" w:color="auto"/>
        <w:right w:val="none" w:sz="0" w:space="0" w:color="auto"/>
      </w:divBdr>
    </w:div>
    <w:div w:id="1247499243">
      <w:bodyDiv w:val="1"/>
      <w:marLeft w:val="0"/>
      <w:marRight w:val="0"/>
      <w:marTop w:val="0"/>
      <w:marBottom w:val="0"/>
      <w:divBdr>
        <w:top w:val="none" w:sz="0" w:space="0" w:color="auto"/>
        <w:left w:val="none" w:sz="0" w:space="0" w:color="auto"/>
        <w:bottom w:val="none" w:sz="0" w:space="0" w:color="auto"/>
        <w:right w:val="none" w:sz="0" w:space="0" w:color="auto"/>
      </w:divBdr>
    </w:div>
    <w:div w:id="1373268825">
      <w:bodyDiv w:val="1"/>
      <w:marLeft w:val="0"/>
      <w:marRight w:val="0"/>
      <w:marTop w:val="0"/>
      <w:marBottom w:val="0"/>
      <w:divBdr>
        <w:top w:val="none" w:sz="0" w:space="0" w:color="auto"/>
        <w:left w:val="none" w:sz="0" w:space="0" w:color="auto"/>
        <w:bottom w:val="none" w:sz="0" w:space="0" w:color="auto"/>
        <w:right w:val="none" w:sz="0" w:space="0" w:color="auto"/>
      </w:divBdr>
    </w:div>
    <w:div w:id="1403870072">
      <w:bodyDiv w:val="1"/>
      <w:marLeft w:val="0"/>
      <w:marRight w:val="0"/>
      <w:marTop w:val="0"/>
      <w:marBottom w:val="0"/>
      <w:divBdr>
        <w:top w:val="none" w:sz="0" w:space="0" w:color="auto"/>
        <w:left w:val="none" w:sz="0" w:space="0" w:color="auto"/>
        <w:bottom w:val="none" w:sz="0" w:space="0" w:color="auto"/>
        <w:right w:val="none" w:sz="0" w:space="0" w:color="auto"/>
      </w:divBdr>
    </w:div>
    <w:div w:id="1479565995">
      <w:bodyDiv w:val="1"/>
      <w:marLeft w:val="0"/>
      <w:marRight w:val="0"/>
      <w:marTop w:val="0"/>
      <w:marBottom w:val="0"/>
      <w:divBdr>
        <w:top w:val="none" w:sz="0" w:space="0" w:color="auto"/>
        <w:left w:val="none" w:sz="0" w:space="0" w:color="auto"/>
        <w:bottom w:val="none" w:sz="0" w:space="0" w:color="auto"/>
        <w:right w:val="none" w:sz="0" w:space="0" w:color="auto"/>
      </w:divBdr>
    </w:div>
    <w:div w:id="1508518073">
      <w:bodyDiv w:val="1"/>
      <w:marLeft w:val="0"/>
      <w:marRight w:val="0"/>
      <w:marTop w:val="0"/>
      <w:marBottom w:val="0"/>
      <w:divBdr>
        <w:top w:val="none" w:sz="0" w:space="0" w:color="auto"/>
        <w:left w:val="none" w:sz="0" w:space="0" w:color="auto"/>
        <w:bottom w:val="none" w:sz="0" w:space="0" w:color="auto"/>
        <w:right w:val="none" w:sz="0" w:space="0" w:color="auto"/>
      </w:divBdr>
    </w:div>
    <w:div w:id="1530024031">
      <w:bodyDiv w:val="1"/>
      <w:marLeft w:val="0"/>
      <w:marRight w:val="0"/>
      <w:marTop w:val="0"/>
      <w:marBottom w:val="0"/>
      <w:divBdr>
        <w:top w:val="none" w:sz="0" w:space="0" w:color="auto"/>
        <w:left w:val="none" w:sz="0" w:space="0" w:color="auto"/>
        <w:bottom w:val="none" w:sz="0" w:space="0" w:color="auto"/>
        <w:right w:val="none" w:sz="0" w:space="0" w:color="auto"/>
      </w:divBdr>
    </w:div>
    <w:div w:id="1611623876">
      <w:bodyDiv w:val="1"/>
      <w:marLeft w:val="0"/>
      <w:marRight w:val="0"/>
      <w:marTop w:val="0"/>
      <w:marBottom w:val="0"/>
      <w:divBdr>
        <w:top w:val="none" w:sz="0" w:space="0" w:color="auto"/>
        <w:left w:val="none" w:sz="0" w:space="0" w:color="auto"/>
        <w:bottom w:val="none" w:sz="0" w:space="0" w:color="auto"/>
        <w:right w:val="none" w:sz="0" w:space="0" w:color="auto"/>
      </w:divBdr>
    </w:div>
    <w:div w:id="1653677007">
      <w:bodyDiv w:val="1"/>
      <w:marLeft w:val="0"/>
      <w:marRight w:val="0"/>
      <w:marTop w:val="0"/>
      <w:marBottom w:val="0"/>
      <w:divBdr>
        <w:top w:val="none" w:sz="0" w:space="0" w:color="auto"/>
        <w:left w:val="none" w:sz="0" w:space="0" w:color="auto"/>
        <w:bottom w:val="none" w:sz="0" w:space="0" w:color="auto"/>
        <w:right w:val="none" w:sz="0" w:space="0" w:color="auto"/>
      </w:divBdr>
      <w:divsChild>
        <w:div w:id="642974846">
          <w:marLeft w:val="0"/>
          <w:marRight w:val="0"/>
          <w:marTop w:val="0"/>
          <w:marBottom w:val="0"/>
          <w:divBdr>
            <w:top w:val="none" w:sz="0" w:space="0" w:color="auto"/>
            <w:left w:val="none" w:sz="0" w:space="0" w:color="auto"/>
            <w:bottom w:val="none" w:sz="0" w:space="0" w:color="auto"/>
            <w:right w:val="none" w:sz="0" w:space="0" w:color="auto"/>
          </w:divBdr>
          <w:divsChild>
            <w:div w:id="11608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74275">
      <w:bodyDiv w:val="1"/>
      <w:marLeft w:val="0"/>
      <w:marRight w:val="0"/>
      <w:marTop w:val="0"/>
      <w:marBottom w:val="0"/>
      <w:divBdr>
        <w:top w:val="none" w:sz="0" w:space="0" w:color="auto"/>
        <w:left w:val="none" w:sz="0" w:space="0" w:color="auto"/>
        <w:bottom w:val="none" w:sz="0" w:space="0" w:color="auto"/>
        <w:right w:val="none" w:sz="0" w:space="0" w:color="auto"/>
      </w:divBdr>
    </w:div>
    <w:div w:id="1862740577">
      <w:bodyDiv w:val="1"/>
      <w:marLeft w:val="0"/>
      <w:marRight w:val="0"/>
      <w:marTop w:val="0"/>
      <w:marBottom w:val="0"/>
      <w:divBdr>
        <w:top w:val="none" w:sz="0" w:space="0" w:color="auto"/>
        <w:left w:val="none" w:sz="0" w:space="0" w:color="auto"/>
        <w:bottom w:val="none" w:sz="0" w:space="0" w:color="auto"/>
        <w:right w:val="none" w:sz="0" w:space="0" w:color="auto"/>
      </w:divBdr>
    </w:div>
    <w:div w:id="1885216845">
      <w:bodyDiv w:val="1"/>
      <w:marLeft w:val="0"/>
      <w:marRight w:val="0"/>
      <w:marTop w:val="0"/>
      <w:marBottom w:val="0"/>
      <w:divBdr>
        <w:top w:val="none" w:sz="0" w:space="0" w:color="auto"/>
        <w:left w:val="none" w:sz="0" w:space="0" w:color="auto"/>
        <w:bottom w:val="none" w:sz="0" w:space="0" w:color="auto"/>
        <w:right w:val="none" w:sz="0" w:space="0" w:color="auto"/>
      </w:divBdr>
    </w:div>
    <w:div w:id="1907295888">
      <w:bodyDiv w:val="1"/>
      <w:marLeft w:val="0"/>
      <w:marRight w:val="0"/>
      <w:marTop w:val="0"/>
      <w:marBottom w:val="0"/>
      <w:divBdr>
        <w:top w:val="none" w:sz="0" w:space="0" w:color="auto"/>
        <w:left w:val="none" w:sz="0" w:space="0" w:color="auto"/>
        <w:bottom w:val="none" w:sz="0" w:space="0" w:color="auto"/>
        <w:right w:val="none" w:sz="0" w:space="0" w:color="auto"/>
      </w:divBdr>
    </w:div>
    <w:div w:id="1982035078">
      <w:bodyDiv w:val="1"/>
      <w:marLeft w:val="0"/>
      <w:marRight w:val="0"/>
      <w:marTop w:val="0"/>
      <w:marBottom w:val="0"/>
      <w:divBdr>
        <w:top w:val="none" w:sz="0" w:space="0" w:color="auto"/>
        <w:left w:val="none" w:sz="0" w:space="0" w:color="auto"/>
        <w:bottom w:val="none" w:sz="0" w:space="0" w:color="auto"/>
        <w:right w:val="none" w:sz="0" w:space="0" w:color="auto"/>
      </w:divBdr>
    </w:div>
    <w:div w:id="1987513317">
      <w:bodyDiv w:val="1"/>
      <w:marLeft w:val="0"/>
      <w:marRight w:val="0"/>
      <w:marTop w:val="0"/>
      <w:marBottom w:val="0"/>
      <w:divBdr>
        <w:top w:val="none" w:sz="0" w:space="0" w:color="auto"/>
        <w:left w:val="none" w:sz="0" w:space="0" w:color="auto"/>
        <w:bottom w:val="none" w:sz="0" w:space="0" w:color="auto"/>
        <w:right w:val="none" w:sz="0" w:space="0" w:color="auto"/>
      </w:divBdr>
    </w:div>
    <w:div w:id="2004046936">
      <w:bodyDiv w:val="1"/>
      <w:marLeft w:val="0"/>
      <w:marRight w:val="0"/>
      <w:marTop w:val="0"/>
      <w:marBottom w:val="0"/>
      <w:divBdr>
        <w:top w:val="none" w:sz="0" w:space="0" w:color="auto"/>
        <w:left w:val="none" w:sz="0" w:space="0" w:color="auto"/>
        <w:bottom w:val="none" w:sz="0" w:space="0" w:color="auto"/>
        <w:right w:val="none" w:sz="0" w:space="0" w:color="auto"/>
      </w:divBdr>
    </w:div>
    <w:div w:id="204173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56F8B-BCDA-4449-B4CA-E89E69BB4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7117</Words>
  <Characters>38385</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Understanding Causes of Post Donation Information (PDI)</vt:lpstr>
    </vt:vector>
  </TitlesOfParts>
  <Company>Hoxworth Blood Center</Company>
  <LinksUpToDate>false</LinksUpToDate>
  <CharactersWithSpaces>45412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Causes of Post Donation Information (PDI)</dc:title>
  <dc:subject/>
  <dc:creator>HX00283A</dc:creator>
  <cp:keywords/>
  <dc:description/>
  <cp:lastModifiedBy>Vibha Vij</cp:lastModifiedBy>
  <cp:revision>6</cp:revision>
  <cp:lastPrinted>2009-10-27T15:52:00Z</cp:lastPrinted>
  <dcterms:created xsi:type="dcterms:W3CDTF">2009-12-02T20:46:00Z</dcterms:created>
  <dcterms:modified xsi:type="dcterms:W3CDTF">2010-01-07T17:58:00Z</dcterms:modified>
</cp:coreProperties>
</file>