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3E9" w:rsidRDefault="001053E9">
      <w:pPr>
        <w:rPr>
          <w:rFonts w:ascii="Verdana" w:hAnsi="Verdana"/>
          <w:sz w:val="20"/>
        </w:rPr>
      </w:pPr>
      <w:r>
        <w:rPr>
          <w:rFonts w:ascii="Verdana" w:hAnsi="Verdana"/>
          <w:sz w:val="20"/>
        </w:rPr>
        <w:t>National Credit Union Administration</w:t>
      </w:r>
    </w:p>
    <w:p w:rsidR="001053E9" w:rsidRDefault="001053E9">
      <w:pPr>
        <w:rPr>
          <w:rFonts w:ascii="Verdana" w:hAnsi="Verdana"/>
          <w:sz w:val="20"/>
        </w:rPr>
      </w:pPr>
      <w:r>
        <w:rPr>
          <w:rFonts w:ascii="Verdana" w:hAnsi="Verdana"/>
          <w:sz w:val="20"/>
        </w:rPr>
        <w:t>Office of Chief Information Officer</w:t>
      </w:r>
    </w:p>
    <w:p w:rsidR="001053E9" w:rsidRDefault="001053E9">
      <w:pPr>
        <w:rPr>
          <w:rFonts w:ascii="Verdana" w:hAnsi="Verdana"/>
          <w:sz w:val="20"/>
        </w:rPr>
      </w:pPr>
      <w:r>
        <w:rPr>
          <w:rFonts w:ascii="Verdana" w:hAnsi="Verdana"/>
          <w:sz w:val="20"/>
        </w:rPr>
        <w:t>1775 Duke Street</w:t>
      </w:r>
    </w:p>
    <w:p w:rsidR="001053E9" w:rsidRDefault="001053E9">
      <w:pPr>
        <w:rPr>
          <w:rFonts w:ascii="Verdana" w:hAnsi="Verdana"/>
          <w:sz w:val="20"/>
        </w:rPr>
      </w:pPr>
      <w:r>
        <w:rPr>
          <w:rFonts w:ascii="Verdana" w:hAnsi="Verdana"/>
          <w:sz w:val="20"/>
        </w:rPr>
        <w:t>Alexandria, VA</w:t>
      </w:r>
    </w:p>
    <w:p w:rsidR="001053E9" w:rsidRDefault="001053E9" w:rsidP="001053E9">
      <w:pPr>
        <w:rPr>
          <w:rFonts w:ascii="Verdana" w:hAnsi="Verdana"/>
          <w:sz w:val="20"/>
        </w:rPr>
        <w:sectPr w:rsidR="001053E9">
          <w:footerReference w:type="even" r:id="rId7"/>
          <w:footerReference w:type="default" r:id="rId8"/>
          <w:type w:val="continuous"/>
          <w:pgSz w:w="12240" w:h="15840" w:code="1"/>
          <w:pgMar w:top="720" w:right="1440" w:bottom="1440" w:left="1440" w:header="1440" w:footer="1440" w:gutter="0"/>
          <w:cols w:space="720"/>
          <w:noEndnote/>
          <w:titlePg/>
        </w:sectPr>
      </w:pPr>
      <w:r>
        <w:rPr>
          <w:rFonts w:ascii="Verdana" w:hAnsi="Verdana"/>
          <w:sz w:val="20"/>
        </w:rPr>
        <w:t>22314</w:t>
      </w:r>
    </w:p>
    <w:p w:rsidR="005041FA" w:rsidRDefault="005041FA">
      <w:pPr>
        <w:rPr>
          <w:rFonts w:ascii="Verdana" w:hAnsi="Verdana"/>
          <w:sz w:val="20"/>
        </w:rPr>
      </w:pPr>
    </w:p>
    <w:p w:rsidR="005041FA" w:rsidRDefault="005041FA">
      <w:pPr>
        <w:rPr>
          <w:rFonts w:ascii="Verdana" w:hAnsi="Verdana"/>
          <w:sz w:val="20"/>
        </w:rPr>
      </w:pPr>
    </w:p>
    <w:p w:rsidR="005041FA" w:rsidRDefault="001053E9">
      <w:r>
        <w:t>May 21, 2010</w:t>
      </w:r>
    </w:p>
    <w:p w:rsidR="005041FA" w:rsidRDefault="005041FA"/>
    <w:p w:rsidR="005041FA" w:rsidRDefault="005041FA"/>
    <w:p w:rsidR="005041FA" w:rsidRDefault="00B30213">
      <w:bookmarkStart w:id="0" w:name="Cancel"/>
      <w:r>
        <w:t>Cass R. Sunstein</w:t>
      </w:r>
    </w:p>
    <w:p w:rsidR="005041FA" w:rsidRDefault="005041FA">
      <w:pPr>
        <w:pStyle w:val="Footer"/>
        <w:tabs>
          <w:tab w:val="clear" w:pos="4320"/>
          <w:tab w:val="clear" w:pos="8640"/>
        </w:tabs>
      </w:pPr>
      <w:r>
        <w:t>Administrator</w:t>
      </w:r>
    </w:p>
    <w:p w:rsidR="005041FA" w:rsidRDefault="005041FA">
      <w:r>
        <w:t>Office of Information and Regulatory Affairs</w:t>
      </w:r>
    </w:p>
    <w:p w:rsidR="005041FA" w:rsidRDefault="005041FA">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20530</w:t>
          </w:r>
        </w:smartTag>
      </w:smartTag>
    </w:p>
    <w:bookmarkEnd w:id="0"/>
    <w:p w:rsidR="005041FA" w:rsidRDefault="005041FA"/>
    <w:p w:rsidR="005041FA" w:rsidRDefault="005041FA"/>
    <w:p w:rsidR="005041FA" w:rsidRDefault="005041FA">
      <w:r>
        <w:t xml:space="preserve">Dear </w:t>
      </w:r>
      <w:r w:rsidR="00B30213">
        <w:t>Mr. Sunstein</w:t>
      </w:r>
      <w:r>
        <w:t>:</w:t>
      </w:r>
    </w:p>
    <w:p w:rsidR="005041FA" w:rsidRDefault="005041FA"/>
    <w:p w:rsidR="005041FA" w:rsidRDefault="005041FA">
      <w:pPr>
        <w:pStyle w:val="BodyTextIndent"/>
        <w:spacing w:line="240" w:lineRule="auto"/>
      </w:pPr>
      <w:bookmarkStart w:id="1" w:name="Startingpoint"/>
      <w:bookmarkEnd w:id="1"/>
      <w:r>
        <w:t xml:space="preserve">Pursuant to Office of Management and Budget (OMB) regulations at 5 C.F.R. § 1320.13, the </w:t>
      </w:r>
      <w:r w:rsidR="001053E9">
        <w:t>National Credit Union Administration</w:t>
      </w:r>
      <w:r>
        <w:t xml:space="preserve"> (</w:t>
      </w:r>
      <w:r w:rsidR="001053E9">
        <w:t>NCUA</w:t>
      </w:r>
      <w:r>
        <w:t xml:space="preserve">) requests emergency OMB </w:t>
      </w:r>
      <w:r w:rsidRPr="004A26B3">
        <w:t>approval by</w:t>
      </w:r>
      <w:r w:rsidR="007B5D28" w:rsidRPr="004A26B3">
        <w:t xml:space="preserve"> </w:t>
      </w:r>
      <w:r w:rsidR="00AF42B9" w:rsidRPr="004A26B3">
        <w:t xml:space="preserve">May </w:t>
      </w:r>
      <w:r w:rsidR="004A26B3" w:rsidRPr="000108AF">
        <w:t>21</w:t>
      </w:r>
      <w:r w:rsidR="007B5D28" w:rsidRPr="004A26B3">
        <w:t>, 2010,</w:t>
      </w:r>
      <w:r w:rsidR="007B5D28">
        <w:t xml:space="preserve"> </w:t>
      </w:r>
      <w:r>
        <w:t xml:space="preserve">of the attached </w:t>
      </w:r>
      <w:r w:rsidR="00B30213">
        <w:t>information collection titled “</w:t>
      </w:r>
      <w:r w:rsidR="001053E9">
        <w:t>Funding and Liquidity Risk Management.</w:t>
      </w:r>
      <w:r w:rsidR="00B30213">
        <w:t>”</w:t>
      </w:r>
    </w:p>
    <w:p w:rsidR="005041FA" w:rsidRDefault="005041FA">
      <w:pPr>
        <w:ind w:left="720" w:right="720"/>
      </w:pPr>
    </w:p>
    <w:p w:rsidR="005041FA" w:rsidRDefault="005041FA">
      <w:pPr>
        <w:pStyle w:val="BodyTextIndent"/>
        <w:spacing w:line="240" w:lineRule="auto"/>
      </w:pPr>
      <w:r>
        <w:t xml:space="preserve">The </w:t>
      </w:r>
      <w:r w:rsidR="001053E9">
        <w:t>NCUA</w:t>
      </w:r>
      <w:r>
        <w:t xml:space="preserve"> has determined that:</w:t>
      </w:r>
    </w:p>
    <w:p w:rsidR="005041FA" w:rsidRDefault="005041FA">
      <w:pPr>
        <w:ind w:left="720" w:right="720" w:firstLine="720"/>
      </w:pPr>
    </w:p>
    <w:p w:rsidR="005041FA" w:rsidRDefault="005041FA">
      <w:pPr>
        <w:ind w:left="720" w:right="720" w:firstLine="720"/>
      </w:pPr>
      <w:r>
        <w:t>(1) The collection of information is needed prior to the time period established under 5 C.F.R. Part 1320;</w:t>
      </w:r>
    </w:p>
    <w:p w:rsidR="005041FA" w:rsidRDefault="005041FA">
      <w:pPr>
        <w:ind w:left="720" w:right="720" w:firstLine="720"/>
      </w:pPr>
    </w:p>
    <w:p w:rsidR="005041FA" w:rsidRDefault="005041FA">
      <w:pPr>
        <w:ind w:left="720" w:right="720" w:firstLine="720"/>
      </w:pPr>
      <w:r>
        <w:t>(2) The collection of information is essential to the mission of the agency; and</w:t>
      </w:r>
    </w:p>
    <w:p w:rsidR="005041FA" w:rsidRDefault="005041FA">
      <w:pPr>
        <w:ind w:left="720" w:right="720" w:firstLine="720"/>
      </w:pPr>
    </w:p>
    <w:p w:rsidR="005041FA" w:rsidRDefault="005041FA">
      <w:pPr>
        <w:ind w:left="720" w:right="720" w:firstLine="720"/>
      </w:pPr>
      <w:r>
        <w:t xml:space="preserve">(3) The </w:t>
      </w:r>
      <w:r w:rsidR="001053E9">
        <w:t>NCUA</w:t>
      </w:r>
      <w:r>
        <w:t xml:space="preserve"> cannot reasonably comply with normal clearance procedures under 5 C.F.R. Part 1320 because public harm is reasonably likely to result if normal clearance procedures are followed.</w:t>
      </w:r>
      <w:r w:rsidR="007B5D28">
        <w:t xml:space="preserve">  </w:t>
      </w:r>
      <w:r w:rsidR="004A26B3">
        <w:t>The</w:t>
      </w:r>
      <w:r w:rsidR="007B5D28">
        <w:t xml:space="preserve"> immediate clearance </w:t>
      </w:r>
      <w:r w:rsidR="004A26B3">
        <w:t>of this guidance is in th</w:t>
      </w:r>
      <w:r w:rsidR="00E01B91">
        <w:t xml:space="preserve">e best interests of the financial institutions as it </w:t>
      </w:r>
      <w:r w:rsidR="007B5D28">
        <w:t xml:space="preserve">will </w:t>
      </w:r>
      <w:r w:rsidR="00E01B91">
        <w:t>allow the federal banking age</w:t>
      </w:r>
      <w:r w:rsidR="000108AF">
        <w:t>ncies to issue the guidance simu</w:t>
      </w:r>
      <w:r w:rsidR="00E01B91">
        <w:t>l</w:t>
      </w:r>
      <w:r w:rsidR="000108AF">
        <w:t>t</w:t>
      </w:r>
      <w:r w:rsidR="00E01B91">
        <w:t>an</w:t>
      </w:r>
      <w:r w:rsidR="000108AF">
        <w:t>e</w:t>
      </w:r>
      <w:r w:rsidR="00E01B91">
        <w:t xml:space="preserve">ously.  Moreover, it will </w:t>
      </w:r>
      <w:r w:rsidR="007B5D28">
        <w:t>serve the public by ensuring the prompt improvement of</w:t>
      </w:r>
      <w:r w:rsidR="000F4C4D">
        <w:t xml:space="preserve"> sound </w:t>
      </w:r>
      <w:r w:rsidR="002F354E">
        <w:t>liquidity management practices under stressed economic conditions</w:t>
      </w:r>
      <w:r w:rsidR="000F4C4D">
        <w:t>.</w:t>
      </w:r>
    </w:p>
    <w:p w:rsidR="005041FA" w:rsidRDefault="005041FA">
      <w:pPr>
        <w:ind w:right="720"/>
      </w:pPr>
    </w:p>
    <w:p w:rsidR="00C41E3A" w:rsidRPr="00E01B91" w:rsidRDefault="00E01B91" w:rsidP="00E01B91">
      <w:pPr>
        <w:pStyle w:val="BlockText"/>
        <w:spacing w:line="240" w:lineRule="auto"/>
        <w:rPr>
          <w:rFonts w:ascii="Times New Roman" w:hAnsi="Times New Roman"/>
        </w:rPr>
      </w:pPr>
      <w:r w:rsidRPr="00E01B91">
        <w:rPr>
          <w:rFonts w:ascii="Times New Roman" w:hAnsi="Times New Roman"/>
        </w:rPr>
        <w:t xml:space="preserve">In order for NCUA to </w:t>
      </w:r>
      <w:r>
        <w:rPr>
          <w:rFonts w:ascii="Times New Roman" w:hAnsi="Times New Roman"/>
        </w:rPr>
        <w:t xml:space="preserve">release the guidance in conjunction with the other federal banking agencies, the NCUA requests the emergency OMB approval.  Emergency release of the guidance is in the best interest of the credit union industry as it will provide specific guidance on “Funding and Liquidity Risk Management” that is needed in today’s economic environment.  </w:t>
      </w:r>
      <w:r w:rsidR="000108AF">
        <w:rPr>
          <w:rFonts w:ascii="Times New Roman" w:hAnsi="Times New Roman"/>
        </w:rPr>
        <w:t>In addition, u</w:t>
      </w:r>
      <w:r>
        <w:rPr>
          <w:rFonts w:ascii="Times New Roman" w:hAnsi="Times New Roman"/>
        </w:rPr>
        <w:t xml:space="preserve">nanticipated staffing changes did not </w:t>
      </w:r>
      <w:r w:rsidR="000108AF">
        <w:rPr>
          <w:rFonts w:ascii="Times New Roman" w:hAnsi="Times New Roman"/>
        </w:rPr>
        <w:t xml:space="preserve">afford the NCUA the ability to comply with the normal clearance procedures under </w:t>
      </w:r>
      <w:r w:rsidR="000108AF">
        <w:t>5 C.F.R. Part 1320.</w:t>
      </w:r>
    </w:p>
    <w:p w:rsidR="005041FA" w:rsidRDefault="005041FA" w:rsidP="00C41E3A">
      <w:pPr>
        <w:pStyle w:val="BlockText"/>
        <w:spacing w:line="240" w:lineRule="auto"/>
        <w:ind w:left="0" w:firstLine="720"/>
      </w:pPr>
    </w:p>
    <w:p w:rsidR="005041FA" w:rsidRDefault="005041FA">
      <w:pPr>
        <w:pStyle w:val="BodyTextIndent"/>
        <w:spacing w:line="240" w:lineRule="auto"/>
      </w:pPr>
      <w:r>
        <w:t xml:space="preserve">Therefore, the </w:t>
      </w:r>
      <w:r w:rsidR="001053E9">
        <w:t>NCUA</w:t>
      </w:r>
      <w:r>
        <w:t xml:space="preserve"> requests emergency OMB ap</w:t>
      </w:r>
      <w:r w:rsidR="00404817">
        <w:t xml:space="preserve">proval of this collection. The </w:t>
      </w:r>
      <w:r w:rsidR="001053E9">
        <w:t>NCUA</w:t>
      </w:r>
      <w:r>
        <w:t xml:space="preserve"> believes that immediate collection of this information is in the best interests of the United States, the national banking</w:t>
      </w:r>
      <w:r w:rsidR="001053E9">
        <w:t xml:space="preserve"> </w:t>
      </w:r>
      <w:r w:rsidR="001053E9" w:rsidRPr="004A26B3">
        <w:t>and credit union</w:t>
      </w:r>
      <w:r w:rsidRPr="004A26B3">
        <w:t xml:space="preserve"> system</w:t>
      </w:r>
      <w:r w:rsidR="001053E9" w:rsidRPr="004A26B3">
        <w:t>s</w:t>
      </w:r>
      <w:r>
        <w:t xml:space="preserve">, and the public.  The </w:t>
      </w:r>
      <w:r w:rsidR="001053E9">
        <w:t>NCUA</w:t>
      </w:r>
      <w:r>
        <w:t xml:space="preserve"> </w:t>
      </w:r>
      <w:r>
        <w:lastRenderedPageBreak/>
        <w:t xml:space="preserve">also requests a waiver of a </w:t>
      </w:r>
      <w:r>
        <w:rPr>
          <w:i/>
          <w:iCs/>
        </w:rPr>
        <w:t>Federal Register</w:t>
      </w:r>
      <w:r>
        <w:t xml:space="preserve"> publication for eme</w:t>
      </w:r>
      <w:r w:rsidRPr="007D7C66">
        <w:t>rgency clearance.  Of course, the renewal procedure will involve</w:t>
      </w:r>
      <w:r w:rsidRPr="00404817">
        <w:rPr>
          <w:i/>
        </w:rPr>
        <w:t xml:space="preserve"> </w:t>
      </w:r>
      <w:r w:rsidRPr="007D7C66">
        <w:rPr>
          <w:i/>
        </w:rPr>
        <w:t>Federal Register</w:t>
      </w:r>
      <w:r>
        <w:t xml:space="preserve"> notice and public comment.  The </w:t>
      </w:r>
      <w:r w:rsidR="001053E9">
        <w:t>NCUA</w:t>
      </w:r>
      <w:r>
        <w:t xml:space="preserve"> will consider carefully all comments received to determine if revision to the information collection is warranted.</w:t>
      </w:r>
    </w:p>
    <w:p w:rsidR="005041FA" w:rsidRDefault="005041FA">
      <w:pPr>
        <w:ind w:left="720" w:right="720"/>
      </w:pPr>
    </w:p>
    <w:p w:rsidR="005041FA" w:rsidRDefault="005041FA">
      <w:pPr>
        <w:ind w:right="720"/>
      </w:pPr>
    </w:p>
    <w:p w:rsidR="005041FA" w:rsidRDefault="005041FA" w:rsidP="00C502BB">
      <w:pPr>
        <w:ind w:left="3600" w:right="720" w:firstLine="720"/>
      </w:pPr>
      <w:r>
        <w:t xml:space="preserve">Very truly yours, </w:t>
      </w:r>
    </w:p>
    <w:p w:rsidR="005041FA" w:rsidRDefault="005041FA">
      <w:pPr>
        <w:ind w:left="720" w:right="720"/>
      </w:pPr>
    </w:p>
    <w:p w:rsidR="005041FA" w:rsidRDefault="00C502BB">
      <w:pPr>
        <w:ind w:right="720"/>
      </w:pPr>
      <w:r>
        <w:tab/>
      </w:r>
      <w:r>
        <w:tab/>
      </w:r>
      <w:r>
        <w:tab/>
      </w:r>
      <w:r>
        <w:tab/>
      </w:r>
      <w:r>
        <w:tab/>
      </w:r>
      <w:r>
        <w:tab/>
      </w:r>
      <w:r>
        <w:tab/>
        <w:t>/s/</w:t>
      </w:r>
    </w:p>
    <w:p w:rsidR="005041FA" w:rsidRDefault="005041FA">
      <w:pPr>
        <w:ind w:right="720"/>
      </w:pPr>
    </w:p>
    <w:p w:rsidR="005041FA" w:rsidRDefault="001053E9" w:rsidP="00C502BB">
      <w:pPr>
        <w:ind w:left="3600" w:right="720" w:firstLine="720"/>
      </w:pPr>
      <w:r>
        <w:t>Jeryl E. Fish</w:t>
      </w:r>
    </w:p>
    <w:p w:rsidR="005041FA" w:rsidRDefault="001053E9" w:rsidP="00C502BB">
      <w:pPr>
        <w:ind w:left="3600" w:right="720" w:firstLine="720"/>
      </w:pPr>
      <w:r>
        <w:t>Paperwork Clearance Officer</w:t>
      </w:r>
    </w:p>
    <w:p w:rsidR="005041FA" w:rsidRDefault="005041FA"/>
    <w:p w:rsidR="005041FA" w:rsidRDefault="005041FA"/>
    <w:sectPr w:rsidR="005041FA" w:rsidSect="00094665">
      <w:footerReference w:type="even" r:id="rId9"/>
      <w:footerReference w:type="default" r:id="rId10"/>
      <w:type w:val="continuous"/>
      <w:pgSz w:w="12240" w:h="15840" w:code="1"/>
      <w:pgMar w:top="1440" w:right="1440" w:bottom="1440" w:left="1440" w:header="720" w:footer="1440" w:gutter="0"/>
      <w:cols w:space="720"/>
      <w:formProt w:val="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05D" w:rsidRDefault="0020305D">
      <w:r>
        <w:separator/>
      </w:r>
    </w:p>
  </w:endnote>
  <w:endnote w:type="continuationSeparator" w:id="0">
    <w:p w:rsidR="0020305D" w:rsidRDefault="002030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OCC">
    <w:altName w:val="Courier New"/>
    <w:charset w:val="00"/>
    <w:family w:val="decorative"/>
    <w:pitch w:val="variable"/>
    <w:sig w:usb0="00000003" w:usb1="00000000" w:usb2="00000000" w:usb3="00000000" w:csb0="00000001" w:csb1="00000000"/>
  </w:font>
  <w:font w:name="Univers">
    <w:panose1 w:val="020B0603020202030204"/>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6E" w:rsidRDefault="007A35C2">
    <w:pPr>
      <w:pStyle w:val="Footer"/>
      <w:framePr w:wrap="around" w:vAnchor="text" w:hAnchor="margin" w:xAlign="center" w:y="1"/>
      <w:rPr>
        <w:rStyle w:val="PageNumber"/>
      </w:rPr>
    </w:pPr>
    <w:r>
      <w:rPr>
        <w:rStyle w:val="PageNumber"/>
      </w:rPr>
      <w:fldChar w:fldCharType="begin"/>
    </w:r>
    <w:r w:rsidR="0051666E">
      <w:rPr>
        <w:rStyle w:val="PageNumber"/>
      </w:rPr>
      <w:instrText xml:space="preserve">PAGE  </w:instrText>
    </w:r>
    <w:r>
      <w:rPr>
        <w:rStyle w:val="PageNumber"/>
      </w:rPr>
      <w:fldChar w:fldCharType="end"/>
    </w:r>
  </w:p>
  <w:p w:rsidR="0051666E" w:rsidRDefault="005166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6E" w:rsidRDefault="007A35C2">
    <w:pPr>
      <w:pStyle w:val="Footer"/>
      <w:framePr w:wrap="around" w:vAnchor="text" w:hAnchor="margin" w:xAlign="center" w:y="1"/>
      <w:rPr>
        <w:rStyle w:val="PageNumber"/>
      </w:rPr>
    </w:pPr>
    <w:r>
      <w:rPr>
        <w:rStyle w:val="PageNumber"/>
      </w:rPr>
      <w:fldChar w:fldCharType="begin"/>
    </w:r>
    <w:r w:rsidR="0051666E">
      <w:rPr>
        <w:rStyle w:val="PageNumber"/>
      </w:rPr>
      <w:instrText xml:space="preserve">PAGE  </w:instrText>
    </w:r>
    <w:r>
      <w:rPr>
        <w:rStyle w:val="PageNumber"/>
      </w:rPr>
      <w:fldChar w:fldCharType="separate"/>
    </w:r>
    <w:r w:rsidR="0051666E">
      <w:rPr>
        <w:rStyle w:val="PageNumber"/>
        <w:noProof/>
      </w:rPr>
      <w:t>2</w:t>
    </w:r>
    <w:r>
      <w:rPr>
        <w:rStyle w:val="PageNumber"/>
      </w:rPr>
      <w:fldChar w:fldCharType="end"/>
    </w:r>
  </w:p>
  <w:p w:rsidR="0051666E" w:rsidRDefault="0051666E">
    <w:pPr>
      <w:pStyle w:val="Footer"/>
      <w:jc w:val="center"/>
    </w:pPr>
    <w:r>
      <w:t>-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6E" w:rsidRDefault="007A35C2">
    <w:pPr>
      <w:pStyle w:val="Footer"/>
      <w:framePr w:wrap="around" w:vAnchor="text" w:hAnchor="margin" w:xAlign="center" w:y="1"/>
      <w:rPr>
        <w:rStyle w:val="PageNumber"/>
      </w:rPr>
    </w:pPr>
    <w:r>
      <w:rPr>
        <w:rStyle w:val="PageNumber"/>
      </w:rPr>
      <w:fldChar w:fldCharType="begin"/>
    </w:r>
    <w:r w:rsidR="0051666E">
      <w:rPr>
        <w:rStyle w:val="PageNumber"/>
      </w:rPr>
      <w:instrText xml:space="preserve">PAGE  </w:instrText>
    </w:r>
    <w:r>
      <w:rPr>
        <w:rStyle w:val="PageNumber"/>
      </w:rPr>
      <w:fldChar w:fldCharType="end"/>
    </w:r>
  </w:p>
  <w:p w:rsidR="0051666E" w:rsidRDefault="0051666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6E" w:rsidRDefault="007A35C2">
    <w:pPr>
      <w:pStyle w:val="Footer"/>
      <w:framePr w:wrap="around" w:vAnchor="text" w:hAnchor="margin" w:xAlign="center" w:y="1"/>
      <w:rPr>
        <w:rStyle w:val="PageNumber"/>
      </w:rPr>
    </w:pPr>
    <w:r>
      <w:rPr>
        <w:rStyle w:val="PageNumber"/>
      </w:rPr>
      <w:fldChar w:fldCharType="begin"/>
    </w:r>
    <w:r w:rsidR="0051666E">
      <w:rPr>
        <w:rStyle w:val="PageNumber"/>
      </w:rPr>
      <w:instrText xml:space="preserve">PAGE  </w:instrText>
    </w:r>
    <w:r>
      <w:rPr>
        <w:rStyle w:val="PageNumber"/>
      </w:rPr>
      <w:fldChar w:fldCharType="separate"/>
    </w:r>
    <w:r w:rsidR="00C502BB">
      <w:rPr>
        <w:rStyle w:val="PageNumber"/>
        <w:noProof/>
      </w:rPr>
      <w:t>2</w:t>
    </w:r>
    <w:r>
      <w:rPr>
        <w:rStyle w:val="PageNumber"/>
      </w:rPr>
      <w:fldChar w:fldCharType="end"/>
    </w:r>
  </w:p>
  <w:p w:rsidR="0051666E" w:rsidRDefault="0051666E">
    <w:pPr>
      <w:pStyle w:val="Footer"/>
      <w:jc w:val="center"/>
    </w:pPr>
    <w:r>
      <w: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05D" w:rsidRDefault="0020305D">
      <w:r>
        <w:separator/>
      </w:r>
    </w:p>
  </w:footnote>
  <w:footnote w:type="continuationSeparator" w:id="0">
    <w:p w:rsidR="0020305D" w:rsidRDefault="0020305D">
      <w:r>
        <w: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017DE"/>
    <w:multiLevelType w:val="multilevel"/>
    <w:tmpl w:val="B51A39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D5B58AC"/>
    <w:multiLevelType w:val="multilevel"/>
    <w:tmpl w:val="AD369810"/>
    <w:lvl w:ilvl="0">
      <w:start w:val="1"/>
      <w:numFmt w:val="upperRoman"/>
      <w:suff w:val="nothing"/>
      <w:lvlText w:val="Article %1"/>
      <w:lvlJc w:val="left"/>
      <w:rPr>
        <w:b/>
        <w:i w:val="0"/>
      </w:rPr>
    </w:lvl>
    <w:lvl w:ilvl="1">
      <w:start w:val="1"/>
      <w:numFmt w:val="decimalZero"/>
      <w:isLgl/>
      <w:lvlText w:val="Section %1.%2"/>
      <w:lvlJc w:val="left"/>
      <w:pPr>
        <w:tabs>
          <w:tab w:val="num" w:pos="1080"/>
        </w:tabs>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07857"/>
    <w:rsid w:val="000108AF"/>
    <w:rsid w:val="000246DC"/>
    <w:rsid w:val="0008115B"/>
    <w:rsid w:val="00081673"/>
    <w:rsid w:val="00094665"/>
    <w:rsid w:val="000E441F"/>
    <w:rsid w:val="000F4C4D"/>
    <w:rsid w:val="001053E9"/>
    <w:rsid w:val="001665E2"/>
    <w:rsid w:val="0020305D"/>
    <w:rsid w:val="00245F56"/>
    <w:rsid w:val="002A599B"/>
    <w:rsid w:val="002E7EC8"/>
    <w:rsid w:val="002F354E"/>
    <w:rsid w:val="00330316"/>
    <w:rsid w:val="00404817"/>
    <w:rsid w:val="0047168D"/>
    <w:rsid w:val="00483EA2"/>
    <w:rsid w:val="004A26B3"/>
    <w:rsid w:val="004E66F0"/>
    <w:rsid w:val="004E7CA1"/>
    <w:rsid w:val="005041FA"/>
    <w:rsid w:val="00507857"/>
    <w:rsid w:val="0051666E"/>
    <w:rsid w:val="00533797"/>
    <w:rsid w:val="005B6F99"/>
    <w:rsid w:val="005C1F62"/>
    <w:rsid w:val="006C1CEB"/>
    <w:rsid w:val="007712AE"/>
    <w:rsid w:val="007A35C2"/>
    <w:rsid w:val="007B5D28"/>
    <w:rsid w:val="007D7C66"/>
    <w:rsid w:val="008005AC"/>
    <w:rsid w:val="00891A08"/>
    <w:rsid w:val="0094294D"/>
    <w:rsid w:val="009617DB"/>
    <w:rsid w:val="00967242"/>
    <w:rsid w:val="00971456"/>
    <w:rsid w:val="009938F6"/>
    <w:rsid w:val="00AF42B9"/>
    <w:rsid w:val="00B27824"/>
    <w:rsid w:val="00B30213"/>
    <w:rsid w:val="00B41823"/>
    <w:rsid w:val="00B464A0"/>
    <w:rsid w:val="00B749ED"/>
    <w:rsid w:val="00BF725D"/>
    <w:rsid w:val="00C41E3A"/>
    <w:rsid w:val="00C502BB"/>
    <w:rsid w:val="00CA70A7"/>
    <w:rsid w:val="00CC3A17"/>
    <w:rsid w:val="00CC71D2"/>
    <w:rsid w:val="00D72C9D"/>
    <w:rsid w:val="00D939A0"/>
    <w:rsid w:val="00E01B91"/>
    <w:rsid w:val="00E3220D"/>
    <w:rsid w:val="00E7436D"/>
    <w:rsid w:val="00EB7E4C"/>
    <w:rsid w:val="00EE5AC4"/>
    <w:rsid w:val="00F06639"/>
    <w:rsid w:val="00F65D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665"/>
    <w:rPr>
      <w:sz w:val="24"/>
    </w:rPr>
  </w:style>
  <w:style w:type="paragraph" w:styleId="Heading1">
    <w:name w:val="heading 1"/>
    <w:basedOn w:val="Normal"/>
    <w:next w:val="Normal"/>
    <w:qFormat/>
    <w:rsid w:val="00094665"/>
    <w:pPr>
      <w:keepNext/>
      <w:outlineLvl w:val="0"/>
    </w:pPr>
    <w:rPr>
      <w:rFonts w:ascii="OCC" w:hAnsi="OCC"/>
      <w:sz w:val="80"/>
    </w:rPr>
  </w:style>
  <w:style w:type="paragraph" w:styleId="Heading2">
    <w:name w:val="heading 2"/>
    <w:basedOn w:val="Normal"/>
    <w:next w:val="Normal"/>
    <w:qFormat/>
    <w:rsid w:val="00094665"/>
    <w:pPr>
      <w:keepNext/>
      <w:ind w:left="612"/>
      <w:outlineLvl w:val="1"/>
    </w:pPr>
    <w:rPr>
      <w:rFonts w:ascii="Univers" w:hAnsi="Univers"/>
      <w:b/>
      <w:sz w:val="20"/>
    </w:rPr>
  </w:style>
  <w:style w:type="paragraph" w:styleId="Heading3">
    <w:name w:val="heading 3"/>
    <w:basedOn w:val="Normal"/>
    <w:next w:val="Normal"/>
    <w:qFormat/>
    <w:rsid w:val="00094665"/>
    <w:pPr>
      <w:keepNext/>
      <w:outlineLvl w:val="2"/>
    </w:pPr>
    <w:rPr>
      <w:rFonts w:ascii="Verdana" w:hAnsi="Verdana"/>
      <w:outline/>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94665"/>
    <w:pPr>
      <w:tabs>
        <w:tab w:val="center" w:pos="4320"/>
        <w:tab w:val="right" w:pos="8640"/>
      </w:tabs>
    </w:pPr>
  </w:style>
  <w:style w:type="character" w:styleId="PageNumber">
    <w:name w:val="page number"/>
    <w:basedOn w:val="DefaultParagraphFont"/>
    <w:rsid w:val="00094665"/>
  </w:style>
  <w:style w:type="paragraph" w:styleId="Header">
    <w:name w:val="header"/>
    <w:basedOn w:val="Normal"/>
    <w:rsid w:val="00094665"/>
    <w:pPr>
      <w:tabs>
        <w:tab w:val="center" w:pos="4320"/>
        <w:tab w:val="right" w:pos="8640"/>
      </w:tabs>
    </w:pPr>
  </w:style>
  <w:style w:type="paragraph" w:styleId="FootnoteText">
    <w:name w:val="footnote text"/>
    <w:basedOn w:val="Normal"/>
    <w:semiHidden/>
    <w:rsid w:val="00094665"/>
    <w:rPr>
      <w:sz w:val="20"/>
    </w:rPr>
  </w:style>
  <w:style w:type="character" w:styleId="FootnoteReference">
    <w:name w:val="footnote reference"/>
    <w:basedOn w:val="DefaultParagraphFont"/>
    <w:semiHidden/>
    <w:rsid w:val="00094665"/>
    <w:rPr>
      <w:vertAlign w:val="superscript"/>
    </w:rPr>
  </w:style>
  <w:style w:type="paragraph" w:customStyle="1" w:styleId="ArticleLevel1">
    <w:name w:val="Article Level (1)"/>
    <w:autoRedefine/>
    <w:rsid w:val="00094665"/>
    <w:pPr>
      <w:tabs>
        <w:tab w:val="left" w:pos="1440"/>
        <w:tab w:val="num" w:pos="2160"/>
      </w:tabs>
      <w:spacing w:line="480" w:lineRule="auto"/>
      <w:ind w:left="2160" w:firstLine="720"/>
    </w:pPr>
    <w:rPr>
      <w:sz w:val="24"/>
    </w:rPr>
  </w:style>
  <w:style w:type="paragraph" w:customStyle="1" w:styleId="ArticleLevela">
    <w:name w:val="Article Level (a)"/>
    <w:autoRedefine/>
    <w:rsid w:val="00094665"/>
    <w:pPr>
      <w:tabs>
        <w:tab w:val="left" w:pos="1440"/>
        <w:tab w:val="num" w:pos="2880"/>
      </w:tabs>
      <w:spacing w:line="480" w:lineRule="auto"/>
      <w:ind w:left="2880" w:hanging="720"/>
    </w:pPr>
    <w:rPr>
      <w:sz w:val="24"/>
    </w:rPr>
  </w:style>
  <w:style w:type="paragraph" w:styleId="BlockText">
    <w:name w:val="Block Text"/>
    <w:basedOn w:val="Normal"/>
    <w:rsid w:val="00094665"/>
    <w:pPr>
      <w:widowControl w:val="0"/>
      <w:autoSpaceDE w:val="0"/>
      <w:autoSpaceDN w:val="0"/>
      <w:adjustRightInd w:val="0"/>
      <w:spacing w:line="480" w:lineRule="auto"/>
      <w:ind w:left="720" w:right="720"/>
    </w:pPr>
    <w:rPr>
      <w:rFonts w:ascii="CG Times" w:hAnsi="CG Times"/>
      <w:szCs w:val="24"/>
    </w:rPr>
  </w:style>
  <w:style w:type="paragraph" w:styleId="BodyTextIndent">
    <w:name w:val="Body Text Indent"/>
    <w:basedOn w:val="Normal"/>
    <w:rsid w:val="00094665"/>
    <w:pPr>
      <w:spacing w:line="480" w:lineRule="auto"/>
      <w:ind w:right="720" w:firstLine="720"/>
    </w:pPr>
  </w:style>
  <w:style w:type="character" w:styleId="CommentReference">
    <w:name w:val="annotation reference"/>
    <w:basedOn w:val="DefaultParagraphFont"/>
    <w:semiHidden/>
    <w:rsid w:val="004E7CA1"/>
    <w:rPr>
      <w:sz w:val="16"/>
      <w:szCs w:val="16"/>
    </w:rPr>
  </w:style>
  <w:style w:type="paragraph" w:styleId="CommentText">
    <w:name w:val="annotation text"/>
    <w:basedOn w:val="Normal"/>
    <w:semiHidden/>
    <w:rsid w:val="004E7CA1"/>
    <w:rPr>
      <w:sz w:val="20"/>
    </w:rPr>
  </w:style>
  <w:style w:type="paragraph" w:styleId="CommentSubject">
    <w:name w:val="annotation subject"/>
    <w:basedOn w:val="CommentText"/>
    <w:next w:val="CommentText"/>
    <w:semiHidden/>
    <w:rsid w:val="004E7CA1"/>
    <w:rPr>
      <w:b/>
      <w:bCs/>
    </w:rPr>
  </w:style>
  <w:style w:type="paragraph" w:styleId="BalloonText">
    <w:name w:val="Balloon Text"/>
    <w:basedOn w:val="Normal"/>
    <w:semiHidden/>
    <w:rsid w:val="004E7C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OCC%20Form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Template>
  <TotalTime>12</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vt:lpstr>
    </vt:vector>
  </TitlesOfParts>
  <Company>NCUA</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creator>Administrator</dc:creator>
  <cp:lastModifiedBy>Tracy Crews</cp:lastModifiedBy>
  <cp:revision>7</cp:revision>
  <cp:lastPrinted>2010-05-21T17:29:00Z</cp:lastPrinted>
  <dcterms:created xsi:type="dcterms:W3CDTF">2010-05-21T17:11:00Z</dcterms:created>
  <dcterms:modified xsi:type="dcterms:W3CDTF">2010-05-21T17:29:00Z</dcterms:modified>
</cp:coreProperties>
</file>